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31313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13131"/>
          <w:kern w:val="0"/>
          <w:sz w:val="44"/>
          <w:szCs w:val="44"/>
          <w:lang w:eastAsia="zh-CN"/>
        </w:rPr>
        <w:t>永定街道办事处</w:t>
      </w:r>
      <w:r>
        <w:rPr>
          <w:rFonts w:hint="eastAsia" w:ascii="方正小标宋简体" w:hAnsi="宋体" w:eastAsia="方正小标宋简体" w:cs="宋体"/>
          <w:bCs/>
          <w:color w:val="313131"/>
          <w:kern w:val="0"/>
          <w:sz w:val="44"/>
          <w:szCs w:val="44"/>
        </w:rPr>
        <w:t>2018年政府信息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31313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13131"/>
          <w:kern w:val="0"/>
          <w:sz w:val="44"/>
          <w:szCs w:val="44"/>
        </w:rPr>
        <w:t>与政务公开工作年度报告</w:t>
      </w:r>
    </w:p>
    <w:p>
      <w:pPr>
        <w:widowControl/>
        <w:spacing w:line="495" w:lineRule="atLeast"/>
        <w:ind w:firstLine="48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222222"/>
          <w:kern w:val="0"/>
          <w:sz w:val="32"/>
          <w:szCs w:val="32"/>
        </w:rPr>
        <w:t>一 、概述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按照县委、县政府的要求，积极推进政府信息公开的各项工作。按照《条例》和有关要求，制定了《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永定街道办事处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政务公开实施方案》，明确了组织机构和工作职责、公开内容、主要任务、工作要求。同时，编制了富民县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政务信息公开指南、富民县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政务信息公开目录。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政府信息公开工作在公开内容、公开制度、公开渠道等方面取得了进展。现将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2018年度的政府信息公开工作报告如下：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（一）组织机构建设情况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为了做好政务信息公开工作，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成立了由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街道办事处主任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任组长，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街道党工委副书记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任副组长，各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站所部门负责人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为成员的政府信息公开工作领导小组，下设办公室在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党政办，由分管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宣传工作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宣传委员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兼办公室主任，党政办主任具体负责政务信息公开日常工作。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（二）制度建设情况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建立信息主动公开工作机制。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政府信息公开工作领导小组负责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政府信息主动公开工作，主要是根据《条例》和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富民县人民政府办公室〈关于印富民县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8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年政务公开工作要点分工方案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〉的通知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（富政办通〔2018〕76号）要求，结合实际，制定《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永定街道办事处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政务公开实施方案》，明确了组织机构和工作职责、公开内容、主要任务、工作要求。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建立依申请公开工作机制。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政府信息公开工作领导小组负责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政府信息依申请公开工作，明确制定政府信息依申请公开工作的受理机构、受理程序、审查方式、处理办法、答复等要求。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（三）公开渠道建设情况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政府信息公开主要采用网站和公开栏的方式，网站依托富民县人民政府网站，定期进行维护、更新；公开栏设在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党政办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过道党务政务公开栏，分别公开组织机构和领导班子信息、单位职能职责等。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222222"/>
          <w:kern w:val="0"/>
          <w:sz w:val="32"/>
          <w:szCs w:val="32"/>
        </w:rPr>
        <w:t>二、主动公开政府信息情况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（一）公开的数量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在政务信息公开门户网上主动公开规划计划、重大决策听证、重点工作通报、重要事项公示、部门预算、项目审批、双公示等各个栏目信息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160</w:t>
      </w:r>
      <w:r>
        <w:rPr>
          <w:rFonts w:hint="eastAsia" w:ascii="仿宋_GB2312" w:eastAsia="仿宋_GB2312"/>
          <w:sz w:val="32"/>
          <w:szCs w:val="32"/>
        </w:rPr>
        <w:t>余条，办公地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公开栏公开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>，全年没有因信息公开的行政复议和行政诉讼案件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（二）公开的形式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通过政务公开栏、网站等渠道及时发布、公布政府信息。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（三）主动公开政府信息的主要类别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主要涉及行政机关机构职能类、政策法规类、规划计划类、行政许可（审批）、重大项目建设类。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（四）开展政策解读工作情况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2018年，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共开展政策解读2次。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（五）回应舆情关切情况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2018年，在政务网站留言，涉及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的数量为0。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222222"/>
          <w:kern w:val="0"/>
          <w:sz w:val="32"/>
          <w:szCs w:val="32"/>
        </w:rPr>
        <w:t>三、依申请公开政府信息情况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制定了依申请公开制度，明确了依申请公开流程图、表格、说明等。2018年，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收到公众要求公开政府信息的申请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件。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222222"/>
          <w:kern w:val="0"/>
          <w:sz w:val="32"/>
          <w:szCs w:val="32"/>
        </w:rPr>
        <w:t>四、咨询处理情况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2018年度共接受群众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咨询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次，其中办公室咨询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次；电话咨询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次。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222222"/>
          <w:kern w:val="0"/>
          <w:sz w:val="32"/>
          <w:szCs w:val="32"/>
        </w:rPr>
        <w:t>五、复议、诉讼和申诉情况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2018年度没有发生针对本部门有关政府信息公开事务的行政复议、诉讼和申诉</w:t>
      </w:r>
      <w:bookmarkStart w:id="0" w:name="_GoBack"/>
      <w:bookmarkEnd w:id="0"/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情况。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222222"/>
          <w:kern w:val="0"/>
          <w:sz w:val="32"/>
          <w:szCs w:val="32"/>
        </w:rPr>
        <w:t>六、存在的主要问题和改进措施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（一）存在的主要问题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今年以来，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永定街道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政府信息公开工作总体上稳步推进，但存在一些问题，主要表现在：</w:t>
      </w: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信息公开的广度和深度有待进一步加强。</w:t>
      </w: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政府信息公开全面性有待进一步增强，其中政策法规、行政处罚、重大项目建设等方面还存在差距。</w:t>
      </w: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政务公开监督指导力度还比较薄弱，还没有形成一套长期有效的监督措施，致使政务公开流于形式。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222222"/>
          <w:kern w:val="0"/>
          <w:sz w:val="32"/>
          <w:szCs w:val="32"/>
        </w:rPr>
        <w:t>（二）解决办法和改进措施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为进一步做好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政府信息公开工作,把政府信息公开工作做到制度化和规范化,着重从组织领导、提高认识、全面公开等方面做好我局政府信息公开工作。一是切实加强组织领导，进一步明确政府信息公开领导小组的职责和任务，将政府信息公开工作切实落实到常态化工作中，进一步抓紧抓好。二是提高认识，充分认识信息公开对构建政府公信力的重要性，认真学习政府信息公开条例内容和市县有关信息公开的文件，真正把信息公开做细做到位。三是围绕中心工作，</w:t>
      </w:r>
      <w:r>
        <w:rPr>
          <w:rFonts w:hint="eastAsia" w:ascii="仿宋_GB2312" w:eastAsia="仿宋_GB2312"/>
          <w:sz w:val="32"/>
          <w:szCs w:val="32"/>
        </w:rPr>
        <w:t>认真抓好政务公开各项工作的落实，不断推进政务公开工作的深入开展，把政务公开工作做好，营造宽松和谐的社会政治环境和经济发展环境，为促进永定街道经济社会的稳定与发展做出积极的贡献。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5120" w:firstLineChars="16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永定街道办事处</w:t>
      </w:r>
    </w:p>
    <w:p>
      <w:pPr>
        <w:pStyle w:val="2"/>
        <w:widowControl w:val="0"/>
        <w:snapToGrid w:val="0"/>
        <w:spacing w:line="500" w:lineRule="exact"/>
        <w:ind w:firstLine="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88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20C3"/>
    <w:rsid w:val="18AB38A2"/>
    <w:rsid w:val="19F7019A"/>
    <w:rsid w:val="1EF25ED7"/>
    <w:rsid w:val="55AB644B"/>
    <w:rsid w:val="7EFD2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/>
      <w:spacing w:line="1967" w:lineRule="atLeast"/>
      <w:ind w:firstLine="419"/>
      <w:textAlignment w:val="baseline"/>
    </w:pPr>
    <w:rPr>
      <w:rFonts w:ascii="仿宋_GB2312" w:eastAsia="仿宋_GB2312"/>
      <w:color w:val="000000"/>
      <w:kern w:val="0"/>
      <w:sz w:val="31"/>
      <w:szCs w:val="20"/>
      <w:u w:val="none"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2019-01-21T00:42:00Z</dcterms:created>
  <dc:creator>chy</dc:creator>
  <cp:lastModifiedBy>chy</cp:lastModifiedBy>
  <dcterms:modified xsi:type="dcterms:W3CDTF">2019-01-21T07:00:56Z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