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default" w:ascii="Times New Roman" w:hAnsi="Times New Roman" w:eastAsia="仿宋_GB2312" w:cs="Times New Roman"/>
          <w:sz w:val="32"/>
          <w:szCs w:val="32"/>
          <w:lang w:eastAsia="zh-CN"/>
        </w:rPr>
      </w:pPr>
    </w:p>
    <w:p>
      <w:pPr>
        <w:spacing w:line="0" w:lineRule="atLeast"/>
        <w:rPr>
          <w:rFonts w:hint="default" w:ascii="Times New Roman" w:hAnsi="Times New Roman" w:eastAsia="仿宋_GB2312" w:cs="Times New Roman"/>
          <w:sz w:val="32"/>
          <w:szCs w:val="32"/>
          <w:lang w:eastAsia="zh-CN"/>
        </w:rPr>
      </w:pPr>
    </w:p>
    <w:p>
      <w:pPr>
        <w:spacing w:line="0" w:lineRule="atLeast"/>
        <w:rPr>
          <w:rFonts w:hint="default" w:ascii="Times New Roman" w:hAnsi="Times New Roman" w:eastAsia="方正小标宋简体" w:cs="Times New Roman"/>
          <w:color w:val="FF0000"/>
          <w:spacing w:val="85"/>
          <w:sz w:val="44"/>
          <w:szCs w:val="44"/>
          <w:lang w:val="en-US" w:eastAsia="zh-CN"/>
        </w:rPr>
      </w:pPr>
      <w:r>
        <w:rPr>
          <w:rFonts w:hint="default" w:ascii="Times New Roman" w:hAnsi="Times New Roman" w:eastAsia="方正小标宋简体" w:cs="Times New Roman"/>
          <w:b/>
          <w:bCs/>
          <w:color w:val="FF0000"/>
          <w:spacing w:val="85"/>
          <w:sz w:val="44"/>
          <w:szCs w:val="44"/>
        </w:rPr>
        <mc:AlternateContent>
          <mc:Choice Requires="wps">
            <w:drawing>
              <wp:anchor distT="0" distB="0" distL="114300" distR="114300" simplePos="0" relativeHeight="251660288" behindDoc="0" locked="0" layoutInCell="1" allowOverlap="1">
                <wp:simplePos x="0" y="0"/>
                <wp:positionH relativeFrom="column">
                  <wp:posOffset>4551045</wp:posOffset>
                </wp:positionH>
                <wp:positionV relativeFrom="paragraph">
                  <wp:posOffset>234315</wp:posOffset>
                </wp:positionV>
                <wp:extent cx="1327150" cy="792480"/>
                <wp:effectExtent l="4445" t="4445" r="20955" b="22225"/>
                <wp:wrapNone/>
                <wp:docPr id="1" name="文本框 2"/>
                <wp:cNvGraphicFramePr/>
                <a:graphic xmlns:a="http://schemas.openxmlformats.org/drawingml/2006/main">
                  <a:graphicData uri="http://schemas.microsoft.com/office/word/2010/wordprocessingShape">
                    <wps:wsp>
                      <wps:cNvSpPr txBox="1"/>
                      <wps:spPr>
                        <a:xfrm>
                          <a:off x="0" y="0"/>
                          <a:ext cx="1327150" cy="792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0" w:lineRule="atLeast"/>
                              <w:rPr>
                                <w:rFonts w:ascii="方正小标宋简体" w:eastAsia="方正小标宋简体"/>
                                <w:color w:val="FF0000"/>
                                <w:spacing w:val="20"/>
                                <w:sz w:val="72"/>
                                <w:szCs w:val="72"/>
                              </w:rPr>
                            </w:pPr>
                            <w:r>
                              <w:rPr>
                                <w:rFonts w:ascii="方正小标宋简体" w:eastAsia="方正小标宋简体"/>
                                <w:color w:val="FF0000"/>
                                <w:spacing w:val="20"/>
                                <w:sz w:val="72"/>
                                <w:szCs w:val="72"/>
                              </w:rPr>
                              <w:t>文件</w:t>
                            </w:r>
                          </w:p>
                        </w:txbxContent>
                      </wps:txbx>
                      <wps:bodyPr upright="1"/>
                    </wps:wsp>
                  </a:graphicData>
                </a:graphic>
              </wp:anchor>
            </w:drawing>
          </mc:Choice>
          <mc:Fallback>
            <w:pict>
              <v:shape id="文本框 2" o:spid="_x0000_s1026" o:spt="202" type="#_x0000_t202" style="position:absolute;left:0pt;margin-left:358.35pt;margin-top:18.45pt;height:62.4pt;width:104.5pt;z-index:251660288;mso-width-relative:page;mso-height-relative:page;" fillcolor="#FFFFFF" filled="t" stroked="t" coordsize="21600,21600" o:gfxdata="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hd8p2AAAAAoBAAAPAAAAAAAAAAEAIAAAACIAAABkcnMvZG93bnJldi54bWxQSwEC&#10;FAAUAAAACACHTuJAn/z+FvQBAAD2AwAADgAAAAAAAAABACAAAAAnAQAAZHJzL2Uyb0RvYy54bWxQ&#10;SwUGAAAAAAYABgBZAQAAjQUAAAAA&#10;">
                <v:fill on="t" focussize="0,0"/>
                <v:stroke color="#FFFFFF" joinstyle="miter"/>
                <v:imagedata o:title=""/>
                <o:lock v:ext="edit" aspectratio="f"/>
                <v:textbox>
                  <w:txbxContent>
                    <w:p>
                      <w:pPr>
                        <w:spacing w:line="0" w:lineRule="atLeast"/>
                        <w:rPr>
                          <w:rFonts w:ascii="方正小标宋简体" w:eastAsia="方正小标宋简体"/>
                          <w:color w:val="FF0000"/>
                          <w:spacing w:val="20"/>
                          <w:sz w:val="72"/>
                          <w:szCs w:val="72"/>
                        </w:rPr>
                      </w:pPr>
                      <w:r>
                        <w:rPr>
                          <w:rFonts w:ascii="方正小标宋简体" w:eastAsia="方正小标宋简体"/>
                          <w:color w:val="FF0000"/>
                          <w:spacing w:val="20"/>
                          <w:sz w:val="72"/>
                          <w:szCs w:val="72"/>
                        </w:rPr>
                        <w:t>文件</w:t>
                      </w:r>
                    </w:p>
                  </w:txbxContent>
                </v:textbox>
              </v:shape>
            </w:pict>
          </mc:Fallback>
        </mc:AlternateContent>
      </w:r>
      <w:r>
        <w:rPr>
          <w:rFonts w:hint="default" w:ascii="Times New Roman" w:hAnsi="Times New Roman" w:eastAsia="仿宋_GB2312" w:cs="Times New Roman"/>
          <w:sz w:val="32"/>
          <w:szCs w:val="32"/>
          <w:lang w:eastAsia="zh-CN"/>
        </w:rPr>
        <w:pict>
          <v:shape id="_x0000_i1025" o:spt="136" type="#_x0000_t136" style="height:41.45pt;width:354.2pt;" fillcolor="#FF0000" filled="t" stroked="t" coordsize="21600,21600" adj="10800">
            <v:path/>
            <v:fill on="t" color2="#FFFFFF" focussize="0,0"/>
            <v:stroke color="#FF0000"/>
            <v:imagedata o:title=""/>
            <o:lock v:ext="edit" aspectratio="f"/>
            <v:textpath on="t" fitshape="t" fitpath="t" trim="t" xscale="f" string="富民县人民政府扶贫开发办公室" style="font-family:方正小标宋简体;font-size:36pt;v-text-align:center;"/>
            <v:shadow on="t" obscured="f" color="#B2B2B2" opacity="52428f" offset="0.000236220472440945pt,0pt" offset2="-2pt,-2pt" origin="0f,0f" matrix="65536f,0f,0f,65536f,0,0"/>
            <w10:wrap type="none"/>
            <w10:anchorlock/>
          </v:shape>
        </w:pict>
      </w:r>
    </w:p>
    <w:p>
      <w:pPr>
        <w:spacing w:line="0" w:lineRule="atLeast"/>
        <w:rPr>
          <w:rFonts w:hint="default" w:ascii="Times New Roman" w:hAnsi="Times New Roman" w:eastAsia="方正小标宋简体" w:cs="Times New Roman"/>
          <w:b w:val="0"/>
          <w:bCs w:val="0"/>
          <w:color w:val="FF0000"/>
          <w:spacing w:val="45"/>
          <w:sz w:val="72"/>
          <w:szCs w:val="72"/>
          <w:lang w:val="en-US" w:eastAsia="zh-CN"/>
        </w:rPr>
      </w:pPr>
      <w:r>
        <w:rPr>
          <w:rFonts w:hint="default" w:ascii="Times New Roman" w:hAnsi="Times New Roman" w:eastAsia="方正小标宋简体" w:cs="Times New Roman"/>
          <w:b w:val="0"/>
          <w:bCs w:val="0"/>
          <w:color w:val="FF0000"/>
          <w:spacing w:val="45"/>
          <w:sz w:val="72"/>
          <w:szCs w:val="72"/>
          <w:lang w:eastAsia="zh-CN"/>
        </w:rPr>
        <w:t>富</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民</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县</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财</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政</w:t>
      </w:r>
      <w:r>
        <w:rPr>
          <w:rFonts w:hint="default" w:ascii="Times New Roman" w:hAnsi="Times New Roman" w:eastAsia="方正小标宋简体" w:cs="Times New Roman"/>
          <w:b w:val="0"/>
          <w:bCs w:val="0"/>
          <w:color w:val="FF0000"/>
          <w:spacing w:val="45"/>
          <w:sz w:val="72"/>
          <w:szCs w:val="72"/>
          <w:lang w:val="en-US" w:eastAsia="zh-CN"/>
        </w:rPr>
        <w:t xml:space="preserve"> </w:t>
      </w:r>
      <w:r>
        <w:rPr>
          <w:rFonts w:hint="default" w:ascii="Times New Roman" w:hAnsi="Times New Roman" w:eastAsia="方正小标宋简体" w:cs="Times New Roman"/>
          <w:b w:val="0"/>
          <w:bCs w:val="0"/>
          <w:color w:val="FF0000"/>
          <w:spacing w:val="45"/>
          <w:sz w:val="72"/>
          <w:szCs w:val="72"/>
          <w:lang w:eastAsia="zh-CN"/>
        </w:rPr>
        <w:t>局</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color w:val="FF0000"/>
          <w:sz w:val="32"/>
          <w:szCs w:val="32"/>
        </w:rPr>
      </w:pPr>
      <w:r>
        <w:rPr>
          <w:rFonts w:hint="default" w:ascii="Times New Roman" w:hAnsi="Times New Roman" w:eastAsia="仿宋_GB2312" w:cs="Times New Roman"/>
          <w:sz w:val="32"/>
          <w:szCs w:val="32"/>
        </w:rPr>
        <w:t>富扶办〔2019〕</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-2540</wp:posOffset>
                </wp:positionV>
                <wp:extent cx="5533390" cy="18415"/>
                <wp:effectExtent l="0" t="0" r="0" b="0"/>
                <wp:wrapNone/>
                <wp:docPr id="2" name="自选图形 4"/>
                <wp:cNvGraphicFramePr/>
                <a:graphic xmlns:a="http://schemas.openxmlformats.org/drawingml/2006/main">
                  <a:graphicData uri="http://schemas.microsoft.com/office/word/2010/wordprocessingShape">
                    <wps:wsp>
                      <wps:cNvCnPr/>
                      <wps:spPr>
                        <a:xfrm flipV="1">
                          <a:off x="0" y="0"/>
                          <a:ext cx="5533390" cy="1841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flip:y;margin-left:0.65pt;margin-top:-0.2pt;height:1.45pt;width:435.7pt;z-index:251661312;mso-width-relative:page;mso-height-relative:page;" filled="f" stroked="t" coordsize="21600,21600" o:gfxdata="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8r2c/U&#10;AAAABQEAAA8AAAAAAAAAAQAgAAAAIgAAAGRycy9kb3ducmV2LnhtbFBLAQIUABQAAAAIAIdO4kBM&#10;Jvp06wEAALIDAAAOAAAAAAAAAAEAIAAAACMBAABkcnMvZTJvRG9jLnhtbFBLBQYAAAAABgAGAFkB&#10;AACABQAAAAA=&#10;">
                <v:fill on="f" focussize="0,0"/>
                <v:stroke weight="1.5pt" color="#FF0000" joinstyle="round"/>
                <v:imagedata o:title=""/>
                <o:lock v:ext="edit" aspectratio="f"/>
              </v:shape>
            </w:pict>
          </mc:Fallback>
        </mc:AlternateContent>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r>
        <w:rPr>
          <w:rFonts w:hint="default" w:ascii="Times New Roman" w:hAnsi="Times New Roman" w:eastAsia="仿宋_GB2312" w:cs="Times New Roman"/>
          <w:sz w:val="32"/>
          <w:szCs w:val="32"/>
        </w:rPr>
        <w:softHyphen/>
      </w:r>
    </w:p>
    <w:p>
      <w:pPr>
        <w:spacing w:line="560" w:lineRule="exact"/>
        <w:jc w:val="center"/>
        <w:rPr>
          <w:rFonts w:hint="default" w:ascii="Times New Roman" w:hAnsi="Times New Roman" w:eastAsia="方正小标宋简体" w:cs="Times New Roman"/>
          <w:w w:val="90"/>
          <w:sz w:val="44"/>
          <w:szCs w:val="44"/>
        </w:rPr>
      </w:pPr>
      <w:r>
        <w:rPr>
          <w:rFonts w:hint="default" w:ascii="Times New Roman" w:hAnsi="Times New Roman" w:eastAsia="方正小标宋简体" w:cs="Times New Roman"/>
          <w:w w:val="90"/>
          <w:sz w:val="44"/>
          <w:szCs w:val="44"/>
        </w:rPr>
        <w:t>富民县人民政府扶贫开发办公室</w:t>
      </w:r>
      <w:r>
        <w:rPr>
          <w:rFonts w:hint="default" w:ascii="Times New Roman" w:hAnsi="Times New Roman" w:eastAsia="方正小标宋简体" w:cs="Times New Roman"/>
          <w:w w:val="90"/>
          <w:sz w:val="44"/>
          <w:szCs w:val="44"/>
          <w:lang w:val="en-US" w:eastAsia="zh-CN"/>
        </w:rPr>
        <w:t xml:space="preserve"> </w:t>
      </w:r>
      <w:r>
        <w:rPr>
          <w:rFonts w:hint="default" w:ascii="Times New Roman" w:hAnsi="Times New Roman" w:eastAsia="方正小标宋简体" w:cs="Times New Roman"/>
          <w:w w:val="90"/>
          <w:sz w:val="44"/>
          <w:szCs w:val="44"/>
        </w:rPr>
        <w:t>富民县财政局</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关于下达2019年度</w:t>
      </w:r>
      <w:r>
        <w:rPr>
          <w:rFonts w:hint="eastAsia" w:ascii="Times New Roman" w:hAnsi="Times New Roman" w:eastAsia="方正小标宋简体" w:cs="Times New Roman"/>
          <w:sz w:val="44"/>
          <w:szCs w:val="44"/>
          <w:lang w:eastAsia="zh-CN"/>
        </w:rPr>
        <w:t>第二批</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个资产收益扶贫</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项目资金的通知</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2019年度各镇（街道）申报的</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资产收益型产业扶贫项目已经县人民政府批准，为加强中央、省、市级财政专项扶贫资金管理，提高资金使用效益，根据《云南省扶贫开发领导小组办公室关于加快财政专项扶贫资金县级支出进度的通知》（云贫开办发〔2017〕222号）要求，结合各镇（街道）开展项目建设工作情况，现就下达2019年度第</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批专项扶贫项目资金相关事项通知如下：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一、资金来源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从2019年度</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专项扶贫资金</w:t>
      </w:r>
      <w:r>
        <w:rPr>
          <w:rFonts w:hint="eastAsia" w:ascii="Times New Roman" w:hAnsi="Times New Roman" w:eastAsia="仿宋_GB2312" w:cs="Times New Roman"/>
          <w:sz w:val="32"/>
          <w:szCs w:val="32"/>
          <w:lang w:val="en-US" w:eastAsia="zh-CN"/>
        </w:rPr>
        <w:t>854</w:t>
      </w:r>
      <w:r>
        <w:rPr>
          <w:rFonts w:hint="default" w:ascii="Times New Roman" w:hAnsi="Times New Roman" w:eastAsia="仿宋_GB2312" w:cs="Times New Roman"/>
          <w:sz w:val="32"/>
          <w:szCs w:val="32"/>
        </w:rPr>
        <w:t>万元中安排</w:t>
      </w:r>
      <w:r>
        <w:rPr>
          <w:rFonts w:hint="eastAsia"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万元，共计下拨</w:t>
      </w:r>
      <w:r>
        <w:rPr>
          <w:rFonts w:hint="eastAsia" w:ascii="Times New Roman" w:hAnsi="Times New Roman" w:eastAsia="仿宋_GB2312" w:cs="Times New Roman"/>
          <w:sz w:val="32"/>
          <w:szCs w:val="32"/>
          <w:lang w:val="en-US" w:eastAsia="zh-CN"/>
        </w:rPr>
        <w:t>470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二、资金分配计划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坚持资金使用精准，在精准识别贫困人口的基础上，把资金使用与建档立卡结果相衔接，与脱贫成效相挂钩，切实使资金惠及贫困人口，根据各镇（街道）上报评审和县级批复项目情况拟定资金分配计划（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三、资金下拨与监管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（一）各镇（街道）按《富民县2019年度第</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批扶贫项目资金</w:t>
      </w:r>
      <w:r>
        <w:rPr>
          <w:rFonts w:hint="eastAsia" w:ascii="Times New Roman" w:hAnsi="Times New Roman" w:eastAsia="仿宋_GB2312" w:cs="Times New Roman"/>
          <w:sz w:val="32"/>
          <w:szCs w:val="32"/>
          <w:lang w:eastAsia="zh-CN"/>
        </w:rPr>
        <w:t>分配</w:t>
      </w:r>
      <w:r>
        <w:rPr>
          <w:rFonts w:hint="default" w:ascii="Times New Roman" w:hAnsi="Times New Roman" w:eastAsia="仿宋_GB2312" w:cs="Times New Roman"/>
          <w:sz w:val="32"/>
          <w:szCs w:val="32"/>
        </w:rPr>
        <w:t>表》（附件）所列资金量开具行政事业单位资金收据，于2019年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日前一次性划拨到账，并设专项扶贫资金科目，实行专账管理。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（二）全面加强资金和项目管理。做到资金到项目、管理到项目、核算到项目、责任到项目，</w:t>
      </w:r>
      <w:r>
        <w:rPr>
          <w:rFonts w:hint="default" w:ascii="Times New Roman" w:hAnsi="Times New Roman" w:eastAsia="仿宋_GB2312" w:cs="Times New Roman"/>
          <w:color w:val="000000"/>
          <w:sz w:val="32"/>
          <w:szCs w:val="32"/>
        </w:rPr>
        <w:t>涉及项目的镇（街道）明确一名项目负责人，至始至终对该项目的质量、工程进度、资金监管、绩效评价、相关的数据资料公示公开负责。（项目负责人及联系方式确定后各报一份给县扶贫开发办公室，县财政局农业科备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（三）全面推行公告公示制度。严格依据</w:t>
      </w:r>
      <w:r>
        <w:rPr>
          <w:rFonts w:hint="eastAsia" w:eastAsia="仿宋_GB2312"/>
          <w:kern w:val="1"/>
          <w:sz w:val="32"/>
          <w:szCs w:val="32"/>
        </w:rPr>
        <w:t>根据</w:t>
      </w:r>
      <w:r>
        <w:rPr>
          <w:rFonts w:eastAsia="仿宋_GB2312"/>
          <w:sz w:val="32"/>
          <w:szCs w:val="32"/>
        </w:rPr>
        <w:t>《昆明市扶贫资金项目公告公示制度实施办法》</w:t>
      </w:r>
      <w:r>
        <w:rPr>
          <w:rFonts w:eastAsia="仿宋_GB2312"/>
          <w:kern w:val="1"/>
          <w:sz w:val="32"/>
          <w:szCs w:val="32"/>
        </w:rPr>
        <w:t>（</w:t>
      </w:r>
      <w:r>
        <w:rPr>
          <w:rFonts w:eastAsia="仿宋_GB2312"/>
          <w:sz w:val="32"/>
          <w:szCs w:val="32"/>
        </w:rPr>
        <w:t>昆开办发〔2019〕4号）</w:t>
      </w:r>
      <w:r>
        <w:rPr>
          <w:rFonts w:hint="eastAsia" w:eastAsia="仿宋_GB2312"/>
          <w:sz w:val="32"/>
          <w:szCs w:val="32"/>
        </w:rPr>
        <w:t>，</w:t>
      </w:r>
      <w:r>
        <w:rPr>
          <w:rFonts w:hint="default" w:ascii="Times New Roman" w:hAnsi="Times New Roman" w:eastAsia="仿宋_GB2312" w:cs="Times New Roman"/>
          <w:sz w:val="32"/>
          <w:szCs w:val="32"/>
        </w:rPr>
        <w:t>推进政务公告公示，做到事前公示、事后公告，各镇（街道）要把涉及到财政专项扶贫资金的资金政策文件、管理制度、资金到账、资金分配情况实行公示、使用结果等信息公示，按照“谁分配、谁公开、谁使用、谁公开、分配到哪里、公开到哪里”的原则，采取分级分类的形式，及时向社会公开，资金使用情况公示要与项目建设管理公示同步进行，让群众清楚明白，接受群众和社会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四、强化全过程绩效管理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当地实际做好专项资金全过程绩效管理。要切实将预算绩效管理贯穿于绩效目标编制、绩效跟踪、绩效评价等各环节。项目实施中，围绕项目绩效目标，对项目的组织实施进展情况进行动态跟踪，及时发现并纠正项目实施过程中存在的问题。项目实施完成后，应对照事先确定的绩效目标开展部门绩效自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附件：富民县2019年度第</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批扶贫项目资金</w:t>
      </w:r>
      <w:r>
        <w:rPr>
          <w:rFonts w:hint="eastAsia" w:ascii="Times New Roman" w:hAnsi="Times New Roman" w:eastAsia="仿宋_GB2312" w:cs="Times New Roman"/>
          <w:sz w:val="32"/>
          <w:szCs w:val="32"/>
          <w:lang w:eastAsia="zh-CN"/>
        </w:rPr>
        <w:t>分配</w:t>
      </w:r>
      <w:r>
        <w:rPr>
          <w:rFonts w:hint="default" w:ascii="Times New Roman" w:hAnsi="Times New Roman" w:eastAsia="仿宋_GB2312"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富民县人民政府扶贫开发办公</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室    富民县财政局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2019年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5280" w:firstLineChars="1650"/>
        <w:textAlignment w:val="auto"/>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bookmarkStart w:id="0" w:name="_GoBack"/>
      <w:bookmarkEnd w:id="0"/>
    </w:p>
    <w:p>
      <w:pPr>
        <w:pBdr>
          <w:top w:val="single" w:color="auto" w:sz="6" w:space="1"/>
          <w:bottom w:val="single" w:color="auto" w:sz="6" w:space="1"/>
        </w:pBdr>
        <w:tabs>
          <w:tab w:val="right" w:pos="9070"/>
        </w:tabs>
        <w:spacing w:line="560" w:lineRule="exact"/>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富民县人民政府扶贫开发办公室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2019年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32"/>
          <w:szCs w:val="32"/>
        </w:rPr>
        <w:tab/>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Fonts w:asciiTheme="minorEastAsia" w:hAnsiTheme="minorEastAsia"/>
        <w:sz w:val="28"/>
        <w:szCs w:val="28"/>
      </w:rPr>
    </w:pPr>
    <w:r>
      <w:rPr>
        <w:rFonts w:hint="eastAsia"/>
        <w:sz w:val="28"/>
        <w:szCs w:val="28"/>
      </w:rPr>
      <w:t xml:space="preserve">— </w:t>
    </w:r>
    <w:r>
      <w:rPr>
        <w:rFonts w:hint="eastAsia" w:asciiTheme="minorEastAsia" w:hAnsiTheme="minorEastAsia"/>
        <w:sz w:val="28"/>
        <w:szCs w:val="28"/>
      </w:rPr>
      <w:t>1</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rFonts w:hint="eastAsia"/>
        <w:sz w:val="28"/>
        <w:szCs w:val="28"/>
      </w:rPr>
      <w:t xml:space="preserve">— </w:t>
    </w:r>
    <w:r>
      <w:rPr>
        <w:rFonts w:hint="eastAsia" w:asciiTheme="minorEastAsia" w:hAnsiTheme="minorEastAsia"/>
        <w:sz w:val="28"/>
        <w:szCs w:val="28"/>
      </w:rPr>
      <w:t>2</w:t>
    </w:r>
    <w:r>
      <w:rPr>
        <w:rFonts w:hint="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7F"/>
    <w:rsid w:val="000C22E1"/>
    <w:rsid w:val="0016718D"/>
    <w:rsid w:val="002E416D"/>
    <w:rsid w:val="003452DF"/>
    <w:rsid w:val="003722C9"/>
    <w:rsid w:val="004226FB"/>
    <w:rsid w:val="00465C9E"/>
    <w:rsid w:val="005764F9"/>
    <w:rsid w:val="00582B8E"/>
    <w:rsid w:val="007241F4"/>
    <w:rsid w:val="00767C7F"/>
    <w:rsid w:val="00846D3B"/>
    <w:rsid w:val="00866224"/>
    <w:rsid w:val="008701A3"/>
    <w:rsid w:val="008E5806"/>
    <w:rsid w:val="0093174E"/>
    <w:rsid w:val="00A23305"/>
    <w:rsid w:val="00A414AA"/>
    <w:rsid w:val="00A4217F"/>
    <w:rsid w:val="00A55A9D"/>
    <w:rsid w:val="00B747B8"/>
    <w:rsid w:val="00B916BD"/>
    <w:rsid w:val="00BB5F73"/>
    <w:rsid w:val="00E05ABC"/>
    <w:rsid w:val="00E12EDF"/>
    <w:rsid w:val="00E305D0"/>
    <w:rsid w:val="00E62F64"/>
    <w:rsid w:val="00EE0E6A"/>
    <w:rsid w:val="00F045EE"/>
    <w:rsid w:val="00F07A3D"/>
    <w:rsid w:val="00FB04A9"/>
    <w:rsid w:val="047C4420"/>
    <w:rsid w:val="0638679A"/>
    <w:rsid w:val="0F6445EC"/>
    <w:rsid w:val="131F2314"/>
    <w:rsid w:val="162E3562"/>
    <w:rsid w:val="1B781E4C"/>
    <w:rsid w:val="1C184AA9"/>
    <w:rsid w:val="22241CB0"/>
    <w:rsid w:val="2475264B"/>
    <w:rsid w:val="255A1B44"/>
    <w:rsid w:val="2577779E"/>
    <w:rsid w:val="26F52986"/>
    <w:rsid w:val="29340E01"/>
    <w:rsid w:val="2C132BEF"/>
    <w:rsid w:val="301952B5"/>
    <w:rsid w:val="328A6AAD"/>
    <w:rsid w:val="3AB565CA"/>
    <w:rsid w:val="48A6554C"/>
    <w:rsid w:val="496014FF"/>
    <w:rsid w:val="4CAD21C7"/>
    <w:rsid w:val="4E131CFC"/>
    <w:rsid w:val="4EB718DB"/>
    <w:rsid w:val="50371A04"/>
    <w:rsid w:val="53A900A3"/>
    <w:rsid w:val="54124080"/>
    <w:rsid w:val="572633FA"/>
    <w:rsid w:val="5A307AD9"/>
    <w:rsid w:val="5D5B2854"/>
    <w:rsid w:val="60EB51CC"/>
    <w:rsid w:val="64B95292"/>
    <w:rsid w:val="66C63EF2"/>
    <w:rsid w:val="6E4C4790"/>
    <w:rsid w:val="6F1F116D"/>
    <w:rsid w:val="71521EC1"/>
    <w:rsid w:val="7EBC5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593</Characters>
  <Lines>4</Lines>
  <Paragraphs>1</Paragraphs>
  <TotalTime>1</TotalTime>
  <ScaleCrop>false</ScaleCrop>
  <LinksUpToDate>false</LinksUpToDate>
  <CharactersWithSpaces>696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2018-10-12T06:11:00Z</dcterms:created>
  <dc:creator>555</dc:creator>
  <cp:lastModifiedBy>LEKK</cp:lastModifiedBy>
  <cp:lastPrinted>2019-03-12T02:37:00Z</cp:lastPrinted>
  <dcterms:modified xsi:type="dcterms:W3CDTF">2019-04-23T00:45:30Z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