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b/>
          <w:bCs/>
          <w:color w:val="auto"/>
          <w:kern w:val="2"/>
          <w:sz w:val="30"/>
          <w:szCs w:val="30"/>
          <w:lang w:val="en-US" w:eastAsia="zh-CN" w:bidi="ar-SA"/>
        </w:rPr>
        <w:id w:val="147463414"/>
        <w15:color w:val="DBDBDB"/>
        <w:docPartObj>
          <w:docPartGallery w:val="Table of Contents"/>
          <w:docPartUnique/>
        </w:docPartObj>
      </w:sdtPr>
      <w:sdtEndPr>
        <w:rPr>
          <w:rFonts w:hint="default" w:ascii="Times New Roman" w:hAnsi="Times New Roman" w:eastAsia="宋体" w:cs="Times New Roman"/>
          <w:b/>
          <w:bCs w:val="0"/>
          <w:color w:val="auto"/>
          <w:kern w:val="2"/>
          <w:sz w:val="28"/>
          <w:szCs w:val="30"/>
          <w:lang w:val="en-US" w:eastAsia="zh-CN" w:bidi="ar-SA"/>
        </w:rPr>
      </w:sdtEndPr>
      <w:sdtContent>
        <w:p>
          <w:pPr>
            <w:spacing w:before="0" w:beforeLines="0" w:after="0" w:afterLines="0" w:line="240" w:lineRule="auto"/>
            <w:ind w:left="0" w:leftChars="0" w:right="0" w:rightChars="0" w:firstLine="0" w:firstLineChars="0"/>
            <w:jc w:val="center"/>
            <w:rPr>
              <w:b/>
              <w:bCs/>
              <w:color w:val="auto"/>
              <w:sz w:val="30"/>
              <w:szCs w:val="30"/>
            </w:rPr>
          </w:pPr>
          <w:bookmarkStart w:id="0" w:name="_Toc22069"/>
          <w:r>
            <w:rPr>
              <w:rFonts w:ascii="宋体" w:hAnsi="宋体" w:eastAsia="宋体"/>
              <w:b/>
              <w:bCs/>
              <w:color w:val="auto"/>
              <w:sz w:val="30"/>
              <w:szCs w:val="30"/>
            </w:rPr>
            <w:t>目</w:t>
          </w:r>
          <w:r>
            <w:rPr>
              <w:rFonts w:hint="eastAsia" w:ascii="宋体" w:hAnsi="宋体" w:eastAsia="宋体"/>
              <w:b/>
              <w:bCs/>
              <w:color w:val="auto"/>
              <w:sz w:val="30"/>
              <w:szCs w:val="30"/>
              <w:lang w:val="en-US" w:eastAsia="zh-CN"/>
            </w:rPr>
            <w:t xml:space="preserve">  </w:t>
          </w:r>
          <w:r>
            <w:rPr>
              <w:rFonts w:ascii="宋体" w:hAnsi="宋体" w:eastAsia="宋体"/>
              <w:b/>
              <w:bCs/>
              <w:color w:val="auto"/>
              <w:sz w:val="30"/>
              <w:szCs w:val="30"/>
            </w:rPr>
            <w:t>录</w:t>
          </w:r>
        </w:p>
        <w:p>
          <w:pPr>
            <w:tabs>
              <w:tab w:val="right" w:leader="dot" w:pos="8306"/>
            </w:tabs>
            <w:rPr>
              <w:rFonts w:hint="default" w:ascii="Times New Roman" w:hAnsi="Times New Roman" w:cs="Times New Roman"/>
              <w:color w:val="auto"/>
              <w:sz w:val="28"/>
              <w:szCs w:val="28"/>
            </w:rPr>
          </w:pPr>
          <w:r>
            <w:rPr>
              <w:rFonts w:hint="default" w:ascii="Times New Roman" w:hAnsi="Times New Roman" w:eastAsia="宋体" w:cs="Times New Roman"/>
              <w:bCs w:val="0"/>
              <w:color w:val="auto"/>
              <w:sz w:val="28"/>
              <w:szCs w:val="28"/>
            </w:rPr>
            <w:fldChar w:fldCharType="begin"/>
          </w:r>
          <w:r>
            <w:rPr>
              <w:rFonts w:hint="default" w:ascii="Times New Roman" w:hAnsi="Times New Roman" w:eastAsia="宋体" w:cs="Times New Roman"/>
              <w:bCs w:val="0"/>
              <w:color w:val="auto"/>
              <w:sz w:val="28"/>
              <w:szCs w:val="28"/>
            </w:rPr>
            <w:instrText xml:space="preserve">TOC \o "1-1" \h \u </w:instrText>
          </w:r>
          <w:r>
            <w:rPr>
              <w:rFonts w:hint="default" w:ascii="Times New Roman" w:hAnsi="Times New Roman" w:eastAsia="宋体" w:cs="Times New Roman"/>
              <w:bCs w:val="0"/>
              <w:color w:val="auto"/>
              <w:sz w:val="28"/>
              <w:szCs w:val="28"/>
            </w:rPr>
            <w:fldChar w:fldCharType="separate"/>
          </w:r>
          <w:r>
            <w:rPr>
              <w:rFonts w:hint="default" w:ascii="Times New Roman" w:hAnsi="Times New Roman" w:eastAsia="宋体" w:cs="Times New Roman"/>
              <w:bCs w:val="0"/>
              <w:color w:val="auto"/>
              <w:sz w:val="28"/>
              <w:szCs w:val="28"/>
            </w:rPr>
            <w:fldChar w:fldCharType="begin"/>
          </w:r>
          <w:r>
            <w:rPr>
              <w:rFonts w:hint="default" w:ascii="Times New Roman" w:hAnsi="Times New Roman" w:eastAsia="宋体" w:cs="Times New Roman"/>
              <w:bCs w:val="0"/>
              <w:color w:val="auto"/>
              <w:sz w:val="28"/>
              <w:szCs w:val="28"/>
            </w:rPr>
            <w:instrText xml:space="preserve"> HYPERLINK \l _Toc10399 </w:instrText>
          </w:r>
          <w:r>
            <w:rPr>
              <w:rFonts w:hint="default" w:ascii="Times New Roman" w:hAnsi="Times New Roman" w:eastAsia="宋体" w:cs="Times New Roman"/>
              <w:bCs w:val="0"/>
              <w:color w:val="auto"/>
              <w:sz w:val="28"/>
              <w:szCs w:val="28"/>
            </w:rPr>
            <w:fldChar w:fldCharType="separate"/>
          </w:r>
          <w:r>
            <w:rPr>
              <w:rFonts w:hint="default" w:ascii="Times New Roman" w:hAnsi="Times New Roman" w:eastAsia="宋体" w:cs="Times New Roman"/>
              <w:bCs w:val="0"/>
              <w:color w:val="auto"/>
              <w:sz w:val="28"/>
              <w:szCs w:val="28"/>
            </w:rPr>
            <w:t>表一</w:t>
          </w:r>
          <w:r>
            <w:rPr>
              <w:rFonts w:hint="default" w:ascii="Times New Roman" w:hAnsi="Times New Roman" w:eastAsia="宋体" w:cs="Times New Roman"/>
              <w:bCs w:val="0"/>
              <w:color w:val="auto"/>
              <w:sz w:val="28"/>
              <w:szCs w:val="28"/>
              <w:lang w:val="en-US" w:eastAsia="zh-CN"/>
            </w:rPr>
            <w:t xml:space="preserve">  </w:t>
          </w:r>
          <w:r>
            <w:rPr>
              <w:rFonts w:hint="default" w:ascii="Times New Roman" w:hAnsi="Times New Roman" w:eastAsia="宋体" w:cs="Times New Roman"/>
              <w:bCs w:val="0"/>
              <w:color w:val="auto"/>
              <w:sz w:val="28"/>
              <w:szCs w:val="28"/>
            </w:rPr>
            <w:t>建设项目基本概况</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_Toc10399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fldChar w:fldCharType="end"/>
          </w:r>
          <w:r>
            <w:rPr>
              <w:rFonts w:hint="default" w:ascii="Times New Roman" w:hAnsi="Times New Roman" w:eastAsia="宋体" w:cs="Times New Roman"/>
              <w:bCs w:val="0"/>
              <w:color w:val="auto"/>
              <w:sz w:val="28"/>
              <w:szCs w:val="28"/>
            </w:rPr>
            <w:fldChar w:fldCharType="end"/>
          </w:r>
        </w:p>
        <w:p>
          <w:pPr>
            <w:tabs>
              <w:tab w:val="right" w:leader="dot" w:pos="8306"/>
            </w:tabs>
            <w:rPr>
              <w:rFonts w:hint="default" w:ascii="Times New Roman" w:hAnsi="Times New Roman" w:cs="Times New Roman"/>
              <w:color w:val="auto"/>
              <w:sz w:val="28"/>
              <w:szCs w:val="28"/>
            </w:rPr>
          </w:pPr>
          <w:r>
            <w:rPr>
              <w:rFonts w:hint="default" w:ascii="Times New Roman" w:hAnsi="Times New Roman" w:eastAsia="宋体" w:cs="Times New Roman"/>
              <w:bCs w:val="0"/>
              <w:color w:val="auto"/>
              <w:sz w:val="28"/>
              <w:szCs w:val="28"/>
            </w:rPr>
            <w:fldChar w:fldCharType="begin"/>
          </w:r>
          <w:r>
            <w:rPr>
              <w:rFonts w:hint="default" w:ascii="Times New Roman" w:hAnsi="Times New Roman" w:eastAsia="宋体" w:cs="Times New Roman"/>
              <w:bCs w:val="0"/>
              <w:color w:val="auto"/>
              <w:sz w:val="28"/>
              <w:szCs w:val="28"/>
            </w:rPr>
            <w:instrText xml:space="preserve"> HYPERLINK \l _Toc3258 </w:instrText>
          </w:r>
          <w:r>
            <w:rPr>
              <w:rFonts w:hint="default" w:ascii="Times New Roman" w:hAnsi="Times New Roman" w:eastAsia="宋体" w:cs="Times New Roman"/>
              <w:bCs w:val="0"/>
              <w:color w:val="auto"/>
              <w:sz w:val="28"/>
              <w:szCs w:val="28"/>
            </w:rPr>
            <w:fldChar w:fldCharType="separate"/>
          </w:r>
          <w:r>
            <w:rPr>
              <w:rFonts w:hint="default" w:ascii="Times New Roman" w:hAnsi="Times New Roman" w:eastAsia="宋体" w:cs="Times New Roman"/>
              <w:bCs w:val="0"/>
              <w:color w:val="auto"/>
              <w:sz w:val="28"/>
              <w:szCs w:val="28"/>
            </w:rPr>
            <w:t>表二</w:t>
          </w:r>
          <w:r>
            <w:rPr>
              <w:rFonts w:hint="default" w:ascii="Times New Roman" w:hAnsi="Times New Roman" w:cs="Times New Roman"/>
              <w:bCs w:val="0"/>
              <w:color w:val="auto"/>
              <w:sz w:val="28"/>
              <w:szCs w:val="28"/>
              <w:lang w:val="en-US" w:eastAsia="zh-CN"/>
            </w:rPr>
            <w:t xml:space="preserve">  </w:t>
          </w:r>
          <w:r>
            <w:rPr>
              <w:rFonts w:hint="default" w:ascii="Times New Roman" w:hAnsi="Times New Roman" w:eastAsia="宋体" w:cs="Times New Roman"/>
              <w:bCs w:val="0"/>
              <w:color w:val="auto"/>
              <w:sz w:val="28"/>
              <w:szCs w:val="28"/>
            </w:rPr>
            <w:t>建设项目所在地自然环境简况</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_Toc3258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8</w:t>
          </w:r>
          <w:r>
            <w:rPr>
              <w:rFonts w:hint="default" w:ascii="Times New Roman" w:hAnsi="Times New Roman" w:cs="Times New Roman"/>
              <w:color w:val="auto"/>
              <w:sz w:val="28"/>
              <w:szCs w:val="28"/>
            </w:rPr>
            <w:fldChar w:fldCharType="end"/>
          </w:r>
          <w:r>
            <w:rPr>
              <w:rFonts w:hint="default" w:ascii="Times New Roman" w:hAnsi="Times New Roman" w:eastAsia="宋体" w:cs="Times New Roman"/>
              <w:bCs w:val="0"/>
              <w:color w:val="auto"/>
              <w:sz w:val="28"/>
              <w:szCs w:val="28"/>
            </w:rPr>
            <w:fldChar w:fldCharType="end"/>
          </w:r>
        </w:p>
        <w:p>
          <w:pPr>
            <w:tabs>
              <w:tab w:val="right" w:leader="dot" w:pos="8306"/>
            </w:tabs>
            <w:rPr>
              <w:rFonts w:hint="default" w:ascii="Times New Roman" w:hAnsi="Times New Roman" w:cs="Times New Roman"/>
              <w:color w:val="auto"/>
              <w:sz w:val="28"/>
              <w:szCs w:val="28"/>
            </w:rPr>
          </w:pPr>
          <w:r>
            <w:rPr>
              <w:rFonts w:hint="default" w:ascii="Times New Roman" w:hAnsi="Times New Roman" w:eastAsia="宋体" w:cs="Times New Roman"/>
              <w:bCs w:val="0"/>
              <w:color w:val="auto"/>
              <w:sz w:val="28"/>
              <w:szCs w:val="28"/>
            </w:rPr>
            <w:fldChar w:fldCharType="begin"/>
          </w:r>
          <w:r>
            <w:rPr>
              <w:rFonts w:hint="default" w:ascii="Times New Roman" w:hAnsi="Times New Roman" w:eastAsia="宋体" w:cs="Times New Roman"/>
              <w:bCs w:val="0"/>
              <w:color w:val="auto"/>
              <w:sz w:val="28"/>
              <w:szCs w:val="28"/>
            </w:rPr>
            <w:instrText xml:space="preserve"> HYPERLINK \l _Toc28919 </w:instrText>
          </w:r>
          <w:r>
            <w:rPr>
              <w:rFonts w:hint="default" w:ascii="Times New Roman" w:hAnsi="Times New Roman" w:eastAsia="宋体" w:cs="Times New Roman"/>
              <w:bCs w:val="0"/>
              <w:color w:val="auto"/>
              <w:sz w:val="28"/>
              <w:szCs w:val="28"/>
            </w:rPr>
            <w:fldChar w:fldCharType="separate"/>
          </w:r>
          <w:r>
            <w:rPr>
              <w:rFonts w:hint="default" w:ascii="Times New Roman" w:hAnsi="Times New Roman" w:cs="Times New Roman"/>
              <w:color w:val="auto"/>
              <w:sz w:val="28"/>
              <w:szCs w:val="28"/>
            </w:rPr>
            <w:t>表三</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环境质量状况</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_Toc28919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12</w:t>
          </w:r>
          <w:r>
            <w:rPr>
              <w:rFonts w:hint="default" w:ascii="Times New Roman" w:hAnsi="Times New Roman" w:cs="Times New Roman"/>
              <w:color w:val="auto"/>
              <w:sz w:val="28"/>
              <w:szCs w:val="28"/>
            </w:rPr>
            <w:fldChar w:fldCharType="end"/>
          </w:r>
          <w:r>
            <w:rPr>
              <w:rFonts w:hint="default" w:ascii="Times New Roman" w:hAnsi="Times New Roman" w:eastAsia="宋体" w:cs="Times New Roman"/>
              <w:bCs w:val="0"/>
              <w:color w:val="auto"/>
              <w:sz w:val="28"/>
              <w:szCs w:val="28"/>
            </w:rPr>
            <w:fldChar w:fldCharType="end"/>
          </w:r>
        </w:p>
        <w:p>
          <w:pPr>
            <w:tabs>
              <w:tab w:val="right" w:leader="dot" w:pos="8306"/>
            </w:tabs>
            <w:rPr>
              <w:rFonts w:hint="default" w:ascii="Times New Roman" w:hAnsi="Times New Roman" w:cs="Times New Roman"/>
              <w:color w:val="auto"/>
              <w:sz w:val="28"/>
              <w:szCs w:val="28"/>
            </w:rPr>
          </w:pPr>
          <w:r>
            <w:rPr>
              <w:rFonts w:hint="default" w:ascii="Times New Roman" w:hAnsi="Times New Roman" w:eastAsia="宋体" w:cs="Times New Roman"/>
              <w:bCs w:val="0"/>
              <w:color w:val="auto"/>
              <w:sz w:val="28"/>
              <w:szCs w:val="28"/>
            </w:rPr>
            <w:fldChar w:fldCharType="begin"/>
          </w:r>
          <w:r>
            <w:rPr>
              <w:rFonts w:hint="default" w:ascii="Times New Roman" w:hAnsi="Times New Roman" w:eastAsia="宋体" w:cs="Times New Roman"/>
              <w:bCs w:val="0"/>
              <w:color w:val="auto"/>
              <w:sz w:val="28"/>
              <w:szCs w:val="28"/>
            </w:rPr>
            <w:instrText xml:space="preserve"> HYPERLINK \l _Toc11593 </w:instrText>
          </w:r>
          <w:r>
            <w:rPr>
              <w:rFonts w:hint="default" w:ascii="Times New Roman" w:hAnsi="Times New Roman" w:eastAsia="宋体" w:cs="Times New Roman"/>
              <w:bCs w:val="0"/>
              <w:color w:val="auto"/>
              <w:sz w:val="28"/>
              <w:szCs w:val="28"/>
            </w:rPr>
            <w:fldChar w:fldCharType="separate"/>
          </w:r>
          <w:r>
            <w:rPr>
              <w:rFonts w:hint="default" w:ascii="Times New Roman" w:hAnsi="Times New Roman" w:cs="Times New Roman"/>
              <w:color w:val="auto"/>
              <w:sz w:val="28"/>
              <w:szCs w:val="28"/>
            </w:rPr>
            <w:t>表四</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评价适用标准</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_Toc11593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16</w:t>
          </w:r>
          <w:r>
            <w:rPr>
              <w:rFonts w:hint="default" w:ascii="Times New Roman" w:hAnsi="Times New Roman" w:cs="Times New Roman"/>
              <w:color w:val="auto"/>
              <w:sz w:val="28"/>
              <w:szCs w:val="28"/>
            </w:rPr>
            <w:fldChar w:fldCharType="end"/>
          </w:r>
          <w:r>
            <w:rPr>
              <w:rFonts w:hint="default" w:ascii="Times New Roman" w:hAnsi="Times New Roman" w:eastAsia="宋体" w:cs="Times New Roman"/>
              <w:bCs w:val="0"/>
              <w:color w:val="auto"/>
              <w:sz w:val="28"/>
              <w:szCs w:val="28"/>
            </w:rPr>
            <w:fldChar w:fldCharType="end"/>
          </w:r>
        </w:p>
        <w:p>
          <w:pPr>
            <w:tabs>
              <w:tab w:val="right" w:leader="dot" w:pos="8306"/>
            </w:tabs>
            <w:rPr>
              <w:rFonts w:hint="default" w:ascii="Times New Roman" w:hAnsi="Times New Roman" w:cs="Times New Roman"/>
              <w:color w:val="auto"/>
              <w:sz w:val="28"/>
              <w:szCs w:val="28"/>
            </w:rPr>
          </w:pPr>
          <w:r>
            <w:rPr>
              <w:rFonts w:hint="default" w:ascii="Times New Roman" w:hAnsi="Times New Roman" w:eastAsia="宋体" w:cs="Times New Roman"/>
              <w:bCs w:val="0"/>
              <w:color w:val="auto"/>
              <w:sz w:val="28"/>
              <w:szCs w:val="28"/>
            </w:rPr>
            <w:fldChar w:fldCharType="begin"/>
          </w:r>
          <w:r>
            <w:rPr>
              <w:rFonts w:hint="default" w:ascii="Times New Roman" w:hAnsi="Times New Roman" w:eastAsia="宋体" w:cs="Times New Roman"/>
              <w:bCs w:val="0"/>
              <w:color w:val="auto"/>
              <w:sz w:val="28"/>
              <w:szCs w:val="28"/>
            </w:rPr>
            <w:instrText xml:space="preserve"> HYPERLINK \l _Toc16050 </w:instrText>
          </w:r>
          <w:r>
            <w:rPr>
              <w:rFonts w:hint="default" w:ascii="Times New Roman" w:hAnsi="Times New Roman" w:eastAsia="宋体" w:cs="Times New Roman"/>
              <w:bCs w:val="0"/>
              <w:color w:val="auto"/>
              <w:sz w:val="28"/>
              <w:szCs w:val="28"/>
            </w:rPr>
            <w:fldChar w:fldCharType="separate"/>
          </w:r>
          <w:r>
            <w:rPr>
              <w:rFonts w:hint="default" w:ascii="Times New Roman" w:hAnsi="Times New Roman" w:cs="Times New Roman"/>
              <w:color w:val="auto"/>
              <w:sz w:val="28"/>
              <w:szCs w:val="28"/>
            </w:rPr>
            <w:t>表五</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建设项目工程分析</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_Toc16050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20</w:t>
          </w:r>
          <w:r>
            <w:rPr>
              <w:rFonts w:hint="default" w:ascii="Times New Roman" w:hAnsi="Times New Roman" w:cs="Times New Roman"/>
              <w:color w:val="auto"/>
              <w:sz w:val="28"/>
              <w:szCs w:val="28"/>
            </w:rPr>
            <w:fldChar w:fldCharType="end"/>
          </w:r>
          <w:r>
            <w:rPr>
              <w:rFonts w:hint="default" w:ascii="Times New Roman" w:hAnsi="Times New Roman" w:eastAsia="宋体" w:cs="Times New Roman"/>
              <w:bCs w:val="0"/>
              <w:color w:val="auto"/>
              <w:sz w:val="28"/>
              <w:szCs w:val="28"/>
            </w:rPr>
            <w:fldChar w:fldCharType="end"/>
          </w:r>
        </w:p>
        <w:p>
          <w:pPr>
            <w:tabs>
              <w:tab w:val="right" w:leader="dot" w:pos="8306"/>
            </w:tabs>
            <w:rPr>
              <w:rFonts w:hint="default" w:ascii="Times New Roman" w:hAnsi="Times New Roman" w:cs="Times New Roman"/>
              <w:color w:val="auto"/>
              <w:sz w:val="28"/>
              <w:szCs w:val="28"/>
            </w:rPr>
          </w:pPr>
          <w:r>
            <w:rPr>
              <w:rFonts w:hint="default" w:ascii="Times New Roman" w:hAnsi="Times New Roman" w:eastAsia="宋体" w:cs="Times New Roman"/>
              <w:bCs w:val="0"/>
              <w:color w:val="auto"/>
              <w:sz w:val="28"/>
              <w:szCs w:val="28"/>
            </w:rPr>
            <w:fldChar w:fldCharType="begin"/>
          </w:r>
          <w:r>
            <w:rPr>
              <w:rFonts w:hint="default" w:ascii="Times New Roman" w:hAnsi="Times New Roman" w:eastAsia="宋体" w:cs="Times New Roman"/>
              <w:bCs w:val="0"/>
              <w:color w:val="auto"/>
              <w:sz w:val="28"/>
              <w:szCs w:val="28"/>
            </w:rPr>
            <w:instrText xml:space="preserve"> HYPERLINK \l _Toc1391 </w:instrText>
          </w:r>
          <w:r>
            <w:rPr>
              <w:rFonts w:hint="default" w:ascii="Times New Roman" w:hAnsi="Times New Roman" w:eastAsia="宋体" w:cs="Times New Roman"/>
              <w:bCs w:val="0"/>
              <w:color w:val="auto"/>
              <w:sz w:val="28"/>
              <w:szCs w:val="28"/>
            </w:rPr>
            <w:fldChar w:fldCharType="separate"/>
          </w:r>
          <w:r>
            <w:rPr>
              <w:rFonts w:hint="default" w:ascii="Times New Roman" w:hAnsi="Times New Roman" w:cs="Times New Roman"/>
              <w:color w:val="auto"/>
              <w:sz w:val="28"/>
              <w:szCs w:val="28"/>
            </w:rPr>
            <w:t>表六</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项目主要污染物产生及预计排放情况</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_Toc1391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33</w:t>
          </w:r>
          <w:r>
            <w:rPr>
              <w:rFonts w:hint="default" w:ascii="Times New Roman" w:hAnsi="Times New Roman" w:cs="Times New Roman"/>
              <w:color w:val="auto"/>
              <w:sz w:val="28"/>
              <w:szCs w:val="28"/>
            </w:rPr>
            <w:fldChar w:fldCharType="end"/>
          </w:r>
          <w:r>
            <w:rPr>
              <w:rFonts w:hint="default" w:ascii="Times New Roman" w:hAnsi="Times New Roman" w:eastAsia="宋体" w:cs="Times New Roman"/>
              <w:bCs w:val="0"/>
              <w:color w:val="auto"/>
              <w:sz w:val="28"/>
              <w:szCs w:val="28"/>
            </w:rPr>
            <w:fldChar w:fldCharType="end"/>
          </w:r>
        </w:p>
        <w:p>
          <w:pPr>
            <w:tabs>
              <w:tab w:val="right" w:leader="dot" w:pos="8306"/>
            </w:tabs>
            <w:rPr>
              <w:rFonts w:hint="default" w:ascii="Times New Roman" w:hAnsi="Times New Roman" w:cs="Times New Roman"/>
              <w:color w:val="auto"/>
              <w:sz w:val="28"/>
              <w:szCs w:val="28"/>
            </w:rPr>
          </w:pPr>
          <w:r>
            <w:rPr>
              <w:rFonts w:hint="default" w:ascii="Times New Roman" w:hAnsi="Times New Roman" w:eastAsia="宋体" w:cs="Times New Roman"/>
              <w:bCs w:val="0"/>
              <w:color w:val="auto"/>
              <w:sz w:val="28"/>
              <w:szCs w:val="28"/>
            </w:rPr>
            <w:fldChar w:fldCharType="begin"/>
          </w:r>
          <w:r>
            <w:rPr>
              <w:rFonts w:hint="default" w:ascii="Times New Roman" w:hAnsi="Times New Roman" w:eastAsia="宋体" w:cs="Times New Roman"/>
              <w:bCs w:val="0"/>
              <w:color w:val="auto"/>
              <w:sz w:val="28"/>
              <w:szCs w:val="28"/>
            </w:rPr>
            <w:instrText xml:space="preserve"> HYPERLINK \l _Toc20990 </w:instrText>
          </w:r>
          <w:r>
            <w:rPr>
              <w:rFonts w:hint="default" w:ascii="Times New Roman" w:hAnsi="Times New Roman" w:eastAsia="宋体" w:cs="Times New Roman"/>
              <w:bCs w:val="0"/>
              <w:color w:val="auto"/>
              <w:sz w:val="28"/>
              <w:szCs w:val="28"/>
            </w:rPr>
            <w:fldChar w:fldCharType="separate"/>
          </w:r>
          <w:r>
            <w:rPr>
              <w:rFonts w:hint="default" w:ascii="Times New Roman" w:hAnsi="Times New Roman" w:cs="Times New Roman"/>
              <w:color w:val="auto"/>
              <w:sz w:val="28"/>
              <w:szCs w:val="28"/>
            </w:rPr>
            <w:t>表七</w:t>
          </w:r>
          <w:r>
            <w:rPr>
              <w:rFonts w:hint="default" w:ascii="Times New Roman" w:hAnsi="Times New Roman" w:cs="Times New Roman"/>
              <w:color w:val="auto"/>
              <w:sz w:val="28"/>
              <w:szCs w:val="28"/>
              <w:lang w:val="en-US" w:eastAsia="zh-CN"/>
            </w:rPr>
            <w:t xml:space="preserve">  </w:t>
          </w:r>
          <w:r>
            <w:rPr>
              <w:rFonts w:hint="default" w:ascii="Times New Roman" w:hAnsi="Times New Roman" w:cs="Times New Roman"/>
              <w:color w:val="auto"/>
              <w:sz w:val="28"/>
              <w:szCs w:val="28"/>
            </w:rPr>
            <w:t>环境影响分析</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_Toc20990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35</w:t>
          </w:r>
          <w:r>
            <w:rPr>
              <w:rFonts w:hint="default" w:ascii="Times New Roman" w:hAnsi="Times New Roman" w:cs="Times New Roman"/>
              <w:color w:val="auto"/>
              <w:sz w:val="28"/>
              <w:szCs w:val="28"/>
            </w:rPr>
            <w:fldChar w:fldCharType="end"/>
          </w:r>
          <w:r>
            <w:rPr>
              <w:rFonts w:hint="default" w:ascii="Times New Roman" w:hAnsi="Times New Roman" w:eastAsia="宋体" w:cs="Times New Roman"/>
              <w:bCs w:val="0"/>
              <w:color w:val="auto"/>
              <w:sz w:val="28"/>
              <w:szCs w:val="28"/>
            </w:rPr>
            <w:fldChar w:fldCharType="end"/>
          </w:r>
        </w:p>
        <w:p>
          <w:pPr>
            <w:tabs>
              <w:tab w:val="right" w:leader="dot" w:pos="8306"/>
            </w:tabs>
            <w:rPr>
              <w:rFonts w:hint="default" w:ascii="Times New Roman" w:hAnsi="Times New Roman" w:cs="Times New Roman"/>
              <w:color w:val="auto"/>
              <w:sz w:val="28"/>
              <w:szCs w:val="28"/>
            </w:rPr>
          </w:pPr>
          <w:r>
            <w:rPr>
              <w:rFonts w:hint="default" w:ascii="Times New Roman" w:hAnsi="Times New Roman" w:eastAsia="宋体" w:cs="Times New Roman"/>
              <w:bCs w:val="0"/>
              <w:color w:val="auto"/>
              <w:sz w:val="28"/>
              <w:szCs w:val="28"/>
            </w:rPr>
            <w:fldChar w:fldCharType="begin"/>
          </w:r>
          <w:r>
            <w:rPr>
              <w:rFonts w:hint="default" w:ascii="Times New Roman" w:hAnsi="Times New Roman" w:eastAsia="宋体" w:cs="Times New Roman"/>
              <w:bCs w:val="0"/>
              <w:color w:val="auto"/>
              <w:sz w:val="28"/>
              <w:szCs w:val="28"/>
            </w:rPr>
            <w:instrText xml:space="preserve"> HYPERLINK \l _Toc5360 </w:instrText>
          </w:r>
          <w:r>
            <w:rPr>
              <w:rFonts w:hint="default" w:ascii="Times New Roman" w:hAnsi="Times New Roman" w:eastAsia="宋体" w:cs="Times New Roman"/>
              <w:bCs w:val="0"/>
              <w:color w:val="auto"/>
              <w:sz w:val="28"/>
              <w:szCs w:val="28"/>
            </w:rPr>
            <w:fldChar w:fldCharType="separate"/>
          </w:r>
          <w:r>
            <w:rPr>
              <w:rFonts w:hint="default" w:ascii="Times New Roman" w:hAnsi="Times New Roman" w:cs="Times New Roman"/>
              <w:color w:val="auto"/>
              <w:sz w:val="28"/>
              <w:szCs w:val="28"/>
            </w:rPr>
            <w:t>表八  建设项目拟采取的防治措施及预期治理效果</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_Toc5360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56</w:t>
          </w:r>
          <w:r>
            <w:rPr>
              <w:rFonts w:hint="default" w:ascii="Times New Roman" w:hAnsi="Times New Roman" w:cs="Times New Roman"/>
              <w:color w:val="auto"/>
              <w:sz w:val="28"/>
              <w:szCs w:val="28"/>
            </w:rPr>
            <w:fldChar w:fldCharType="end"/>
          </w:r>
          <w:r>
            <w:rPr>
              <w:rFonts w:hint="default" w:ascii="Times New Roman" w:hAnsi="Times New Roman" w:eastAsia="宋体" w:cs="Times New Roman"/>
              <w:bCs w:val="0"/>
              <w:color w:val="auto"/>
              <w:sz w:val="28"/>
              <w:szCs w:val="28"/>
            </w:rPr>
            <w:fldChar w:fldCharType="end"/>
          </w:r>
        </w:p>
        <w:p>
          <w:pPr>
            <w:tabs>
              <w:tab w:val="right" w:leader="dot" w:pos="8306"/>
            </w:tabs>
            <w:rPr>
              <w:rFonts w:hint="default" w:ascii="Times New Roman" w:hAnsi="Times New Roman" w:cs="Times New Roman"/>
              <w:color w:val="auto"/>
              <w:sz w:val="28"/>
              <w:szCs w:val="28"/>
            </w:rPr>
          </w:pPr>
          <w:r>
            <w:rPr>
              <w:rFonts w:hint="default" w:ascii="Times New Roman" w:hAnsi="Times New Roman" w:eastAsia="宋体" w:cs="Times New Roman"/>
              <w:bCs w:val="0"/>
              <w:color w:val="auto"/>
              <w:sz w:val="28"/>
              <w:szCs w:val="28"/>
            </w:rPr>
            <w:fldChar w:fldCharType="begin"/>
          </w:r>
          <w:r>
            <w:rPr>
              <w:rFonts w:hint="default" w:ascii="Times New Roman" w:hAnsi="Times New Roman" w:eastAsia="宋体" w:cs="Times New Roman"/>
              <w:bCs w:val="0"/>
              <w:color w:val="auto"/>
              <w:sz w:val="28"/>
              <w:szCs w:val="28"/>
            </w:rPr>
            <w:instrText xml:space="preserve"> HYPERLINK \l _Toc29039 </w:instrText>
          </w:r>
          <w:r>
            <w:rPr>
              <w:rFonts w:hint="default" w:ascii="Times New Roman" w:hAnsi="Times New Roman" w:eastAsia="宋体" w:cs="Times New Roman"/>
              <w:bCs w:val="0"/>
              <w:color w:val="auto"/>
              <w:sz w:val="28"/>
              <w:szCs w:val="28"/>
            </w:rPr>
            <w:fldChar w:fldCharType="separate"/>
          </w:r>
          <w:r>
            <w:rPr>
              <w:rFonts w:hint="default" w:ascii="Times New Roman" w:hAnsi="Times New Roman" w:cs="Times New Roman"/>
              <w:color w:val="auto"/>
              <w:sz w:val="28"/>
              <w:szCs w:val="28"/>
            </w:rPr>
            <w:t>表九  结论与建议</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PAGEREF _Toc29039 </w:instrText>
          </w:r>
          <w:r>
            <w:rPr>
              <w:rFonts w:hint="default" w:ascii="Times New Roman" w:hAnsi="Times New Roman" w:cs="Times New Roman"/>
              <w:color w:val="auto"/>
              <w:sz w:val="28"/>
              <w:szCs w:val="28"/>
            </w:rPr>
            <w:fldChar w:fldCharType="separate"/>
          </w:r>
          <w:r>
            <w:rPr>
              <w:rFonts w:hint="default" w:ascii="Times New Roman" w:hAnsi="Times New Roman" w:cs="Times New Roman"/>
              <w:color w:val="auto"/>
              <w:sz w:val="28"/>
              <w:szCs w:val="28"/>
            </w:rPr>
            <w:t>58</w:t>
          </w:r>
          <w:r>
            <w:rPr>
              <w:rFonts w:hint="default" w:ascii="Times New Roman" w:hAnsi="Times New Roman" w:cs="Times New Roman"/>
              <w:color w:val="auto"/>
              <w:sz w:val="28"/>
              <w:szCs w:val="28"/>
            </w:rPr>
            <w:fldChar w:fldCharType="end"/>
          </w:r>
          <w:r>
            <w:rPr>
              <w:rFonts w:hint="default" w:ascii="Times New Roman" w:hAnsi="Times New Roman" w:eastAsia="宋体" w:cs="Times New Roman"/>
              <w:bCs w:val="0"/>
              <w:color w:val="auto"/>
              <w:sz w:val="28"/>
              <w:szCs w:val="28"/>
            </w:rPr>
            <w:fldChar w:fldCharType="end"/>
          </w:r>
        </w:p>
        <w:p>
          <w:pPr>
            <w:pStyle w:val="3"/>
            <w:adjustRightInd w:val="0"/>
            <w:snapToGrid w:val="0"/>
            <w:spacing w:before="0" w:after="0" w:line="240" w:lineRule="auto"/>
            <w:outlineLvl w:val="9"/>
            <w:rPr>
              <w:rFonts w:hint="default" w:ascii="Times New Roman" w:hAnsi="Times New Roman" w:eastAsia="宋体" w:cs="Times New Roman"/>
              <w:bCs w:val="0"/>
              <w:color w:val="auto"/>
              <w:sz w:val="30"/>
              <w:szCs w:val="30"/>
            </w:rPr>
            <w:sectPr>
              <w:headerReference r:id="rId3" w:type="default"/>
              <w:footerReference r:id="rId4" w:type="default"/>
              <w:pgSz w:w="11906" w:h="16838"/>
              <w:pgMar w:top="1440" w:right="1800" w:bottom="1440" w:left="1800" w:header="851" w:footer="1361" w:gutter="0"/>
              <w:pgBorders>
                <w:top w:val="none" w:sz="0" w:space="0"/>
                <w:left w:val="none" w:sz="0" w:space="0"/>
                <w:bottom w:val="none" w:sz="0" w:space="0"/>
                <w:right w:val="none" w:sz="0" w:space="0"/>
              </w:pgBorders>
              <w:pgNumType w:fmt="decimal" w:start="1"/>
              <w:cols w:space="720" w:num="1"/>
              <w:docGrid w:type="lines" w:linePitch="312" w:charSpace="0"/>
            </w:sectPr>
          </w:pPr>
          <w:r>
            <w:rPr>
              <w:rFonts w:hint="default" w:ascii="Times New Roman" w:hAnsi="Times New Roman" w:eastAsia="宋体" w:cs="Times New Roman"/>
              <w:bCs w:val="0"/>
              <w:color w:val="auto"/>
              <w:sz w:val="28"/>
              <w:szCs w:val="28"/>
            </w:rPr>
            <w:fldChar w:fldCharType="end"/>
          </w:r>
        </w:p>
      </w:sdtContent>
    </w:sdt>
    <w:p>
      <w:pPr>
        <w:pStyle w:val="3"/>
        <w:adjustRightInd w:val="0"/>
        <w:snapToGrid w:val="0"/>
        <w:spacing w:before="0" w:after="0" w:line="240" w:lineRule="auto"/>
        <w:rPr>
          <w:rFonts w:hint="default" w:ascii="Times New Roman" w:hAnsi="Times New Roman" w:eastAsia="黑体" w:cs="Times New Roman"/>
          <w:bCs w:val="0"/>
          <w:color w:val="auto"/>
          <w:sz w:val="30"/>
          <w:szCs w:val="30"/>
        </w:rPr>
      </w:pPr>
      <w:bookmarkStart w:id="1" w:name="_Toc10399"/>
      <w:r>
        <w:rPr>
          <w:rFonts w:hint="default" w:ascii="Times New Roman" w:hAnsi="Times New Roman" w:eastAsia="宋体" w:cs="Times New Roman"/>
          <w:bCs w:val="0"/>
          <w:color w:val="auto"/>
          <w:sz w:val="30"/>
          <w:szCs w:val="30"/>
        </w:rPr>
        <w:t>表一</w:t>
      </w:r>
      <w:r>
        <w:rPr>
          <w:rFonts w:hint="default" w:ascii="Times New Roman" w:hAnsi="Times New Roman" w:eastAsia="宋体" w:cs="Times New Roman"/>
          <w:bCs w:val="0"/>
          <w:color w:val="auto"/>
          <w:sz w:val="30"/>
          <w:szCs w:val="30"/>
          <w:lang w:val="en-US" w:eastAsia="zh-CN"/>
        </w:rPr>
        <w:t xml:space="preserve">  </w:t>
      </w:r>
      <w:r>
        <w:rPr>
          <w:rFonts w:hint="default" w:ascii="Times New Roman" w:hAnsi="Times New Roman" w:eastAsia="宋体" w:cs="Times New Roman"/>
          <w:bCs w:val="0"/>
          <w:color w:val="auto"/>
          <w:sz w:val="30"/>
          <w:szCs w:val="30"/>
        </w:rPr>
        <w:t>建设项目基本概况</w:t>
      </w:r>
      <w:bookmarkEnd w:id="0"/>
      <w:bookmarkEnd w:id="1"/>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93"/>
        <w:gridCol w:w="1241"/>
        <w:gridCol w:w="660"/>
        <w:gridCol w:w="853"/>
        <w:gridCol w:w="149"/>
        <w:gridCol w:w="1324"/>
        <w:gridCol w:w="449"/>
        <w:gridCol w:w="836"/>
        <w:gridCol w:w="63"/>
        <w:gridCol w:w="11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2" w:hRule="atLeast"/>
          <w:jc w:val="center"/>
        </w:trPr>
        <w:tc>
          <w:tcPr>
            <w:tcW w:w="1793"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项目名称</w:t>
            </w:r>
          </w:p>
        </w:tc>
        <w:tc>
          <w:tcPr>
            <w:tcW w:w="6729" w:type="dxa"/>
            <w:gridSpan w:val="9"/>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lang w:eastAsia="zh-CN"/>
              </w:rPr>
              <w:t>年加工钢结构产品3000吨项目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建设单位</w:t>
            </w:r>
          </w:p>
        </w:tc>
        <w:tc>
          <w:tcPr>
            <w:tcW w:w="6729" w:type="dxa"/>
            <w:gridSpan w:val="9"/>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昆明银华工贸有限公司路桥分公司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法定代表人</w:t>
            </w:r>
          </w:p>
        </w:tc>
        <w:tc>
          <w:tcPr>
            <w:tcW w:w="2903" w:type="dxa"/>
            <w:gridSpan w:val="4"/>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蹇正洪</w:t>
            </w:r>
          </w:p>
        </w:tc>
        <w:tc>
          <w:tcPr>
            <w:tcW w:w="1773" w:type="dxa"/>
            <w:gridSpan w:val="2"/>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联系人</w:t>
            </w:r>
          </w:p>
        </w:tc>
        <w:tc>
          <w:tcPr>
            <w:tcW w:w="2053" w:type="dxa"/>
            <w:gridSpan w:val="3"/>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蹇正洪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通讯地址</w:t>
            </w:r>
          </w:p>
        </w:tc>
        <w:tc>
          <w:tcPr>
            <w:tcW w:w="6729" w:type="dxa"/>
            <w:gridSpan w:val="9"/>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lang w:eastAsia="zh-CN"/>
              </w:rPr>
              <w:t>富民工业园区大营建材工业园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联系电话</w:t>
            </w:r>
          </w:p>
        </w:tc>
        <w:tc>
          <w:tcPr>
            <w:tcW w:w="1901" w:type="dxa"/>
            <w:gridSpan w:val="2"/>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13668082596</w:t>
            </w:r>
          </w:p>
        </w:tc>
        <w:tc>
          <w:tcPr>
            <w:tcW w:w="1002" w:type="dxa"/>
            <w:gridSpan w:val="2"/>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传真</w:t>
            </w:r>
          </w:p>
        </w:tc>
        <w:tc>
          <w:tcPr>
            <w:tcW w:w="1773" w:type="dxa"/>
            <w:gridSpan w:val="2"/>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w:t>
            </w:r>
          </w:p>
        </w:tc>
        <w:tc>
          <w:tcPr>
            <w:tcW w:w="836"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邮编</w:t>
            </w:r>
          </w:p>
        </w:tc>
        <w:tc>
          <w:tcPr>
            <w:tcW w:w="1217" w:type="dxa"/>
            <w:gridSpan w:val="2"/>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655200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建设地点</w:t>
            </w:r>
          </w:p>
        </w:tc>
        <w:tc>
          <w:tcPr>
            <w:tcW w:w="6729" w:type="dxa"/>
            <w:gridSpan w:val="9"/>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富民县工业园区大营建材工业园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atLeast"/>
          <w:jc w:val="center"/>
        </w:trPr>
        <w:tc>
          <w:tcPr>
            <w:tcW w:w="1793"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立项审批部门</w:t>
            </w:r>
          </w:p>
        </w:tc>
        <w:tc>
          <w:tcPr>
            <w:tcW w:w="2754" w:type="dxa"/>
            <w:gridSpan w:val="3"/>
            <w:noWrap w:val="0"/>
            <w:vAlign w:val="center"/>
          </w:tcPr>
          <w:p>
            <w:pPr>
              <w:pStyle w:val="18"/>
              <w:bidi w:val="0"/>
              <w:rPr>
                <w:rFonts w:hint="default" w:ascii="Times New Roman" w:hAnsi="Times New Roman" w:cs="Times New Roman"/>
                <w:color w:val="auto"/>
                <w:lang w:eastAsia="zh-CN"/>
              </w:rPr>
            </w:pPr>
          </w:p>
        </w:tc>
        <w:tc>
          <w:tcPr>
            <w:tcW w:w="1473" w:type="dxa"/>
            <w:gridSpan w:val="2"/>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批准文号</w:t>
            </w:r>
          </w:p>
        </w:tc>
        <w:tc>
          <w:tcPr>
            <w:tcW w:w="2502" w:type="dxa"/>
            <w:gridSpan w:val="4"/>
            <w:noWrap w:val="0"/>
            <w:vAlign w:val="center"/>
          </w:tcPr>
          <w:p>
            <w:pPr>
              <w:pStyle w:val="18"/>
              <w:bidi w:val="0"/>
              <w:rPr>
                <w:rFonts w:hint="default" w:ascii="Times New Roman" w:hAnsi="Times New Roman" w:cs="Times New Roman"/>
                <w:color w:val="auto"/>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建设性质</w:t>
            </w:r>
          </w:p>
        </w:tc>
        <w:tc>
          <w:tcPr>
            <w:tcW w:w="2754" w:type="dxa"/>
            <w:gridSpan w:val="3"/>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新建</w:t>
            </w:r>
          </w:p>
        </w:tc>
        <w:tc>
          <w:tcPr>
            <w:tcW w:w="1473" w:type="dxa"/>
            <w:gridSpan w:val="2"/>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行业类别及代码</w:t>
            </w:r>
          </w:p>
        </w:tc>
        <w:tc>
          <w:tcPr>
            <w:tcW w:w="2502" w:type="dxa"/>
            <w:gridSpan w:val="4"/>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rPr>
              <w:t>[C3</w:t>
            </w:r>
            <w:r>
              <w:rPr>
                <w:rFonts w:hint="default" w:ascii="Times New Roman" w:hAnsi="Times New Roman" w:cs="Times New Roman"/>
                <w:color w:val="auto"/>
                <w:lang w:val="en-US" w:eastAsia="zh-CN"/>
              </w:rPr>
              <w:t>3</w:t>
            </w:r>
            <w:r>
              <w:rPr>
                <w:rFonts w:hint="default" w:ascii="Times New Roman" w:hAnsi="Times New Roman" w:cs="Times New Roman"/>
                <w:color w:val="auto"/>
              </w:rPr>
              <w:t>11]金属结构制造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93"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占地面积（m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2754" w:type="dxa"/>
            <w:gridSpan w:val="3"/>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4100</w:t>
            </w:r>
          </w:p>
        </w:tc>
        <w:tc>
          <w:tcPr>
            <w:tcW w:w="1473" w:type="dxa"/>
            <w:gridSpan w:val="2"/>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绿化面（m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2502" w:type="dxa"/>
            <w:gridSpan w:val="4"/>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9" w:hRule="atLeast"/>
          <w:jc w:val="center"/>
        </w:trPr>
        <w:tc>
          <w:tcPr>
            <w:tcW w:w="1793"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总投资（万元）</w:t>
            </w:r>
          </w:p>
        </w:tc>
        <w:tc>
          <w:tcPr>
            <w:tcW w:w="1241" w:type="dxa"/>
            <w:tcBorders>
              <w:right w:val="single" w:color="auto" w:sz="4" w:space="0"/>
            </w:tcBorders>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1000</w:t>
            </w:r>
          </w:p>
        </w:tc>
        <w:tc>
          <w:tcPr>
            <w:tcW w:w="1513" w:type="dxa"/>
            <w:gridSpan w:val="2"/>
            <w:tcBorders>
              <w:left w:val="single" w:color="auto" w:sz="4" w:space="0"/>
            </w:tcBorders>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其中：环保投资（万元）</w:t>
            </w:r>
          </w:p>
        </w:tc>
        <w:tc>
          <w:tcPr>
            <w:tcW w:w="1473" w:type="dxa"/>
            <w:gridSpan w:val="2"/>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14</w:t>
            </w:r>
          </w:p>
        </w:tc>
        <w:tc>
          <w:tcPr>
            <w:tcW w:w="1348" w:type="dxa"/>
            <w:gridSpan w:val="3"/>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环保投资比例</w:t>
            </w:r>
          </w:p>
        </w:tc>
        <w:tc>
          <w:tcPr>
            <w:tcW w:w="1154"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793"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评价经费</w:t>
            </w:r>
          </w:p>
          <w:p>
            <w:pPr>
              <w:pStyle w:val="18"/>
              <w:bidi w:val="0"/>
              <w:rPr>
                <w:rFonts w:hint="default" w:ascii="Times New Roman" w:hAnsi="Times New Roman" w:cs="Times New Roman"/>
                <w:color w:val="auto"/>
              </w:rPr>
            </w:pPr>
            <w:r>
              <w:rPr>
                <w:rFonts w:hint="default" w:ascii="Times New Roman" w:hAnsi="Times New Roman" w:cs="Times New Roman"/>
                <w:color w:val="auto"/>
              </w:rPr>
              <w:t>（万元）</w:t>
            </w:r>
          </w:p>
        </w:tc>
        <w:tc>
          <w:tcPr>
            <w:tcW w:w="1241" w:type="dxa"/>
            <w:tcBorders>
              <w:right w:val="single" w:color="auto" w:sz="4" w:space="0"/>
            </w:tcBorders>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w:t>
            </w:r>
          </w:p>
        </w:tc>
        <w:tc>
          <w:tcPr>
            <w:tcW w:w="2986" w:type="dxa"/>
            <w:gridSpan w:val="4"/>
            <w:tcBorders>
              <w:left w:val="single" w:color="auto" w:sz="4" w:space="0"/>
            </w:tcBorders>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预期投产日期</w:t>
            </w:r>
          </w:p>
        </w:tc>
        <w:tc>
          <w:tcPr>
            <w:tcW w:w="2502" w:type="dxa"/>
            <w:gridSpan w:val="4"/>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2020年3月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jc w:val="center"/>
        </w:trPr>
        <w:tc>
          <w:tcPr>
            <w:tcW w:w="8522" w:type="dxa"/>
            <w:gridSpan w:val="10"/>
            <w:noWrap w:val="0"/>
            <w:vAlign w:val="center"/>
          </w:tcPr>
          <w:p>
            <w:pPr>
              <w:spacing w:line="360" w:lineRule="auto"/>
              <w:ind w:left="0" w:leftChars="0" w:firstLine="0" w:firstLineChars="0"/>
              <w:rPr>
                <w:rFonts w:hint="default" w:ascii="Times New Roman" w:hAnsi="Times New Roman" w:cs="Times New Roman"/>
                <w:color w:val="auto"/>
              </w:rPr>
            </w:pPr>
            <w:r>
              <w:rPr>
                <w:rFonts w:hint="default" w:ascii="Times New Roman" w:hAnsi="Times New Roman" w:cs="Times New Roman"/>
                <w:color w:val="auto"/>
              </w:rPr>
              <w:t>工程内容及规模：</w:t>
            </w:r>
          </w:p>
          <w:p>
            <w:pPr>
              <w:spacing w:line="360" w:lineRule="auto"/>
              <w:ind w:left="0" w:leftChars="0" w:firstLine="0" w:firstLineChars="0"/>
              <w:rPr>
                <w:rFonts w:hint="default" w:ascii="Times New Roman" w:hAnsi="Times New Roman" w:cs="Times New Roman"/>
                <w:color w:val="auto"/>
              </w:rPr>
            </w:pPr>
            <w:r>
              <w:rPr>
                <w:rFonts w:hint="default" w:ascii="Times New Roman" w:hAnsi="Times New Roman" w:cs="Times New Roman"/>
                <w:color w:val="auto"/>
              </w:rPr>
              <w:t>一、项目由来</w:t>
            </w:r>
          </w:p>
          <w:p>
            <w:pPr>
              <w:spacing w:line="480" w:lineRule="exact"/>
              <w:ind w:firstLine="480" w:firstLineChars="200"/>
              <w:rPr>
                <w:rFonts w:hint="default" w:ascii="Times New Roman" w:hAnsi="Times New Roman" w:cs="Times New Roman"/>
                <w:color w:val="auto"/>
                <w:lang w:eastAsia="zh-CN"/>
              </w:rPr>
            </w:pPr>
            <w:r>
              <w:rPr>
                <w:rFonts w:hint="default" w:ascii="Times New Roman" w:hAnsi="Times New Roman" w:cs="Times New Roman"/>
                <w:color w:val="auto"/>
                <w:lang w:eastAsia="zh-CN"/>
              </w:rPr>
              <w:t>昆明银华工贸有限公司路桥分公司位于云南省昆明市富民工业园区大营建材工业园，公司成立于2019年</w:t>
            </w:r>
            <w:r>
              <w:rPr>
                <w:rFonts w:hint="default" w:ascii="Times New Roman" w:hAnsi="Times New Roman" w:cs="Times New Roman"/>
                <w:color w:val="auto"/>
                <w:lang w:val="en-US" w:eastAsia="zh-CN"/>
              </w:rPr>
              <w:t>10</w:t>
            </w:r>
            <w:r>
              <w:rPr>
                <w:rFonts w:hint="default" w:ascii="Times New Roman" w:hAnsi="Times New Roman" w:cs="Times New Roman"/>
                <w:color w:val="auto"/>
                <w:lang w:eastAsia="zh-CN"/>
              </w:rPr>
              <w:t>月，拥有国内先进的钢结构制作、加工技术。近年来因钢构结构具有节能、环保可回收利用的优点，目前在住宅、工业厂房、桥梁制造等领域得到广泛应用，工业、民用、市政建设以及现代超高建筑、摩天大楼均已应用钢结构工艺逐步取代传统砖混结构，钢结构市场正处于一个蓬勃发展阶段，各地区存在很大的需求量。为适应市场需求，昆明银华工贸有限公司路桥分公司在富民工业园区大营建材工业园投资</w:t>
            </w:r>
            <w:r>
              <w:rPr>
                <w:rFonts w:hint="default" w:ascii="Times New Roman" w:hAnsi="Times New Roman" w:cs="Times New Roman"/>
                <w:color w:val="auto"/>
                <w:lang w:val="en-US" w:eastAsia="zh-CN"/>
              </w:rPr>
              <w:t>1000</w:t>
            </w:r>
            <w:r>
              <w:rPr>
                <w:rFonts w:hint="default" w:ascii="Times New Roman" w:hAnsi="Times New Roman" w:cs="Times New Roman"/>
                <w:color w:val="auto"/>
                <w:lang w:eastAsia="zh-CN"/>
              </w:rPr>
              <w:t>万元，</w:t>
            </w:r>
            <w:r>
              <w:rPr>
                <w:rFonts w:hint="default" w:ascii="Times New Roman" w:hAnsi="Times New Roman" w:cs="Times New Roman"/>
                <w:color w:val="auto"/>
              </w:rPr>
              <w:t>公司租用</w:t>
            </w:r>
            <w:r>
              <w:rPr>
                <w:rFonts w:hint="default" w:ascii="Times New Roman" w:hAnsi="Times New Roman" w:cs="Times New Roman"/>
                <w:color w:val="auto"/>
                <w:lang w:eastAsia="zh-CN"/>
              </w:rPr>
              <w:t>云南皇派实业有限公司富民分公司标准厂房</w:t>
            </w:r>
            <w:r>
              <w:rPr>
                <w:rFonts w:hint="default" w:ascii="Times New Roman" w:hAnsi="Times New Roman" w:cs="Times New Roman"/>
                <w:color w:val="auto"/>
                <w:lang w:val="en-US" w:eastAsia="zh-CN"/>
              </w:rPr>
              <w:t>2600m</w:t>
            </w:r>
            <w:r>
              <w:rPr>
                <w:rFonts w:hint="default" w:ascii="Times New Roman" w:hAnsi="Times New Roman" w:cs="Times New Roman"/>
                <w:color w:val="auto"/>
                <w:vertAlign w:val="superscript"/>
                <w:lang w:val="en-US" w:eastAsia="zh-CN"/>
              </w:rPr>
              <w:t>2</w:t>
            </w:r>
            <w:r>
              <w:rPr>
                <w:rFonts w:hint="default" w:ascii="Times New Roman" w:hAnsi="Times New Roman" w:cs="Times New Roman"/>
                <w:color w:val="auto"/>
                <w:lang w:val="en-US" w:eastAsia="zh-CN"/>
              </w:rPr>
              <w:t>及云南富邦制冷设备有限公司标准厂房1500m</w:t>
            </w:r>
            <w:r>
              <w:rPr>
                <w:rFonts w:hint="default" w:ascii="Times New Roman" w:hAnsi="Times New Roman" w:cs="Times New Roman"/>
                <w:color w:val="auto"/>
                <w:vertAlign w:val="superscript"/>
                <w:lang w:val="en-US" w:eastAsia="zh-CN"/>
              </w:rPr>
              <w:t>2</w:t>
            </w:r>
            <w:r>
              <w:rPr>
                <w:rFonts w:hint="default" w:ascii="Times New Roman" w:hAnsi="Times New Roman" w:cs="Times New Roman"/>
                <w:color w:val="auto"/>
                <w:lang w:eastAsia="zh-CN"/>
              </w:rPr>
              <w:t>作为生产厂房，建成后将实现年产</w:t>
            </w:r>
            <w:r>
              <w:rPr>
                <w:rFonts w:hint="default" w:ascii="Times New Roman" w:hAnsi="Times New Roman" w:cs="Times New Roman"/>
                <w:color w:val="auto"/>
                <w:lang w:val="en-US" w:eastAsia="zh-CN"/>
              </w:rPr>
              <w:t>3000</w:t>
            </w:r>
            <w:r>
              <w:rPr>
                <w:rFonts w:hint="default" w:ascii="Times New Roman" w:hAnsi="Times New Roman" w:cs="Times New Roman"/>
                <w:color w:val="auto"/>
                <w:lang w:eastAsia="zh-CN"/>
              </w:rPr>
              <w:t xml:space="preserve">吨重型钢结构的生产能力，主要供应工业厂房、桥梁制造、大型场馆等的建设。 </w:t>
            </w:r>
          </w:p>
          <w:p>
            <w:pPr>
              <w:spacing w:line="480" w:lineRule="exact"/>
              <w:ind w:firstLine="480" w:firstLineChars="200"/>
              <w:rPr>
                <w:rFonts w:hint="default" w:ascii="Times New Roman" w:hAnsi="Times New Roman" w:cs="Times New Roman"/>
                <w:color w:val="auto"/>
                <w:lang w:eastAsia="zh-CN"/>
              </w:rPr>
            </w:pPr>
            <w:r>
              <w:rPr>
                <w:rFonts w:hint="default" w:ascii="Times New Roman" w:hAnsi="Times New Roman" w:cs="Times New Roman"/>
                <w:color w:val="auto"/>
                <w:lang w:eastAsia="zh-CN"/>
              </w:rPr>
              <w:t>根据《中华人民共和国环境保护法》、《建设项目环境保护管理条例》，建设过程中或者建成投产后可能对环境产生影响的新建、扩建、改建、迁建、技术改造项目及区域开发建设项目，需进行环境影响评价。根据《建设项目环境影响评价分类管理名录》，本项目属于“二十二、金属制品业 67、金属制品加工制造中“其他（仅切割组装除外）”，建设项目不涉及电镀工艺且使用水性涂料，应该编制环境影响报告表。昆明银华工贸有限公司路桥分公司委托我公司开展该项目环境影响评价工作。我公司接受委托后，环评工作组进行了实地踏勘和资料收集，在工程分析的基础上，编制完成了《年加工钢结构产品3000吨项目环境影响评价报告表》。</w:t>
            </w:r>
          </w:p>
          <w:p>
            <w:pPr>
              <w:spacing w:line="360" w:lineRule="auto"/>
              <w:ind w:left="0" w:leftChars="0" w:firstLine="0" w:firstLineChars="0"/>
              <w:rPr>
                <w:rFonts w:hint="default" w:ascii="Times New Roman" w:hAnsi="Times New Roman" w:cs="Times New Roman"/>
                <w:color w:val="auto"/>
              </w:rPr>
            </w:pPr>
            <w:r>
              <w:rPr>
                <w:rFonts w:hint="default" w:ascii="Times New Roman" w:hAnsi="Times New Roman" w:cs="Times New Roman"/>
                <w:color w:val="auto"/>
                <w:lang w:eastAsia="zh-CN"/>
              </w:rPr>
              <w:t>二、项目概况</w:t>
            </w:r>
          </w:p>
          <w:p>
            <w:pPr>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rPr>
              <w:t>项目名称：</w:t>
            </w:r>
            <w:r>
              <w:rPr>
                <w:rFonts w:hint="default" w:ascii="Times New Roman" w:hAnsi="Times New Roman" w:cs="Times New Roman"/>
                <w:color w:val="auto"/>
                <w:lang w:eastAsia="zh-CN"/>
              </w:rPr>
              <w:t>年加工钢结构产品3000吨项目</w:t>
            </w:r>
          </w:p>
          <w:p>
            <w:pPr>
              <w:spacing w:line="360" w:lineRule="auto"/>
              <w:ind w:firstLine="480" w:firstLineChars="200"/>
              <w:rPr>
                <w:rFonts w:hint="default" w:ascii="Times New Roman" w:hAnsi="Times New Roman" w:cs="Times New Roman"/>
                <w:color w:val="auto"/>
                <w:lang w:eastAsia="zh-CN"/>
              </w:rPr>
            </w:pPr>
            <w:r>
              <w:rPr>
                <w:rFonts w:hint="default" w:ascii="Times New Roman" w:hAnsi="Times New Roman" w:cs="Times New Roman"/>
                <w:color w:val="auto"/>
              </w:rPr>
              <w:t>建设单位：</w:t>
            </w:r>
            <w:r>
              <w:rPr>
                <w:rFonts w:hint="default" w:ascii="Times New Roman" w:hAnsi="Times New Roman" w:cs="Times New Roman"/>
                <w:color w:val="auto"/>
                <w:lang w:eastAsia="zh-CN"/>
              </w:rPr>
              <w:t>昆明银华工贸有限公司路桥分公司</w:t>
            </w:r>
          </w:p>
          <w:p>
            <w:pPr>
              <w:numPr>
                <w:ilvl w:val="0"/>
                <w:numId w:val="0"/>
              </w:numPr>
              <w:spacing w:line="360" w:lineRule="auto"/>
              <w:ind w:firstLine="480"/>
              <w:rPr>
                <w:rFonts w:hint="default" w:ascii="Times New Roman" w:hAnsi="Times New Roman" w:cs="Times New Roman"/>
                <w:color w:val="auto"/>
                <w:lang w:val="en-US" w:eastAsia="zh-CN"/>
              </w:rPr>
            </w:pPr>
            <w:r>
              <w:rPr>
                <w:rFonts w:hint="default" w:ascii="Times New Roman" w:hAnsi="Times New Roman" w:cs="Times New Roman"/>
                <w:color w:val="auto"/>
              </w:rPr>
              <w:t>建设地点：</w:t>
            </w:r>
            <w:r>
              <w:rPr>
                <w:rFonts w:hint="default" w:ascii="Times New Roman" w:hAnsi="Times New Roman" w:cs="Times New Roman"/>
                <w:color w:val="auto"/>
                <w:lang w:eastAsia="zh-CN"/>
              </w:rPr>
              <w:t>富民工业园区大营建材工业园</w:t>
            </w:r>
          </w:p>
          <w:p>
            <w:pPr>
              <w:numPr>
                <w:ilvl w:val="0"/>
                <w:numId w:val="0"/>
              </w:numPr>
              <w:spacing w:line="360" w:lineRule="auto"/>
              <w:ind w:firstLine="480" w:firstLineChars="200"/>
              <w:rPr>
                <w:rFonts w:hint="default" w:ascii="Times New Roman" w:hAnsi="Times New Roman" w:cs="Times New Roman"/>
                <w:color w:val="auto"/>
                <w:lang w:eastAsia="zh-CN"/>
              </w:rPr>
            </w:pPr>
            <w:r>
              <w:rPr>
                <w:rFonts w:hint="default" w:ascii="Times New Roman" w:hAnsi="Times New Roman" w:cs="Times New Roman"/>
                <w:color w:val="auto"/>
              </w:rPr>
              <w:t>建设性质：</w:t>
            </w:r>
            <w:r>
              <w:rPr>
                <w:rFonts w:hint="default" w:ascii="Times New Roman" w:hAnsi="Times New Roman" w:cs="Times New Roman"/>
                <w:color w:val="auto"/>
                <w:lang w:eastAsia="zh-CN"/>
              </w:rPr>
              <w:t>新建</w:t>
            </w:r>
          </w:p>
          <w:p>
            <w:pPr>
              <w:numPr>
                <w:ilvl w:val="0"/>
                <w:numId w:val="0"/>
              </w:numPr>
              <w:spacing w:line="360" w:lineRule="auto"/>
              <w:ind w:firstLine="48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投资金额：1000万元</w:t>
            </w:r>
          </w:p>
          <w:p>
            <w:pPr>
              <w:tabs>
                <w:tab w:val="left" w:pos="439"/>
              </w:tabs>
              <w:spacing w:line="360" w:lineRule="auto"/>
              <w:ind w:left="0" w:leftChars="0"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三、</w:t>
            </w:r>
            <w:r>
              <w:rPr>
                <w:rFonts w:hint="default" w:ascii="Times New Roman" w:hAnsi="Times New Roman" w:cs="Times New Roman"/>
                <w:color w:val="auto"/>
              </w:rPr>
              <w:t>建设内容及规模</w:t>
            </w:r>
          </w:p>
          <w:p>
            <w:pPr>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lang w:val="en-US" w:eastAsia="zh-CN"/>
              </w:rPr>
              <w:t>项目租用</w:t>
            </w:r>
            <w:r>
              <w:rPr>
                <w:rFonts w:hint="default" w:ascii="Times New Roman" w:hAnsi="Times New Roman" w:cs="Times New Roman"/>
                <w:color w:val="auto"/>
                <w:lang w:eastAsia="zh-CN"/>
              </w:rPr>
              <w:t>云南皇派实业有限公司富民分公司标准厂房</w:t>
            </w:r>
            <w:r>
              <w:rPr>
                <w:rFonts w:hint="default" w:ascii="Times New Roman" w:hAnsi="Times New Roman" w:cs="Times New Roman"/>
                <w:color w:val="auto"/>
                <w:lang w:val="en-US" w:eastAsia="zh-CN"/>
              </w:rPr>
              <w:t>2600m</w:t>
            </w:r>
            <w:r>
              <w:rPr>
                <w:rFonts w:hint="default" w:ascii="Times New Roman" w:hAnsi="Times New Roman" w:cs="Times New Roman"/>
                <w:color w:val="auto"/>
                <w:vertAlign w:val="superscript"/>
                <w:lang w:val="en-US" w:eastAsia="zh-CN"/>
              </w:rPr>
              <w:t>2</w:t>
            </w:r>
            <w:r>
              <w:rPr>
                <w:rFonts w:hint="default" w:ascii="Times New Roman" w:hAnsi="Times New Roman" w:cs="Times New Roman"/>
                <w:color w:val="auto"/>
                <w:lang w:val="en-US" w:eastAsia="zh-CN"/>
              </w:rPr>
              <w:t>及云南富邦制冷设备有限公司标准厂房1500m</w:t>
            </w:r>
            <w:r>
              <w:rPr>
                <w:rFonts w:hint="default" w:ascii="Times New Roman" w:hAnsi="Times New Roman" w:cs="Times New Roman"/>
                <w:color w:val="auto"/>
                <w:vertAlign w:val="superscript"/>
                <w:lang w:val="en-US" w:eastAsia="zh-CN"/>
              </w:rPr>
              <w:t>2</w:t>
            </w:r>
            <w:r>
              <w:rPr>
                <w:rFonts w:hint="default" w:ascii="Times New Roman" w:hAnsi="Times New Roman" w:cs="Times New Roman"/>
                <w:color w:val="auto"/>
                <w:lang w:val="en-US" w:eastAsia="zh-CN"/>
              </w:rPr>
              <w:t>，购置安装年产3000吨钢结构生产线一条。</w:t>
            </w:r>
            <w:bookmarkStart w:id="2" w:name="_Toc394998924"/>
            <w:r>
              <w:rPr>
                <w:rFonts w:hint="default" w:ascii="Times New Roman" w:hAnsi="Times New Roman" w:cs="Times New Roman"/>
                <w:color w:val="auto"/>
                <w:lang w:eastAsia="zh-CN"/>
              </w:rPr>
              <w:t>云南皇派实业有限公司富民分公司</w:t>
            </w:r>
            <w:r>
              <w:rPr>
                <w:rFonts w:hint="default" w:ascii="Times New Roman" w:hAnsi="Times New Roman" w:cs="Times New Roman"/>
                <w:color w:val="auto"/>
              </w:rPr>
              <w:t>已办理了相关环保手续，并获得环保局批复文件（富环保复【2014】19号）。</w:t>
            </w:r>
          </w:p>
          <w:p>
            <w:pPr>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rPr>
              <w:t>项目</w:t>
            </w:r>
            <w:r>
              <w:rPr>
                <w:rFonts w:hint="default" w:ascii="Times New Roman" w:hAnsi="Times New Roman" w:cs="Times New Roman"/>
                <w:color w:val="auto"/>
                <w:lang w:eastAsia="zh-CN"/>
              </w:rPr>
              <w:t>云南皇派实业有限公司富民分公司标准厂房</w:t>
            </w:r>
            <w:r>
              <w:rPr>
                <w:rFonts w:hint="default" w:ascii="Times New Roman" w:hAnsi="Times New Roman" w:cs="Times New Roman"/>
                <w:color w:val="auto"/>
                <w:lang w:val="en-US" w:eastAsia="zh-CN"/>
              </w:rPr>
              <w:t>2600m</w:t>
            </w:r>
            <w:r>
              <w:rPr>
                <w:rFonts w:hint="default" w:ascii="Times New Roman" w:hAnsi="Times New Roman" w:cs="Times New Roman"/>
                <w:color w:val="auto"/>
                <w:vertAlign w:val="superscript"/>
                <w:lang w:val="en-US" w:eastAsia="zh-CN"/>
              </w:rPr>
              <w:t>2</w:t>
            </w:r>
            <w:r>
              <w:rPr>
                <w:rFonts w:hint="default" w:ascii="Times New Roman" w:hAnsi="Times New Roman" w:cs="Times New Roman"/>
                <w:color w:val="auto"/>
                <w:lang w:val="en-US" w:eastAsia="zh-CN"/>
              </w:rPr>
              <w:t>及云南富邦制冷设备有限公司标准厂房1500m</w:t>
            </w:r>
            <w:r>
              <w:rPr>
                <w:rFonts w:hint="default" w:ascii="Times New Roman" w:hAnsi="Times New Roman" w:cs="Times New Roman"/>
                <w:color w:val="auto"/>
                <w:vertAlign w:val="superscript"/>
                <w:lang w:val="en-US" w:eastAsia="zh-CN"/>
              </w:rPr>
              <w:t>2</w:t>
            </w:r>
            <w:r>
              <w:rPr>
                <w:rFonts w:hint="default" w:ascii="Times New Roman" w:hAnsi="Times New Roman" w:cs="Times New Roman"/>
                <w:color w:val="auto"/>
                <w:lang w:val="en-US" w:eastAsia="zh-CN"/>
              </w:rPr>
              <w:t>，共4100m</w:t>
            </w:r>
            <w:r>
              <w:rPr>
                <w:rFonts w:hint="default" w:ascii="Times New Roman" w:hAnsi="Times New Roman" w:cs="Times New Roman"/>
                <w:color w:val="auto"/>
                <w:vertAlign w:val="superscript"/>
                <w:lang w:val="en-US" w:eastAsia="zh-CN"/>
              </w:rPr>
              <w:t>2</w:t>
            </w:r>
            <w:r>
              <w:rPr>
                <w:rFonts w:hint="default" w:ascii="Times New Roman" w:hAnsi="Times New Roman" w:cs="Times New Roman"/>
                <w:color w:val="auto"/>
                <w:lang w:eastAsia="zh-CN"/>
              </w:rPr>
              <w:t>标准厂房</w:t>
            </w:r>
            <w:r>
              <w:rPr>
                <w:rFonts w:hint="default" w:ascii="Times New Roman" w:hAnsi="Times New Roman" w:cs="Times New Roman"/>
                <w:color w:val="auto"/>
              </w:rPr>
              <w:t>作为本工程</w:t>
            </w:r>
            <w:r>
              <w:rPr>
                <w:rFonts w:hint="default" w:ascii="Times New Roman" w:hAnsi="Times New Roman" w:cs="Times New Roman"/>
                <w:color w:val="auto"/>
                <w:lang w:eastAsia="zh-CN"/>
              </w:rPr>
              <w:t>生产</w:t>
            </w:r>
            <w:r>
              <w:rPr>
                <w:rFonts w:hint="default" w:ascii="Times New Roman" w:hAnsi="Times New Roman" w:cs="Times New Roman"/>
                <w:color w:val="auto"/>
              </w:rPr>
              <w:t>用</w:t>
            </w:r>
            <w:r>
              <w:rPr>
                <w:rFonts w:hint="default" w:ascii="Times New Roman" w:hAnsi="Times New Roman" w:cs="Times New Roman"/>
                <w:color w:val="auto"/>
                <w:lang w:eastAsia="zh-CN"/>
              </w:rPr>
              <w:t>房，本项目不在项目区食宿</w:t>
            </w:r>
            <w:r>
              <w:rPr>
                <w:rFonts w:hint="default" w:ascii="Times New Roman" w:hAnsi="Times New Roman" w:cs="Times New Roman"/>
                <w:color w:val="auto"/>
              </w:rPr>
              <w:t>），项目所涉及工程内容全部使用云南皇派实业有限公司已建成建筑，不新建任何建（构）筑物。</w:t>
            </w:r>
          </w:p>
          <w:p>
            <w:pPr>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rPr>
              <w:t>项目运营后共设置员工</w:t>
            </w:r>
            <w:r>
              <w:rPr>
                <w:rFonts w:hint="default" w:ascii="Times New Roman" w:hAnsi="Times New Roman" w:cs="Times New Roman"/>
                <w:color w:val="auto"/>
                <w:lang w:val="en-US" w:eastAsia="zh-CN"/>
              </w:rPr>
              <w:t>20</w:t>
            </w:r>
            <w:r>
              <w:rPr>
                <w:rFonts w:hint="default" w:ascii="Times New Roman" w:hAnsi="Times New Roman" w:cs="Times New Roman"/>
                <w:color w:val="auto"/>
              </w:rPr>
              <w:t>人。供电、供水依托富民工业园区电网及供水系统。项目工程组成见表1-1所示。</w:t>
            </w:r>
          </w:p>
          <w:p>
            <w:pPr>
              <w:pStyle w:val="19"/>
              <w:bidi w:val="0"/>
              <w:rPr>
                <w:rFonts w:hint="default" w:ascii="Times New Roman" w:hAnsi="Times New Roman" w:cs="Times New Roman"/>
                <w:color w:val="auto"/>
              </w:rPr>
            </w:pPr>
            <w:r>
              <w:rPr>
                <w:rFonts w:hint="default" w:ascii="Times New Roman" w:hAnsi="Times New Roman" w:cs="Times New Roman"/>
                <w:color w:val="auto"/>
              </w:rPr>
              <w:t>表1-1  项目工程组成一览表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762"/>
              <w:gridCol w:w="476"/>
              <w:gridCol w:w="875"/>
              <w:gridCol w:w="3470"/>
              <w:gridCol w:w="2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8" w:type="dxa"/>
                  <w:noWrap w:val="0"/>
                  <w:vAlign w:val="center"/>
                </w:tcPr>
                <w:p>
                  <w:pPr>
                    <w:pStyle w:val="18"/>
                    <w:bidi w:val="0"/>
                    <w:spacing w:line="240" w:lineRule="auto"/>
                    <w:rPr>
                      <w:rFonts w:hint="default" w:ascii="Times New Roman" w:hAnsi="Times New Roman" w:cs="Times New Roman"/>
                      <w:b/>
                      <w:bCs/>
                      <w:color w:val="auto"/>
                    </w:rPr>
                  </w:pPr>
                  <w:r>
                    <w:rPr>
                      <w:rFonts w:hint="default" w:ascii="Times New Roman" w:hAnsi="Times New Roman" w:cs="Times New Roman"/>
                      <w:b/>
                      <w:bCs/>
                      <w:color w:val="auto"/>
                    </w:rPr>
                    <w:t>工程</w:t>
                  </w:r>
                </w:p>
                <w:p>
                  <w:pPr>
                    <w:pStyle w:val="18"/>
                    <w:bidi w:val="0"/>
                    <w:spacing w:line="240" w:lineRule="auto"/>
                    <w:rPr>
                      <w:rFonts w:hint="default" w:ascii="Times New Roman" w:hAnsi="Times New Roman" w:cs="Times New Roman"/>
                      <w:b/>
                      <w:bCs/>
                      <w:color w:val="auto"/>
                    </w:rPr>
                  </w:pPr>
                  <w:r>
                    <w:rPr>
                      <w:rFonts w:hint="default" w:ascii="Times New Roman" w:hAnsi="Times New Roman" w:cs="Times New Roman"/>
                      <w:b/>
                      <w:bCs/>
                      <w:color w:val="auto"/>
                    </w:rPr>
                    <w:t>类别</w:t>
                  </w:r>
                </w:p>
              </w:tc>
              <w:tc>
                <w:tcPr>
                  <w:tcW w:w="2113" w:type="dxa"/>
                  <w:gridSpan w:val="3"/>
                  <w:noWrap w:val="0"/>
                  <w:vAlign w:val="center"/>
                </w:tcPr>
                <w:p>
                  <w:pPr>
                    <w:pStyle w:val="18"/>
                    <w:bidi w:val="0"/>
                    <w:spacing w:line="240" w:lineRule="auto"/>
                    <w:rPr>
                      <w:rFonts w:hint="default" w:ascii="Times New Roman" w:hAnsi="Times New Roman" w:cs="Times New Roman"/>
                      <w:b/>
                      <w:bCs/>
                      <w:color w:val="auto"/>
                    </w:rPr>
                  </w:pPr>
                  <w:r>
                    <w:rPr>
                      <w:rFonts w:hint="default" w:ascii="Times New Roman" w:hAnsi="Times New Roman" w:cs="Times New Roman"/>
                      <w:b/>
                      <w:bCs/>
                      <w:color w:val="auto"/>
                    </w:rPr>
                    <w:t>工程组成</w:t>
                  </w:r>
                </w:p>
              </w:tc>
              <w:tc>
                <w:tcPr>
                  <w:tcW w:w="3470" w:type="dxa"/>
                  <w:noWrap w:val="0"/>
                  <w:vAlign w:val="center"/>
                </w:tcPr>
                <w:p>
                  <w:pPr>
                    <w:pStyle w:val="18"/>
                    <w:bidi w:val="0"/>
                    <w:spacing w:line="240" w:lineRule="auto"/>
                    <w:rPr>
                      <w:rFonts w:hint="default" w:ascii="Times New Roman" w:hAnsi="Times New Roman" w:cs="Times New Roman"/>
                      <w:b/>
                      <w:bCs/>
                      <w:color w:val="auto"/>
                    </w:rPr>
                  </w:pPr>
                  <w:r>
                    <w:rPr>
                      <w:rFonts w:hint="default" w:ascii="Times New Roman" w:hAnsi="Times New Roman" w:cs="Times New Roman"/>
                      <w:b/>
                      <w:bCs/>
                      <w:color w:val="auto"/>
                    </w:rPr>
                    <w:t>主要工程内容</w:t>
                  </w:r>
                </w:p>
              </w:tc>
              <w:tc>
                <w:tcPr>
                  <w:tcW w:w="2063" w:type="dxa"/>
                  <w:noWrap w:val="0"/>
                  <w:vAlign w:val="center"/>
                </w:tcPr>
                <w:p>
                  <w:pPr>
                    <w:pStyle w:val="18"/>
                    <w:bidi w:val="0"/>
                    <w:spacing w:line="240" w:lineRule="auto"/>
                    <w:rPr>
                      <w:rFonts w:hint="default" w:ascii="Times New Roman" w:hAnsi="Times New Roman" w:cs="Times New Roman"/>
                      <w:b/>
                      <w:bCs/>
                      <w:color w:val="auto"/>
                    </w:rPr>
                  </w:pPr>
                  <w:r>
                    <w:rPr>
                      <w:rFonts w:hint="default" w:ascii="Times New Roman" w:hAnsi="Times New Roman" w:cs="Times New Roman"/>
                      <w:b/>
                      <w:bCs/>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648" w:type="dxa"/>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主体工程</w:t>
                  </w:r>
                </w:p>
              </w:tc>
              <w:tc>
                <w:tcPr>
                  <w:tcW w:w="762" w:type="dxa"/>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标准化厂房</w:t>
                  </w:r>
                </w:p>
              </w:tc>
              <w:tc>
                <w:tcPr>
                  <w:tcW w:w="1351" w:type="dxa"/>
                  <w:gridSpan w:val="2"/>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生产车间</w:t>
                  </w:r>
                </w:p>
              </w:tc>
              <w:tc>
                <w:tcPr>
                  <w:tcW w:w="3470" w:type="dxa"/>
                  <w:tcBorders>
                    <w:right w:val="nil"/>
                  </w:tcBorders>
                  <w:noWrap w:val="0"/>
                  <w:vAlign w:val="center"/>
                </w:tcPr>
                <w:p>
                  <w:pPr>
                    <w:pStyle w:val="18"/>
                    <w:bidi w:val="0"/>
                    <w:spacing w:line="240" w:lineRule="auto"/>
                    <w:jc w:val="left"/>
                    <w:rPr>
                      <w:rFonts w:hint="default" w:ascii="Times New Roman" w:hAnsi="Times New Roman" w:cs="Times New Roman"/>
                      <w:color w:val="auto"/>
                    </w:rPr>
                  </w:pPr>
                  <w:r>
                    <w:rPr>
                      <w:rFonts w:hint="default" w:ascii="Times New Roman" w:hAnsi="Times New Roman" w:cs="Times New Roman"/>
                      <w:color w:val="auto"/>
                    </w:rPr>
                    <w:t>车间建筑面积</w:t>
                  </w:r>
                  <w:r>
                    <w:rPr>
                      <w:rFonts w:hint="default" w:ascii="Times New Roman" w:hAnsi="Times New Roman" w:cs="Times New Roman"/>
                      <w:color w:val="auto"/>
                      <w:lang w:val="en-US" w:eastAsia="zh-CN"/>
                    </w:rPr>
                    <w:t>4100m</w:t>
                  </w:r>
                  <w:r>
                    <w:rPr>
                      <w:rFonts w:hint="default" w:ascii="Times New Roman" w:hAnsi="Times New Roman" w:cs="Times New Roman"/>
                      <w:color w:val="auto"/>
                      <w:vertAlign w:val="superscript"/>
                      <w:lang w:val="en-US" w:eastAsia="zh-CN"/>
                    </w:rPr>
                    <w:t>2</w:t>
                  </w:r>
                  <w:r>
                    <w:rPr>
                      <w:rFonts w:hint="default" w:ascii="Times New Roman" w:hAnsi="Times New Roman" w:cs="Times New Roman"/>
                      <w:color w:val="auto"/>
                    </w:rPr>
                    <w:t>，位置于厂区中部，</w:t>
                  </w:r>
                  <w:r>
                    <w:rPr>
                      <w:rFonts w:hint="default" w:ascii="Times New Roman" w:hAnsi="Times New Roman" w:cs="Times New Roman"/>
                      <w:color w:val="auto"/>
                      <w:lang w:eastAsia="zh-CN"/>
                    </w:rPr>
                    <w:t>设置钢材</w:t>
                  </w:r>
                  <w:r>
                    <w:rPr>
                      <w:rFonts w:hint="default" w:ascii="Times New Roman" w:hAnsi="Times New Roman" w:cs="Times New Roman"/>
                      <w:color w:val="auto"/>
                    </w:rPr>
                    <w:t>剪板（切割）、组合、焊接、矫正、钻孔、喷漆</w:t>
                  </w:r>
                  <w:r>
                    <w:rPr>
                      <w:rFonts w:hint="default" w:ascii="Times New Roman" w:hAnsi="Times New Roman" w:cs="Times New Roman"/>
                      <w:color w:val="auto"/>
                      <w:lang w:eastAsia="zh-CN"/>
                    </w:rPr>
                    <w:t>等工序设备</w:t>
                  </w:r>
                  <w:r>
                    <w:rPr>
                      <w:rFonts w:hint="default" w:ascii="Times New Roman" w:hAnsi="Times New Roman" w:cs="Times New Roman"/>
                      <w:color w:val="auto"/>
                    </w:rPr>
                    <w:t>等。</w:t>
                  </w:r>
                </w:p>
              </w:tc>
              <w:tc>
                <w:tcPr>
                  <w:tcW w:w="2063" w:type="dxa"/>
                  <w:tcBorders>
                    <w:right w:val="single" w:color="auto" w:sz="4" w:space="0"/>
                  </w:tcBorders>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生产厂房为双跨等高钢结构体系，1层。层高9.65m。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8" w:type="dxa"/>
                  <w:vMerge w:val="restart"/>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公用及辅助工程</w:t>
                  </w:r>
                </w:p>
              </w:tc>
              <w:tc>
                <w:tcPr>
                  <w:tcW w:w="762" w:type="dxa"/>
                  <w:vMerge w:val="restart"/>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给排水</w:t>
                  </w:r>
                </w:p>
              </w:tc>
              <w:tc>
                <w:tcPr>
                  <w:tcW w:w="1351" w:type="dxa"/>
                  <w:gridSpan w:val="2"/>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供水</w:t>
                  </w:r>
                </w:p>
              </w:tc>
              <w:tc>
                <w:tcPr>
                  <w:tcW w:w="5533" w:type="dxa"/>
                  <w:gridSpan w:val="2"/>
                  <w:tcBorders>
                    <w:right w:val="single" w:color="auto" w:sz="4" w:space="0"/>
                  </w:tcBorders>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由为富民工业园区供水管网供给。项目不直接取水，区域内无取水井设置。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8" w:type="dxa"/>
                  <w:vMerge w:val="continue"/>
                  <w:noWrap w:val="0"/>
                  <w:vAlign w:val="center"/>
                </w:tcPr>
                <w:p>
                  <w:pPr>
                    <w:pStyle w:val="18"/>
                    <w:bidi w:val="0"/>
                    <w:spacing w:line="240" w:lineRule="auto"/>
                    <w:rPr>
                      <w:rFonts w:hint="default" w:ascii="Times New Roman" w:hAnsi="Times New Roman" w:cs="Times New Roman"/>
                      <w:color w:val="auto"/>
                    </w:rPr>
                  </w:pPr>
                </w:p>
              </w:tc>
              <w:tc>
                <w:tcPr>
                  <w:tcW w:w="762" w:type="dxa"/>
                  <w:vMerge w:val="continue"/>
                  <w:noWrap w:val="0"/>
                  <w:vAlign w:val="center"/>
                </w:tcPr>
                <w:p>
                  <w:pPr>
                    <w:pStyle w:val="18"/>
                    <w:bidi w:val="0"/>
                    <w:spacing w:line="240" w:lineRule="auto"/>
                    <w:rPr>
                      <w:rFonts w:hint="default" w:ascii="Times New Roman" w:hAnsi="Times New Roman" w:cs="Times New Roman"/>
                      <w:color w:val="auto"/>
                    </w:rPr>
                  </w:pPr>
                </w:p>
              </w:tc>
              <w:tc>
                <w:tcPr>
                  <w:tcW w:w="476" w:type="dxa"/>
                  <w:vMerge w:val="restart"/>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排水</w:t>
                  </w:r>
                </w:p>
              </w:tc>
              <w:tc>
                <w:tcPr>
                  <w:tcW w:w="875" w:type="dxa"/>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生产污水</w:t>
                  </w:r>
                </w:p>
              </w:tc>
              <w:tc>
                <w:tcPr>
                  <w:tcW w:w="5533" w:type="dxa"/>
                  <w:gridSpan w:val="2"/>
                  <w:tcBorders>
                    <w:right w:val="single" w:color="auto" w:sz="4" w:space="0"/>
                  </w:tcBorders>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本项目为钢材生产，生产过程中水性丙烯酸涂料在生产过程中需要用自来水进行调漆。本项目调漆用水全部挥发或进入产品，因此生产过程中无生产废水产生。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648" w:type="dxa"/>
                  <w:vMerge w:val="continue"/>
                  <w:noWrap w:val="0"/>
                  <w:vAlign w:val="center"/>
                </w:tcPr>
                <w:p>
                  <w:pPr>
                    <w:pStyle w:val="18"/>
                    <w:bidi w:val="0"/>
                    <w:spacing w:line="240" w:lineRule="auto"/>
                    <w:rPr>
                      <w:rFonts w:hint="default" w:ascii="Times New Roman" w:hAnsi="Times New Roman" w:cs="Times New Roman"/>
                      <w:color w:val="auto"/>
                    </w:rPr>
                  </w:pPr>
                </w:p>
              </w:tc>
              <w:tc>
                <w:tcPr>
                  <w:tcW w:w="762" w:type="dxa"/>
                  <w:vMerge w:val="continue"/>
                  <w:noWrap w:val="0"/>
                  <w:vAlign w:val="center"/>
                </w:tcPr>
                <w:p>
                  <w:pPr>
                    <w:pStyle w:val="18"/>
                    <w:bidi w:val="0"/>
                    <w:spacing w:line="240" w:lineRule="auto"/>
                    <w:rPr>
                      <w:rFonts w:hint="default" w:ascii="Times New Roman" w:hAnsi="Times New Roman" w:cs="Times New Roman"/>
                      <w:color w:val="auto"/>
                    </w:rPr>
                  </w:pPr>
                </w:p>
              </w:tc>
              <w:tc>
                <w:tcPr>
                  <w:tcW w:w="476" w:type="dxa"/>
                  <w:vMerge w:val="continue"/>
                  <w:noWrap w:val="0"/>
                  <w:vAlign w:val="center"/>
                </w:tcPr>
                <w:p>
                  <w:pPr>
                    <w:pStyle w:val="18"/>
                    <w:bidi w:val="0"/>
                    <w:spacing w:line="240" w:lineRule="auto"/>
                    <w:rPr>
                      <w:rFonts w:hint="default" w:ascii="Times New Roman" w:hAnsi="Times New Roman" w:cs="Times New Roman"/>
                      <w:color w:val="auto"/>
                    </w:rPr>
                  </w:pPr>
                </w:p>
              </w:tc>
              <w:tc>
                <w:tcPr>
                  <w:tcW w:w="875" w:type="dxa"/>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生活污水</w:t>
                  </w:r>
                </w:p>
              </w:tc>
              <w:tc>
                <w:tcPr>
                  <w:tcW w:w="5533" w:type="dxa"/>
                  <w:gridSpan w:val="2"/>
                  <w:tcBorders>
                    <w:right w:val="single" w:color="auto" w:sz="4" w:space="0"/>
                  </w:tcBorders>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lang w:eastAsia="zh-CN"/>
                    </w:rPr>
                    <w:t>本项目员工不在项目区食宿，员工生产区域上厕使用园区公共卫生间，本项目无生活污水产生</w:t>
                  </w:r>
                  <w:r>
                    <w:rPr>
                      <w:rFonts w:hint="default" w:ascii="Times New Roman" w:hAnsi="Times New Roman" w:cs="Times New Roman"/>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8" w:type="dxa"/>
                  <w:vMerge w:val="continue"/>
                  <w:noWrap w:val="0"/>
                  <w:vAlign w:val="center"/>
                </w:tcPr>
                <w:p>
                  <w:pPr>
                    <w:pStyle w:val="18"/>
                    <w:bidi w:val="0"/>
                    <w:spacing w:line="240" w:lineRule="auto"/>
                    <w:rPr>
                      <w:rFonts w:hint="default" w:ascii="Times New Roman" w:hAnsi="Times New Roman" w:cs="Times New Roman"/>
                      <w:color w:val="auto"/>
                    </w:rPr>
                  </w:pPr>
                </w:p>
              </w:tc>
              <w:tc>
                <w:tcPr>
                  <w:tcW w:w="762" w:type="dxa"/>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能源</w:t>
                  </w:r>
                </w:p>
              </w:tc>
              <w:tc>
                <w:tcPr>
                  <w:tcW w:w="1351" w:type="dxa"/>
                  <w:gridSpan w:val="2"/>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供电</w:t>
                  </w:r>
                </w:p>
              </w:tc>
              <w:tc>
                <w:tcPr>
                  <w:tcW w:w="5533" w:type="dxa"/>
                  <w:gridSpan w:val="2"/>
                  <w:tcBorders>
                    <w:right w:val="single" w:color="auto" w:sz="4" w:space="0"/>
                  </w:tcBorders>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项目生产、消防等用电由富民工业园区电网供给，场区范围内无备用电源设置。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8" w:type="dxa"/>
                  <w:vMerge w:val="restart"/>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环保工程</w:t>
                  </w:r>
                </w:p>
              </w:tc>
              <w:tc>
                <w:tcPr>
                  <w:tcW w:w="762" w:type="dxa"/>
                  <w:vMerge w:val="restart"/>
                  <w:noWrap w:val="0"/>
                  <w:vAlign w:val="center"/>
                </w:tcPr>
                <w:p>
                  <w:pPr>
                    <w:pStyle w:val="18"/>
                    <w:bidi w:val="0"/>
                    <w:spacing w:line="240" w:lineRule="auto"/>
                    <w:rPr>
                      <w:rFonts w:hint="default" w:ascii="Times New Roman" w:hAnsi="Times New Roman" w:cs="Times New Roman"/>
                      <w:color w:val="auto"/>
                      <w:lang w:eastAsia="zh-CN"/>
                    </w:rPr>
                  </w:pPr>
                  <w:r>
                    <w:rPr>
                      <w:rFonts w:hint="default" w:ascii="Times New Roman" w:hAnsi="Times New Roman" w:cs="Times New Roman"/>
                      <w:color w:val="auto"/>
                      <w:lang w:eastAsia="zh-CN"/>
                    </w:rPr>
                    <w:t>固废</w:t>
                  </w:r>
                </w:p>
              </w:tc>
              <w:tc>
                <w:tcPr>
                  <w:tcW w:w="1351" w:type="dxa"/>
                  <w:gridSpan w:val="2"/>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危险废物暂存间</w:t>
                  </w:r>
                </w:p>
              </w:tc>
              <w:tc>
                <w:tcPr>
                  <w:tcW w:w="5533" w:type="dxa"/>
                  <w:gridSpan w:val="2"/>
                  <w:tcBorders>
                    <w:right w:val="single" w:color="auto" w:sz="4" w:space="0"/>
                  </w:tcBorders>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于项目成品仓库西北角设置一座危险废物暂存间，建筑面积为8</w:t>
                  </w:r>
                  <w:r>
                    <w:rPr>
                      <w:rFonts w:hint="default" w:ascii="Times New Roman" w:hAnsi="Times New Roman" w:cs="Times New Roman"/>
                      <w:color w:val="auto"/>
                      <w:lang w:val="en-US" w:eastAsia="zh-CN"/>
                    </w:rPr>
                    <w:t>m</w:t>
                  </w:r>
                  <w:r>
                    <w:rPr>
                      <w:rFonts w:hint="default" w:ascii="Times New Roman" w:hAnsi="Times New Roman" w:cs="Times New Roman"/>
                      <w:color w:val="auto"/>
                      <w:vertAlign w:val="superscript"/>
                      <w:lang w:val="en-US" w:eastAsia="zh-CN"/>
                    </w:rPr>
                    <w:t>2</w:t>
                  </w:r>
                  <w:r>
                    <w:rPr>
                      <w:rFonts w:hint="default" w:ascii="Times New Roman" w:hAnsi="Times New Roman" w:cs="Times New Roman"/>
                      <w:color w:val="auto"/>
                    </w:rPr>
                    <w:t>，用于项目废</w:t>
                  </w:r>
                  <w:r>
                    <w:rPr>
                      <w:rFonts w:hint="default" w:ascii="Times New Roman" w:hAnsi="Times New Roman" w:cs="Times New Roman"/>
                      <w:color w:val="auto"/>
                      <w:lang w:eastAsia="zh-CN"/>
                    </w:rPr>
                    <w:t>过滤棉、活性炭等危废的</w:t>
                  </w:r>
                  <w:r>
                    <w:rPr>
                      <w:rFonts w:hint="default" w:ascii="Times New Roman" w:hAnsi="Times New Roman" w:cs="Times New Roman"/>
                      <w:color w:val="auto"/>
                    </w:rPr>
                    <w:t>暂存。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8" w:type="dxa"/>
                  <w:vMerge w:val="continue"/>
                  <w:noWrap w:val="0"/>
                  <w:vAlign w:val="center"/>
                </w:tcPr>
                <w:p>
                  <w:pPr>
                    <w:pStyle w:val="18"/>
                    <w:bidi w:val="0"/>
                    <w:spacing w:line="240" w:lineRule="auto"/>
                    <w:rPr>
                      <w:rFonts w:hint="default" w:ascii="Times New Roman" w:hAnsi="Times New Roman" w:cs="Times New Roman"/>
                      <w:color w:val="auto"/>
                    </w:rPr>
                  </w:pPr>
                </w:p>
              </w:tc>
              <w:tc>
                <w:tcPr>
                  <w:tcW w:w="762" w:type="dxa"/>
                  <w:vMerge w:val="continue"/>
                  <w:noWrap w:val="0"/>
                  <w:vAlign w:val="center"/>
                </w:tcPr>
                <w:p>
                  <w:pPr>
                    <w:pStyle w:val="18"/>
                    <w:bidi w:val="0"/>
                    <w:spacing w:line="240" w:lineRule="auto"/>
                    <w:rPr>
                      <w:rFonts w:hint="default" w:ascii="Times New Roman" w:hAnsi="Times New Roman" w:cs="Times New Roman"/>
                      <w:color w:val="auto"/>
                      <w:lang w:eastAsia="zh-CN"/>
                    </w:rPr>
                  </w:pPr>
                </w:p>
              </w:tc>
              <w:tc>
                <w:tcPr>
                  <w:tcW w:w="1351" w:type="dxa"/>
                  <w:gridSpan w:val="2"/>
                  <w:noWrap w:val="0"/>
                  <w:vAlign w:val="center"/>
                </w:tcPr>
                <w:p>
                  <w:pPr>
                    <w:pStyle w:val="18"/>
                    <w:bidi w:val="0"/>
                    <w:spacing w:line="240" w:lineRule="auto"/>
                    <w:rPr>
                      <w:rFonts w:hint="default" w:ascii="Times New Roman" w:hAnsi="Times New Roman" w:cs="Times New Roman"/>
                      <w:color w:val="auto"/>
                      <w:lang w:eastAsia="zh-CN"/>
                    </w:rPr>
                  </w:pPr>
                  <w:r>
                    <w:rPr>
                      <w:rFonts w:hint="default" w:ascii="Times New Roman" w:hAnsi="Times New Roman" w:cs="Times New Roman"/>
                      <w:color w:val="auto"/>
                      <w:lang w:eastAsia="zh-CN"/>
                    </w:rPr>
                    <w:t>生产固废</w:t>
                  </w:r>
                </w:p>
              </w:tc>
              <w:tc>
                <w:tcPr>
                  <w:tcW w:w="5533" w:type="dxa"/>
                  <w:gridSpan w:val="2"/>
                  <w:tcBorders>
                    <w:right w:val="single" w:color="auto" w:sz="4" w:space="0"/>
                  </w:tcBorders>
                  <w:noWrap w:val="0"/>
                  <w:vAlign w:val="center"/>
                </w:tcPr>
                <w:p>
                  <w:pPr>
                    <w:pStyle w:val="18"/>
                    <w:bidi w:val="0"/>
                    <w:spacing w:line="240" w:lineRule="auto"/>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在生产车间西北角设置一间</w:t>
                  </w:r>
                  <w:r>
                    <w:rPr>
                      <w:rFonts w:hint="default" w:ascii="Times New Roman" w:hAnsi="Times New Roman" w:cs="Times New Roman"/>
                      <w:color w:val="auto"/>
                      <w:lang w:val="en-US" w:eastAsia="zh-CN"/>
                    </w:rPr>
                    <w:t>30m</w:t>
                  </w:r>
                  <w:r>
                    <w:rPr>
                      <w:rFonts w:hint="default" w:ascii="Times New Roman" w:hAnsi="Times New Roman" w:cs="Times New Roman"/>
                      <w:color w:val="auto"/>
                      <w:vertAlign w:val="superscript"/>
                      <w:lang w:val="en-US" w:eastAsia="zh-CN"/>
                    </w:rPr>
                    <w:t>2</w:t>
                  </w:r>
                  <w:r>
                    <w:rPr>
                      <w:rFonts w:hint="default" w:ascii="Times New Roman" w:hAnsi="Times New Roman" w:cs="Times New Roman"/>
                      <w:color w:val="auto"/>
                      <w:lang w:val="en-US" w:eastAsia="zh-CN"/>
                    </w:rPr>
                    <w:t>的一般固废暂存间，用于收集暂存边角废料、收集的机加工粉尘、焊接烟尘、焊渣集中、废包装材料等一般固体废物。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8" w:type="dxa"/>
                  <w:vMerge w:val="continue"/>
                  <w:noWrap w:val="0"/>
                  <w:vAlign w:val="center"/>
                </w:tcPr>
                <w:p>
                  <w:pPr>
                    <w:pStyle w:val="18"/>
                    <w:bidi w:val="0"/>
                    <w:spacing w:line="240" w:lineRule="auto"/>
                    <w:rPr>
                      <w:rFonts w:hint="default" w:ascii="Times New Roman" w:hAnsi="Times New Roman" w:cs="Times New Roman"/>
                      <w:color w:val="auto"/>
                    </w:rPr>
                  </w:pPr>
                </w:p>
              </w:tc>
              <w:tc>
                <w:tcPr>
                  <w:tcW w:w="762" w:type="dxa"/>
                  <w:vMerge w:val="continue"/>
                  <w:noWrap w:val="0"/>
                  <w:vAlign w:val="center"/>
                </w:tcPr>
                <w:p>
                  <w:pPr>
                    <w:pStyle w:val="18"/>
                    <w:bidi w:val="0"/>
                    <w:spacing w:line="240" w:lineRule="auto"/>
                    <w:rPr>
                      <w:rFonts w:hint="default" w:ascii="Times New Roman" w:hAnsi="Times New Roman" w:cs="Times New Roman"/>
                      <w:color w:val="auto"/>
                      <w:lang w:eastAsia="zh-CN"/>
                    </w:rPr>
                  </w:pPr>
                </w:p>
              </w:tc>
              <w:tc>
                <w:tcPr>
                  <w:tcW w:w="1351" w:type="dxa"/>
                  <w:gridSpan w:val="2"/>
                  <w:noWrap w:val="0"/>
                  <w:vAlign w:val="center"/>
                </w:tcPr>
                <w:p>
                  <w:pPr>
                    <w:pStyle w:val="18"/>
                    <w:bidi w:val="0"/>
                    <w:spacing w:line="240" w:lineRule="auto"/>
                    <w:rPr>
                      <w:rFonts w:hint="default" w:ascii="Times New Roman" w:hAnsi="Times New Roman" w:cs="Times New Roman"/>
                      <w:color w:val="auto"/>
                      <w:lang w:eastAsia="zh-CN"/>
                    </w:rPr>
                  </w:pPr>
                  <w:r>
                    <w:rPr>
                      <w:rFonts w:hint="default" w:ascii="Times New Roman" w:hAnsi="Times New Roman" w:cs="Times New Roman"/>
                      <w:color w:val="auto"/>
                      <w:lang w:eastAsia="zh-CN"/>
                    </w:rPr>
                    <w:t>生活垃圾</w:t>
                  </w:r>
                </w:p>
              </w:tc>
              <w:tc>
                <w:tcPr>
                  <w:tcW w:w="5533" w:type="dxa"/>
                  <w:gridSpan w:val="2"/>
                  <w:tcBorders>
                    <w:right w:val="single" w:color="auto" w:sz="4" w:space="0"/>
                  </w:tcBorders>
                  <w:noWrap w:val="0"/>
                  <w:vAlign w:val="center"/>
                </w:tcPr>
                <w:p>
                  <w:pPr>
                    <w:pStyle w:val="18"/>
                    <w:bidi w:val="0"/>
                    <w:spacing w:line="240" w:lineRule="auto"/>
                    <w:rPr>
                      <w:rFonts w:hint="default" w:ascii="Times New Roman" w:hAnsi="Times New Roman" w:cs="Times New Roman"/>
                      <w:color w:val="auto"/>
                      <w:lang w:eastAsia="zh-CN"/>
                    </w:rPr>
                  </w:pPr>
                  <w:r>
                    <w:rPr>
                      <w:rFonts w:hint="default" w:ascii="Times New Roman" w:hAnsi="Times New Roman" w:cs="Times New Roman"/>
                      <w:color w:val="auto"/>
                      <w:lang w:eastAsia="zh-CN"/>
                    </w:rPr>
                    <w:t>本项目在项目区内设置生活垃圾收集桶，生活垃圾收集后交园区环卫部门进行清运处理。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48" w:type="dxa"/>
                  <w:vMerge w:val="continue"/>
                  <w:noWrap w:val="0"/>
                  <w:vAlign w:val="center"/>
                </w:tcPr>
                <w:p>
                  <w:pPr>
                    <w:pStyle w:val="18"/>
                    <w:bidi w:val="0"/>
                    <w:spacing w:line="240" w:lineRule="auto"/>
                    <w:rPr>
                      <w:rFonts w:hint="default" w:ascii="Times New Roman" w:hAnsi="Times New Roman" w:cs="Times New Roman"/>
                      <w:color w:val="auto"/>
                    </w:rPr>
                  </w:pPr>
                </w:p>
              </w:tc>
              <w:tc>
                <w:tcPr>
                  <w:tcW w:w="762" w:type="dxa"/>
                  <w:vMerge w:val="restart"/>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废气</w:t>
                  </w:r>
                </w:p>
              </w:tc>
              <w:tc>
                <w:tcPr>
                  <w:tcW w:w="1351" w:type="dxa"/>
                  <w:gridSpan w:val="2"/>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lang w:eastAsia="zh-CN"/>
                    </w:rPr>
                    <w:t>机加工</w:t>
                  </w:r>
                </w:p>
              </w:tc>
              <w:tc>
                <w:tcPr>
                  <w:tcW w:w="5533" w:type="dxa"/>
                  <w:gridSpan w:val="2"/>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lang w:eastAsia="zh-CN"/>
                    </w:rPr>
                    <w:t>机加工产生的废气主要为粉尘，经过在车间内设置一套移动式除尘器处理后，少量粉尘经过车间阻隔自然沉降后少部分从车间门窗外逸</w:t>
                  </w:r>
                  <w:r>
                    <w:rPr>
                      <w:rFonts w:hint="default" w:ascii="Times New Roman" w:hAnsi="Times New Roman" w:cs="Times New Roman"/>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48" w:type="dxa"/>
                  <w:vMerge w:val="continue"/>
                  <w:noWrap w:val="0"/>
                  <w:vAlign w:val="center"/>
                </w:tcPr>
                <w:p>
                  <w:pPr>
                    <w:pStyle w:val="18"/>
                    <w:bidi w:val="0"/>
                    <w:spacing w:line="240" w:lineRule="auto"/>
                    <w:rPr>
                      <w:rFonts w:hint="default" w:ascii="Times New Roman" w:hAnsi="Times New Roman" w:cs="Times New Roman"/>
                      <w:color w:val="auto"/>
                    </w:rPr>
                  </w:pPr>
                </w:p>
              </w:tc>
              <w:tc>
                <w:tcPr>
                  <w:tcW w:w="762" w:type="dxa"/>
                  <w:vMerge w:val="continue"/>
                  <w:noWrap w:val="0"/>
                  <w:vAlign w:val="center"/>
                </w:tcPr>
                <w:p>
                  <w:pPr>
                    <w:pStyle w:val="18"/>
                    <w:bidi w:val="0"/>
                    <w:spacing w:line="240" w:lineRule="auto"/>
                    <w:rPr>
                      <w:rFonts w:hint="default" w:ascii="Times New Roman" w:hAnsi="Times New Roman" w:cs="Times New Roman"/>
                      <w:color w:val="auto"/>
                    </w:rPr>
                  </w:pPr>
                </w:p>
              </w:tc>
              <w:tc>
                <w:tcPr>
                  <w:tcW w:w="1351" w:type="dxa"/>
                  <w:gridSpan w:val="2"/>
                  <w:noWrap w:val="0"/>
                  <w:vAlign w:val="center"/>
                </w:tcPr>
                <w:p>
                  <w:pPr>
                    <w:pStyle w:val="18"/>
                    <w:bidi w:val="0"/>
                    <w:spacing w:line="240" w:lineRule="auto"/>
                    <w:rPr>
                      <w:rFonts w:hint="default" w:ascii="Times New Roman" w:hAnsi="Times New Roman" w:cs="Times New Roman"/>
                      <w:color w:val="auto"/>
                      <w:lang w:eastAsia="zh-CN"/>
                    </w:rPr>
                  </w:pPr>
                  <w:r>
                    <w:rPr>
                      <w:rFonts w:hint="default" w:ascii="Times New Roman" w:hAnsi="Times New Roman" w:cs="Times New Roman"/>
                      <w:color w:val="auto"/>
                      <w:lang w:eastAsia="zh-CN"/>
                    </w:rPr>
                    <w:t>焊接烟尘</w:t>
                  </w:r>
                </w:p>
              </w:tc>
              <w:tc>
                <w:tcPr>
                  <w:tcW w:w="5533" w:type="dxa"/>
                  <w:gridSpan w:val="2"/>
                  <w:noWrap w:val="0"/>
                  <w:vAlign w:val="center"/>
                </w:tcPr>
                <w:p>
                  <w:pPr>
                    <w:pStyle w:val="18"/>
                    <w:bidi w:val="0"/>
                    <w:spacing w:line="240" w:lineRule="auto"/>
                    <w:rPr>
                      <w:rFonts w:hint="default" w:ascii="Times New Roman" w:hAnsi="Times New Roman" w:cs="Times New Roman"/>
                      <w:color w:val="auto"/>
                      <w:lang w:eastAsia="zh-CN"/>
                    </w:rPr>
                  </w:pPr>
                  <w:r>
                    <w:rPr>
                      <w:rFonts w:hint="default" w:ascii="Times New Roman" w:hAnsi="Times New Roman" w:cs="Times New Roman"/>
                      <w:color w:val="auto"/>
                      <w:lang w:eastAsia="zh-CN"/>
                    </w:rPr>
                    <w:t>本项目焊接烟尘通过在生产车间内设置一套移动式除尘器进行处理。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48" w:type="dxa"/>
                  <w:vMerge w:val="continue"/>
                  <w:noWrap w:val="0"/>
                  <w:vAlign w:val="center"/>
                </w:tcPr>
                <w:p>
                  <w:pPr>
                    <w:pStyle w:val="18"/>
                    <w:bidi w:val="0"/>
                    <w:spacing w:line="240" w:lineRule="auto"/>
                    <w:rPr>
                      <w:rFonts w:hint="default" w:ascii="Times New Roman" w:hAnsi="Times New Roman" w:cs="Times New Roman"/>
                      <w:color w:val="auto"/>
                    </w:rPr>
                  </w:pPr>
                </w:p>
              </w:tc>
              <w:tc>
                <w:tcPr>
                  <w:tcW w:w="762" w:type="dxa"/>
                  <w:vMerge w:val="continue"/>
                  <w:noWrap w:val="0"/>
                  <w:vAlign w:val="center"/>
                </w:tcPr>
                <w:p>
                  <w:pPr>
                    <w:pStyle w:val="18"/>
                    <w:bidi w:val="0"/>
                    <w:spacing w:line="240" w:lineRule="auto"/>
                    <w:rPr>
                      <w:rFonts w:hint="default" w:ascii="Times New Roman" w:hAnsi="Times New Roman" w:cs="Times New Roman"/>
                      <w:color w:val="auto"/>
                    </w:rPr>
                  </w:pPr>
                </w:p>
              </w:tc>
              <w:tc>
                <w:tcPr>
                  <w:tcW w:w="1351" w:type="dxa"/>
                  <w:gridSpan w:val="2"/>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lang w:eastAsia="zh-CN"/>
                    </w:rPr>
                    <w:t>喷漆</w:t>
                  </w:r>
                </w:p>
              </w:tc>
              <w:tc>
                <w:tcPr>
                  <w:tcW w:w="5533" w:type="dxa"/>
                  <w:gridSpan w:val="2"/>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喷漆车间设置1套</w:t>
                  </w:r>
                  <w:r>
                    <w:rPr>
                      <w:rFonts w:hint="default" w:ascii="Times New Roman" w:hAnsi="Times New Roman" w:cs="Times New Roman"/>
                      <w:color w:val="auto"/>
                      <w:lang w:eastAsia="zh-CN"/>
                    </w:rPr>
                    <w:t>过滤棉+活性炭</w:t>
                  </w:r>
                  <w:r>
                    <w:rPr>
                      <w:rFonts w:hint="default" w:ascii="Times New Roman" w:hAnsi="Times New Roman" w:cs="Times New Roman"/>
                      <w:color w:val="auto"/>
                    </w:rPr>
                    <w:t>吸附装置，对所收集有机废气进行处理，达标后由15m排气筒统一排放。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48" w:type="dxa"/>
                  <w:vMerge w:val="continue"/>
                  <w:noWrap w:val="0"/>
                  <w:vAlign w:val="center"/>
                </w:tcPr>
                <w:p>
                  <w:pPr>
                    <w:pStyle w:val="18"/>
                    <w:bidi w:val="0"/>
                    <w:spacing w:line="240" w:lineRule="auto"/>
                    <w:rPr>
                      <w:rFonts w:hint="default" w:ascii="Times New Roman" w:hAnsi="Times New Roman" w:cs="Times New Roman"/>
                      <w:color w:val="auto"/>
                    </w:rPr>
                  </w:pPr>
                </w:p>
              </w:tc>
              <w:tc>
                <w:tcPr>
                  <w:tcW w:w="762" w:type="dxa"/>
                  <w:noWrap w:val="0"/>
                  <w:vAlign w:val="center"/>
                </w:tcPr>
                <w:p>
                  <w:pPr>
                    <w:pStyle w:val="18"/>
                    <w:bidi w:val="0"/>
                    <w:spacing w:line="240" w:lineRule="auto"/>
                    <w:rPr>
                      <w:rFonts w:hint="default" w:ascii="Times New Roman" w:hAnsi="Times New Roman" w:cs="Times New Roman"/>
                      <w:color w:val="auto"/>
                      <w:lang w:eastAsia="zh-CN"/>
                    </w:rPr>
                  </w:pPr>
                  <w:r>
                    <w:rPr>
                      <w:rFonts w:hint="default" w:ascii="Times New Roman" w:hAnsi="Times New Roman" w:cs="Times New Roman"/>
                      <w:color w:val="auto"/>
                      <w:lang w:eastAsia="zh-CN"/>
                    </w:rPr>
                    <w:t>噪声</w:t>
                  </w:r>
                </w:p>
              </w:tc>
              <w:tc>
                <w:tcPr>
                  <w:tcW w:w="1351" w:type="dxa"/>
                  <w:gridSpan w:val="2"/>
                  <w:noWrap w:val="0"/>
                  <w:vAlign w:val="center"/>
                </w:tcPr>
                <w:p>
                  <w:pPr>
                    <w:pStyle w:val="18"/>
                    <w:bidi w:val="0"/>
                    <w:spacing w:line="240" w:lineRule="auto"/>
                    <w:rPr>
                      <w:rFonts w:hint="default" w:ascii="Times New Roman" w:hAnsi="Times New Roman" w:cs="Times New Roman"/>
                      <w:color w:val="auto"/>
                      <w:lang w:eastAsia="zh-CN"/>
                    </w:rPr>
                  </w:pPr>
                  <w:r>
                    <w:rPr>
                      <w:rFonts w:hint="default" w:ascii="Times New Roman" w:hAnsi="Times New Roman" w:cs="Times New Roman"/>
                      <w:color w:val="auto"/>
                      <w:lang w:eastAsia="zh-CN"/>
                    </w:rPr>
                    <w:t>设备噪声</w:t>
                  </w:r>
                </w:p>
              </w:tc>
              <w:tc>
                <w:tcPr>
                  <w:tcW w:w="5533" w:type="dxa"/>
                  <w:gridSpan w:val="2"/>
                  <w:noWrap w:val="0"/>
                  <w:vAlign w:val="center"/>
                </w:tcPr>
                <w:p>
                  <w:pPr>
                    <w:pStyle w:val="18"/>
                    <w:bidi w:val="0"/>
                    <w:spacing w:line="240" w:lineRule="auto"/>
                    <w:rPr>
                      <w:rFonts w:hint="default" w:ascii="Times New Roman" w:hAnsi="Times New Roman" w:cs="Times New Roman"/>
                      <w:color w:val="auto"/>
                    </w:rPr>
                  </w:pPr>
                  <w:r>
                    <w:rPr>
                      <w:rFonts w:hint="default" w:ascii="Times New Roman" w:hAnsi="Times New Roman" w:cs="Times New Roman"/>
                      <w:color w:val="auto"/>
                    </w:rPr>
                    <w:t>项目区选用低噪声设备，所有生产设备置于厂房内；设备安装减震垫进行基础减震</w:t>
                  </w:r>
                </w:p>
              </w:tc>
            </w:tr>
            <w:bookmarkEnd w:id="2"/>
          </w:tbl>
          <w:p>
            <w:pPr>
              <w:spacing w:line="360" w:lineRule="auto"/>
              <w:ind w:left="0" w:leftChars="0" w:firstLine="0" w:firstLineChars="0"/>
              <w:rPr>
                <w:rFonts w:hint="default" w:ascii="Times New Roman" w:hAnsi="Times New Roman" w:cs="Times New Roman"/>
                <w:color w:val="auto"/>
              </w:rPr>
            </w:pPr>
            <w:r>
              <w:rPr>
                <w:rFonts w:hint="default" w:ascii="Times New Roman" w:hAnsi="Times New Roman" w:cs="Times New Roman"/>
                <w:color w:val="auto"/>
                <w:lang w:val="en-US" w:eastAsia="zh-CN"/>
              </w:rPr>
              <w:t>四、</w:t>
            </w:r>
            <w:r>
              <w:rPr>
                <w:rFonts w:hint="default" w:ascii="Times New Roman" w:hAnsi="Times New Roman" w:cs="Times New Roman"/>
                <w:color w:val="auto"/>
              </w:rPr>
              <w:t>项目平面布局</w:t>
            </w:r>
          </w:p>
          <w:p>
            <w:pPr>
              <w:spacing w:line="360" w:lineRule="auto"/>
              <w:ind w:firstLine="480"/>
              <w:rPr>
                <w:rFonts w:hint="default" w:ascii="Times New Roman" w:hAnsi="Times New Roman" w:cs="Times New Roman"/>
                <w:color w:val="auto"/>
                <w:lang w:eastAsia="zh-CN"/>
              </w:rPr>
            </w:pPr>
            <w:r>
              <w:rPr>
                <w:rFonts w:hint="default" w:ascii="Times New Roman" w:hAnsi="Times New Roman" w:cs="Times New Roman"/>
                <w:color w:val="auto"/>
                <w:lang w:eastAsia="zh-CN"/>
              </w:rPr>
              <w:t>项目位于富民工业园区大营建材工业园</w:t>
            </w:r>
            <w:r>
              <w:rPr>
                <w:rFonts w:hint="default" w:ascii="Times New Roman" w:hAnsi="Times New Roman" w:cs="Times New Roman"/>
                <w:color w:val="auto"/>
                <w:lang w:val="en-US" w:eastAsia="zh-CN"/>
              </w:rPr>
              <w:t>，租用</w:t>
            </w:r>
            <w:r>
              <w:rPr>
                <w:rFonts w:hint="default" w:ascii="Times New Roman" w:hAnsi="Times New Roman" w:cs="Times New Roman"/>
                <w:color w:val="auto"/>
                <w:lang w:eastAsia="zh-CN"/>
              </w:rPr>
              <w:t>云南皇派实业有限公司富民分公司标准厂房</w:t>
            </w:r>
            <w:r>
              <w:rPr>
                <w:rFonts w:hint="default" w:ascii="Times New Roman" w:hAnsi="Times New Roman" w:cs="Times New Roman"/>
                <w:color w:val="auto"/>
                <w:lang w:val="en-US" w:eastAsia="zh-CN"/>
              </w:rPr>
              <w:t>2600m</w:t>
            </w:r>
            <w:r>
              <w:rPr>
                <w:rFonts w:hint="default" w:ascii="Times New Roman" w:hAnsi="Times New Roman" w:cs="Times New Roman"/>
                <w:color w:val="auto"/>
                <w:vertAlign w:val="superscript"/>
                <w:lang w:val="en-US" w:eastAsia="zh-CN"/>
              </w:rPr>
              <w:t>2</w:t>
            </w:r>
            <w:r>
              <w:rPr>
                <w:rFonts w:hint="default" w:ascii="Times New Roman" w:hAnsi="Times New Roman" w:cs="Times New Roman"/>
                <w:color w:val="auto"/>
                <w:lang w:val="en-US" w:eastAsia="zh-CN"/>
              </w:rPr>
              <w:t>及云南富邦制冷设备有限公司标准厂房1500m</w:t>
            </w:r>
            <w:r>
              <w:rPr>
                <w:rFonts w:hint="default" w:ascii="Times New Roman" w:hAnsi="Times New Roman" w:cs="Times New Roman"/>
                <w:color w:val="auto"/>
                <w:vertAlign w:val="superscript"/>
                <w:lang w:val="en-US" w:eastAsia="zh-CN"/>
              </w:rPr>
              <w:t>2</w:t>
            </w:r>
            <w:r>
              <w:rPr>
                <w:rFonts w:hint="default" w:ascii="Times New Roman" w:hAnsi="Times New Roman" w:cs="Times New Roman"/>
                <w:color w:val="auto"/>
                <w:lang w:val="en-US" w:eastAsia="zh-CN"/>
              </w:rPr>
              <w:t>进行生产。项目</w:t>
            </w:r>
            <w:r>
              <w:rPr>
                <w:rFonts w:hint="default" w:ascii="Times New Roman" w:hAnsi="Times New Roman" w:cs="Times New Roman"/>
                <w:color w:val="auto"/>
              </w:rPr>
              <w:t>建设内容</w:t>
            </w:r>
            <w:r>
              <w:rPr>
                <w:rFonts w:hint="default" w:ascii="Times New Roman" w:hAnsi="Times New Roman" w:cs="Times New Roman"/>
                <w:color w:val="auto"/>
                <w:lang w:eastAsia="zh-CN"/>
              </w:rPr>
              <w:t>为新建一条年加工钢结构产品3000吨项目</w:t>
            </w:r>
            <w:r>
              <w:rPr>
                <w:rFonts w:hint="default" w:ascii="Times New Roman" w:hAnsi="Times New Roman" w:cs="Times New Roman"/>
                <w:color w:val="auto"/>
                <w:lang w:val="en-US" w:eastAsia="zh-CN"/>
              </w:rPr>
              <w:t>的</w:t>
            </w:r>
            <w:r>
              <w:rPr>
                <w:rFonts w:hint="default" w:ascii="Times New Roman" w:hAnsi="Times New Roman" w:cs="Times New Roman"/>
                <w:color w:val="auto"/>
                <w:lang w:eastAsia="zh-CN"/>
              </w:rPr>
              <w:t>生产线，生产厂房内</w:t>
            </w:r>
            <w:r>
              <w:rPr>
                <w:rFonts w:hint="default" w:ascii="Times New Roman" w:hAnsi="Times New Roman" w:cs="Times New Roman"/>
                <w:color w:val="auto"/>
                <w:lang w:val="en-US" w:eastAsia="zh-CN"/>
              </w:rPr>
              <w:t>生产设备按照生产工艺流程各自设于生产线内，总体按西到东布设。其中厂房内西侧主要为原料区、生产区、喷涂车间、成品区等。厂内通道畅通，布局合理，生产厂房</w:t>
            </w:r>
            <w:r>
              <w:rPr>
                <w:rFonts w:hint="default" w:ascii="Times New Roman" w:hAnsi="Times New Roman" w:cs="Times New Roman"/>
                <w:color w:val="auto"/>
                <w:lang w:eastAsia="zh-CN"/>
              </w:rPr>
              <w:t>具体布局见附图</w:t>
            </w:r>
            <w:r>
              <w:rPr>
                <w:rFonts w:hint="default" w:ascii="Times New Roman" w:hAnsi="Times New Roman" w:cs="Times New Roman"/>
                <w:color w:val="auto"/>
                <w:lang w:val="en-US" w:eastAsia="zh-CN"/>
              </w:rPr>
              <w:t>2</w:t>
            </w:r>
            <w:r>
              <w:rPr>
                <w:rFonts w:hint="default" w:ascii="Times New Roman" w:hAnsi="Times New Roman" w:cs="Times New Roman"/>
                <w:color w:val="auto"/>
                <w:lang w:eastAsia="zh-CN"/>
              </w:rPr>
              <w:t>。</w:t>
            </w:r>
          </w:p>
          <w:p>
            <w:pPr>
              <w:spacing w:line="360" w:lineRule="auto"/>
              <w:ind w:left="0" w:leftChars="0"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五、产品方案及规模</w:t>
            </w:r>
          </w:p>
          <w:p>
            <w:pPr>
              <w:spacing w:line="360" w:lineRule="auto"/>
              <w:ind w:firstLine="48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项目共生产5类产品，视市场订货情况组织生产，主要为：箱型柱（梁）、十字柱、工字钢、H 型钢、C 型钢。项目各产品方案及产量间表1-2。</w:t>
            </w:r>
          </w:p>
          <w:p>
            <w:pPr>
              <w:pStyle w:val="1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表1-2 项目产品方案</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2631"/>
              <w:gridCol w:w="2466"/>
              <w:gridCol w:w="2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序号</w:t>
                  </w:r>
                </w:p>
              </w:tc>
              <w:tc>
                <w:tcPr>
                  <w:tcW w:w="2631"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产品名称</w:t>
                  </w:r>
                </w:p>
              </w:tc>
              <w:tc>
                <w:tcPr>
                  <w:tcW w:w="2466"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生产规模（</w:t>
                  </w:r>
                  <w:r>
                    <w:rPr>
                      <w:rFonts w:hint="default" w:ascii="Times New Roman" w:hAnsi="Times New Roman" w:cs="Times New Roman"/>
                      <w:color w:val="auto"/>
                      <w:lang w:val="en-US" w:eastAsia="zh-CN"/>
                    </w:rPr>
                    <w:t>t/a</w:t>
                  </w:r>
                  <w:r>
                    <w:rPr>
                      <w:rFonts w:hint="default" w:ascii="Times New Roman" w:hAnsi="Times New Roman" w:cs="Times New Roman"/>
                      <w:color w:val="auto"/>
                      <w:lang w:eastAsia="zh-CN"/>
                    </w:rPr>
                    <w:t>）</w:t>
                  </w:r>
                </w:p>
              </w:tc>
              <w:tc>
                <w:tcPr>
                  <w:tcW w:w="2344"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1</w:t>
                  </w:r>
                </w:p>
              </w:tc>
              <w:tc>
                <w:tcPr>
                  <w:tcW w:w="2631"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箱型柱（梁）</w:t>
                  </w:r>
                </w:p>
              </w:tc>
              <w:tc>
                <w:tcPr>
                  <w:tcW w:w="2466"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1000</w:t>
                  </w:r>
                </w:p>
              </w:tc>
              <w:tc>
                <w:tcPr>
                  <w:tcW w:w="2344"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约</w:t>
                  </w:r>
                  <w:r>
                    <w:rPr>
                      <w:rFonts w:hint="default" w:ascii="Times New Roman" w:hAnsi="Times New Roman" w:cs="Times New Roman"/>
                      <w:color w:val="auto"/>
                      <w:lang w:val="en-US" w:eastAsia="zh-CN"/>
                    </w:rPr>
                    <w:t>20%需要喷漆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2</w:t>
                  </w:r>
                </w:p>
              </w:tc>
              <w:tc>
                <w:tcPr>
                  <w:tcW w:w="2631"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十字柱</w:t>
                  </w:r>
                </w:p>
              </w:tc>
              <w:tc>
                <w:tcPr>
                  <w:tcW w:w="2466"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200</w:t>
                  </w:r>
                </w:p>
              </w:tc>
              <w:tc>
                <w:tcPr>
                  <w:tcW w:w="2344"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约</w:t>
                  </w:r>
                  <w:r>
                    <w:rPr>
                      <w:rFonts w:hint="default" w:ascii="Times New Roman" w:hAnsi="Times New Roman" w:cs="Times New Roman"/>
                      <w:color w:val="auto"/>
                      <w:lang w:val="en-US" w:eastAsia="zh-CN"/>
                    </w:rPr>
                    <w:t>20%需要喷漆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3</w:t>
                  </w:r>
                </w:p>
              </w:tc>
              <w:tc>
                <w:tcPr>
                  <w:tcW w:w="2631"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工字钢</w:t>
                  </w:r>
                </w:p>
              </w:tc>
              <w:tc>
                <w:tcPr>
                  <w:tcW w:w="2466"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1000</w:t>
                  </w:r>
                </w:p>
              </w:tc>
              <w:tc>
                <w:tcPr>
                  <w:tcW w:w="2344"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约</w:t>
                  </w:r>
                  <w:r>
                    <w:rPr>
                      <w:rFonts w:hint="default" w:ascii="Times New Roman" w:hAnsi="Times New Roman" w:cs="Times New Roman"/>
                      <w:color w:val="auto"/>
                      <w:lang w:val="en-US" w:eastAsia="zh-CN"/>
                    </w:rPr>
                    <w:t>20%需要喷漆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w:t>
                  </w:r>
                </w:p>
              </w:tc>
              <w:tc>
                <w:tcPr>
                  <w:tcW w:w="2631"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H型钢</w:t>
                  </w:r>
                </w:p>
              </w:tc>
              <w:tc>
                <w:tcPr>
                  <w:tcW w:w="2466"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500</w:t>
                  </w:r>
                </w:p>
              </w:tc>
              <w:tc>
                <w:tcPr>
                  <w:tcW w:w="2344"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约</w:t>
                  </w:r>
                  <w:r>
                    <w:rPr>
                      <w:rFonts w:hint="default" w:ascii="Times New Roman" w:hAnsi="Times New Roman" w:cs="Times New Roman"/>
                      <w:color w:val="auto"/>
                      <w:lang w:val="en-US" w:eastAsia="zh-CN"/>
                    </w:rPr>
                    <w:t>20%需要喷漆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w:t>
                  </w:r>
                </w:p>
              </w:tc>
              <w:tc>
                <w:tcPr>
                  <w:tcW w:w="2631"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C型钢</w:t>
                  </w:r>
                </w:p>
              </w:tc>
              <w:tc>
                <w:tcPr>
                  <w:tcW w:w="2466"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300</w:t>
                  </w:r>
                </w:p>
              </w:tc>
              <w:tc>
                <w:tcPr>
                  <w:tcW w:w="2344"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无需喷漆</w:t>
                  </w:r>
                </w:p>
              </w:tc>
            </w:tr>
          </w:tbl>
          <w:p>
            <w:pPr>
              <w:numPr>
                <w:ilvl w:val="0"/>
                <w:numId w:val="0"/>
              </w:numPr>
              <w:spacing w:line="360" w:lineRule="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六、主要设备</w:t>
            </w:r>
          </w:p>
          <w:p>
            <w:pPr>
              <w:numPr>
                <w:ilvl w:val="0"/>
                <w:numId w:val="0"/>
              </w:numPr>
              <w:ind w:left="482" w:leftChars="0" w:right="0" w:right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本项目设备均布置于生产厂房内，项目主要设备间表1-3。</w:t>
            </w:r>
          </w:p>
          <w:p>
            <w:pPr>
              <w:pStyle w:val="19"/>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表1-3 项目主要设备一览表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3277"/>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序号</w:t>
                  </w:r>
                </w:p>
              </w:tc>
              <w:tc>
                <w:tcPr>
                  <w:tcW w:w="3277"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名称</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数量</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c>
                <w:tcPr>
                  <w:tcW w:w="3277"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液压闸式剪板机</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1台</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AC11T-12k3200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c>
                <w:tcPr>
                  <w:tcW w:w="3277"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液压板料折弯机</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1台</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Y350-4000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w:t>
                  </w:r>
                </w:p>
              </w:tc>
              <w:tc>
                <w:tcPr>
                  <w:tcW w:w="3277"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开式固定压力机</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3台</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JD21-125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w:t>
                  </w:r>
                </w:p>
              </w:tc>
              <w:tc>
                <w:tcPr>
                  <w:tcW w:w="3277"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液压矫正机</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1台</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16KN·M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w:t>
                  </w:r>
                </w:p>
              </w:tc>
              <w:tc>
                <w:tcPr>
                  <w:tcW w:w="3277"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摇臂钻床</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1台</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Z3050*16/1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w:t>
                  </w:r>
                </w:p>
              </w:tc>
              <w:tc>
                <w:tcPr>
                  <w:tcW w:w="3277"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卷板机</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1台</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W11-20X2000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w:t>
                  </w:r>
                </w:p>
              </w:tc>
              <w:tc>
                <w:tcPr>
                  <w:tcW w:w="3277"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四柱液压机</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1台</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Y11-200T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w:t>
                  </w:r>
                </w:p>
              </w:tc>
              <w:tc>
                <w:tcPr>
                  <w:tcW w:w="3277"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数控自动化切割机</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1套</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w:t>
                  </w:r>
                </w:p>
              </w:tc>
              <w:tc>
                <w:tcPr>
                  <w:tcW w:w="3277"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行吊</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6台</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5T/10T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w:t>
                  </w:r>
                </w:p>
              </w:tc>
              <w:tc>
                <w:tcPr>
                  <w:tcW w:w="3277"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空压机</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1台</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w:t>
                  </w:r>
                </w:p>
              </w:tc>
              <w:tc>
                <w:tcPr>
                  <w:tcW w:w="3277"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焊机</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20套</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12</w:t>
                  </w:r>
                </w:p>
              </w:tc>
              <w:tc>
                <w:tcPr>
                  <w:tcW w:w="3277"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切割机</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10套</w:t>
                  </w:r>
                </w:p>
              </w:tc>
              <w:tc>
                <w:tcPr>
                  <w:tcW w:w="2074" w:type="dxa"/>
                  <w:noWrap w:val="0"/>
                  <w:vAlign w:val="top"/>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r>
          </w:tbl>
          <w:p>
            <w:pPr>
              <w:numPr>
                <w:ilvl w:val="0"/>
                <w:numId w:val="0"/>
              </w:numPr>
              <w:spacing w:line="360" w:lineRule="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七、项目主要原辅料用量</w:t>
            </w:r>
          </w:p>
          <w:p>
            <w:pPr>
              <w:numPr>
                <w:ilvl w:val="0"/>
                <w:numId w:val="0"/>
              </w:numPr>
              <w:spacing w:line="360" w:lineRule="auto"/>
              <w:ind w:firstLine="48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（1）项目主要原辅材料</w:t>
            </w:r>
          </w:p>
          <w:p>
            <w:pPr>
              <w:numPr>
                <w:ilvl w:val="0"/>
                <w:numId w:val="0"/>
              </w:numPr>
              <w:spacing w:line="360" w:lineRule="auto"/>
              <w:ind w:firstLine="48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项目原辅料的消耗的情况见下表。</w:t>
            </w:r>
          </w:p>
          <w:p>
            <w:pPr>
              <w:pStyle w:val="19"/>
              <w:bidi w:val="0"/>
              <w:rPr>
                <w:rFonts w:hint="default" w:ascii="Times New Roman" w:hAnsi="Times New Roman" w:cs="Times New Roman"/>
                <w:color w:val="auto"/>
              </w:rPr>
            </w:pPr>
            <w:r>
              <w:rPr>
                <w:rFonts w:hint="default" w:ascii="Times New Roman" w:hAnsi="Times New Roman" w:cs="Times New Roman"/>
                <w:color w:val="auto"/>
                <w:lang w:eastAsia="zh-CN"/>
              </w:rPr>
              <w:t>表</w:t>
            </w:r>
            <w:r>
              <w:rPr>
                <w:rFonts w:hint="default" w:ascii="Times New Roman" w:hAnsi="Times New Roman" w:cs="Times New Roman"/>
                <w:color w:val="auto"/>
                <w:lang w:val="en-US" w:eastAsia="zh-CN"/>
              </w:rPr>
              <w:t>1-4</w:t>
            </w:r>
            <w:r>
              <w:rPr>
                <w:rFonts w:hint="default" w:ascii="Times New Roman" w:hAnsi="Times New Roman" w:cs="Times New Roman"/>
                <w:color w:val="auto"/>
                <w:lang w:eastAsia="zh-CN"/>
              </w:rPr>
              <w:t xml:space="preserve"> 项目原辅材料消耗情况一览表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
              <w:gridCol w:w="2054"/>
              <w:gridCol w:w="1776"/>
              <w:gridCol w:w="1509"/>
              <w:gridCol w:w="1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序号</w:t>
                  </w:r>
                </w:p>
              </w:tc>
              <w:tc>
                <w:tcPr>
                  <w:tcW w:w="1238" w:type="pc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名称</w:t>
                  </w:r>
                </w:p>
              </w:tc>
              <w:tc>
                <w:tcPr>
                  <w:tcW w:w="1070" w:type="pc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用量</w:t>
                  </w:r>
                </w:p>
              </w:tc>
              <w:tc>
                <w:tcPr>
                  <w:tcW w:w="909" w:type="pc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储存方式</w:t>
                  </w:r>
                </w:p>
              </w:tc>
              <w:tc>
                <w:tcPr>
                  <w:tcW w:w="1200"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存放位置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1</w:t>
                  </w:r>
                </w:p>
              </w:tc>
              <w:tc>
                <w:tcPr>
                  <w:tcW w:w="1238" w:type="pc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板材</w:t>
                  </w:r>
                </w:p>
              </w:tc>
              <w:tc>
                <w:tcPr>
                  <w:tcW w:w="1070" w:type="pc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lang w:val="en-US" w:eastAsia="zh-CN"/>
                    </w:rPr>
                    <w:t>1000</w:t>
                  </w:r>
                  <w:r>
                    <w:rPr>
                      <w:rFonts w:hint="default" w:ascii="Times New Roman" w:hAnsi="Times New Roman" w:cs="Times New Roman"/>
                      <w:color w:val="auto"/>
                    </w:rPr>
                    <w:t>t/a</w:t>
                  </w:r>
                </w:p>
              </w:tc>
              <w:tc>
                <w:tcPr>
                  <w:tcW w:w="909" w:type="pc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堆放</w:t>
                  </w:r>
                </w:p>
              </w:tc>
              <w:tc>
                <w:tcPr>
                  <w:tcW w:w="1200"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原料区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2</w:t>
                  </w:r>
                </w:p>
              </w:tc>
              <w:tc>
                <w:tcPr>
                  <w:tcW w:w="1238" w:type="pc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lang w:val="en-US" w:eastAsia="zh-CN"/>
                    </w:rPr>
                    <w:t>H</w:t>
                  </w:r>
                  <w:r>
                    <w:rPr>
                      <w:rFonts w:hint="default" w:ascii="Times New Roman" w:hAnsi="Times New Roman" w:cs="Times New Roman"/>
                      <w:color w:val="auto"/>
                    </w:rPr>
                    <w:t>型钢</w:t>
                  </w:r>
                </w:p>
              </w:tc>
              <w:tc>
                <w:tcPr>
                  <w:tcW w:w="1070" w:type="pc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lang w:val="en-US" w:eastAsia="zh-CN"/>
                    </w:rPr>
                    <w:t>500</w:t>
                  </w:r>
                  <w:r>
                    <w:rPr>
                      <w:rFonts w:hint="default" w:ascii="Times New Roman" w:hAnsi="Times New Roman" w:cs="Times New Roman"/>
                      <w:color w:val="auto"/>
                    </w:rPr>
                    <w:t>t/a</w:t>
                  </w:r>
                </w:p>
              </w:tc>
              <w:tc>
                <w:tcPr>
                  <w:tcW w:w="909" w:type="pc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堆放</w:t>
                  </w:r>
                </w:p>
              </w:tc>
              <w:tc>
                <w:tcPr>
                  <w:tcW w:w="1200"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原料区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w:t>
                  </w:r>
                </w:p>
              </w:tc>
              <w:tc>
                <w:tcPr>
                  <w:tcW w:w="1238"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槽钢</w:t>
                  </w:r>
                </w:p>
              </w:tc>
              <w:tc>
                <w:tcPr>
                  <w:tcW w:w="107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1000</w:t>
                  </w:r>
                  <w:r>
                    <w:rPr>
                      <w:rFonts w:hint="default" w:ascii="Times New Roman" w:hAnsi="Times New Roman" w:cs="Times New Roman"/>
                      <w:color w:val="auto"/>
                    </w:rPr>
                    <w:t>t/a</w:t>
                  </w:r>
                </w:p>
              </w:tc>
              <w:tc>
                <w:tcPr>
                  <w:tcW w:w="909"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堆放</w:t>
                  </w:r>
                </w:p>
              </w:tc>
              <w:tc>
                <w:tcPr>
                  <w:tcW w:w="1200"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原料区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w:t>
                  </w:r>
                </w:p>
              </w:tc>
              <w:tc>
                <w:tcPr>
                  <w:tcW w:w="1238"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角钢</w:t>
                  </w:r>
                </w:p>
              </w:tc>
              <w:tc>
                <w:tcPr>
                  <w:tcW w:w="107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500</w:t>
                  </w:r>
                  <w:r>
                    <w:rPr>
                      <w:rFonts w:hint="default" w:ascii="Times New Roman" w:hAnsi="Times New Roman" w:cs="Times New Roman"/>
                      <w:color w:val="auto"/>
                    </w:rPr>
                    <w:t>t/a</w:t>
                  </w:r>
                </w:p>
              </w:tc>
              <w:tc>
                <w:tcPr>
                  <w:tcW w:w="909"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堆放</w:t>
                  </w:r>
                </w:p>
              </w:tc>
              <w:tc>
                <w:tcPr>
                  <w:tcW w:w="1200"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原料区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w:t>
                  </w:r>
                </w:p>
              </w:tc>
              <w:tc>
                <w:tcPr>
                  <w:tcW w:w="1238"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焊丝、焊条</w:t>
                  </w:r>
                </w:p>
              </w:tc>
              <w:tc>
                <w:tcPr>
                  <w:tcW w:w="107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2t/a</w:t>
                  </w:r>
                </w:p>
              </w:tc>
              <w:tc>
                <w:tcPr>
                  <w:tcW w:w="909"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箱装</w:t>
                  </w:r>
                </w:p>
              </w:tc>
              <w:tc>
                <w:tcPr>
                  <w:tcW w:w="1200"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w:t>
                  </w:r>
                </w:p>
              </w:tc>
              <w:tc>
                <w:tcPr>
                  <w:tcW w:w="1238"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水性丙烯酸涂料</w:t>
                  </w:r>
                </w:p>
              </w:tc>
              <w:tc>
                <w:tcPr>
                  <w:tcW w:w="107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0.54t/a</w:t>
                  </w:r>
                </w:p>
              </w:tc>
              <w:tc>
                <w:tcPr>
                  <w:tcW w:w="909"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桶装</w:t>
                  </w:r>
                </w:p>
              </w:tc>
              <w:tc>
                <w:tcPr>
                  <w:tcW w:w="1200"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水性漆存放间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w:t>
                  </w:r>
                </w:p>
              </w:tc>
              <w:tc>
                <w:tcPr>
                  <w:tcW w:w="1238"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氧气</w:t>
                  </w:r>
                </w:p>
              </w:tc>
              <w:tc>
                <w:tcPr>
                  <w:tcW w:w="107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300m</w:t>
                  </w:r>
                  <w:r>
                    <w:rPr>
                      <w:rFonts w:hint="default" w:ascii="Times New Roman" w:hAnsi="Times New Roman" w:cs="Times New Roman"/>
                      <w:color w:val="auto"/>
                      <w:vertAlign w:val="superscript"/>
                      <w:lang w:val="en-US" w:eastAsia="zh-CN"/>
                    </w:rPr>
                    <w:t>3</w:t>
                  </w:r>
                </w:p>
              </w:tc>
              <w:tc>
                <w:tcPr>
                  <w:tcW w:w="909"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钢瓶</w:t>
                  </w:r>
                </w:p>
              </w:tc>
              <w:tc>
                <w:tcPr>
                  <w:tcW w:w="1200"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气灌储存区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w:t>
                  </w:r>
                </w:p>
              </w:tc>
              <w:tc>
                <w:tcPr>
                  <w:tcW w:w="1238"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二氧化碳</w:t>
                  </w:r>
                </w:p>
              </w:tc>
              <w:tc>
                <w:tcPr>
                  <w:tcW w:w="107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300m</w:t>
                  </w:r>
                  <w:r>
                    <w:rPr>
                      <w:rFonts w:hint="default" w:ascii="Times New Roman" w:hAnsi="Times New Roman" w:cs="Times New Roman"/>
                      <w:color w:val="auto"/>
                      <w:vertAlign w:val="superscript"/>
                      <w:lang w:val="en-US" w:eastAsia="zh-CN"/>
                    </w:rPr>
                    <w:t>3</w:t>
                  </w:r>
                </w:p>
              </w:tc>
              <w:tc>
                <w:tcPr>
                  <w:tcW w:w="909"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钢瓶</w:t>
                  </w:r>
                </w:p>
              </w:tc>
              <w:tc>
                <w:tcPr>
                  <w:tcW w:w="1200" w:type="pc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lang w:eastAsia="zh-CN"/>
                    </w:rPr>
                    <w:t>气灌储存区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w:t>
                  </w:r>
                </w:p>
              </w:tc>
              <w:tc>
                <w:tcPr>
                  <w:tcW w:w="1238"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天然气</w:t>
                  </w:r>
                </w:p>
              </w:tc>
              <w:tc>
                <w:tcPr>
                  <w:tcW w:w="107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400m</w:t>
                  </w:r>
                  <w:r>
                    <w:rPr>
                      <w:rFonts w:hint="default" w:ascii="Times New Roman" w:hAnsi="Times New Roman" w:cs="Times New Roman"/>
                      <w:color w:val="auto"/>
                      <w:vertAlign w:val="superscript"/>
                      <w:lang w:val="en-US" w:eastAsia="zh-CN"/>
                    </w:rPr>
                    <w:t>3</w:t>
                  </w:r>
                </w:p>
              </w:tc>
              <w:tc>
                <w:tcPr>
                  <w:tcW w:w="909"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钢瓶</w:t>
                  </w:r>
                </w:p>
              </w:tc>
              <w:tc>
                <w:tcPr>
                  <w:tcW w:w="1200" w:type="pc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lang w:eastAsia="zh-CN"/>
                    </w:rPr>
                    <w:t>气灌储存区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w:t>
                  </w:r>
                </w:p>
              </w:tc>
              <w:tc>
                <w:tcPr>
                  <w:tcW w:w="1238"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水</w:t>
                  </w:r>
                </w:p>
              </w:tc>
              <w:tc>
                <w:tcPr>
                  <w:tcW w:w="107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1000m</w:t>
                  </w:r>
                  <w:r>
                    <w:rPr>
                      <w:rFonts w:hint="default" w:ascii="Times New Roman" w:hAnsi="Times New Roman" w:cs="Times New Roman"/>
                      <w:color w:val="auto"/>
                      <w:vertAlign w:val="superscript"/>
                      <w:lang w:val="en-US" w:eastAsia="zh-CN"/>
                    </w:rPr>
                    <w:t>3</w:t>
                  </w:r>
                </w:p>
              </w:tc>
              <w:tc>
                <w:tcPr>
                  <w:tcW w:w="909"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20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w:t>
                  </w:r>
                </w:p>
              </w:tc>
              <w:tc>
                <w:tcPr>
                  <w:tcW w:w="1238" w:type="pct"/>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电</w:t>
                  </w:r>
                </w:p>
              </w:tc>
              <w:tc>
                <w:tcPr>
                  <w:tcW w:w="107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6000kM·h</w:t>
                  </w:r>
                </w:p>
              </w:tc>
              <w:tc>
                <w:tcPr>
                  <w:tcW w:w="909"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c>
                <w:tcPr>
                  <w:tcW w:w="1200" w:type="pct"/>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p>
              </w:tc>
            </w:tr>
          </w:tbl>
          <w:p>
            <w:pPr>
              <w:numPr>
                <w:ilvl w:val="0"/>
                <w:numId w:val="1"/>
              </w:numPr>
              <w:spacing w:line="360" w:lineRule="auto"/>
              <w:ind w:firstLine="240" w:firstLineChars="100"/>
              <w:rPr>
                <w:rFonts w:hint="default" w:ascii="Times New Roman" w:hAnsi="Times New Roman" w:cs="Times New Roman"/>
                <w:color w:val="auto"/>
                <w:lang w:eastAsia="zh-CN"/>
              </w:rPr>
            </w:pPr>
            <w:r>
              <w:rPr>
                <w:rFonts w:hint="default" w:ascii="Times New Roman" w:hAnsi="Times New Roman" w:cs="Times New Roman"/>
                <w:color w:val="auto"/>
              </w:rPr>
              <w:t>项目原辅材料</w:t>
            </w:r>
            <w:r>
              <w:rPr>
                <w:rFonts w:hint="default" w:ascii="Times New Roman" w:hAnsi="Times New Roman" w:cs="Times New Roman"/>
                <w:color w:val="auto"/>
                <w:lang w:eastAsia="zh-CN"/>
              </w:rPr>
              <w:t>特性</w:t>
            </w:r>
          </w:p>
          <w:p>
            <w:pPr>
              <w:pStyle w:val="19"/>
              <w:bidi w:val="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表</w:t>
            </w:r>
            <w:r>
              <w:rPr>
                <w:rFonts w:hint="default" w:ascii="Times New Roman" w:hAnsi="Times New Roman" w:cs="Times New Roman"/>
                <w:color w:val="auto"/>
                <w:lang w:val="en-US" w:eastAsia="zh-CN"/>
              </w:rPr>
              <w:t>1-5项目主要原辅材料理化性质一览表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1"/>
              <w:gridCol w:w="6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1"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物料名称</w:t>
                  </w:r>
                </w:p>
              </w:tc>
              <w:tc>
                <w:tcPr>
                  <w:tcW w:w="6825"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理化性质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1"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钢材</w:t>
                  </w:r>
                </w:p>
              </w:tc>
              <w:tc>
                <w:tcPr>
                  <w:tcW w:w="6825" w:type="dxa"/>
                  <w:noWrap w:val="0"/>
                  <w:vAlign w:val="center"/>
                </w:tcPr>
                <w:p>
                  <w:pPr>
                    <w:pStyle w:val="18"/>
                    <w:bidi w:val="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一般碳钢，主要成分为 Fe 以及 C、Si、Mn、P、S 等非金属杂质，不含 Cr、Mo、Ni 等重金属。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1"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焊丝、焊条</w:t>
                  </w:r>
                </w:p>
              </w:tc>
              <w:tc>
                <w:tcPr>
                  <w:tcW w:w="6825"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焊条、焊丝是作为填充金属或同时作为导电用的金属丝焊接材料。用于焊接较重要的低碳钢结构和强度等级低的低合金钢，一般用于焊接钢结构和普通碳钢管道的焊接。具有优良的焊接工艺性能和力学性能，电弧稳定，飞溅少，脱渣容易，焊缝成型美观。其主要成分为 Fe96%、C0.2%、Mnl.2%、Sil%、P0.04%、S0.035%、Ni0.3%、Ci0.2%、Mo0.3%、V0.08%。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1"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水性丙烯酸漆</w:t>
                  </w:r>
                </w:p>
              </w:tc>
              <w:tc>
                <w:tcPr>
                  <w:tcW w:w="6825" w:type="dxa"/>
                  <w:noWrap w:val="0"/>
                  <w:vAlign w:val="center"/>
                </w:tcPr>
                <w:p>
                  <w:pPr>
                    <w:pStyle w:val="18"/>
                    <w:bidi w:val="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使用水性丙烯酸漆，由苯乙烯、丙烯酸共聚乳液（40.0%）、金红石（5%）、酞菁蓝（2%）、水（50.97%）、烷基苯酚聚乙二醇磷酸盐（0.2）、2-氨基-2-甲基-1-丙醇（0.2%）、萘磺酸、甲醛的聚合物钠盐(9Cl)（0.1%）、聚二甲基硅氧烷（0.1%）、[1,2-亚乙基二(氧)]二甲醇（0.03%）组成，使用水稀释。丙烯酸聚合物是丙烯酸及其衍生物的聚合物。密度约1.3g/cm</w:t>
                  </w:r>
                  <w:r>
                    <w:rPr>
                      <w:rFonts w:hint="default"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，沸点：126℃。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1"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天然气</w:t>
                  </w:r>
                </w:p>
              </w:tc>
              <w:tc>
                <w:tcPr>
                  <w:tcW w:w="6825" w:type="dxa"/>
                  <w:noWrap w:val="0"/>
                  <w:vAlign w:val="center"/>
                </w:tcPr>
                <w:p>
                  <w:pPr>
                    <w:pStyle w:val="18"/>
                    <w:bidi w:val="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无色气体，纯品无臭。熔点（℃）-182.5，沸点（℃）-160，相对蒸气密度（水=1）0.45，燃烧热（kJ/mol）803，临界温度（℃）-82.6，临界压力（MPa）4.62，溶解性：溶于水。二氧化碳（化学式：CO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）是空气中常见的温室气体，是一种气态化合物，碳与氧反应生成其化学式为CO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，一个二氧化碳分子由两个氧原子与一个碳原子通过共价键构成。二氧化碳常温下是一种无色无味、不可燃的气体，密度比空气大，略溶于水，与水反应生成碳酸。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1"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氧气</w:t>
                  </w:r>
                </w:p>
              </w:tc>
              <w:tc>
                <w:tcPr>
                  <w:tcW w:w="6825"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氧含量为99.2%，含有一氧化碳、二氧化碳、乙炔等对人体有害的杂质。化学式O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，式量32.00，无色无味气体，氧元素最常见的单质形态。熔点-218.4℃，沸点-183℃，密度 1.141x103kg/m</w:t>
                  </w:r>
                  <w:r>
                    <w:rPr>
                      <w:rFonts w:hint="default" w:ascii="Times New Roman" w:hAnsi="Times New Roman" w:cs="Times New Roman"/>
                      <w:color w:val="auto"/>
                      <w:vertAlign w:val="superscript"/>
                      <w:lang w:val="en-US" w:eastAsia="zh-CN"/>
                    </w:rPr>
                    <w:t>3</w:t>
                  </w:r>
                  <w:r>
                    <w:rPr>
                      <w:rFonts w:hint="default" w:ascii="Times New Roman" w:hAnsi="Times New Roman" w:cs="Times New Roman"/>
                      <w:color w:val="auto"/>
                      <w:lang w:val="en-US" w:eastAsia="zh-CN"/>
                    </w:rPr>
                    <w:t>。它本身作为助燃剂与丙烷等高燃气体配合使用，达到焊割金属的作用，各行各业中，特别是机械企业里用途很广，作为切割之用也很方便，是首选的一种切割方法。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1"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二氧化碳</w:t>
                  </w:r>
                </w:p>
              </w:tc>
              <w:tc>
                <w:tcPr>
                  <w:tcW w:w="6825" w:type="dxa"/>
                  <w:noWrap w:val="0"/>
                  <w:vAlign w:val="center"/>
                </w:tcPr>
                <w:p>
                  <w:pPr>
                    <w:pStyle w:val="18"/>
                    <w:bidi w:val="0"/>
                    <w:jc w:val="lef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二氧化碳（化学式：CO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）是空气中常见的温室气体，是一种气态化合物，碳与氧反应生成其化学式为CO</w:t>
                  </w:r>
                  <w:r>
                    <w:rPr>
                      <w:rFonts w:hint="default" w:ascii="Times New Roman" w:hAnsi="Times New Roman" w:cs="Times New Roman"/>
                      <w:color w:val="auto"/>
                      <w:vertAlign w:val="subscript"/>
                      <w:lang w:val="en-US" w:eastAsia="zh-CN"/>
                    </w:rPr>
                    <w:t>2</w:t>
                  </w:r>
                  <w:r>
                    <w:rPr>
                      <w:rFonts w:hint="default" w:ascii="Times New Roman" w:hAnsi="Times New Roman" w:cs="Times New Roman"/>
                      <w:color w:val="auto"/>
                      <w:lang w:val="en-US" w:eastAsia="zh-CN"/>
                    </w:rPr>
                    <w:t>，一个二氧化碳分子由两个氧原子与一个碳原子通过共价键构成。二氧化碳常温下是一种无色无味、不可燃的气体，密度比空气大，略溶于水，与水反应生成碳酸。</w:t>
                  </w:r>
                </w:p>
              </w:tc>
            </w:tr>
          </w:tbl>
          <w:p>
            <w:pPr>
              <w:spacing w:line="360" w:lineRule="auto"/>
              <w:ind w:left="0" w:leftChars="0" w:firstLine="0" w:firstLineChars="0"/>
              <w:rPr>
                <w:rFonts w:hint="default" w:ascii="Times New Roman" w:hAnsi="Times New Roman" w:cs="Times New Roman"/>
                <w:color w:val="auto"/>
              </w:rPr>
            </w:pPr>
            <w:r>
              <w:rPr>
                <w:rFonts w:hint="default" w:ascii="Times New Roman" w:hAnsi="Times New Roman" w:cs="Times New Roman"/>
                <w:color w:val="auto"/>
                <w:lang w:eastAsia="zh-CN"/>
              </w:rPr>
              <w:t>八</w:t>
            </w:r>
            <w:r>
              <w:rPr>
                <w:rFonts w:hint="default" w:ascii="Times New Roman" w:hAnsi="Times New Roman" w:cs="Times New Roman"/>
                <w:color w:val="auto"/>
              </w:rPr>
              <w:t>、公用工程</w:t>
            </w:r>
          </w:p>
          <w:p>
            <w:pPr>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lang w:val="en-US" w:eastAsia="zh-CN"/>
              </w:rPr>
              <w:t>1、</w:t>
            </w:r>
            <w:r>
              <w:rPr>
                <w:rFonts w:hint="default" w:ascii="Times New Roman" w:hAnsi="Times New Roman" w:cs="Times New Roman"/>
                <w:color w:val="auto"/>
              </w:rPr>
              <w:t>供水系统</w:t>
            </w:r>
          </w:p>
          <w:p>
            <w:pPr>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rPr>
              <w:t>项目生产、生活及绿化用水均由园区供水管网直接供给。</w:t>
            </w:r>
          </w:p>
          <w:p>
            <w:pPr>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lang w:val="en-US" w:eastAsia="zh-CN"/>
              </w:rPr>
              <w:t>2、</w:t>
            </w:r>
            <w:r>
              <w:rPr>
                <w:rFonts w:hint="default" w:ascii="Times New Roman" w:hAnsi="Times New Roman" w:cs="Times New Roman"/>
                <w:color w:val="auto"/>
              </w:rPr>
              <w:t>排水系统</w:t>
            </w:r>
          </w:p>
          <w:p>
            <w:pPr>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rPr>
              <w:t>生产废水：本项目为钢材生产，生产过程中水性丙烯酸涂料在生产过程中需要用自来水进行调漆。本项目调漆用水全部挥发或进入产品，因此生产过程中无生产废水产生。</w:t>
            </w:r>
          </w:p>
          <w:p>
            <w:pPr>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rPr>
              <w:t>生活废水：</w:t>
            </w:r>
            <w:r>
              <w:rPr>
                <w:rFonts w:hint="default" w:ascii="Times New Roman" w:hAnsi="Times New Roman" w:cs="Times New Roman"/>
                <w:color w:val="auto"/>
                <w:lang w:eastAsia="zh-CN"/>
              </w:rPr>
              <w:t>本项目员工均不在项目区食宿，上厕使用工业园区公共卫生间，运营过程中无生活污水产生</w:t>
            </w:r>
            <w:r>
              <w:rPr>
                <w:rFonts w:hint="default" w:ascii="Times New Roman" w:hAnsi="Times New Roman" w:cs="Times New Roman"/>
                <w:color w:val="auto"/>
              </w:rPr>
              <w:t>。</w:t>
            </w:r>
          </w:p>
          <w:p>
            <w:pPr>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lang w:val="en-US" w:eastAsia="zh-CN"/>
              </w:rPr>
              <w:t>3、</w:t>
            </w:r>
            <w:r>
              <w:rPr>
                <w:rFonts w:hint="default" w:ascii="Times New Roman" w:hAnsi="Times New Roman" w:cs="Times New Roman"/>
                <w:color w:val="auto"/>
              </w:rPr>
              <w:t>供配电</w:t>
            </w:r>
          </w:p>
          <w:p>
            <w:pPr>
              <w:spacing w:line="360" w:lineRule="auto"/>
              <w:ind w:firstLine="480" w:firstLineChars="200"/>
              <w:rPr>
                <w:rFonts w:hint="default" w:ascii="Times New Roman" w:hAnsi="Times New Roman" w:cs="Times New Roman"/>
                <w:color w:val="auto"/>
                <w:lang w:val="en-US" w:eastAsia="zh-CN"/>
              </w:rPr>
            </w:pPr>
            <w:r>
              <w:rPr>
                <w:rFonts w:hint="default" w:ascii="Times New Roman" w:hAnsi="Times New Roman" w:cs="Times New Roman"/>
                <w:color w:val="auto"/>
              </w:rPr>
              <w:t>本项目用电按用电性质分为生产用电、建筑物用电和其他用电等。根据项目实际建设情况，项目厂区供电依托于富民工业园区大营片区电网供电。</w:t>
            </w:r>
          </w:p>
          <w:p>
            <w:pPr>
              <w:spacing w:line="360" w:lineRule="auto"/>
              <w:ind w:left="0" w:leftChars="0" w:firstLine="0" w:firstLineChars="0"/>
              <w:rPr>
                <w:rFonts w:hint="default" w:ascii="Times New Roman" w:hAnsi="Times New Roman" w:cs="Times New Roman"/>
                <w:color w:val="auto"/>
              </w:rPr>
            </w:pPr>
            <w:r>
              <w:rPr>
                <w:rFonts w:hint="default" w:ascii="Times New Roman" w:hAnsi="Times New Roman" w:cs="Times New Roman"/>
                <w:color w:val="auto"/>
                <w:lang w:val="en-US" w:eastAsia="zh-CN"/>
              </w:rPr>
              <w:t>九</w:t>
            </w:r>
            <w:r>
              <w:rPr>
                <w:rFonts w:hint="default" w:ascii="Times New Roman" w:hAnsi="Times New Roman" w:cs="Times New Roman"/>
                <w:color w:val="auto"/>
              </w:rPr>
              <w:t>、项目劳动定员及工作制度</w:t>
            </w:r>
          </w:p>
          <w:p>
            <w:pPr>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rPr>
              <w:t>①劳动定员：</w:t>
            </w:r>
            <w:r>
              <w:rPr>
                <w:rFonts w:hint="default" w:ascii="Times New Roman" w:hAnsi="Times New Roman" w:cs="Times New Roman"/>
                <w:color w:val="auto"/>
                <w:lang w:val="zh-CN" w:eastAsia="zh-CN"/>
              </w:rPr>
              <w:t>本项目总劳动定员为</w:t>
            </w:r>
            <w:r>
              <w:rPr>
                <w:rFonts w:hint="default" w:ascii="Times New Roman" w:hAnsi="Times New Roman" w:cs="Times New Roman"/>
                <w:color w:val="auto"/>
                <w:lang w:val="en-US" w:eastAsia="zh-CN"/>
              </w:rPr>
              <w:t>20</w:t>
            </w:r>
            <w:r>
              <w:rPr>
                <w:rFonts w:hint="default" w:ascii="Times New Roman" w:hAnsi="Times New Roman" w:cs="Times New Roman"/>
                <w:color w:val="auto"/>
                <w:lang w:val="zh-CN" w:eastAsia="zh-CN"/>
              </w:rPr>
              <w:t>人，均不在项目区食宿</w:t>
            </w:r>
            <w:r>
              <w:rPr>
                <w:rFonts w:hint="default" w:ascii="Times New Roman" w:hAnsi="Times New Roman" w:cs="Times New Roman"/>
                <w:color w:val="auto"/>
                <w:lang w:eastAsia="zh-CN"/>
              </w:rPr>
              <w:t>。</w:t>
            </w:r>
          </w:p>
          <w:p>
            <w:pPr>
              <w:spacing w:line="360" w:lineRule="auto"/>
              <w:ind w:firstLine="480"/>
              <w:rPr>
                <w:rFonts w:hint="default" w:ascii="Times New Roman" w:hAnsi="Times New Roman" w:cs="Times New Roman"/>
                <w:color w:val="auto"/>
                <w:lang w:val="zh-CN" w:eastAsia="zh-CN"/>
              </w:rPr>
            </w:pPr>
            <w:r>
              <w:rPr>
                <w:rFonts w:hint="default" w:ascii="Times New Roman" w:hAnsi="Times New Roman" w:cs="Times New Roman"/>
                <w:color w:val="auto"/>
              </w:rPr>
              <w:t>②工作制度：车间生产采用单班运转工作制，每班工作时间8小时，年工作日</w:t>
            </w:r>
            <w:r>
              <w:rPr>
                <w:rFonts w:hint="default" w:ascii="Times New Roman" w:hAnsi="Times New Roman" w:cs="Times New Roman"/>
                <w:color w:val="auto"/>
                <w:lang w:val="en-US" w:eastAsia="zh-CN"/>
              </w:rPr>
              <w:t>300</w:t>
            </w:r>
            <w:r>
              <w:rPr>
                <w:rFonts w:hint="default" w:ascii="Times New Roman" w:hAnsi="Times New Roman" w:cs="Times New Roman"/>
                <w:color w:val="auto"/>
              </w:rPr>
              <w:t>天</w:t>
            </w:r>
            <w:r>
              <w:rPr>
                <w:rFonts w:hint="default" w:ascii="Times New Roman" w:hAnsi="Times New Roman" w:cs="Times New Roman"/>
                <w:color w:val="auto"/>
                <w:lang w:eastAsia="zh-CN"/>
              </w:rPr>
              <w:t>。</w:t>
            </w:r>
          </w:p>
          <w:p>
            <w:pPr>
              <w:spacing w:line="360" w:lineRule="auto"/>
              <w:ind w:left="0" w:leftChars="0" w:firstLine="0" w:firstLineChars="0"/>
              <w:rPr>
                <w:rFonts w:hint="default" w:ascii="Times New Roman" w:hAnsi="Times New Roman" w:cs="Times New Roman"/>
                <w:color w:val="auto"/>
              </w:rPr>
            </w:pPr>
            <w:r>
              <w:rPr>
                <w:rFonts w:hint="default" w:ascii="Times New Roman" w:hAnsi="Times New Roman" w:cs="Times New Roman"/>
                <w:color w:val="auto"/>
                <w:lang w:eastAsia="zh-CN"/>
              </w:rPr>
              <w:t>十</w:t>
            </w:r>
            <w:r>
              <w:rPr>
                <w:rFonts w:hint="default" w:ascii="Times New Roman" w:hAnsi="Times New Roman" w:cs="Times New Roman"/>
                <w:color w:val="auto"/>
              </w:rPr>
              <w:t>、环保投资</w:t>
            </w:r>
          </w:p>
          <w:p>
            <w:pPr>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rPr>
              <w:t>项目总投资</w:t>
            </w:r>
            <w:r>
              <w:rPr>
                <w:rFonts w:hint="default" w:ascii="Times New Roman" w:hAnsi="Times New Roman" w:cs="Times New Roman"/>
                <w:color w:val="auto"/>
                <w:lang w:val="en-US" w:eastAsia="zh-CN"/>
              </w:rPr>
              <w:t>1000</w:t>
            </w:r>
            <w:r>
              <w:rPr>
                <w:rFonts w:hint="default" w:ascii="Times New Roman" w:hAnsi="Times New Roman" w:cs="Times New Roman"/>
                <w:color w:val="auto"/>
              </w:rPr>
              <w:t>万元，其中环保投资</w:t>
            </w:r>
            <w:r>
              <w:rPr>
                <w:rFonts w:hint="default" w:ascii="Times New Roman" w:hAnsi="Times New Roman" w:cs="Times New Roman"/>
                <w:color w:val="auto"/>
                <w:lang w:val="en-US" w:eastAsia="zh-CN"/>
              </w:rPr>
              <w:t>18.5万元</w:t>
            </w:r>
            <w:r>
              <w:rPr>
                <w:rFonts w:hint="default" w:ascii="Times New Roman" w:hAnsi="Times New Roman" w:cs="Times New Roman"/>
                <w:color w:val="auto"/>
              </w:rPr>
              <w:t>，占总投资的</w:t>
            </w:r>
            <w:r>
              <w:rPr>
                <w:rFonts w:hint="default" w:ascii="Times New Roman" w:hAnsi="Times New Roman" w:cs="Times New Roman"/>
                <w:color w:val="auto"/>
                <w:lang w:val="en-US" w:eastAsia="zh-CN"/>
              </w:rPr>
              <w:t>1.85%</w:t>
            </w:r>
            <w:r>
              <w:rPr>
                <w:rFonts w:hint="default" w:ascii="Times New Roman" w:hAnsi="Times New Roman" w:cs="Times New Roman"/>
                <w:color w:val="auto"/>
              </w:rPr>
              <w:t>，项目环保工程主要包</w:t>
            </w:r>
            <w:r>
              <w:rPr>
                <w:rFonts w:hint="default" w:ascii="Times New Roman" w:hAnsi="Times New Roman" w:cs="Times New Roman"/>
                <w:color w:val="auto"/>
                <w:lang w:eastAsia="zh-CN"/>
              </w:rPr>
              <w:t>喷漆废气处理系统、</w:t>
            </w:r>
            <w:r>
              <w:rPr>
                <w:rFonts w:hint="default" w:ascii="Times New Roman" w:hAnsi="Times New Roman" w:cs="Times New Roman"/>
                <w:color w:val="auto"/>
              </w:rPr>
              <w:t>危废储存间、垃圾</w:t>
            </w:r>
            <w:r>
              <w:rPr>
                <w:rFonts w:hint="default" w:ascii="Times New Roman" w:hAnsi="Times New Roman" w:cs="Times New Roman"/>
                <w:color w:val="auto"/>
                <w:lang w:eastAsia="zh-CN"/>
              </w:rPr>
              <w:t>收集装置</w:t>
            </w:r>
            <w:r>
              <w:rPr>
                <w:rFonts w:hint="default" w:ascii="Times New Roman" w:hAnsi="Times New Roman" w:cs="Times New Roman"/>
                <w:color w:val="auto"/>
              </w:rPr>
              <w:t>、</w:t>
            </w:r>
            <w:r>
              <w:rPr>
                <w:rFonts w:hint="default" w:ascii="Times New Roman" w:hAnsi="Times New Roman" w:cs="Times New Roman"/>
                <w:color w:val="auto"/>
                <w:lang w:eastAsia="zh-CN"/>
              </w:rPr>
              <w:t>设备减震降噪</w:t>
            </w:r>
            <w:r>
              <w:rPr>
                <w:rFonts w:hint="default" w:ascii="Times New Roman" w:hAnsi="Times New Roman" w:cs="Times New Roman"/>
                <w:color w:val="auto"/>
              </w:rPr>
              <w:t>等。具体环保投资见下表。</w:t>
            </w:r>
          </w:p>
          <w:p>
            <w:pPr>
              <w:pStyle w:val="19"/>
              <w:bidi w:val="0"/>
              <w:rPr>
                <w:rFonts w:hint="default" w:ascii="Times New Roman" w:hAnsi="Times New Roman" w:cs="Times New Roman"/>
                <w:color w:val="auto"/>
              </w:rPr>
            </w:pPr>
            <w:r>
              <w:rPr>
                <w:rFonts w:hint="default" w:ascii="Times New Roman" w:hAnsi="Times New Roman" w:cs="Times New Roman"/>
                <w:color w:val="auto"/>
              </w:rPr>
              <w:t>表1-</w:t>
            </w:r>
            <w:r>
              <w:rPr>
                <w:rFonts w:hint="default" w:ascii="Times New Roman" w:hAnsi="Times New Roman" w:cs="Times New Roman"/>
                <w:color w:val="auto"/>
                <w:lang w:val="en-US" w:eastAsia="zh-CN"/>
              </w:rPr>
              <w:t>6</w:t>
            </w:r>
            <w:r>
              <w:rPr>
                <w:rFonts w:hint="default" w:ascii="Times New Roman" w:hAnsi="Times New Roman" w:cs="Times New Roman"/>
                <w:color w:val="auto"/>
              </w:rPr>
              <w:t xml:space="preserve">  项目环保投资一览表 单位：万元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8"/>
              <w:gridCol w:w="3050"/>
              <w:gridCol w:w="1854"/>
              <w:gridCol w:w="1077"/>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8"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项目</w:t>
                  </w:r>
                </w:p>
              </w:tc>
              <w:tc>
                <w:tcPr>
                  <w:tcW w:w="3050"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环保措施</w:t>
                  </w:r>
                </w:p>
              </w:tc>
              <w:tc>
                <w:tcPr>
                  <w:tcW w:w="1854"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处理对象</w:t>
                  </w:r>
                </w:p>
              </w:tc>
              <w:tc>
                <w:tcPr>
                  <w:tcW w:w="1077"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投资金额</w:t>
                  </w:r>
                </w:p>
              </w:tc>
              <w:tc>
                <w:tcPr>
                  <w:tcW w:w="1407"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8" w:type="dxa"/>
                  <w:vMerge w:val="restar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废气治理</w:t>
                  </w:r>
                </w:p>
              </w:tc>
              <w:tc>
                <w:tcPr>
                  <w:tcW w:w="3050"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集气罩+</w:t>
                  </w:r>
                  <w:r>
                    <w:rPr>
                      <w:rFonts w:hint="default" w:ascii="Times New Roman" w:hAnsi="Times New Roman" w:cs="Times New Roman"/>
                      <w:color w:val="auto"/>
                      <w:lang w:eastAsia="zh-CN"/>
                    </w:rPr>
                    <w:t>过滤棉+活性炭</w:t>
                  </w:r>
                  <w:r>
                    <w:rPr>
                      <w:rFonts w:hint="default" w:ascii="Times New Roman" w:hAnsi="Times New Roman" w:cs="Times New Roman"/>
                      <w:color w:val="auto"/>
                    </w:rPr>
                    <w:t>吸附装置</w:t>
                  </w:r>
                </w:p>
              </w:tc>
              <w:tc>
                <w:tcPr>
                  <w:tcW w:w="1854"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喷漆车间</w:t>
                  </w:r>
                </w:p>
              </w:tc>
              <w:tc>
                <w:tcPr>
                  <w:tcW w:w="1077"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12</w:t>
                  </w:r>
                </w:p>
              </w:tc>
              <w:tc>
                <w:tcPr>
                  <w:tcW w:w="1407" w:type="dxa"/>
                  <w:vMerge w:val="restar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环评新增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8" w:type="dxa"/>
                  <w:vMerge w:val="continue"/>
                  <w:noWrap w:val="0"/>
                  <w:vAlign w:val="center"/>
                </w:tcPr>
                <w:p>
                  <w:pPr>
                    <w:pStyle w:val="18"/>
                    <w:bidi w:val="0"/>
                    <w:rPr>
                      <w:rFonts w:hint="default" w:ascii="Times New Roman" w:hAnsi="Times New Roman" w:cs="Times New Roman"/>
                      <w:color w:val="auto"/>
                    </w:rPr>
                  </w:pPr>
                </w:p>
              </w:tc>
              <w:tc>
                <w:tcPr>
                  <w:tcW w:w="3050"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15m排气筒</w:t>
                  </w:r>
                </w:p>
              </w:tc>
              <w:tc>
                <w:tcPr>
                  <w:tcW w:w="1854"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喷漆车间</w:t>
                  </w:r>
                </w:p>
              </w:tc>
              <w:tc>
                <w:tcPr>
                  <w:tcW w:w="1077"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3</w:t>
                  </w:r>
                </w:p>
              </w:tc>
              <w:tc>
                <w:tcPr>
                  <w:tcW w:w="1407" w:type="dxa"/>
                  <w:vMerge w:val="continue"/>
                  <w:noWrap w:val="0"/>
                  <w:vAlign w:val="center"/>
                </w:tcPr>
                <w:p>
                  <w:pPr>
                    <w:pStyle w:val="18"/>
                    <w:bidi w:val="0"/>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8" w:type="dxa"/>
                  <w:vMerge w:val="continue"/>
                  <w:noWrap w:val="0"/>
                  <w:vAlign w:val="center"/>
                </w:tcPr>
                <w:p>
                  <w:pPr>
                    <w:pStyle w:val="18"/>
                    <w:bidi w:val="0"/>
                    <w:rPr>
                      <w:rFonts w:hint="default" w:ascii="Times New Roman" w:hAnsi="Times New Roman" w:cs="Times New Roman"/>
                      <w:color w:val="auto"/>
                    </w:rPr>
                  </w:pPr>
                </w:p>
              </w:tc>
              <w:tc>
                <w:tcPr>
                  <w:tcW w:w="3050"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移动式除尘器</w:t>
                  </w:r>
                </w:p>
              </w:tc>
              <w:tc>
                <w:tcPr>
                  <w:tcW w:w="1854"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焊接烟尘、切割、机加工粉尘</w:t>
                  </w:r>
                </w:p>
              </w:tc>
              <w:tc>
                <w:tcPr>
                  <w:tcW w:w="1077"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c>
                <w:tcPr>
                  <w:tcW w:w="1407" w:type="dxa"/>
                  <w:vMerge w:val="continue"/>
                  <w:noWrap w:val="0"/>
                  <w:vAlign w:val="center"/>
                </w:tcPr>
                <w:p>
                  <w:pPr>
                    <w:pStyle w:val="18"/>
                    <w:bidi w:val="0"/>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8" w:type="dxa"/>
                  <w:vMerge w:val="restar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噪声治理</w:t>
                  </w:r>
                </w:p>
              </w:tc>
              <w:tc>
                <w:tcPr>
                  <w:tcW w:w="3050"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选用低噪设备，减震、消声、隔音</w:t>
                  </w:r>
                </w:p>
              </w:tc>
              <w:tc>
                <w:tcPr>
                  <w:tcW w:w="1854"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噪声较大生产线</w:t>
                  </w:r>
                </w:p>
              </w:tc>
              <w:tc>
                <w:tcPr>
                  <w:tcW w:w="1077"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w:t>
                  </w:r>
                </w:p>
              </w:tc>
              <w:tc>
                <w:tcPr>
                  <w:tcW w:w="1407"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计入工程总投资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8" w:type="dxa"/>
                  <w:vMerge w:val="continue"/>
                  <w:noWrap w:val="0"/>
                  <w:vAlign w:val="center"/>
                </w:tcPr>
                <w:p>
                  <w:pPr>
                    <w:pStyle w:val="18"/>
                    <w:bidi w:val="0"/>
                    <w:rPr>
                      <w:rFonts w:hint="default" w:ascii="Times New Roman" w:hAnsi="Times New Roman" w:cs="Times New Roman"/>
                      <w:color w:val="auto"/>
                    </w:rPr>
                  </w:pPr>
                </w:p>
              </w:tc>
              <w:tc>
                <w:tcPr>
                  <w:tcW w:w="3050"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建噪声房</w:t>
                  </w:r>
                </w:p>
              </w:tc>
              <w:tc>
                <w:tcPr>
                  <w:tcW w:w="1854"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噪声较大生产线</w:t>
                  </w:r>
                </w:p>
              </w:tc>
              <w:tc>
                <w:tcPr>
                  <w:tcW w:w="1077"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w:t>
                  </w:r>
                </w:p>
              </w:tc>
              <w:tc>
                <w:tcPr>
                  <w:tcW w:w="1407"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计入工程总投资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8" w:type="dxa"/>
                  <w:vMerge w:val="restart"/>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固体废弃物处置</w:t>
                  </w:r>
                </w:p>
              </w:tc>
              <w:tc>
                <w:tcPr>
                  <w:tcW w:w="3050"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危险废物暂存间</w:t>
                  </w:r>
                </w:p>
              </w:tc>
              <w:tc>
                <w:tcPr>
                  <w:tcW w:w="1854"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rPr>
                    <w:t>包装桶、废</w:t>
                  </w:r>
                  <w:r>
                    <w:rPr>
                      <w:rFonts w:hint="default" w:ascii="Times New Roman" w:hAnsi="Times New Roman" w:cs="Times New Roman"/>
                      <w:color w:val="auto"/>
                      <w:lang w:eastAsia="zh-CN"/>
                    </w:rPr>
                    <w:t>过滤棉、活性炭、废机油</w:t>
                  </w:r>
                </w:p>
              </w:tc>
              <w:tc>
                <w:tcPr>
                  <w:tcW w:w="1077"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2</w:t>
                  </w:r>
                </w:p>
              </w:tc>
              <w:tc>
                <w:tcPr>
                  <w:tcW w:w="1407"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rPr>
                    <w:t>作防渗防漏处理</w:t>
                  </w:r>
                  <w:r>
                    <w:rPr>
                      <w:rFonts w:hint="default" w:ascii="Times New Roman" w:hAnsi="Times New Roman" w:cs="Times New Roman"/>
                      <w:color w:val="auto"/>
                      <w:lang w:eastAsia="zh-CN"/>
                    </w:rPr>
                    <w:t>，建立台账记录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8" w:type="dxa"/>
                  <w:vMerge w:val="continue"/>
                  <w:noWrap w:val="0"/>
                  <w:vAlign w:val="center"/>
                </w:tcPr>
                <w:p>
                  <w:pPr>
                    <w:pStyle w:val="18"/>
                    <w:bidi w:val="0"/>
                    <w:rPr>
                      <w:rFonts w:hint="default" w:ascii="Times New Roman" w:hAnsi="Times New Roman" w:cs="Times New Roman"/>
                      <w:color w:val="auto"/>
                    </w:rPr>
                  </w:pPr>
                </w:p>
              </w:tc>
              <w:tc>
                <w:tcPr>
                  <w:tcW w:w="3050"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垃圾清运、垃圾桶设置</w:t>
                  </w:r>
                </w:p>
              </w:tc>
              <w:tc>
                <w:tcPr>
                  <w:tcW w:w="1854"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生活垃圾</w:t>
                  </w:r>
                </w:p>
              </w:tc>
              <w:tc>
                <w:tcPr>
                  <w:tcW w:w="1077"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0.5</w:t>
                  </w:r>
                </w:p>
              </w:tc>
              <w:tc>
                <w:tcPr>
                  <w:tcW w:w="1407" w:type="dxa"/>
                  <w:noWrap w:val="0"/>
                  <w:vAlign w:val="center"/>
                </w:tcPr>
                <w:p>
                  <w:pPr>
                    <w:pStyle w:val="18"/>
                    <w:bidi w:val="0"/>
                    <w:rPr>
                      <w:rFonts w:hint="default" w:ascii="Times New Roman" w:hAnsi="Times New Roman"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8" w:type="dxa"/>
                  <w:vMerge w:val="continue"/>
                  <w:noWrap w:val="0"/>
                  <w:vAlign w:val="center"/>
                </w:tcPr>
                <w:p>
                  <w:pPr>
                    <w:pStyle w:val="18"/>
                    <w:bidi w:val="0"/>
                    <w:rPr>
                      <w:rFonts w:hint="default" w:ascii="Times New Roman" w:hAnsi="Times New Roman" w:cs="Times New Roman"/>
                      <w:color w:val="auto"/>
                    </w:rPr>
                  </w:pPr>
                </w:p>
              </w:tc>
              <w:tc>
                <w:tcPr>
                  <w:tcW w:w="3050"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废弃原料外运</w:t>
                  </w:r>
                </w:p>
              </w:tc>
              <w:tc>
                <w:tcPr>
                  <w:tcW w:w="1854" w:type="dxa"/>
                  <w:noWrap w:val="0"/>
                  <w:vAlign w:val="center"/>
                </w:tcPr>
                <w:p>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钢材边角料</w:t>
                  </w:r>
                </w:p>
              </w:tc>
              <w:tc>
                <w:tcPr>
                  <w:tcW w:w="1077"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w:t>
                  </w:r>
                </w:p>
              </w:tc>
              <w:tc>
                <w:tcPr>
                  <w:tcW w:w="1407" w:type="dxa"/>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集中收集后外卖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8" w:type="dxa"/>
                  <w:noWrap w:val="0"/>
                  <w:vAlign w:val="center"/>
                </w:tcPr>
                <w:p>
                  <w:pPr>
                    <w:pStyle w:val="18"/>
                    <w:bidi w:val="0"/>
                    <w:rPr>
                      <w:rFonts w:hint="default" w:ascii="Times New Roman" w:hAnsi="Times New Roman" w:cs="Times New Roman"/>
                      <w:color w:val="auto"/>
                    </w:rPr>
                  </w:pPr>
                </w:p>
              </w:tc>
              <w:tc>
                <w:tcPr>
                  <w:tcW w:w="4904" w:type="dxa"/>
                  <w:gridSpan w:val="2"/>
                  <w:noWrap w:val="0"/>
                  <w:vAlign w:val="center"/>
                </w:tcPr>
                <w:p>
                  <w:pPr>
                    <w:pStyle w:val="18"/>
                    <w:bidi w:val="0"/>
                    <w:rPr>
                      <w:rFonts w:hint="default" w:ascii="Times New Roman" w:hAnsi="Times New Roman" w:cs="Times New Roman"/>
                      <w:color w:val="auto"/>
                    </w:rPr>
                  </w:pPr>
                  <w:r>
                    <w:rPr>
                      <w:rFonts w:hint="default" w:ascii="Times New Roman" w:hAnsi="Times New Roman" w:cs="Times New Roman"/>
                      <w:color w:val="auto"/>
                    </w:rPr>
                    <w:t>合    计</w:t>
                  </w:r>
                </w:p>
              </w:tc>
              <w:tc>
                <w:tcPr>
                  <w:tcW w:w="1077" w:type="dxa"/>
                  <w:noWrap w:val="0"/>
                  <w:vAlign w:val="center"/>
                </w:tcPr>
                <w:p>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18.5</w:t>
                  </w:r>
                </w:p>
              </w:tc>
              <w:tc>
                <w:tcPr>
                  <w:tcW w:w="1407" w:type="dxa"/>
                  <w:noWrap w:val="0"/>
                  <w:vAlign w:val="center"/>
                </w:tcPr>
                <w:p>
                  <w:pPr>
                    <w:pStyle w:val="18"/>
                    <w:bidi w:val="0"/>
                    <w:rPr>
                      <w:rFonts w:hint="default" w:ascii="Times New Roman" w:hAnsi="Times New Roman" w:cs="Times New Roman"/>
                      <w:color w:val="auto"/>
                    </w:rPr>
                  </w:pPr>
                </w:p>
              </w:tc>
            </w:tr>
          </w:tbl>
          <w:p>
            <w:pPr>
              <w:numPr>
                <w:ilvl w:val="0"/>
                <w:numId w:val="0"/>
              </w:numPr>
              <w:spacing w:line="360" w:lineRule="auto"/>
              <w:rPr>
                <w:rFonts w:hint="default" w:ascii="Times New Roman" w:hAnsi="Times New Roman" w:cs="Times New Roman"/>
                <w:color w:val="auto"/>
              </w:rPr>
            </w:pPr>
            <w:r>
              <w:rPr>
                <w:rFonts w:hint="default" w:ascii="Times New Roman" w:hAnsi="Times New Roman" w:cs="Times New Roman"/>
                <w:color w:val="auto"/>
                <w:lang w:eastAsia="zh-CN"/>
              </w:rPr>
              <w:t>十一、</w:t>
            </w:r>
            <w:r>
              <w:rPr>
                <w:rFonts w:hint="default" w:ascii="Times New Roman" w:hAnsi="Times New Roman" w:cs="Times New Roman"/>
                <w:color w:val="auto"/>
              </w:rPr>
              <w:t>项目与周围环境关系</w:t>
            </w:r>
          </w:p>
          <w:p>
            <w:pPr>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rPr>
              <w:t>本项目租用</w:t>
            </w:r>
            <w:r>
              <w:rPr>
                <w:rFonts w:hint="default" w:ascii="Times New Roman" w:hAnsi="Times New Roman" w:cs="Times New Roman"/>
                <w:color w:val="auto"/>
                <w:lang w:eastAsia="zh-CN"/>
              </w:rPr>
              <w:t>云南皇派实业有限公司富民分公司、云南</w:t>
            </w:r>
            <w:r>
              <w:rPr>
                <w:rFonts w:hint="default" w:ascii="Times New Roman" w:hAnsi="Times New Roman" w:cs="Times New Roman"/>
                <w:color w:val="auto"/>
              </w:rPr>
              <w:t>皇派实业有限公司已建成的标准厂房，项目位于富民工业园区大营五金建材产业园19号地块，位于园区克林路中段。厂区北面为</w:t>
            </w:r>
            <w:r>
              <w:rPr>
                <w:rFonts w:hint="default" w:ascii="Times New Roman" w:hAnsi="Times New Roman" w:cs="Times New Roman"/>
                <w:color w:val="auto"/>
                <w:lang w:eastAsia="zh-CN"/>
              </w:rPr>
              <w:t>创乐美家</w:t>
            </w:r>
            <w:r>
              <w:rPr>
                <w:rFonts w:hint="default" w:ascii="Times New Roman" w:hAnsi="Times New Roman" w:cs="Times New Roman"/>
                <w:color w:val="auto"/>
              </w:rPr>
              <w:t>；西面为云南恒业玻璃技术有限公司；南侧为</w:t>
            </w:r>
            <w:r>
              <w:rPr>
                <w:rFonts w:hint="default" w:ascii="Times New Roman" w:hAnsi="Times New Roman" w:cs="Times New Roman"/>
                <w:color w:val="auto"/>
                <w:lang w:eastAsia="zh-CN"/>
              </w:rPr>
              <w:t>昆明市木道工贸</w:t>
            </w:r>
            <w:r>
              <w:rPr>
                <w:rFonts w:hint="default" w:ascii="Times New Roman" w:hAnsi="Times New Roman" w:cs="Times New Roman"/>
                <w:color w:val="auto"/>
              </w:rPr>
              <w:t>；东侧为</w:t>
            </w:r>
            <w:r>
              <w:rPr>
                <w:rFonts w:hint="default" w:ascii="Times New Roman" w:hAnsi="Times New Roman" w:cs="Times New Roman"/>
                <w:color w:val="auto"/>
                <w:lang w:eastAsia="zh-CN"/>
              </w:rPr>
              <w:t>阳平机械制造</w:t>
            </w:r>
            <w:r>
              <w:rPr>
                <w:rFonts w:hint="default" w:ascii="Times New Roman" w:hAnsi="Times New Roman" w:cs="Times New Roman"/>
                <w:color w:val="auto"/>
              </w:rPr>
              <w:t>。项目与富民工业园区大营五金建材产业园的位置关系图见</w:t>
            </w:r>
            <w:r>
              <w:rPr>
                <w:rFonts w:hint="default" w:ascii="Times New Roman" w:hAnsi="Times New Roman" w:cs="Times New Roman"/>
                <w:color w:val="auto"/>
                <w:lang w:eastAsia="zh-CN"/>
              </w:rPr>
              <w:t>附图</w:t>
            </w:r>
            <w:r>
              <w:rPr>
                <w:rFonts w:hint="default" w:ascii="Times New Roman" w:hAnsi="Times New Roman" w:cs="Times New Roman"/>
                <w:color w:val="auto"/>
                <w:lang w:val="en-US" w:eastAsia="zh-CN"/>
              </w:rPr>
              <w:t>4</w:t>
            </w:r>
            <w:r>
              <w:rPr>
                <w:rFonts w:hint="default" w:ascii="Times New Roman" w:hAnsi="Times New Roman" w:cs="Times New Roman"/>
                <w:color w:val="auto"/>
              </w:rPr>
              <w:t>所示。</w:t>
            </w:r>
          </w:p>
          <w:p>
            <w:pPr>
              <w:spacing w:line="360" w:lineRule="auto"/>
              <w:ind w:left="0" w:leftChars="0" w:firstLine="0" w:firstLineChars="0"/>
              <w:rPr>
                <w:rFonts w:hint="default" w:ascii="Times New Roman" w:hAnsi="Times New Roman" w:cs="Times New Roman"/>
                <w:color w:val="auto"/>
              </w:rPr>
            </w:pPr>
            <w:r>
              <w:rPr>
                <w:rFonts w:hint="default" w:ascii="Times New Roman" w:hAnsi="Times New Roman" w:cs="Times New Roman"/>
                <w:color w:val="auto"/>
                <w:lang w:eastAsia="zh-CN"/>
              </w:rPr>
              <w:t>十二</w:t>
            </w:r>
            <w:r>
              <w:rPr>
                <w:rFonts w:hint="default" w:ascii="Times New Roman" w:hAnsi="Times New Roman" w:cs="Times New Roman"/>
                <w:color w:val="auto"/>
              </w:rPr>
              <w:t xml:space="preserve">、与项目有关的原有污染物及主要环境问题                                                                                                                                                                                                                                                           </w:t>
            </w:r>
          </w:p>
          <w:p>
            <w:pPr>
              <w:numPr>
                <w:ilvl w:val="0"/>
                <w:numId w:val="0"/>
              </w:numPr>
              <w:spacing w:line="360" w:lineRule="auto"/>
              <w:ind w:firstLine="480" w:firstLineChars="200"/>
              <w:rPr>
                <w:rFonts w:hint="default" w:ascii="Times New Roman" w:hAnsi="Times New Roman" w:cs="Times New Roman"/>
                <w:color w:val="auto"/>
                <w:lang w:val="en-US" w:eastAsia="zh-CN"/>
              </w:rPr>
            </w:pPr>
            <w:r>
              <w:rPr>
                <w:rFonts w:hint="default" w:ascii="Times New Roman" w:hAnsi="Times New Roman" w:cs="Times New Roman"/>
                <w:color w:val="auto"/>
              </w:rPr>
              <w:t>本项目</w:t>
            </w:r>
            <w:r>
              <w:rPr>
                <w:rFonts w:hint="default" w:ascii="Times New Roman" w:hAnsi="Times New Roman" w:cs="Times New Roman"/>
                <w:color w:val="auto"/>
                <w:lang w:eastAsia="zh-CN"/>
              </w:rPr>
              <w:t>厂房</w:t>
            </w:r>
            <w:r>
              <w:rPr>
                <w:rFonts w:hint="default" w:ascii="Times New Roman" w:hAnsi="Times New Roman" w:cs="Times New Roman"/>
                <w:color w:val="auto"/>
                <w:lang w:val="en-US" w:eastAsia="zh-CN"/>
              </w:rPr>
              <w:t>租用</w:t>
            </w:r>
            <w:r>
              <w:rPr>
                <w:rFonts w:hint="default" w:ascii="Times New Roman" w:hAnsi="Times New Roman" w:cs="Times New Roman"/>
                <w:color w:val="auto"/>
                <w:lang w:eastAsia="zh-CN"/>
              </w:rPr>
              <w:t>云南富邦制冷设备有限公司</w:t>
            </w:r>
            <w:r>
              <w:rPr>
                <w:rFonts w:hint="default" w:ascii="Times New Roman" w:hAnsi="Times New Roman" w:cs="Times New Roman"/>
                <w:color w:val="auto"/>
                <w:lang w:val="en-US" w:eastAsia="zh-CN"/>
              </w:rPr>
              <w:t>的部分闲置厂房进行生产，租用的厂房</w:t>
            </w:r>
            <w:r>
              <w:rPr>
                <w:rFonts w:hint="default" w:ascii="Times New Roman" w:hAnsi="Times New Roman" w:cs="Times New Roman"/>
                <w:color w:val="auto"/>
                <w:lang w:eastAsia="zh-CN"/>
              </w:rPr>
              <w:t>地面及道路已硬化，基本设施已建成</w:t>
            </w:r>
            <w:r>
              <w:rPr>
                <w:rFonts w:hint="default" w:ascii="Times New Roman" w:hAnsi="Times New Roman" w:cs="Times New Roman"/>
                <w:color w:val="auto"/>
                <w:lang w:val="en-US" w:eastAsia="zh-CN"/>
              </w:rPr>
              <w:t>。租用的厂房</w:t>
            </w:r>
            <w:r>
              <w:rPr>
                <w:rFonts w:hint="default" w:ascii="Times New Roman" w:hAnsi="Times New Roman" w:cs="Times New Roman"/>
                <w:color w:val="auto"/>
                <w:lang w:eastAsia="zh-CN"/>
              </w:rPr>
              <w:t>一直处于闲置状态，未进行生产活动</w:t>
            </w:r>
            <w:r>
              <w:rPr>
                <w:rFonts w:hint="default" w:ascii="Times New Roman" w:hAnsi="Times New Roman" w:cs="Times New Roman"/>
                <w:color w:val="auto"/>
                <w:lang w:val="en-US" w:eastAsia="zh-CN"/>
              </w:rPr>
              <w:t>。经过现场踏勘，故租用厂房、办公室不存在原有环境污染</w:t>
            </w:r>
            <w:r>
              <w:rPr>
                <w:rFonts w:hint="default" w:ascii="Times New Roman" w:hAnsi="Times New Roman" w:cs="Times New Roman"/>
                <w:color w:val="auto"/>
                <w:lang w:eastAsia="zh-CN"/>
              </w:rPr>
              <w:t>问题。</w:t>
            </w:r>
          </w:p>
          <w:p>
            <w:pPr>
              <w:spacing w:line="360" w:lineRule="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   </w:t>
            </w:r>
          </w:p>
          <w:p>
            <w:pPr>
              <w:spacing w:line="360" w:lineRule="auto"/>
              <w:rPr>
                <w:rFonts w:hint="default" w:ascii="Times New Roman" w:hAnsi="Times New Roman" w:cs="Times New Roman"/>
                <w:color w:val="auto"/>
                <w:lang w:val="en-US" w:eastAsia="zh-CN"/>
              </w:rPr>
            </w:pPr>
          </w:p>
          <w:p>
            <w:pPr>
              <w:spacing w:line="360" w:lineRule="auto"/>
              <w:rPr>
                <w:rFonts w:hint="default" w:ascii="Times New Roman" w:hAnsi="Times New Roman" w:cs="Times New Roman"/>
                <w:color w:val="auto"/>
                <w:lang w:val="en-US" w:eastAsia="zh-CN"/>
              </w:rPr>
            </w:pPr>
          </w:p>
          <w:p>
            <w:pPr>
              <w:spacing w:line="360" w:lineRule="auto"/>
              <w:rPr>
                <w:rFonts w:hint="default" w:ascii="Times New Roman" w:hAnsi="Times New Roman" w:cs="Times New Roman"/>
                <w:color w:val="auto"/>
                <w:lang w:val="en-US" w:eastAsia="zh-CN"/>
              </w:rPr>
            </w:pPr>
          </w:p>
          <w:p>
            <w:pPr>
              <w:spacing w:line="360" w:lineRule="auto"/>
              <w:rPr>
                <w:rFonts w:hint="default" w:ascii="Times New Roman" w:hAnsi="Times New Roman" w:cs="Times New Roman"/>
                <w:color w:val="auto"/>
                <w:lang w:val="en-US" w:eastAsia="zh-CN"/>
              </w:rPr>
            </w:pPr>
          </w:p>
          <w:p>
            <w:pPr>
              <w:spacing w:line="360" w:lineRule="auto"/>
              <w:rPr>
                <w:rFonts w:hint="default" w:ascii="Times New Roman" w:hAnsi="Times New Roman" w:cs="Times New Roman"/>
                <w:color w:val="auto"/>
                <w:lang w:val="en-US" w:eastAsia="zh-CN"/>
              </w:rPr>
            </w:pPr>
          </w:p>
          <w:p>
            <w:pPr>
              <w:spacing w:line="360" w:lineRule="auto"/>
              <w:rPr>
                <w:rFonts w:hint="default" w:ascii="Times New Roman" w:hAnsi="Times New Roman" w:cs="Times New Roman"/>
                <w:color w:val="auto"/>
                <w:lang w:val="en-US" w:eastAsia="zh-CN"/>
              </w:rPr>
            </w:pPr>
          </w:p>
          <w:p>
            <w:pPr>
              <w:spacing w:line="360" w:lineRule="auto"/>
              <w:rPr>
                <w:rFonts w:hint="default" w:ascii="Times New Roman" w:hAnsi="Times New Roman" w:cs="Times New Roman"/>
                <w:color w:val="auto"/>
                <w:lang w:val="en-US" w:eastAsia="zh-CN"/>
              </w:rPr>
            </w:pPr>
          </w:p>
          <w:p>
            <w:pPr>
              <w:spacing w:line="360" w:lineRule="auto"/>
              <w:rPr>
                <w:rFonts w:hint="default" w:ascii="Times New Roman" w:hAnsi="Times New Roman" w:cs="Times New Roman"/>
                <w:color w:val="auto"/>
                <w:lang w:val="en-US" w:eastAsia="zh-CN"/>
              </w:rPr>
            </w:pPr>
          </w:p>
          <w:p>
            <w:pPr>
              <w:spacing w:line="360" w:lineRule="auto"/>
              <w:rPr>
                <w:rFonts w:hint="default" w:ascii="Times New Roman" w:hAnsi="Times New Roman" w:cs="Times New Roman"/>
                <w:color w:val="auto"/>
                <w:lang w:val="en-US" w:eastAsia="zh-CN"/>
              </w:rPr>
            </w:pPr>
          </w:p>
          <w:p>
            <w:pPr>
              <w:spacing w:line="360" w:lineRule="auto"/>
              <w:rPr>
                <w:rFonts w:hint="default" w:ascii="Times New Roman" w:hAnsi="Times New Roman" w:cs="Times New Roman"/>
                <w:color w:val="auto"/>
                <w:lang w:val="en-US" w:eastAsia="zh-CN"/>
              </w:rPr>
            </w:pPr>
          </w:p>
          <w:p>
            <w:pPr>
              <w:spacing w:line="360" w:lineRule="auto"/>
              <w:rPr>
                <w:rFonts w:hint="default" w:ascii="Times New Roman" w:hAnsi="Times New Roman" w:cs="Times New Roman"/>
                <w:color w:val="auto"/>
                <w:lang w:val="en-US" w:eastAsia="zh-CN"/>
              </w:rPr>
            </w:pPr>
          </w:p>
          <w:p>
            <w:pPr>
              <w:pStyle w:val="2"/>
              <w:ind w:left="0" w:leftChars="0" w:firstLine="0" w:firstLineChars="0"/>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pStyle w:val="2"/>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pStyle w:val="2"/>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tc>
      </w:tr>
    </w:tbl>
    <w:p>
      <w:pPr>
        <w:pStyle w:val="3"/>
        <w:bidi w:val="0"/>
        <w:rPr>
          <w:rFonts w:hint="default" w:ascii="Times New Roman" w:hAnsi="Times New Roman" w:eastAsia="宋体" w:cs="Times New Roman"/>
          <w:bCs w:val="0"/>
          <w:color w:val="auto"/>
          <w:sz w:val="30"/>
          <w:szCs w:val="30"/>
        </w:rPr>
      </w:pPr>
      <w:bookmarkStart w:id="3" w:name="_Toc3258"/>
      <w:bookmarkStart w:id="4" w:name="_Toc19527"/>
      <w:bookmarkStart w:id="5" w:name="_Toc20563"/>
      <w:bookmarkStart w:id="6" w:name="_Toc29088"/>
      <w:bookmarkStart w:id="7" w:name="_Toc22248"/>
      <w:r>
        <w:rPr>
          <w:rFonts w:hint="default" w:ascii="Times New Roman" w:hAnsi="Times New Roman" w:eastAsia="宋体" w:cs="Times New Roman"/>
          <w:bCs w:val="0"/>
          <w:color w:val="auto"/>
          <w:sz w:val="30"/>
          <w:szCs w:val="30"/>
        </w:rPr>
        <w:t>表二</w:t>
      </w:r>
      <w:r>
        <w:rPr>
          <w:rFonts w:hint="default" w:ascii="Times New Roman" w:hAnsi="Times New Roman" w:cs="Times New Roman"/>
          <w:bCs w:val="0"/>
          <w:color w:val="auto"/>
          <w:sz w:val="30"/>
          <w:szCs w:val="30"/>
          <w:lang w:val="en-US" w:eastAsia="zh-CN"/>
        </w:rPr>
        <w:t xml:space="preserve">  </w:t>
      </w:r>
      <w:r>
        <w:rPr>
          <w:rFonts w:hint="default" w:ascii="Times New Roman" w:hAnsi="Times New Roman" w:eastAsia="宋体" w:cs="Times New Roman"/>
          <w:bCs w:val="0"/>
          <w:color w:val="auto"/>
          <w:sz w:val="30"/>
          <w:szCs w:val="30"/>
        </w:rPr>
        <w:t>建设项目所在地自然环境简况</w:t>
      </w:r>
      <w:bookmarkEnd w:id="3"/>
      <w:bookmarkEnd w:id="4"/>
      <w:bookmarkEnd w:id="5"/>
      <w:bookmarkEnd w:id="6"/>
      <w:bookmarkEnd w:id="7"/>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8986" w:type="dxa"/>
            <w:noWrap w:val="0"/>
            <w:vAlign w:val="top"/>
          </w:tcPr>
          <w:p>
            <w:pPr>
              <w:adjustRightInd w:val="0"/>
              <w:snapToGrid w:val="0"/>
              <w:spacing w:line="360" w:lineRule="auto"/>
              <w:ind w:left="0" w:leftChars="0" w:firstLine="0" w:firstLineChars="0"/>
              <w:rPr>
                <w:rFonts w:hint="default"/>
                <w:color w:val="auto"/>
              </w:rPr>
            </w:pPr>
            <w:r>
              <w:rPr>
                <w:rFonts w:hint="default"/>
                <w:color w:val="auto"/>
              </w:rPr>
              <w:t>自然环境简况（地形、地貌、地质、气候、气象、水文、植被、生物多样性等）：</w:t>
            </w:r>
          </w:p>
          <w:p>
            <w:pPr>
              <w:numPr>
                <w:ilvl w:val="0"/>
                <w:numId w:val="0"/>
              </w:numPr>
              <w:spacing w:line="360" w:lineRule="auto"/>
              <w:ind w:firstLine="480" w:firstLineChars="200"/>
              <w:rPr>
                <w:rFonts w:hint="eastAsia"/>
                <w:color w:val="auto"/>
                <w:lang w:val="en-US" w:eastAsia="zh-CN"/>
              </w:rPr>
            </w:pPr>
            <w:bookmarkStart w:id="8" w:name="OLE_LINK29"/>
            <w:r>
              <w:rPr>
                <w:rFonts w:hint="eastAsia"/>
                <w:color w:val="auto"/>
                <w:lang w:val="en-US" w:eastAsia="zh-CN"/>
              </w:rPr>
              <w:t>1、地理位置</w:t>
            </w:r>
          </w:p>
          <w:p>
            <w:pPr>
              <w:numPr>
                <w:ilvl w:val="0"/>
                <w:numId w:val="0"/>
              </w:numPr>
              <w:spacing w:line="360" w:lineRule="auto"/>
              <w:ind w:firstLine="480" w:firstLineChars="200"/>
              <w:rPr>
                <w:rFonts w:hint="eastAsia"/>
                <w:color w:val="auto"/>
                <w:lang w:val="en-US" w:eastAsia="zh-CN"/>
              </w:rPr>
            </w:pPr>
            <w:bookmarkStart w:id="9" w:name="_Toc58041089"/>
            <w:bookmarkStart w:id="10" w:name="_Toc73522865"/>
            <w:bookmarkStart w:id="11" w:name="_Toc58121772"/>
            <w:bookmarkStart w:id="12" w:name="_Toc73527816"/>
            <w:bookmarkStart w:id="13" w:name="_Toc73348468"/>
            <w:bookmarkStart w:id="14" w:name="_Toc60035520"/>
            <w:bookmarkStart w:id="15" w:name="_Toc58229301"/>
            <w:bookmarkStart w:id="16" w:name="_Toc73352242"/>
            <w:bookmarkStart w:id="17" w:name="_Toc58314437"/>
            <w:bookmarkStart w:id="18" w:name="_Toc73349381"/>
            <w:bookmarkStart w:id="19" w:name="_Toc75688916"/>
            <w:bookmarkStart w:id="20" w:name="_Toc71616966"/>
            <w:bookmarkStart w:id="21" w:name="_Toc74307537"/>
            <w:bookmarkStart w:id="22" w:name="_Toc72826728"/>
            <w:bookmarkStart w:id="23" w:name="_Toc59851096"/>
            <w:bookmarkStart w:id="24" w:name="_Toc75852261"/>
            <w:bookmarkStart w:id="25" w:name="_Toc58731255"/>
            <w:bookmarkStart w:id="26" w:name="_Toc59682784"/>
            <w:bookmarkStart w:id="27" w:name="_Toc74300421"/>
            <w:bookmarkStart w:id="28" w:name="_Toc73527664"/>
            <w:bookmarkStart w:id="29" w:name="_Toc75688624"/>
            <w:bookmarkStart w:id="30" w:name="_Toc58816640"/>
            <w:bookmarkStart w:id="31" w:name="_Toc74300275"/>
            <w:bookmarkStart w:id="32" w:name="_Toc59266585"/>
            <w:bookmarkStart w:id="33" w:name="_Toc58638877"/>
            <w:bookmarkStart w:id="34" w:name="_Toc60024596"/>
            <w:bookmarkStart w:id="35" w:name="_Toc57868321"/>
            <w:bookmarkStart w:id="36" w:name="_Toc58810537"/>
            <w:bookmarkStart w:id="37" w:name="_Toc75688476"/>
            <w:bookmarkStart w:id="38" w:name="_Toc75423664"/>
            <w:bookmarkStart w:id="39" w:name="_Toc74908707"/>
            <w:bookmarkStart w:id="40" w:name="_Toc73503861"/>
            <w:bookmarkStart w:id="41" w:name="_Toc74908561"/>
            <w:bookmarkStart w:id="42" w:name="_Toc59965644"/>
            <w:bookmarkStart w:id="43" w:name="_Toc74908351"/>
            <w:bookmarkStart w:id="44" w:name="_Toc73348620"/>
            <w:bookmarkStart w:id="45" w:name="_Toc58643189"/>
            <w:bookmarkStart w:id="46" w:name="_Toc58491009"/>
            <w:bookmarkStart w:id="47" w:name="_Toc58810450"/>
            <w:bookmarkStart w:id="48" w:name="_Toc75688770"/>
            <w:bookmarkStart w:id="49" w:name="_Toc58646768"/>
            <w:bookmarkStart w:id="50" w:name="_Toc58124706"/>
            <w:bookmarkStart w:id="51" w:name="_Toc58641488"/>
            <w:r>
              <w:rPr>
                <w:rFonts w:hint="eastAsia"/>
                <w:color w:val="auto"/>
                <w:lang w:val="en-US" w:eastAsia="zh-CN"/>
              </w:rPr>
              <w:t>富民县位于昆明市西北部，距昆明23km，介于东经102°21′-102°47′，北纬25°08′-25°36′之间。东与嵩明、寻甸相邻，北与禄劝</w:t>
            </w:r>
            <w:r>
              <w:rPr>
                <w:rFonts w:hint="eastAsia"/>
                <w:color w:val="auto"/>
                <w:lang w:val="en-US" w:eastAsia="zh-CN"/>
              </w:rPr>
              <w:fldChar w:fldCharType="begin"/>
            </w:r>
            <w:r>
              <w:rPr>
                <w:rFonts w:hint="eastAsia"/>
                <w:color w:val="auto"/>
                <w:lang w:val="en-US" w:eastAsia="zh-CN"/>
              </w:rPr>
              <w:instrText xml:space="preserve"> HYPERLINK "http://baike.sogou.com/lemma/ShowInnerLink.htm?lemmaId=568652&amp;ss_c=ssc.citiao.link" </w:instrText>
            </w:r>
            <w:r>
              <w:rPr>
                <w:rFonts w:hint="eastAsia"/>
                <w:color w:val="auto"/>
                <w:lang w:val="en-US" w:eastAsia="zh-CN"/>
              </w:rPr>
              <w:fldChar w:fldCharType="separate"/>
            </w:r>
            <w:r>
              <w:rPr>
                <w:rFonts w:hint="eastAsia"/>
                <w:color w:val="auto"/>
                <w:lang w:val="en-US" w:eastAsia="zh-CN"/>
              </w:rPr>
              <w:t>山水相连</w:t>
            </w:r>
            <w:r>
              <w:rPr>
                <w:rFonts w:hint="eastAsia"/>
                <w:color w:val="auto"/>
                <w:lang w:val="en-US" w:eastAsia="zh-CN"/>
              </w:rPr>
              <w:fldChar w:fldCharType="end"/>
            </w:r>
            <w:r>
              <w:rPr>
                <w:rFonts w:hint="eastAsia"/>
                <w:color w:val="auto"/>
                <w:lang w:val="en-US" w:eastAsia="zh-CN"/>
              </w:rPr>
              <w:t>，西与禄丰、</w:t>
            </w:r>
            <w:r>
              <w:rPr>
                <w:rFonts w:hint="eastAsia"/>
                <w:color w:val="auto"/>
                <w:lang w:val="en-US" w:eastAsia="zh-CN"/>
              </w:rPr>
              <w:fldChar w:fldCharType="begin"/>
            </w:r>
            <w:r>
              <w:rPr>
                <w:rFonts w:hint="eastAsia"/>
                <w:color w:val="auto"/>
                <w:lang w:val="en-US" w:eastAsia="zh-CN"/>
              </w:rPr>
              <w:instrText xml:space="preserve"> HYPERLINK "http://baike.sogou.com/lemma/ShowInnerLink.htm?lemmaId=3862279&amp;ss_c=ssc.citiao.link" </w:instrText>
            </w:r>
            <w:r>
              <w:rPr>
                <w:rFonts w:hint="eastAsia"/>
                <w:color w:val="auto"/>
                <w:lang w:val="en-US" w:eastAsia="zh-CN"/>
              </w:rPr>
              <w:fldChar w:fldCharType="separate"/>
            </w:r>
            <w:r>
              <w:rPr>
                <w:rFonts w:hint="eastAsia"/>
                <w:color w:val="auto"/>
                <w:lang w:val="en-US" w:eastAsia="zh-CN"/>
              </w:rPr>
              <w:t>武定</w:t>
            </w:r>
            <w:r>
              <w:rPr>
                <w:rFonts w:hint="eastAsia"/>
                <w:color w:val="auto"/>
                <w:lang w:val="en-US" w:eastAsia="zh-CN"/>
              </w:rPr>
              <w:fldChar w:fldCharType="end"/>
            </w:r>
            <w:r>
              <w:rPr>
                <w:rFonts w:hint="eastAsia"/>
                <w:color w:val="auto"/>
                <w:lang w:val="en-US" w:eastAsia="zh-CN"/>
              </w:rPr>
              <w:t>接壤，南靠</w:t>
            </w:r>
            <w:r>
              <w:rPr>
                <w:rFonts w:hint="eastAsia"/>
                <w:color w:val="auto"/>
                <w:lang w:val="en-US" w:eastAsia="zh-CN"/>
              </w:rPr>
              <w:fldChar w:fldCharType="begin"/>
            </w:r>
            <w:r>
              <w:rPr>
                <w:rFonts w:hint="eastAsia"/>
                <w:color w:val="auto"/>
                <w:lang w:val="en-US" w:eastAsia="zh-CN"/>
              </w:rPr>
              <w:instrText xml:space="preserve"> HYPERLINK "http://baike.sogou.com/lemma/ShowInnerLink.htm?lemmaId=148399&amp;ss_c=ssc.citiao.link" </w:instrText>
            </w:r>
            <w:r>
              <w:rPr>
                <w:rFonts w:hint="eastAsia"/>
                <w:color w:val="auto"/>
                <w:lang w:val="en-US" w:eastAsia="zh-CN"/>
              </w:rPr>
              <w:fldChar w:fldCharType="separate"/>
            </w:r>
            <w:r>
              <w:rPr>
                <w:rFonts w:hint="eastAsia"/>
                <w:color w:val="auto"/>
                <w:lang w:val="en-US" w:eastAsia="zh-CN"/>
              </w:rPr>
              <w:t>西山区</w:t>
            </w:r>
            <w:r>
              <w:rPr>
                <w:rFonts w:hint="eastAsia"/>
                <w:color w:val="auto"/>
                <w:lang w:val="en-US" w:eastAsia="zh-CN"/>
              </w:rPr>
              <w:fldChar w:fldCharType="end"/>
            </w:r>
            <w:r>
              <w:rPr>
                <w:rFonts w:hint="eastAsia"/>
                <w:color w:val="auto"/>
                <w:lang w:val="en-US" w:eastAsia="zh-CN"/>
              </w:rPr>
              <w:t>。面积1030km</w:t>
            </w:r>
            <w:r>
              <w:rPr>
                <w:rFonts w:hint="eastAsia"/>
                <w:color w:val="auto"/>
                <w:vertAlign w:val="superscript"/>
                <w:lang w:val="en-US" w:eastAsia="zh-CN"/>
              </w:rPr>
              <w:t>2</w:t>
            </w:r>
            <w:r>
              <w:rPr>
                <w:rFonts w:hint="eastAsia"/>
                <w:color w:val="auto"/>
                <w:lang w:val="en-US" w:eastAsia="zh-CN"/>
              </w:rPr>
              <w:t>。辖2个镇、4个乡，1个</w:t>
            </w:r>
            <w:r>
              <w:rPr>
                <w:rFonts w:hint="default"/>
                <w:color w:val="auto"/>
                <w:lang w:val="en-US" w:eastAsia="zh-CN"/>
              </w:rPr>
              <w:fldChar w:fldCharType="begin"/>
            </w:r>
            <w:r>
              <w:rPr>
                <w:rFonts w:hint="default"/>
                <w:color w:val="auto"/>
                <w:lang w:val="en-US" w:eastAsia="zh-CN"/>
              </w:rPr>
              <w:instrText xml:space="preserve"> HYPERLINK "https://baike.baidu.com/item/%E6%B0%91%E6%97%8F%E4%B9%A1" \t "https://baike.baidu.com/item/%E5%AF%8C%E6%B0%91%E5%8E%BF/_blank" </w:instrText>
            </w:r>
            <w:r>
              <w:rPr>
                <w:rFonts w:hint="default"/>
                <w:color w:val="auto"/>
                <w:lang w:val="en-US" w:eastAsia="zh-CN"/>
              </w:rPr>
              <w:fldChar w:fldCharType="separate"/>
            </w:r>
            <w:r>
              <w:rPr>
                <w:rFonts w:hint="default"/>
                <w:color w:val="auto"/>
                <w:lang w:val="en-US" w:eastAsia="zh-CN"/>
              </w:rPr>
              <w:t>民族乡</w:t>
            </w:r>
            <w:r>
              <w:rPr>
                <w:rFonts w:hint="default"/>
                <w:color w:val="auto"/>
                <w:lang w:val="en-US" w:eastAsia="zh-CN"/>
              </w:rPr>
              <w:fldChar w:fldCharType="end"/>
            </w:r>
            <w:r>
              <w:rPr>
                <w:rFonts w:hint="default"/>
                <w:color w:val="auto"/>
                <w:lang w:val="en-US" w:eastAsia="zh-CN"/>
              </w:rPr>
              <w:t>，共有3个居委会、72个行政村</w:t>
            </w:r>
            <w:r>
              <w:rPr>
                <w:rFonts w:hint="eastAsia"/>
                <w:color w:val="auto"/>
                <w:lang w:val="en-US" w:eastAsia="zh-CN"/>
              </w:rPr>
              <w:t>。</w:t>
            </w:r>
          </w:p>
          <w:p>
            <w:pPr>
              <w:numPr>
                <w:ilvl w:val="0"/>
                <w:numId w:val="0"/>
              </w:numPr>
              <w:spacing w:line="360" w:lineRule="auto"/>
              <w:ind w:firstLine="480" w:firstLineChars="200"/>
              <w:rPr>
                <w:rFonts w:hint="eastAsia"/>
                <w:color w:val="auto"/>
                <w:lang w:val="en-US" w:eastAsia="zh-CN"/>
              </w:rPr>
            </w:pPr>
            <w:r>
              <w:rPr>
                <w:rFonts w:hint="eastAsia"/>
                <w:color w:val="auto"/>
                <w:lang w:val="en-US" w:eastAsia="zh-CN"/>
              </w:rPr>
              <w:t>本项目地处富民县富民工业园区大营五金建材产业园内。项目所在地为东经102°32'03.80"，北纬25°13'53.80"，项目地理位置见附图2。</w:t>
            </w:r>
          </w:p>
          <w:p>
            <w:pPr>
              <w:numPr>
                <w:ilvl w:val="0"/>
                <w:numId w:val="0"/>
              </w:numPr>
              <w:spacing w:line="360" w:lineRule="auto"/>
              <w:ind w:firstLine="480" w:firstLineChars="200"/>
              <w:rPr>
                <w:rFonts w:hint="eastAsia"/>
                <w:color w:val="auto"/>
                <w:lang w:val="en-US" w:eastAsia="zh-CN"/>
              </w:rPr>
            </w:pPr>
            <w:r>
              <w:rPr>
                <w:rFonts w:hint="eastAsia"/>
                <w:color w:val="auto"/>
                <w:lang w:val="en-US" w:eastAsia="zh-CN"/>
              </w:rPr>
              <w:t>2、地形、地貌、地质</w:t>
            </w:r>
          </w:p>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Pr>
              <w:numPr>
                <w:ilvl w:val="0"/>
                <w:numId w:val="0"/>
              </w:numPr>
              <w:spacing w:line="360" w:lineRule="auto"/>
              <w:ind w:firstLine="480" w:firstLineChars="200"/>
              <w:rPr>
                <w:rFonts w:hint="eastAsia"/>
                <w:color w:val="auto"/>
                <w:lang w:val="en-US" w:eastAsia="zh-CN"/>
              </w:rPr>
            </w:pPr>
            <w:r>
              <w:rPr>
                <w:rFonts w:hint="eastAsia"/>
                <w:color w:val="auto"/>
                <w:lang w:val="en-US" w:eastAsia="zh-CN"/>
              </w:rPr>
              <w:t>富民县位于昆明市西北部，是个山区较多的县，地势南高北低，东西宽44.2km，南北长51.6km。由南向北倾斜，望海山把县境分为</w:t>
            </w:r>
            <w:r>
              <w:rPr>
                <w:rFonts w:hint="eastAsia"/>
                <w:color w:val="auto"/>
                <w:lang w:val="en-US" w:eastAsia="zh-CN"/>
              </w:rPr>
              <w:fldChar w:fldCharType="begin"/>
            </w:r>
            <w:r>
              <w:rPr>
                <w:rFonts w:hint="eastAsia"/>
                <w:color w:val="auto"/>
                <w:lang w:val="en-US" w:eastAsia="zh-CN"/>
              </w:rPr>
              <w:instrText xml:space="preserve"> HYPERLINK "http://baike.sogou.com/lemma/ShowInnerLink.htm?lemmaId=121122&amp;ss_c=ssc.citiao.link" </w:instrText>
            </w:r>
            <w:r>
              <w:rPr>
                <w:rFonts w:hint="eastAsia"/>
                <w:color w:val="auto"/>
                <w:lang w:val="en-US" w:eastAsia="zh-CN"/>
              </w:rPr>
              <w:fldChar w:fldCharType="separate"/>
            </w:r>
            <w:r>
              <w:rPr>
                <w:rFonts w:hint="eastAsia"/>
                <w:color w:val="auto"/>
                <w:lang w:val="en-US" w:eastAsia="zh-CN"/>
              </w:rPr>
              <w:t>螳螂</w:t>
            </w:r>
            <w:r>
              <w:rPr>
                <w:rFonts w:hint="eastAsia"/>
                <w:color w:val="auto"/>
                <w:lang w:val="en-US" w:eastAsia="zh-CN"/>
              </w:rPr>
              <w:fldChar w:fldCharType="end"/>
            </w:r>
            <w:r>
              <w:rPr>
                <w:rFonts w:hint="eastAsia"/>
                <w:color w:val="auto"/>
                <w:lang w:val="en-US" w:eastAsia="zh-CN"/>
              </w:rPr>
              <w:t>川和款</w:t>
            </w:r>
            <w:r>
              <w:rPr>
                <w:rFonts w:hint="eastAsia"/>
                <w:color w:val="auto"/>
                <w:lang w:val="en-US" w:eastAsia="zh-CN"/>
              </w:rPr>
              <w:fldChar w:fldCharType="begin"/>
            </w:r>
            <w:r>
              <w:rPr>
                <w:rFonts w:hint="eastAsia"/>
                <w:color w:val="auto"/>
                <w:lang w:val="en-US" w:eastAsia="zh-CN"/>
              </w:rPr>
              <w:instrText xml:space="preserve"> HYPERLINK "http://baike.sogou.com/lemma/ShowInnerLink.htm?lemmaId=2091889&amp;ss_c=ssc.citiao.link" </w:instrText>
            </w:r>
            <w:r>
              <w:rPr>
                <w:rFonts w:hint="eastAsia"/>
                <w:color w:val="auto"/>
                <w:lang w:val="en-US" w:eastAsia="zh-CN"/>
              </w:rPr>
              <w:fldChar w:fldCharType="separate"/>
            </w:r>
            <w:r>
              <w:rPr>
                <w:rFonts w:hint="eastAsia"/>
                <w:color w:val="auto"/>
                <w:lang w:val="en-US" w:eastAsia="zh-CN"/>
              </w:rPr>
              <w:t>庄河</w:t>
            </w:r>
            <w:r>
              <w:rPr>
                <w:rFonts w:hint="eastAsia"/>
                <w:color w:val="auto"/>
                <w:lang w:val="en-US" w:eastAsia="zh-CN"/>
              </w:rPr>
              <w:fldChar w:fldCharType="end"/>
            </w:r>
            <w:r>
              <w:rPr>
                <w:rFonts w:hint="eastAsia"/>
                <w:color w:val="auto"/>
                <w:lang w:val="en-US" w:eastAsia="zh-CN"/>
              </w:rPr>
              <w:t>两大水系。最大</w:t>
            </w:r>
            <w:r>
              <w:rPr>
                <w:rFonts w:hint="eastAsia"/>
                <w:color w:val="auto"/>
                <w:lang w:val="en-US" w:eastAsia="zh-CN"/>
              </w:rPr>
              <w:fldChar w:fldCharType="begin"/>
            </w:r>
            <w:r>
              <w:rPr>
                <w:rFonts w:hint="eastAsia"/>
                <w:color w:val="auto"/>
                <w:lang w:val="en-US" w:eastAsia="zh-CN"/>
              </w:rPr>
              <w:instrText xml:space="preserve"> HYPERLINK "http://baike.sogou.com/lemma/ShowInnerLink.htm?lemmaId=7606299&amp;ss_c=ssc.citiao.link" </w:instrText>
            </w:r>
            <w:r>
              <w:rPr>
                <w:rFonts w:hint="eastAsia"/>
                <w:color w:val="auto"/>
                <w:lang w:val="en-US" w:eastAsia="zh-CN"/>
              </w:rPr>
              <w:fldChar w:fldCharType="separate"/>
            </w:r>
            <w:r>
              <w:rPr>
                <w:rFonts w:hint="eastAsia"/>
                <w:color w:val="auto"/>
                <w:lang w:val="en-US" w:eastAsia="zh-CN"/>
              </w:rPr>
              <w:t>坝子</w:t>
            </w:r>
            <w:r>
              <w:rPr>
                <w:rFonts w:hint="eastAsia"/>
                <w:color w:val="auto"/>
                <w:lang w:val="en-US" w:eastAsia="zh-CN"/>
              </w:rPr>
              <w:fldChar w:fldCharType="end"/>
            </w:r>
            <w:r>
              <w:rPr>
                <w:rFonts w:hint="eastAsia"/>
                <w:color w:val="auto"/>
                <w:lang w:val="en-US" w:eastAsia="zh-CN"/>
              </w:rPr>
              <w:t>由永定、勤劳、</w:t>
            </w:r>
            <w:r>
              <w:rPr>
                <w:rFonts w:hint="eastAsia"/>
                <w:color w:val="auto"/>
                <w:lang w:val="en-US" w:eastAsia="zh-CN"/>
              </w:rPr>
              <w:fldChar w:fldCharType="begin"/>
            </w:r>
            <w:r>
              <w:rPr>
                <w:rFonts w:hint="eastAsia"/>
                <w:color w:val="auto"/>
                <w:lang w:val="en-US" w:eastAsia="zh-CN"/>
              </w:rPr>
              <w:instrText xml:space="preserve"> HYPERLINK "http://baike.sogou.com/lemma/ShowInnerLink.htm?lemmaId=5330895&amp;ss_c=ssc.citiao.link" </w:instrText>
            </w:r>
            <w:r>
              <w:rPr>
                <w:rFonts w:hint="eastAsia"/>
                <w:color w:val="auto"/>
                <w:lang w:val="en-US" w:eastAsia="zh-CN"/>
              </w:rPr>
              <w:fldChar w:fldCharType="separate"/>
            </w:r>
            <w:r>
              <w:rPr>
                <w:rFonts w:hint="eastAsia"/>
                <w:color w:val="auto"/>
                <w:lang w:val="en-US" w:eastAsia="zh-CN"/>
              </w:rPr>
              <w:t>大营</w:t>
            </w:r>
            <w:r>
              <w:rPr>
                <w:rFonts w:hint="eastAsia"/>
                <w:color w:val="auto"/>
                <w:lang w:val="en-US" w:eastAsia="zh-CN"/>
              </w:rPr>
              <w:fldChar w:fldCharType="end"/>
            </w:r>
            <w:r>
              <w:rPr>
                <w:rFonts w:hint="eastAsia"/>
                <w:color w:val="auto"/>
                <w:lang w:val="en-US" w:eastAsia="zh-CN"/>
              </w:rPr>
              <w:t>组成，螳螂川贯穿其间，坝子西部为金铜盆山，海拔2817米，为富民最高点，中部的望海山，海拔2672m，东部与嵩明分界的</w:t>
            </w:r>
            <w:r>
              <w:rPr>
                <w:rFonts w:hint="eastAsia"/>
                <w:color w:val="auto"/>
                <w:lang w:val="en-US" w:eastAsia="zh-CN"/>
              </w:rPr>
              <w:fldChar w:fldCharType="begin"/>
            </w:r>
            <w:r>
              <w:rPr>
                <w:rFonts w:hint="eastAsia"/>
                <w:color w:val="auto"/>
                <w:lang w:val="en-US" w:eastAsia="zh-CN"/>
              </w:rPr>
              <w:instrText xml:space="preserve"> HYPERLINK "http://baike.sogou.com/lemma/ShowInnerLink.htm?lemmaId=63334730&amp;ss_c=ssc.citiao.link" </w:instrText>
            </w:r>
            <w:r>
              <w:rPr>
                <w:rFonts w:hint="eastAsia"/>
                <w:color w:val="auto"/>
                <w:lang w:val="en-US" w:eastAsia="zh-CN"/>
              </w:rPr>
              <w:fldChar w:fldCharType="separate"/>
            </w:r>
            <w:r>
              <w:rPr>
                <w:rFonts w:hint="eastAsia"/>
                <w:color w:val="auto"/>
                <w:lang w:val="en-US" w:eastAsia="zh-CN"/>
              </w:rPr>
              <w:t>老鸦</w:t>
            </w:r>
            <w:r>
              <w:rPr>
                <w:rFonts w:hint="eastAsia"/>
                <w:color w:val="auto"/>
                <w:lang w:val="en-US" w:eastAsia="zh-CN"/>
              </w:rPr>
              <w:fldChar w:fldCharType="end"/>
            </w:r>
            <w:r>
              <w:rPr>
                <w:rFonts w:hint="eastAsia"/>
                <w:color w:val="auto"/>
                <w:lang w:val="en-US" w:eastAsia="zh-CN"/>
              </w:rPr>
              <w:t>山，海拔2873m，构成富民的三大山脉与两大水系。者北、赤鹫、罗免的田坝为低山环状河谷型，款庄为狭长和河谷型。坝区中部与主峰高差在800-1000m之间。</w:t>
            </w:r>
          </w:p>
          <w:p>
            <w:pPr>
              <w:numPr>
                <w:ilvl w:val="0"/>
                <w:numId w:val="0"/>
              </w:numPr>
              <w:spacing w:line="360" w:lineRule="auto"/>
              <w:ind w:firstLine="480" w:firstLineChars="200"/>
              <w:rPr>
                <w:rFonts w:hint="eastAsia"/>
                <w:color w:val="auto"/>
                <w:lang w:val="en-US" w:eastAsia="zh-CN"/>
              </w:rPr>
            </w:pPr>
            <w:r>
              <w:rPr>
                <w:rFonts w:hint="eastAsia"/>
                <w:color w:val="auto"/>
                <w:lang w:val="en-US" w:eastAsia="zh-CN"/>
              </w:rPr>
              <w:t>项目建设用地为二类工业用地，地貌属丘陵地区。项目所在区域，未发现影响建设的崩塌，以及泥石流等不良地质灾害，亦未发现大的活动性断裂。</w:t>
            </w:r>
          </w:p>
          <w:p>
            <w:pPr>
              <w:numPr>
                <w:ilvl w:val="0"/>
                <w:numId w:val="0"/>
              </w:numPr>
              <w:spacing w:line="360" w:lineRule="auto"/>
              <w:ind w:firstLine="480" w:firstLineChars="200"/>
              <w:rPr>
                <w:rFonts w:hint="eastAsia"/>
                <w:color w:val="auto"/>
                <w:lang w:val="en-US" w:eastAsia="zh-CN"/>
              </w:rPr>
            </w:pPr>
            <w:r>
              <w:rPr>
                <w:rFonts w:hint="eastAsia"/>
                <w:color w:val="auto"/>
                <w:lang w:val="en-US" w:eastAsia="zh-CN"/>
              </w:rPr>
              <w:t>3、气候、气象</w:t>
            </w:r>
          </w:p>
          <w:p>
            <w:pPr>
              <w:numPr>
                <w:ilvl w:val="0"/>
                <w:numId w:val="0"/>
              </w:numPr>
              <w:spacing w:line="360" w:lineRule="auto"/>
              <w:ind w:firstLine="480" w:firstLineChars="200"/>
              <w:rPr>
                <w:rFonts w:hint="eastAsia"/>
                <w:color w:val="auto"/>
                <w:lang w:val="en-US" w:eastAsia="zh-CN"/>
              </w:rPr>
            </w:pPr>
            <w:r>
              <w:rPr>
                <w:rFonts w:hint="eastAsia"/>
                <w:color w:val="auto"/>
                <w:lang w:val="en-US" w:eastAsia="zh-CN"/>
              </w:rPr>
              <w:t>富民县属低纬度亚热带高原季风气候，多年平均气温15.8℃，年极端最高气温33.4℃，最低气温-7℃；年均雨天136天，无霜期245天，全年日照2287小时。县内年降水中等，每年的5-10月为雨季，降水量占全年降雨量的87.9%，11月至次年4月为干季，降水量只占12.1%，年平均降雨量846.5mm，多年平均蒸发量2032.5mm。</w:t>
            </w:r>
          </w:p>
          <w:p>
            <w:pPr>
              <w:numPr>
                <w:ilvl w:val="0"/>
                <w:numId w:val="0"/>
              </w:numPr>
              <w:spacing w:line="360" w:lineRule="auto"/>
              <w:ind w:firstLine="480" w:firstLineChars="200"/>
              <w:rPr>
                <w:rFonts w:hint="eastAsia"/>
                <w:color w:val="auto"/>
                <w:lang w:val="en-US" w:eastAsia="zh-CN"/>
              </w:rPr>
            </w:pPr>
            <w:r>
              <w:rPr>
                <w:rFonts w:hint="eastAsia"/>
                <w:color w:val="auto"/>
                <w:lang w:val="en-US" w:eastAsia="zh-CN"/>
              </w:rPr>
              <w:t>项目区域主导风向为西南风（SW），风频为11.6%；次主导风向为西南偏西风（WSW），出现频率为10.96%；静风频率11.96%。全年平均风速为1.82m/s，月平均最大风速为1.94m/s，大风季节主要集中在春季。</w:t>
            </w:r>
          </w:p>
          <w:p>
            <w:pPr>
              <w:numPr>
                <w:ilvl w:val="0"/>
                <w:numId w:val="0"/>
              </w:numPr>
              <w:spacing w:line="360" w:lineRule="auto"/>
              <w:ind w:firstLine="480" w:firstLineChars="200"/>
              <w:rPr>
                <w:rFonts w:hint="eastAsia"/>
                <w:color w:val="auto"/>
                <w:lang w:val="en-US" w:eastAsia="zh-CN"/>
              </w:rPr>
            </w:pPr>
            <w:r>
              <w:rPr>
                <w:rFonts w:hint="eastAsia"/>
                <w:color w:val="auto"/>
                <w:lang w:val="en-US" w:eastAsia="zh-CN"/>
              </w:rPr>
              <w:t>4、河流水系及水文</w:t>
            </w:r>
          </w:p>
          <w:p>
            <w:pPr>
              <w:numPr>
                <w:ilvl w:val="0"/>
                <w:numId w:val="0"/>
              </w:numPr>
              <w:spacing w:line="360" w:lineRule="auto"/>
              <w:ind w:firstLine="480" w:firstLineChars="200"/>
              <w:rPr>
                <w:rFonts w:hint="default"/>
                <w:color w:val="auto"/>
                <w:lang w:val="en-US" w:eastAsia="zh-CN"/>
              </w:rPr>
            </w:pPr>
            <w:r>
              <w:rPr>
                <w:rFonts w:hint="eastAsia"/>
                <w:color w:val="auto"/>
                <w:lang w:val="en-US" w:eastAsia="zh-CN"/>
              </w:rPr>
              <w:t>富民县境内河流有螳螂川、门前河（高桥河）、大营河及其支流新桥河和清水河、龙纳河、龙泉河、木板河等8条；源于境内的有高北河、马拉河、清罗河及天生桥河、新沙河、石板沟6条。境内河流的特点为：旱季水小清澈，雨季水大浑浊。</w:t>
            </w:r>
          </w:p>
          <w:p>
            <w:pPr>
              <w:numPr>
                <w:ilvl w:val="0"/>
                <w:numId w:val="0"/>
              </w:numPr>
              <w:spacing w:line="360" w:lineRule="auto"/>
              <w:ind w:firstLine="480" w:firstLineChars="200"/>
              <w:rPr>
                <w:rFonts w:hint="eastAsia"/>
                <w:color w:val="auto"/>
                <w:lang w:val="en-US" w:eastAsia="zh-CN"/>
              </w:rPr>
            </w:pPr>
            <w:r>
              <w:rPr>
                <w:rFonts w:hint="eastAsia"/>
                <w:color w:val="auto"/>
                <w:lang w:val="en-US" w:eastAsia="zh-CN"/>
              </w:rPr>
              <w:t>本项目有关的地表水体主要为大营河和螳螂川。</w:t>
            </w:r>
          </w:p>
          <w:p>
            <w:pPr>
              <w:numPr>
                <w:ilvl w:val="0"/>
                <w:numId w:val="0"/>
              </w:numPr>
              <w:spacing w:line="360" w:lineRule="auto"/>
              <w:ind w:firstLine="480" w:firstLineChars="200"/>
              <w:rPr>
                <w:rFonts w:hint="eastAsia"/>
                <w:color w:val="auto"/>
                <w:lang w:val="en-US" w:eastAsia="zh-CN"/>
              </w:rPr>
            </w:pPr>
            <w:r>
              <w:rPr>
                <w:rFonts w:hint="eastAsia"/>
                <w:color w:val="auto"/>
                <w:lang w:val="en-US" w:eastAsia="zh-CN"/>
              </w:rPr>
              <w:t>螳螂川属金沙江水系，是滇池的出水河道。螳螂川自南向北贯穿富民全县，螳螂川全长210km左右，属高原河流，水力资源丰富。富民县境内螳螂川全长63.4km，均宽65m，出入落差258m，年入境水量86320万m</w:t>
            </w:r>
            <w:r>
              <w:rPr>
                <w:rFonts w:hint="eastAsia"/>
                <w:color w:val="auto"/>
                <w:vertAlign w:val="superscript"/>
                <w:lang w:val="en-US" w:eastAsia="zh-CN"/>
              </w:rPr>
              <w:t>3</w:t>
            </w:r>
            <w:r>
              <w:rPr>
                <w:rFonts w:hint="eastAsia"/>
                <w:color w:val="auto"/>
                <w:lang w:val="en-US" w:eastAsia="zh-CN"/>
              </w:rPr>
              <w:t>，年均流量27.73m</w:t>
            </w:r>
            <w:r>
              <w:rPr>
                <w:rFonts w:hint="eastAsia"/>
                <w:color w:val="auto"/>
                <w:vertAlign w:val="superscript"/>
                <w:lang w:val="en-US" w:eastAsia="zh-CN"/>
              </w:rPr>
              <w:t>3</w:t>
            </w:r>
            <w:r>
              <w:rPr>
                <w:rFonts w:hint="eastAsia"/>
                <w:color w:val="auto"/>
                <w:lang w:val="en-US" w:eastAsia="zh-CN"/>
              </w:rPr>
              <w:t>/s，最大流量500m3/s。</w:t>
            </w:r>
          </w:p>
          <w:p>
            <w:pPr>
              <w:numPr>
                <w:ilvl w:val="0"/>
                <w:numId w:val="0"/>
              </w:numPr>
              <w:spacing w:line="360" w:lineRule="auto"/>
              <w:ind w:firstLine="480" w:firstLineChars="200"/>
              <w:rPr>
                <w:rFonts w:hint="eastAsia"/>
                <w:color w:val="auto"/>
                <w:lang w:val="en-US" w:eastAsia="zh-CN"/>
              </w:rPr>
            </w:pPr>
            <w:r>
              <w:rPr>
                <w:rFonts w:hint="eastAsia"/>
                <w:color w:val="auto"/>
                <w:lang w:val="en-US" w:eastAsia="zh-CN"/>
              </w:rPr>
              <w:t>大营河是富民坝子的一条主要河流，为螳螂川支流，常年流水不断，水质较好，该河出口与螳螂川交汇，在富民县城形成“人”字型水体。大营河发源于西山区桃园村，在富民县大营乡境内得名，由东向西流至天生桥，转为东南流向西北，经头村、二村，在富民县城东部10km的三村乡入境，经东元村、于大营村委会的成器墩汇入螳螂川，长约12km，出入落差152m，宽5至10m，平均流量1.5m</w:t>
            </w:r>
            <w:r>
              <w:rPr>
                <w:rFonts w:hint="eastAsia"/>
                <w:color w:val="auto"/>
                <w:vertAlign w:val="superscript"/>
                <w:lang w:val="en-US" w:eastAsia="zh-CN"/>
              </w:rPr>
              <w:t>3</w:t>
            </w:r>
            <w:r>
              <w:rPr>
                <w:rFonts w:hint="eastAsia"/>
                <w:color w:val="auto"/>
                <w:lang w:val="en-US" w:eastAsia="zh-CN"/>
              </w:rPr>
              <w:t>/s，最大流量75m</w:t>
            </w:r>
            <w:r>
              <w:rPr>
                <w:rFonts w:hint="eastAsia"/>
                <w:color w:val="auto"/>
                <w:vertAlign w:val="superscript"/>
                <w:lang w:val="en-US" w:eastAsia="zh-CN"/>
              </w:rPr>
              <w:t>3</w:t>
            </w:r>
            <w:r>
              <w:rPr>
                <w:rFonts w:hint="eastAsia"/>
                <w:color w:val="auto"/>
                <w:lang w:val="en-US" w:eastAsia="zh-CN"/>
              </w:rPr>
              <w:t>/s，最小流量0.08m</w:t>
            </w:r>
            <w:r>
              <w:rPr>
                <w:rFonts w:hint="eastAsia"/>
                <w:color w:val="auto"/>
                <w:vertAlign w:val="superscript"/>
                <w:lang w:val="en-US" w:eastAsia="zh-CN"/>
              </w:rPr>
              <w:t>3</w:t>
            </w:r>
            <w:r>
              <w:rPr>
                <w:rFonts w:hint="eastAsia"/>
                <w:color w:val="auto"/>
                <w:lang w:val="en-US" w:eastAsia="zh-CN"/>
              </w:rPr>
              <w:t>/s，水量6250万m</w:t>
            </w:r>
            <w:r>
              <w:rPr>
                <w:rFonts w:hint="eastAsia"/>
                <w:color w:val="auto"/>
                <w:vertAlign w:val="superscript"/>
                <w:lang w:val="en-US" w:eastAsia="zh-CN"/>
              </w:rPr>
              <w:t>3</w:t>
            </w:r>
            <w:r>
              <w:rPr>
                <w:rFonts w:hint="eastAsia"/>
                <w:color w:val="auto"/>
                <w:lang w:val="en-US" w:eastAsia="zh-CN"/>
              </w:rPr>
              <w:t>/a。其上游分两支，东支称为沙朗河，发源于沙朗乡三多村委会，经沙郎乡后穿天生洞出露后与西支汇流；西支发源于团结乡永靖村委会，上游建有红坡水库，下游沿昆富公路下流，至富民县大营村汇入螳螂川，全长 41km。大营河主要使用功能为农业用水。</w:t>
            </w:r>
          </w:p>
          <w:p>
            <w:pPr>
              <w:numPr>
                <w:ilvl w:val="0"/>
                <w:numId w:val="0"/>
              </w:numPr>
              <w:spacing w:line="360" w:lineRule="auto"/>
              <w:ind w:firstLine="480" w:firstLineChars="200"/>
              <w:rPr>
                <w:rFonts w:hint="eastAsia"/>
                <w:color w:val="auto"/>
                <w:lang w:val="en-US" w:eastAsia="zh-CN"/>
              </w:rPr>
            </w:pPr>
            <w:r>
              <w:rPr>
                <w:rFonts w:hint="eastAsia"/>
                <w:color w:val="auto"/>
                <w:lang w:val="en-US" w:eastAsia="zh-CN"/>
              </w:rPr>
              <w:t>项目周围最近的地表水体为项目南面1243m处的大营河，项目所在区域水系图见附图3。</w:t>
            </w:r>
          </w:p>
          <w:p>
            <w:pPr>
              <w:adjustRightInd w:val="0"/>
              <w:snapToGrid w:val="0"/>
              <w:spacing w:line="360" w:lineRule="auto"/>
              <w:ind w:firstLine="480" w:firstLineChars="200"/>
              <w:rPr>
                <w:rFonts w:hint="eastAsia"/>
                <w:color w:val="auto"/>
              </w:rPr>
            </w:pPr>
            <w:r>
              <w:rPr>
                <w:rFonts w:hint="eastAsia"/>
                <w:color w:val="auto"/>
              </w:rPr>
              <w:t>5、土壤</w:t>
            </w:r>
            <w:r>
              <w:rPr>
                <w:rFonts w:hint="eastAsia"/>
                <w:color w:val="auto"/>
                <w:lang w:eastAsia="zh-CN"/>
              </w:rPr>
              <w:t>及植被</w:t>
            </w:r>
          </w:p>
          <w:p>
            <w:pPr>
              <w:spacing w:line="360" w:lineRule="auto"/>
              <w:ind w:firstLine="480" w:firstLineChars="200"/>
              <w:rPr>
                <w:rFonts w:hint="eastAsia"/>
                <w:color w:val="auto"/>
                <w:lang w:val="en-US" w:eastAsia="zh-CN"/>
              </w:rPr>
            </w:pPr>
            <w:r>
              <w:rPr>
                <w:rFonts w:hint="eastAsia"/>
                <w:color w:val="auto"/>
                <w:lang w:eastAsia="zh-CN"/>
              </w:rPr>
              <w:t>富民县辖区面积</w:t>
            </w:r>
            <w:r>
              <w:rPr>
                <w:rFonts w:hint="eastAsia"/>
                <w:color w:val="auto"/>
                <w:lang w:val="en-US" w:eastAsia="zh-CN"/>
              </w:rPr>
              <w:t>100308.56公顷，耕地面积19252.97公顷，其中，灌溉水田4892.97公顷，占耕地面积的25.41%；望天田541.11公顷，占耕地面积的2.81%；旱地13746.09公顷，占耕地面积的71.40%；菜地72.80公顷，占耕地面积的0.38%。</w:t>
            </w:r>
          </w:p>
          <w:p>
            <w:pPr>
              <w:pStyle w:val="2"/>
              <w:spacing w:line="360" w:lineRule="auto"/>
              <w:ind w:firstLine="480" w:firstLineChars="200"/>
              <w:jc w:val="left"/>
              <w:rPr>
                <w:rFonts w:hint="default"/>
                <w:color w:val="auto"/>
                <w:lang w:val="en-US" w:eastAsia="zh-CN"/>
              </w:rPr>
            </w:pPr>
            <w:r>
              <w:rPr>
                <w:rFonts w:hint="eastAsia"/>
                <w:color w:val="auto"/>
                <w:lang w:val="en-US" w:eastAsia="zh-CN"/>
              </w:rPr>
              <w:t>全县土壤分为4个土类。红壤、紫色土、水稻土、棕壤土。红壤最多，全县有102.58万亩，占总面积1482180亩的69.20%，广泛分布在县内，海拔2500m以下的山坡和丘陵地带。紫色土全县有23.14万亩，占土地总面积的15.64%，与红壤与水稻土交混，主要分布在海拔2200m以下的罗兔、散旦2个镇和永定街道、款庄镇的部分地区也有分布。水稻土全县有7.19万亩，占总面积的4.85%，其中淹育型水稻土1.23万亩，潴育型有5.95万亩。棕壤土全县有2.49万亩，占总面积的1.70%，分布在海拔2500m以上的老青山、望海山等高寒地区。</w:t>
            </w:r>
          </w:p>
          <w:p>
            <w:pPr>
              <w:spacing w:line="360" w:lineRule="auto"/>
              <w:ind w:firstLine="480" w:firstLineChars="200"/>
              <w:rPr>
                <w:rFonts w:hint="default"/>
                <w:color w:val="auto"/>
                <w:lang w:val="en-US" w:eastAsia="zh-CN"/>
              </w:rPr>
            </w:pPr>
            <w:r>
              <w:rPr>
                <w:rFonts w:hint="eastAsia"/>
                <w:color w:val="auto"/>
                <w:lang w:eastAsia="zh-CN"/>
              </w:rPr>
              <w:t>富民县植被系亚热带西部中山半湿润常绿阔叶林和亚热带暖性针叶林，植被类型十分丰富，既有滇中地区代表性的青冈栎属和石栎属为主的常绿阔叶林和云南松为主的针叶林，也有森林破坏后形成的各类次生植物群落，主要代表树种有高山栲、元江栲、滇青冈、滇石栎、云南松、华山松、滇油杉、桉树、柏树和桤木等。</w:t>
            </w:r>
          </w:p>
          <w:p>
            <w:pPr>
              <w:spacing w:line="360" w:lineRule="auto"/>
              <w:ind w:firstLine="480" w:firstLineChars="200"/>
              <w:rPr>
                <w:rFonts w:hint="eastAsia"/>
                <w:color w:val="auto"/>
              </w:rPr>
            </w:pPr>
            <w:r>
              <w:rPr>
                <w:rFonts w:hint="eastAsia"/>
                <w:color w:val="auto"/>
              </w:rPr>
              <w:t>项目所在区域，土壤类型主要为山原红壤、紫色土、水稻土和棕壤土。由于受到人类活动的干扰，已无原生植被。植被类型主要有青岗栎树、石栎树为主的常绿阔叶林和云南松为主的针叶林，以及原生植被破坏后形成的次生植物群落。植物种类少，生物多样性差，无国家珍稀濒危保护物种。</w:t>
            </w:r>
          </w:p>
          <w:p>
            <w:pPr>
              <w:spacing w:line="360" w:lineRule="auto"/>
              <w:ind w:firstLine="480" w:firstLineChars="200"/>
              <w:rPr>
                <w:rFonts w:hint="default"/>
                <w:color w:val="auto"/>
              </w:rPr>
            </w:pPr>
            <w:r>
              <w:rPr>
                <w:rFonts w:hint="eastAsia"/>
                <w:color w:val="auto"/>
              </w:rPr>
              <w:t>项目位于富民工业园区</w:t>
            </w:r>
            <w:r>
              <w:rPr>
                <w:rFonts w:hint="eastAsia"/>
                <w:color w:val="auto"/>
                <w:lang w:eastAsia="zh-CN"/>
              </w:rPr>
              <w:t>大营五金建材产业园</w:t>
            </w:r>
            <w:r>
              <w:rPr>
                <w:rFonts w:hint="eastAsia"/>
                <w:color w:val="auto"/>
              </w:rPr>
              <w:t>，项目区内无国家级和省级重点保护野生植物。</w:t>
            </w:r>
          </w:p>
          <w:p>
            <w:pPr>
              <w:spacing w:line="360" w:lineRule="auto"/>
              <w:rPr>
                <w:rFonts w:hint="default"/>
                <w:color w:val="auto"/>
              </w:rPr>
            </w:pPr>
            <w:r>
              <w:rPr>
                <w:rFonts w:hint="default"/>
                <w:color w:val="auto"/>
                <w:lang w:val="en-US" w:eastAsia="zh-CN"/>
              </w:rPr>
              <w:t>6</w:t>
            </w:r>
            <w:r>
              <w:rPr>
                <w:rFonts w:hint="default"/>
                <w:color w:val="auto"/>
              </w:rPr>
              <w:t>、富民工业园区概况</w:t>
            </w:r>
          </w:p>
          <w:p>
            <w:pPr>
              <w:spacing w:line="360" w:lineRule="auto"/>
              <w:ind w:firstLine="480" w:firstLineChars="200"/>
              <w:rPr>
                <w:rFonts w:hint="default"/>
                <w:color w:val="auto"/>
              </w:rPr>
            </w:pPr>
            <w:r>
              <w:rPr>
                <w:rFonts w:hint="default"/>
                <w:color w:val="auto"/>
              </w:rPr>
              <w:t>①富民工业园区简介</w:t>
            </w:r>
          </w:p>
          <w:p>
            <w:pPr>
              <w:spacing w:line="360" w:lineRule="auto"/>
              <w:ind w:firstLine="480" w:firstLineChars="200"/>
              <w:rPr>
                <w:rFonts w:hint="default"/>
                <w:color w:val="auto"/>
              </w:rPr>
            </w:pPr>
            <w:r>
              <w:rPr>
                <w:rFonts w:hint="default"/>
                <w:color w:val="auto"/>
              </w:rPr>
              <w:t>2014年富民工业园区管委会委托昆明市规划设计研究院编制完成了《富民工业园区总体规划修编（2015~2030）》，并通过昆明市工业和信息化委员会组织的专家审核，并于2015年10月取得了昆明市工业和信息化委员会《关于实施&lt;富民工业园区总体规划修编（2015~2030）&gt;的意见》（昆工信发</w:t>
            </w:r>
            <w:r>
              <w:rPr>
                <w:rFonts w:hint="default"/>
                <w:color w:val="auto"/>
                <w:lang w:val="en-US" w:eastAsia="zh-CN"/>
              </w:rPr>
              <w:t>[</w:t>
            </w:r>
            <w:r>
              <w:rPr>
                <w:rFonts w:hint="default"/>
                <w:color w:val="auto"/>
              </w:rPr>
              <w:t>2015</w:t>
            </w:r>
            <w:r>
              <w:rPr>
                <w:rFonts w:hint="default"/>
                <w:color w:val="auto"/>
                <w:lang w:val="en-US" w:eastAsia="zh-CN"/>
              </w:rPr>
              <w:t>]</w:t>
            </w:r>
            <w:r>
              <w:rPr>
                <w:rFonts w:hint="default"/>
                <w:color w:val="auto"/>
              </w:rPr>
              <w:t>181号）。</w:t>
            </w:r>
          </w:p>
          <w:p>
            <w:pPr>
              <w:spacing w:line="360" w:lineRule="auto"/>
              <w:ind w:firstLine="480" w:firstLineChars="200"/>
              <w:rPr>
                <w:rFonts w:hint="default"/>
                <w:color w:val="auto"/>
              </w:rPr>
            </w:pPr>
            <w:r>
              <w:rPr>
                <w:rFonts w:hint="default"/>
                <w:color w:val="auto"/>
              </w:rPr>
              <w:t>富民工业园区位于富民永定街道、罗免镇、赤鹫镇、散旦镇、款庄镇、东村镇的部分区域，定位为新型工业园区，是以装备制造、钛化工和新材料三大产业为主导的产业基地，集生产、生活配套为一体的生态工业园。园区包括白石崖—大白坡片区、大营—茨塘片区、散旦片区、款庄—东村片区四个工业片区。白石崖—大白坡片区规划为钛产业、装备制造、精细化工产业区；大营—茨塘片区规划为以半导体为主导的新材料产业、食品加工、五金建材产业区；散旦片区规划为以半导体为主导的新材料产业、林产品加工、农副产品加工业产业区；款庄—东村片区规划为以半导体为主导的新材料产业，辅以发展光伏发电、风力发电等新能源产业区。</w:t>
            </w:r>
          </w:p>
          <w:p>
            <w:pPr>
              <w:spacing w:line="360" w:lineRule="auto"/>
              <w:ind w:firstLine="480" w:firstLineChars="200"/>
              <w:rPr>
                <w:rFonts w:hint="default"/>
                <w:color w:val="auto"/>
              </w:rPr>
            </w:pPr>
            <w:r>
              <w:rPr>
                <w:rFonts w:hint="default"/>
                <w:color w:val="auto"/>
                <w:lang w:eastAsia="zh-CN"/>
              </w:rPr>
              <w:t>项目位于富民工业园区</w:t>
            </w:r>
            <w:r>
              <w:rPr>
                <w:rFonts w:hint="default"/>
                <w:color w:val="auto"/>
              </w:rPr>
              <w:t>大营—茨塘片区</w:t>
            </w:r>
            <w:r>
              <w:rPr>
                <w:rFonts w:hint="default"/>
                <w:color w:val="auto"/>
                <w:lang w:eastAsia="zh-CN"/>
              </w:rPr>
              <w:t>，</w:t>
            </w:r>
            <w:r>
              <w:rPr>
                <w:rFonts w:hint="default"/>
                <w:color w:val="auto"/>
              </w:rPr>
              <w:t>大营—茨塘片区</w:t>
            </w:r>
            <w:r>
              <w:rPr>
                <w:rFonts w:hint="default"/>
                <w:color w:val="auto"/>
                <w:lang w:eastAsia="zh-CN"/>
              </w:rPr>
              <w:t>位于</w:t>
            </w:r>
            <w:r>
              <w:rPr>
                <w:rFonts w:hint="default"/>
                <w:color w:val="auto"/>
              </w:rPr>
              <w:t>县城区的东北面，</w:t>
            </w:r>
            <w:r>
              <w:rPr>
                <w:rFonts w:hint="default"/>
                <w:color w:val="auto"/>
                <w:lang w:eastAsia="zh-CN"/>
              </w:rPr>
              <w:t>为</w:t>
            </w:r>
            <w:r>
              <w:rPr>
                <w:rFonts w:hint="default"/>
                <w:color w:val="auto"/>
              </w:rPr>
              <w:t>县城区常年主导风向的下风向</w:t>
            </w:r>
            <w:r>
              <w:rPr>
                <w:rFonts w:hint="default"/>
                <w:color w:val="auto"/>
                <w:lang w:eastAsia="zh-CN"/>
              </w:rPr>
              <w:t>区域</w:t>
            </w:r>
            <w:r>
              <w:rPr>
                <w:rFonts w:hint="default"/>
                <w:color w:val="auto"/>
              </w:rPr>
              <w:t>；主要布局以半导体为主的新材料产业、食品加工及五金建材产业，积极引导以半导体为主导的新材料产业的发展，并在现状东元食品产业园和大营五金建材产业园的发展基础上，延续食品加工、五金建材等产业的发展，推动新型建材企业的入驻。同时，充分利用临近县城的区位条件，紧邻昆武高速公路、昆禄公路的交通条件，发展商贸物流产业。</w:t>
            </w:r>
          </w:p>
          <w:p>
            <w:pPr>
              <w:spacing w:line="360" w:lineRule="auto"/>
              <w:ind w:firstLine="480" w:firstLineChars="200"/>
              <w:rPr>
                <w:rFonts w:hint="default"/>
                <w:color w:val="auto"/>
                <w:lang w:eastAsia="zh-CN"/>
              </w:rPr>
            </w:pPr>
            <w:r>
              <w:rPr>
                <w:rFonts w:hint="default"/>
                <w:color w:val="auto"/>
                <w:lang w:eastAsia="zh-CN"/>
              </w:rPr>
              <w:t>项目位于片区内大营五金建材园，项目</w:t>
            </w:r>
            <w:r>
              <w:rPr>
                <w:rFonts w:hint="eastAsia"/>
                <w:color w:val="auto"/>
                <w:lang w:eastAsia="zh-CN"/>
              </w:rPr>
              <w:t>已取得入园相关证明</w:t>
            </w:r>
            <w:r>
              <w:rPr>
                <w:rFonts w:hint="default"/>
                <w:color w:val="auto"/>
                <w:lang w:eastAsia="zh-CN"/>
              </w:rPr>
              <w:t>，与片区产业定位不冲突。</w:t>
            </w:r>
          </w:p>
          <w:p>
            <w:pPr>
              <w:spacing w:line="360" w:lineRule="auto"/>
              <w:ind w:firstLine="480" w:firstLineChars="200"/>
              <w:rPr>
                <w:rFonts w:hint="default"/>
                <w:color w:val="auto"/>
              </w:rPr>
            </w:pPr>
            <w:r>
              <w:rPr>
                <w:rFonts w:hint="default"/>
                <w:color w:val="auto"/>
              </w:rPr>
              <w:t>②园区规划环评</w:t>
            </w:r>
          </w:p>
          <w:p>
            <w:pPr>
              <w:spacing w:line="360" w:lineRule="auto"/>
              <w:ind w:firstLine="480" w:firstLineChars="200"/>
              <w:rPr>
                <w:rFonts w:hint="default"/>
                <w:color w:val="auto"/>
              </w:rPr>
            </w:pPr>
            <w:r>
              <w:rPr>
                <w:rFonts w:hint="default"/>
                <w:color w:val="auto"/>
              </w:rPr>
              <w:t>富民工业园区管委会委托云南大学，编制了《富民工业园区总体规划修编（2015~2030）环境影响报告书》，该报告书于2016年1月通过了云南省环境保护厅组织的专家组的审查</w:t>
            </w:r>
            <w:r>
              <w:rPr>
                <w:rFonts w:hint="default"/>
                <w:color w:val="auto"/>
                <w:lang w:eastAsia="zh-CN"/>
              </w:rPr>
              <w:t>（审批文号</w:t>
            </w:r>
            <w:r>
              <w:rPr>
                <w:rFonts w:hint="eastAsia"/>
                <w:color w:val="auto"/>
                <w:lang w:eastAsia="zh-CN"/>
              </w:rPr>
              <w:t>“</w:t>
            </w:r>
            <w:r>
              <w:rPr>
                <w:rFonts w:hint="default"/>
                <w:color w:val="auto"/>
              </w:rPr>
              <w:t>云环函[2016]10号</w:t>
            </w:r>
            <w:r>
              <w:rPr>
                <w:rFonts w:hint="eastAsia"/>
                <w:color w:val="auto"/>
                <w:lang w:eastAsia="zh-CN"/>
              </w:rPr>
              <w:t>”</w:t>
            </w:r>
            <w:r>
              <w:rPr>
                <w:rFonts w:hint="default"/>
                <w:color w:val="auto"/>
                <w:lang w:eastAsia="zh-CN"/>
              </w:rPr>
              <w:t>）</w:t>
            </w:r>
            <w:r>
              <w:rPr>
                <w:rFonts w:hint="default"/>
                <w:color w:val="auto"/>
              </w:rPr>
              <w:t>。</w:t>
            </w:r>
          </w:p>
          <w:p>
            <w:pPr>
              <w:spacing w:line="360" w:lineRule="auto"/>
              <w:ind w:firstLine="480" w:firstLineChars="200"/>
              <w:rPr>
                <w:rFonts w:hint="default"/>
                <w:color w:val="auto"/>
                <w:lang w:val="en-US" w:eastAsia="zh-CN"/>
              </w:rPr>
            </w:pPr>
            <w:r>
              <w:rPr>
                <w:rFonts w:hint="default"/>
                <w:color w:val="auto"/>
                <w:lang w:val="en-US" w:eastAsia="zh-CN"/>
              </w:rPr>
              <w:t>③园区基础设施建设情况</w:t>
            </w:r>
          </w:p>
          <w:p>
            <w:pPr>
              <w:spacing w:line="360" w:lineRule="auto"/>
              <w:ind w:firstLine="480" w:firstLineChars="200"/>
              <w:rPr>
                <w:rFonts w:hint="default"/>
                <w:color w:val="auto"/>
                <w:lang w:val="en-US" w:eastAsia="zh-CN"/>
              </w:rPr>
            </w:pPr>
            <w:r>
              <w:rPr>
                <w:rFonts w:hint="default"/>
                <w:color w:val="auto"/>
                <w:lang w:val="en-US" w:eastAsia="zh-CN"/>
              </w:rPr>
              <w:t>根据现场勘查，园区供电供水系统已建设完成，雨水管网已经沿路进行布设。</w:t>
            </w:r>
          </w:p>
          <w:p>
            <w:pPr>
              <w:spacing w:line="360" w:lineRule="auto"/>
              <w:ind w:firstLine="480" w:firstLineChars="200"/>
              <w:rPr>
                <w:rFonts w:hint="default"/>
                <w:color w:val="auto"/>
                <w:lang w:val="en-US" w:eastAsia="zh-CN"/>
              </w:rPr>
            </w:pPr>
          </w:p>
          <w:p>
            <w:pPr>
              <w:spacing w:line="360" w:lineRule="auto"/>
              <w:ind w:firstLine="480" w:firstLineChars="200"/>
              <w:rPr>
                <w:rFonts w:hint="default"/>
                <w:color w:val="auto"/>
                <w:lang w:val="en-US" w:eastAsia="zh-CN"/>
              </w:rPr>
            </w:pPr>
          </w:p>
          <w:p>
            <w:pPr>
              <w:spacing w:line="360" w:lineRule="auto"/>
              <w:ind w:firstLine="480" w:firstLineChars="200"/>
              <w:rPr>
                <w:rFonts w:hint="default"/>
                <w:color w:val="auto"/>
                <w:lang w:val="en-US" w:eastAsia="zh-CN"/>
              </w:rPr>
            </w:pPr>
          </w:p>
          <w:p>
            <w:pPr>
              <w:spacing w:line="360" w:lineRule="auto"/>
              <w:ind w:firstLine="480" w:firstLineChars="200"/>
              <w:rPr>
                <w:rFonts w:hint="default"/>
                <w:color w:val="auto"/>
                <w:lang w:val="en-US" w:eastAsia="zh-CN"/>
              </w:rPr>
            </w:pPr>
          </w:p>
          <w:p>
            <w:pPr>
              <w:spacing w:line="360" w:lineRule="auto"/>
              <w:ind w:firstLine="480" w:firstLineChars="200"/>
              <w:rPr>
                <w:rFonts w:hint="default"/>
                <w:color w:val="auto"/>
                <w:lang w:val="en-US" w:eastAsia="zh-CN"/>
              </w:rPr>
            </w:pPr>
          </w:p>
          <w:p>
            <w:pPr>
              <w:spacing w:line="360" w:lineRule="auto"/>
              <w:ind w:firstLine="480" w:firstLineChars="200"/>
              <w:rPr>
                <w:rFonts w:hint="default"/>
                <w:color w:val="auto"/>
                <w:lang w:val="en-US" w:eastAsia="zh-CN"/>
              </w:rPr>
            </w:pPr>
          </w:p>
          <w:p>
            <w:pPr>
              <w:spacing w:line="360" w:lineRule="auto"/>
              <w:ind w:firstLine="480" w:firstLineChars="200"/>
              <w:rPr>
                <w:rFonts w:hint="default"/>
                <w:color w:val="auto"/>
                <w:lang w:val="en-US" w:eastAsia="zh-CN"/>
              </w:rPr>
            </w:pPr>
          </w:p>
          <w:p>
            <w:pPr>
              <w:spacing w:line="360" w:lineRule="auto"/>
              <w:ind w:firstLine="480" w:firstLineChars="200"/>
              <w:rPr>
                <w:rFonts w:hint="default"/>
                <w:color w:val="auto"/>
                <w:lang w:val="en-US" w:eastAsia="zh-CN"/>
              </w:rPr>
            </w:pPr>
          </w:p>
          <w:p>
            <w:pPr>
              <w:spacing w:line="360" w:lineRule="auto"/>
              <w:ind w:firstLine="480" w:firstLineChars="200"/>
              <w:rPr>
                <w:rFonts w:hint="default"/>
                <w:color w:val="auto"/>
                <w:lang w:val="en-US" w:eastAsia="zh-CN"/>
              </w:rPr>
            </w:pPr>
          </w:p>
          <w:p>
            <w:pPr>
              <w:spacing w:line="360" w:lineRule="auto"/>
              <w:ind w:firstLine="480" w:firstLineChars="200"/>
              <w:rPr>
                <w:rFonts w:hint="default"/>
                <w:color w:val="auto"/>
                <w:lang w:val="en-US" w:eastAsia="zh-CN"/>
              </w:rPr>
            </w:pPr>
          </w:p>
          <w:p>
            <w:pPr>
              <w:spacing w:line="360" w:lineRule="auto"/>
              <w:ind w:firstLine="480" w:firstLineChars="200"/>
              <w:rPr>
                <w:rFonts w:hint="default"/>
                <w:color w:val="auto"/>
                <w:lang w:val="en-US" w:eastAsia="zh-CN"/>
              </w:rPr>
            </w:pPr>
          </w:p>
          <w:p>
            <w:pPr>
              <w:spacing w:line="360" w:lineRule="auto"/>
              <w:ind w:firstLine="480" w:firstLineChars="200"/>
              <w:rPr>
                <w:rFonts w:hint="default"/>
                <w:color w:val="auto"/>
                <w:lang w:val="en-US" w:eastAsia="zh-CN"/>
              </w:rPr>
            </w:pPr>
          </w:p>
          <w:p>
            <w:pPr>
              <w:spacing w:line="360" w:lineRule="auto"/>
              <w:ind w:firstLine="480" w:firstLineChars="200"/>
              <w:rPr>
                <w:rFonts w:hint="default"/>
                <w:color w:val="auto"/>
                <w:lang w:val="en-US" w:eastAsia="zh-CN"/>
              </w:rPr>
            </w:pPr>
          </w:p>
          <w:p>
            <w:pPr>
              <w:spacing w:line="360" w:lineRule="auto"/>
              <w:ind w:firstLine="480" w:firstLineChars="200"/>
              <w:rPr>
                <w:rFonts w:hint="default"/>
                <w:color w:val="auto"/>
                <w:lang w:val="en-US" w:eastAsia="zh-CN"/>
              </w:rPr>
            </w:pPr>
          </w:p>
          <w:p>
            <w:pPr>
              <w:spacing w:line="360" w:lineRule="auto"/>
              <w:ind w:firstLine="480" w:firstLineChars="200"/>
              <w:rPr>
                <w:rFonts w:hint="default"/>
                <w:color w:val="auto"/>
                <w:lang w:val="en-US" w:eastAsia="zh-CN"/>
              </w:rPr>
            </w:pPr>
          </w:p>
          <w:p>
            <w:pPr>
              <w:spacing w:line="360" w:lineRule="auto"/>
              <w:ind w:firstLine="480" w:firstLineChars="200"/>
              <w:rPr>
                <w:rFonts w:hint="default"/>
                <w:color w:val="auto"/>
                <w:lang w:val="en-US" w:eastAsia="zh-CN"/>
              </w:rPr>
            </w:pPr>
          </w:p>
          <w:p>
            <w:pPr>
              <w:spacing w:line="360" w:lineRule="auto"/>
              <w:ind w:firstLine="480" w:firstLineChars="200"/>
              <w:rPr>
                <w:rFonts w:hint="default"/>
                <w:color w:val="auto"/>
                <w:lang w:val="en-US" w:eastAsia="zh-CN"/>
              </w:rPr>
            </w:pPr>
          </w:p>
          <w:bookmarkEnd w:id="8"/>
          <w:p>
            <w:pPr>
              <w:ind w:left="0" w:leftChars="0" w:firstLine="0" w:firstLineChars="0"/>
              <w:rPr>
                <w:rFonts w:hint="default"/>
                <w:color w:val="auto"/>
                <w:lang w:eastAsia="zh-CN"/>
              </w:rPr>
            </w:pPr>
          </w:p>
          <w:p>
            <w:pPr>
              <w:pStyle w:val="2"/>
              <w:rPr>
                <w:rFonts w:hint="default"/>
                <w:color w:val="auto"/>
                <w:lang w:eastAsia="zh-CN"/>
              </w:rPr>
            </w:pPr>
          </w:p>
          <w:p>
            <w:pPr>
              <w:rPr>
                <w:rFonts w:hint="default"/>
                <w:color w:val="auto"/>
                <w:lang w:eastAsia="zh-CN"/>
              </w:rPr>
            </w:pPr>
          </w:p>
        </w:tc>
      </w:tr>
    </w:tbl>
    <w:p>
      <w:pPr>
        <w:pStyle w:val="3"/>
        <w:bidi w:val="0"/>
        <w:rPr>
          <w:rFonts w:hint="default"/>
          <w:color w:val="auto"/>
        </w:rPr>
      </w:pPr>
      <w:bookmarkStart w:id="52" w:name="_Toc410312281"/>
      <w:bookmarkStart w:id="53" w:name="_Toc422410458"/>
      <w:bookmarkStart w:id="54" w:name="_Toc9962"/>
      <w:bookmarkStart w:id="55" w:name="_Toc24559"/>
      <w:bookmarkStart w:id="56" w:name="_Toc3641"/>
      <w:bookmarkStart w:id="57" w:name="_Toc28919"/>
      <w:bookmarkStart w:id="58" w:name="_Toc423011457"/>
      <w:bookmarkStart w:id="59" w:name="_Toc410312443"/>
      <w:bookmarkStart w:id="60" w:name="_Toc2477"/>
      <w:r>
        <w:rPr>
          <w:rFonts w:hint="default"/>
          <w:color w:val="auto"/>
        </w:rPr>
        <w:t>表三</w:t>
      </w:r>
      <w:r>
        <w:rPr>
          <w:rFonts w:hint="default"/>
          <w:color w:val="auto"/>
          <w:lang w:val="en-US" w:eastAsia="zh-CN"/>
        </w:rPr>
        <w:t xml:space="preserve">  </w:t>
      </w:r>
      <w:r>
        <w:rPr>
          <w:rFonts w:hint="default"/>
          <w:color w:val="auto"/>
        </w:rPr>
        <w:t>环境质量状况</w:t>
      </w:r>
      <w:bookmarkEnd w:id="52"/>
      <w:bookmarkEnd w:id="53"/>
      <w:bookmarkEnd w:id="54"/>
      <w:bookmarkEnd w:id="55"/>
      <w:bookmarkEnd w:id="56"/>
      <w:bookmarkEnd w:id="57"/>
      <w:bookmarkEnd w:id="58"/>
      <w:bookmarkEnd w:id="59"/>
      <w:bookmarkEnd w:id="60"/>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top"/>
          </w:tcPr>
          <w:p>
            <w:pPr>
              <w:pStyle w:val="3"/>
              <w:pageBreakBefore w:val="0"/>
              <w:kinsoku/>
              <w:wordWrap/>
              <w:overflowPunct/>
              <w:topLinePunct w:val="0"/>
              <w:autoSpaceDE/>
              <w:autoSpaceDN/>
              <w:bidi w:val="0"/>
              <w:adjustRightInd w:val="0"/>
              <w:snapToGrid w:val="0"/>
              <w:spacing w:before="0" w:after="0" w:line="360" w:lineRule="auto"/>
              <w:textAlignment w:val="auto"/>
              <w:rPr>
                <w:rFonts w:hint="default"/>
                <w:color w:val="auto"/>
              </w:rPr>
            </w:pPr>
            <w:bookmarkStart w:id="61" w:name="_Toc19778"/>
            <w:bookmarkStart w:id="62" w:name="_Toc9167"/>
            <w:bookmarkStart w:id="63" w:name="_Toc15557"/>
            <w:r>
              <w:rPr>
                <w:rFonts w:hint="default"/>
                <w:color w:val="auto"/>
              </w:rPr>
              <w:t>建设项目所在地区域环境质量现状及主要环境问题（环境空气、地面水、声环境、生态环境等）：</w:t>
            </w:r>
            <w:bookmarkEnd w:id="61"/>
            <w:bookmarkEnd w:id="62"/>
            <w:bookmarkEnd w:id="63"/>
          </w:p>
          <w:p>
            <w:pPr>
              <w:pageBreakBefore w:val="0"/>
              <w:kinsoku/>
              <w:wordWrap/>
              <w:overflowPunct/>
              <w:topLinePunct w:val="0"/>
              <w:autoSpaceDE/>
              <w:autoSpaceDN/>
              <w:bidi w:val="0"/>
              <w:adjustRightInd w:val="0"/>
              <w:snapToGrid w:val="0"/>
              <w:spacing w:line="360" w:lineRule="auto"/>
              <w:ind w:right="113" w:rightChars="47"/>
              <w:textAlignment w:val="auto"/>
              <w:rPr>
                <w:rFonts w:hint="default"/>
                <w:color w:val="auto"/>
              </w:rPr>
            </w:pPr>
            <w:r>
              <w:rPr>
                <w:rFonts w:hint="default"/>
                <w:color w:val="auto"/>
              </w:rPr>
              <w:t>1、环境空气质量现状</w:t>
            </w:r>
          </w:p>
          <w:p>
            <w:pPr>
              <w:pageBreakBefore w:val="0"/>
              <w:kinsoku/>
              <w:wordWrap/>
              <w:overflowPunct/>
              <w:topLinePunct w:val="0"/>
              <w:autoSpaceDE/>
              <w:autoSpaceDN/>
              <w:bidi w:val="0"/>
              <w:spacing w:line="360" w:lineRule="auto"/>
              <w:ind w:firstLine="480" w:firstLineChars="200"/>
              <w:textAlignment w:val="auto"/>
              <w:rPr>
                <w:rFonts w:hint="eastAsia"/>
                <w:color w:val="auto"/>
              </w:rPr>
            </w:pPr>
            <w:r>
              <w:rPr>
                <w:rFonts w:hint="eastAsia"/>
                <w:color w:val="auto"/>
              </w:rPr>
              <w:t>本项目建设地点位于富民工业园区</w:t>
            </w:r>
            <w:r>
              <w:rPr>
                <w:rFonts w:hint="eastAsia"/>
                <w:color w:val="auto"/>
                <w:lang w:eastAsia="zh-CN"/>
              </w:rPr>
              <w:t>，</w:t>
            </w:r>
            <w:r>
              <w:rPr>
                <w:rFonts w:hint="eastAsia"/>
                <w:color w:val="auto"/>
              </w:rPr>
              <w:t>属于规划工业园区，是环境空气质量二类区，区域环境空气执行《环境空气质量标准》</w:t>
            </w:r>
            <w:r>
              <w:rPr>
                <w:rFonts w:hint="eastAsia"/>
                <w:color w:val="auto"/>
                <w:lang w:eastAsia="zh-CN"/>
              </w:rPr>
              <w:t>（</w:t>
            </w:r>
            <w:r>
              <w:rPr>
                <w:rFonts w:hint="eastAsia"/>
                <w:color w:val="auto"/>
              </w:rPr>
              <w:t>GB3095—2012</w:t>
            </w:r>
            <w:r>
              <w:rPr>
                <w:rFonts w:hint="eastAsia"/>
                <w:color w:val="auto"/>
                <w:lang w:eastAsia="zh-CN"/>
              </w:rPr>
              <w:t>）</w:t>
            </w:r>
            <w:r>
              <w:rPr>
                <w:rFonts w:hint="eastAsia"/>
                <w:color w:val="auto"/>
              </w:rPr>
              <w:t>二级标准</w:t>
            </w:r>
            <w:r>
              <w:rPr>
                <w:rFonts w:hint="eastAsia"/>
                <w:color w:val="auto"/>
                <w:lang w:eastAsia="zh-CN"/>
              </w:rPr>
              <w:t>。</w:t>
            </w:r>
          </w:p>
          <w:p>
            <w:pPr>
              <w:bidi w:val="0"/>
              <w:rPr>
                <w:rFonts w:hint="eastAsia"/>
                <w:color w:val="auto"/>
                <w:lang w:eastAsia="zh-CN"/>
              </w:rPr>
            </w:pPr>
            <w:r>
              <w:rPr>
                <w:rFonts w:hint="eastAsia"/>
                <w:color w:val="auto"/>
              </w:rPr>
              <w:t>①</w:t>
            </w:r>
            <w:r>
              <w:rPr>
                <w:rFonts w:hint="eastAsia"/>
                <w:color w:val="auto"/>
                <w:lang w:eastAsia="zh-CN"/>
              </w:rPr>
              <w:t>区域达标判断</w:t>
            </w:r>
          </w:p>
          <w:p>
            <w:pPr>
              <w:bidi w:val="0"/>
              <w:rPr>
                <w:rFonts w:hint="eastAsia"/>
                <w:color w:val="auto"/>
              </w:rPr>
            </w:pPr>
            <w:r>
              <w:rPr>
                <w:rFonts w:hint="eastAsia"/>
                <w:color w:val="auto"/>
              </w:rPr>
              <w:t>根据富民县环境监测站提供的“富民县环境空气站点AQI日报（2018年）”，结合《环境空气质量标准》（GB3095-2012）二级标准、《环境空气质量评价技术规范（试行）》HJ663-2013、《环境影响评价技术导则 大气环境》HJ2.2-2018的相关规定，对富民县环境空气质量达标情况进行分析。</w:t>
            </w:r>
          </w:p>
          <w:p>
            <w:pPr>
              <w:pStyle w:val="19"/>
              <w:bidi w:val="0"/>
              <w:rPr>
                <w:rFonts w:hint="eastAsia"/>
                <w:color w:val="auto"/>
              </w:rPr>
            </w:pPr>
            <w:r>
              <w:rPr>
                <w:rFonts w:hint="eastAsia"/>
                <w:color w:val="auto"/>
              </w:rPr>
              <w:t>表</w:t>
            </w:r>
            <w:r>
              <w:rPr>
                <w:rFonts w:hint="eastAsia"/>
                <w:color w:val="auto"/>
                <w:lang w:val="en-US" w:eastAsia="zh-CN"/>
              </w:rPr>
              <w:t>3-</w:t>
            </w:r>
            <w:r>
              <w:rPr>
                <w:rFonts w:hint="eastAsia"/>
                <w:color w:val="auto"/>
              </w:rPr>
              <w:t>1  富民县空气质量现状评价表</w:t>
            </w:r>
          </w:p>
          <w:tbl>
            <w:tblPr>
              <w:tblStyle w:val="13"/>
              <w:tblW w:w="4997" w:type="pct"/>
              <w:jc w:val="center"/>
              <w:tblLayout w:type="fixed"/>
              <w:tblCellMar>
                <w:top w:w="0" w:type="dxa"/>
                <w:left w:w="108" w:type="dxa"/>
                <w:bottom w:w="0" w:type="dxa"/>
                <w:right w:w="108" w:type="dxa"/>
              </w:tblCellMar>
            </w:tblPr>
            <w:tblGrid>
              <w:gridCol w:w="817"/>
              <w:gridCol w:w="2867"/>
              <w:gridCol w:w="1201"/>
              <w:gridCol w:w="1239"/>
              <w:gridCol w:w="1088"/>
              <w:gridCol w:w="1089"/>
            </w:tblGrid>
            <w:tr>
              <w:tblPrEx>
                <w:tblCellMar>
                  <w:top w:w="0" w:type="dxa"/>
                  <w:left w:w="108" w:type="dxa"/>
                  <w:bottom w:w="0" w:type="dxa"/>
                  <w:right w:w="108" w:type="dxa"/>
                </w:tblCellMar>
              </w:tblPrEx>
              <w:trPr>
                <w:trHeight w:val="369" w:hRule="atLeast"/>
                <w:jc w:val="center"/>
              </w:trPr>
              <w:tc>
                <w:tcPr>
                  <w:tcW w:w="492" w:type="pct"/>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eastAsia"/>
                      <w:color w:val="auto"/>
                    </w:rPr>
                  </w:pPr>
                  <w:r>
                    <w:rPr>
                      <w:rFonts w:hint="eastAsia"/>
                      <w:color w:val="auto"/>
                    </w:rPr>
                    <w:t>污染物</w:t>
                  </w:r>
                </w:p>
              </w:tc>
              <w:tc>
                <w:tcPr>
                  <w:tcW w:w="1726" w:type="pct"/>
                  <w:tcBorders>
                    <w:top w:val="single" w:color="auto" w:sz="4" w:space="0"/>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年评价指标</w:t>
                  </w:r>
                </w:p>
              </w:tc>
              <w:tc>
                <w:tcPr>
                  <w:tcW w:w="723" w:type="pct"/>
                  <w:tcBorders>
                    <w:top w:val="single" w:color="auto" w:sz="4" w:space="0"/>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现状浓度（µg/</w:t>
                  </w:r>
                  <w:r>
                    <w:rPr>
                      <w:rFonts w:hint="eastAsia"/>
                      <w:color w:val="auto"/>
                      <w:lang w:val="en-US" w:eastAsia="zh-CN"/>
                    </w:rPr>
                    <w:t>m</w:t>
                  </w:r>
                  <w:r>
                    <w:rPr>
                      <w:rFonts w:hint="eastAsia"/>
                      <w:color w:val="auto"/>
                      <w:vertAlign w:val="superscript"/>
                      <w:lang w:val="en-US" w:eastAsia="zh-CN"/>
                    </w:rPr>
                    <w:t>3</w:t>
                  </w:r>
                  <w:r>
                    <w:rPr>
                      <w:rFonts w:hint="eastAsia"/>
                      <w:color w:val="auto"/>
                    </w:rPr>
                    <w:t>）</w:t>
                  </w:r>
                </w:p>
              </w:tc>
              <w:tc>
                <w:tcPr>
                  <w:tcW w:w="746" w:type="pct"/>
                  <w:tcBorders>
                    <w:top w:val="single" w:color="auto" w:sz="4" w:space="0"/>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标准值（µg/</w:t>
                  </w:r>
                  <w:r>
                    <w:rPr>
                      <w:rFonts w:hint="eastAsia"/>
                      <w:color w:val="auto"/>
                      <w:lang w:val="en-US" w:eastAsia="zh-CN"/>
                    </w:rPr>
                    <w:t>m</w:t>
                  </w:r>
                  <w:r>
                    <w:rPr>
                      <w:rFonts w:hint="eastAsia"/>
                      <w:color w:val="auto"/>
                      <w:vertAlign w:val="superscript"/>
                      <w:lang w:val="en-US" w:eastAsia="zh-CN"/>
                    </w:rPr>
                    <w:t>3</w:t>
                  </w:r>
                  <w:r>
                    <w:rPr>
                      <w:rFonts w:hint="eastAsia"/>
                      <w:color w:val="auto"/>
                    </w:rPr>
                    <w:t>）</w:t>
                  </w:r>
                </w:p>
              </w:tc>
              <w:tc>
                <w:tcPr>
                  <w:tcW w:w="655" w:type="pct"/>
                  <w:tcBorders>
                    <w:top w:val="single" w:color="auto" w:sz="4" w:space="0"/>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占标率</w:t>
                  </w:r>
                </w:p>
                <w:p>
                  <w:pPr>
                    <w:pStyle w:val="18"/>
                    <w:bidi w:val="0"/>
                    <w:rPr>
                      <w:rFonts w:hint="eastAsia"/>
                      <w:color w:val="auto"/>
                    </w:rPr>
                  </w:pPr>
                  <w:r>
                    <w:rPr>
                      <w:rFonts w:hint="eastAsia"/>
                      <w:color w:val="auto"/>
                    </w:rPr>
                    <w:t>（%)</w:t>
                  </w:r>
                </w:p>
              </w:tc>
              <w:tc>
                <w:tcPr>
                  <w:tcW w:w="655" w:type="pct"/>
                  <w:tcBorders>
                    <w:top w:val="single" w:color="auto" w:sz="4" w:space="0"/>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达标</w:t>
                  </w:r>
                </w:p>
                <w:p>
                  <w:pPr>
                    <w:pStyle w:val="18"/>
                    <w:bidi w:val="0"/>
                    <w:rPr>
                      <w:rFonts w:hint="eastAsia"/>
                      <w:color w:val="auto"/>
                    </w:rPr>
                  </w:pPr>
                  <w:r>
                    <w:rPr>
                      <w:rFonts w:hint="eastAsia"/>
                      <w:color w:val="auto"/>
                    </w:rPr>
                    <w:t>情况</w:t>
                  </w:r>
                </w:p>
              </w:tc>
            </w:tr>
            <w:tr>
              <w:tblPrEx>
                <w:tblCellMar>
                  <w:top w:w="0" w:type="dxa"/>
                  <w:left w:w="108" w:type="dxa"/>
                  <w:bottom w:w="0" w:type="dxa"/>
                  <w:right w:w="108" w:type="dxa"/>
                </w:tblCellMar>
              </w:tblPrEx>
              <w:trPr>
                <w:trHeight w:val="369" w:hRule="atLeast"/>
                <w:jc w:val="center"/>
              </w:trPr>
              <w:tc>
                <w:tcPr>
                  <w:tcW w:w="492" w:type="pct"/>
                  <w:vMerge w:val="restart"/>
                  <w:tcBorders>
                    <w:top w:val="nil"/>
                    <w:left w:val="single" w:color="auto" w:sz="4" w:space="0"/>
                    <w:bottom w:val="single" w:color="auto" w:sz="4" w:space="0"/>
                    <w:right w:val="single" w:color="auto" w:sz="4" w:space="0"/>
                  </w:tcBorders>
                  <w:noWrap w:val="0"/>
                  <w:vAlign w:val="center"/>
                </w:tcPr>
                <w:p>
                  <w:pPr>
                    <w:pStyle w:val="18"/>
                    <w:bidi w:val="0"/>
                    <w:rPr>
                      <w:rFonts w:hint="eastAsia"/>
                      <w:color w:val="auto"/>
                    </w:rPr>
                  </w:pPr>
                  <w:r>
                    <w:rPr>
                      <w:rFonts w:hint="eastAsia"/>
                      <w:color w:val="auto"/>
                    </w:rPr>
                    <w:t>SO</w:t>
                  </w:r>
                  <w:r>
                    <w:rPr>
                      <w:rFonts w:hint="eastAsia"/>
                      <w:color w:val="auto"/>
                      <w:vertAlign w:val="subscript"/>
                    </w:rPr>
                    <w:t>2</w:t>
                  </w:r>
                </w:p>
              </w:tc>
              <w:tc>
                <w:tcPr>
                  <w:tcW w:w="172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年平均质量浓度</w:t>
                  </w:r>
                </w:p>
              </w:tc>
              <w:tc>
                <w:tcPr>
                  <w:tcW w:w="723"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23</w:t>
                  </w:r>
                </w:p>
              </w:tc>
              <w:tc>
                <w:tcPr>
                  <w:tcW w:w="74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60</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38.33</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达标</w:t>
                  </w:r>
                </w:p>
              </w:tc>
            </w:tr>
            <w:tr>
              <w:tblPrEx>
                <w:tblCellMar>
                  <w:top w:w="0" w:type="dxa"/>
                  <w:left w:w="108" w:type="dxa"/>
                  <w:bottom w:w="0" w:type="dxa"/>
                  <w:right w:w="108" w:type="dxa"/>
                </w:tblCellMar>
              </w:tblPrEx>
              <w:trPr>
                <w:trHeight w:val="369" w:hRule="atLeast"/>
                <w:jc w:val="center"/>
              </w:trPr>
              <w:tc>
                <w:tcPr>
                  <w:tcW w:w="492" w:type="pct"/>
                  <w:vMerge w:val="continue"/>
                  <w:tcBorders>
                    <w:top w:val="nil"/>
                    <w:left w:val="single" w:color="auto" w:sz="4" w:space="0"/>
                    <w:bottom w:val="single" w:color="auto" w:sz="4" w:space="0"/>
                    <w:right w:val="single" w:color="auto" w:sz="4" w:space="0"/>
                  </w:tcBorders>
                  <w:noWrap w:val="0"/>
                  <w:vAlign w:val="center"/>
                </w:tcPr>
                <w:p>
                  <w:pPr>
                    <w:pStyle w:val="18"/>
                    <w:bidi w:val="0"/>
                    <w:rPr>
                      <w:rFonts w:hint="eastAsia"/>
                      <w:color w:val="auto"/>
                    </w:rPr>
                  </w:pPr>
                </w:p>
              </w:tc>
              <w:tc>
                <w:tcPr>
                  <w:tcW w:w="172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24小时平均第98百分位数</w:t>
                  </w:r>
                </w:p>
              </w:tc>
              <w:tc>
                <w:tcPr>
                  <w:tcW w:w="723"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111</w:t>
                  </w:r>
                </w:p>
              </w:tc>
              <w:tc>
                <w:tcPr>
                  <w:tcW w:w="74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150</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74</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达标</w:t>
                  </w:r>
                </w:p>
              </w:tc>
            </w:tr>
            <w:tr>
              <w:tblPrEx>
                <w:tblCellMar>
                  <w:top w:w="0" w:type="dxa"/>
                  <w:left w:w="108" w:type="dxa"/>
                  <w:bottom w:w="0" w:type="dxa"/>
                  <w:right w:w="108" w:type="dxa"/>
                </w:tblCellMar>
              </w:tblPrEx>
              <w:trPr>
                <w:trHeight w:val="369" w:hRule="atLeast"/>
                <w:jc w:val="center"/>
              </w:trPr>
              <w:tc>
                <w:tcPr>
                  <w:tcW w:w="492" w:type="pct"/>
                  <w:vMerge w:val="restart"/>
                  <w:tcBorders>
                    <w:top w:val="nil"/>
                    <w:left w:val="single" w:color="auto" w:sz="4" w:space="0"/>
                    <w:bottom w:val="single" w:color="auto" w:sz="4" w:space="0"/>
                    <w:right w:val="single" w:color="auto" w:sz="4" w:space="0"/>
                  </w:tcBorders>
                  <w:noWrap w:val="0"/>
                  <w:vAlign w:val="center"/>
                </w:tcPr>
                <w:p>
                  <w:pPr>
                    <w:pStyle w:val="18"/>
                    <w:bidi w:val="0"/>
                    <w:rPr>
                      <w:rFonts w:hint="eastAsia"/>
                      <w:color w:val="auto"/>
                    </w:rPr>
                  </w:pPr>
                  <w:r>
                    <w:rPr>
                      <w:rFonts w:hint="eastAsia"/>
                      <w:color w:val="auto"/>
                    </w:rPr>
                    <w:t>NO</w:t>
                  </w:r>
                  <w:r>
                    <w:rPr>
                      <w:rFonts w:hint="eastAsia"/>
                      <w:color w:val="auto"/>
                      <w:vertAlign w:val="subscript"/>
                    </w:rPr>
                    <w:t>2</w:t>
                  </w:r>
                </w:p>
              </w:tc>
              <w:tc>
                <w:tcPr>
                  <w:tcW w:w="172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年平均质量浓度</w:t>
                  </w:r>
                </w:p>
              </w:tc>
              <w:tc>
                <w:tcPr>
                  <w:tcW w:w="723"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14</w:t>
                  </w:r>
                </w:p>
              </w:tc>
              <w:tc>
                <w:tcPr>
                  <w:tcW w:w="74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40</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35</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达标</w:t>
                  </w:r>
                </w:p>
              </w:tc>
            </w:tr>
            <w:tr>
              <w:tblPrEx>
                <w:tblCellMar>
                  <w:top w:w="0" w:type="dxa"/>
                  <w:left w:w="108" w:type="dxa"/>
                  <w:bottom w:w="0" w:type="dxa"/>
                  <w:right w:w="108" w:type="dxa"/>
                </w:tblCellMar>
              </w:tblPrEx>
              <w:trPr>
                <w:trHeight w:val="369" w:hRule="atLeast"/>
                <w:jc w:val="center"/>
              </w:trPr>
              <w:tc>
                <w:tcPr>
                  <w:tcW w:w="492" w:type="pct"/>
                  <w:vMerge w:val="continue"/>
                  <w:tcBorders>
                    <w:top w:val="nil"/>
                    <w:left w:val="single" w:color="auto" w:sz="4" w:space="0"/>
                    <w:bottom w:val="single" w:color="auto" w:sz="4" w:space="0"/>
                    <w:right w:val="single" w:color="auto" w:sz="4" w:space="0"/>
                  </w:tcBorders>
                  <w:noWrap w:val="0"/>
                  <w:vAlign w:val="center"/>
                </w:tcPr>
                <w:p>
                  <w:pPr>
                    <w:pStyle w:val="18"/>
                    <w:bidi w:val="0"/>
                    <w:rPr>
                      <w:rFonts w:hint="eastAsia"/>
                      <w:color w:val="auto"/>
                    </w:rPr>
                  </w:pPr>
                </w:p>
              </w:tc>
              <w:tc>
                <w:tcPr>
                  <w:tcW w:w="172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24小时平均第98百分位数</w:t>
                  </w:r>
                </w:p>
              </w:tc>
              <w:tc>
                <w:tcPr>
                  <w:tcW w:w="723"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27</w:t>
                  </w:r>
                </w:p>
              </w:tc>
              <w:tc>
                <w:tcPr>
                  <w:tcW w:w="74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80</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33.75</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达标</w:t>
                  </w:r>
                </w:p>
              </w:tc>
            </w:tr>
            <w:tr>
              <w:tblPrEx>
                <w:tblCellMar>
                  <w:top w:w="0" w:type="dxa"/>
                  <w:left w:w="108" w:type="dxa"/>
                  <w:bottom w:w="0" w:type="dxa"/>
                  <w:right w:w="108" w:type="dxa"/>
                </w:tblCellMar>
              </w:tblPrEx>
              <w:trPr>
                <w:trHeight w:val="369" w:hRule="atLeast"/>
                <w:jc w:val="center"/>
              </w:trPr>
              <w:tc>
                <w:tcPr>
                  <w:tcW w:w="492" w:type="pct"/>
                  <w:vMerge w:val="restart"/>
                  <w:tcBorders>
                    <w:top w:val="nil"/>
                    <w:left w:val="single" w:color="auto" w:sz="4" w:space="0"/>
                    <w:bottom w:val="single" w:color="auto" w:sz="4" w:space="0"/>
                    <w:right w:val="single" w:color="auto" w:sz="4" w:space="0"/>
                  </w:tcBorders>
                  <w:noWrap w:val="0"/>
                  <w:vAlign w:val="center"/>
                </w:tcPr>
                <w:p>
                  <w:pPr>
                    <w:pStyle w:val="18"/>
                    <w:bidi w:val="0"/>
                    <w:rPr>
                      <w:rFonts w:hint="eastAsia"/>
                      <w:color w:val="auto"/>
                    </w:rPr>
                  </w:pPr>
                  <w:r>
                    <w:rPr>
                      <w:rFonts w:hint="eastAsia"/>
                      <w:color w:val="auto"/>
                    </w:rPr>
                    <w:t>PM</w:t>
                  </w:r>
                  <w:r>
                    <w:rPr>
                      <w:rFonts w:hint="eastAsia"/>
                      <w:color w:val="auto"/>
                      <w:vertAlign w:val="subscript"/>
                    </w:rPr>
                    <w:t>10</w:t>
                  </w:r>
                </w:p>
              </w:tc>
              <w:tc>
                <w:tcPr>
                  <w:tcW w:w="172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年平均质量浓度</w:t>
                  </w:r>
                </w:p>
              </w:tc>
              <w:tc>
                <w:tcPr>
                  <w:tcW w:w="723"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42</w:t>
                  </w:r>
                </w:p>
              </w:tc>
              <w:tc>
                <w:tcPr>
                  <w:tcW w:w="74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70</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60</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达标</w:t>
                  </w:r>
                </w:p>
              </w:tc>
            </w:tr>
            <w:tr>
              <w:tblPrEx>
                <w:tblCellMar>
                  <w:top w:w="0" w:type="dxa"/>
                  <w:left w:w="108" w:type="dxa"/>
                  <w:bottom w:w="0" w:type="dxa"/>
                  <w:right w:w="108" w:type="dxa"/>
                </w:tblCellMar>
              </w:tblPrEx>
              <w:trPr>
                <w:trHeight w:val="369" w:hRule="atLeast"/>
                <w:jc w:val="center"/>
              </w:trPr>
              <w:tc>
                <w:tcPr>
                  <w:tcW w:w="492" w:type="pct"/>
                  <w:vMerge w:val="continue"/>
                  <w:tcBorders>
                    <w:top w:val="nil"/>
                    <w:left w:val="single" w:color="auto" w:sz="4" w:space="0"/>
                    <w:bottom w:val="single" w:color="auto" w:sz="4" w:space="0"/>
                    <w:right w:val="single" w:color="auto" w:sz="4" w:space="0"/>
                  </w:tcBorders>
                  <w:noWrap w:val="0"/>
                  <w:vAlign w:val="center"/>
                </w:tcPr>
                <w:p>
                  <w:pPr>
                    <w:pStyle w:val="18"/>
                    <w:bidi w:val="0"/>
                    <w:rPr>
                      <w:rFonts w:hint="eastAsia"/>
                      <w:color w:val="auto"/>
                    </w:rPr>
                  </w:pPr>
                </w:p>
              </w:tc>
              <w:tc>
                <w:tcPr>
                  <w:tcW w:w="172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24小时平均第95百分位数</w:t>
                  </w:r>
                </w:p>
              </w:tc>
              <w:tc>
                <w:tcPr>
                  <w:tcW w:w="723"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70</w:t>
                  </w:r>
                </w:p>
              </w:tc>
              <w:tc>
                <w:tcPr>
                  <w:tcW w:w="74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150</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46.67</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达标</w:t>
                  </w:r>
                </w:p>
              </w:tc>
            </w:tr>
            <w:tr>
              <w:tblPrEx>
                <w:tblCellMar>
                  <w:top w:w="0" w:type="dxa"/>
                  <w:left w:w="108" w:type="dxa"/>
                  <w:bottom w:w="0" w:type="dxa"/>
                  <w:right w:w="108" w:type="dxa"/>
                </w:tblCellMar>
              </w:tblPrEx>
              <w:trPr>
                <w:trHeight w:val="369" w:hRule="atLeast"/>
                <w:jc w:val="center"/>
              </w:trPr>
              <w:tc>
                <w:tcPr>
                  <w:tcW w:w="492" w:type="pct"/>
                  <w:vMerge w:val="restart"/>
                  <w:tcBorders>
                    <w:top w:val="nil"/>
                    <w:left w:val="single" w:color="auto" w:sz="4" w:space="0"/>
                    <w:bottom w:val="single" w:color="auto" w:sz="4" w:space="0"/>
                    <w:right w:val="single" w:color="auto" w:sz="4" w:space="0"/>
                  </w:tcBorders>
                  <w:noWrap w:val="0"/>
                  <w:vAlign w:val="center"/>
                </w:tcPr>
                <w:p>
                  <w:pPr>
                    <w:pStyle w:val="18"/>
                    <w:bidi w:val="0"/>
                    <w:rPr>
                      <w:rFonts w:hint="eastAsia"/>
                      <w:color w:val="auto"/>
                    </w:rPr>
                  </w:pPr>
                  <w:r>
                    <w:rPr>
                      <w:rFonts w:hint="eastAsia"/>
                      <w:color w:val="auto"/>
                    </w:rPr>
                    <w:t>PM</w:t>
                  </w:r>
                  <w:r>
                    <w:rPr>
                      <w:rFonts w:hint="eastAsia"/>
                      <w:color w:val="auto"/>
                      <w:vertAlign w:val="subscript"/>
                    </w:rPr>
                    <w:t>2.5</w:t>
                  </w:r>
                </w:p>
              </w:tc>
              <w:tc>
                <w:tcPr>
                  <w:tcW w:w="172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年平均质量浓度</w:t>
                  </w:r>
                </w:p>
              </w:tc>
              <w:tc>
                <w:tcPr>
                  <w:tcW w:w="723"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20</w:t>
                  </w:r>
                </w:p>
              </w:tc>
              <w:tc>
                <w:tcPr>
                  <w:tcW w:w="74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35</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57.14</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达标</w:t>
                  </w:r>
                </w:p>
              </w:tc>
            </w:tr>
            <w:tr>
              <w:tblPrEx>
                <w:tblCellMar>
                  <w:top w:w="0" w:type="dxa"/>
                  <w:left w:w="108" w:type="dxa"/>
                  <w:bottom w:w="0" w:type="dxa"/>
                  <w:right w:w="108" w:type="dxa"/>
                </w:tblCellMar>
              </w:tblPrEx>
              <w:trPr>
                <w:trHeight w:val="369" w:hRule="atLeast"/>
                <w:jc w:val="center"/>
              </w:trPr>
              <w:tc>
                <w:tcPr>
                  <w:tcW w:w="492" w:type="pct"/>
                  <w:vMerge w:val="continue"/>
                  <w:tcBorders>
                    <w:top w:val="nil"/>
                    <w:left w:val="single" w:color="auto" w:sz="4" w:space="0"/>
                    <w:bottom w:val="single" w:color="auto" w:sz="4" w:space="0"/>
                    <w:right w:val="single" w:color="auto" w:sz="4" w:space="0"/>
                  </w:tcBorders>
                  <w:noWrap w:val="0"/>
                  <w:vAlign w:val="center"/>
                </w:tcPr>
                <w:p>
                  <w:pPr>
                    <w:pStyle w:val="18"/>
                    <w:bidi w:val="0"/>
                    <w:rPr>
                      <w:rFonts w:hint="eastAsia"/>
                      <w:color w:val="auto"/>
                    </w:rPr>
                  </w:pPr>
                </w:p>
              </w:tc>
              <w:tc>
                <w:tcPr>
                  <w:tcW w:w="172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24小时平均第95百分位数</w:t>
                  </w:r>
                </w:p>
              </w:tc>
              <w:tc>
                <w:tcPr>
                  <w:tcW w:w="723"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37</w:t>
                  </w:r>
                </w:p>
              </w:tc>
              <w:tc>
                <w:tcPr>
                  <w:tcW w:w="74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75</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49.33</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达标</w:t>
                  </w:r>
                </w:p>
              </w:tc>
            </w:tr>
            <w:tr>
              <w:tblPrEx>
                <w:tblCellMar>
                  <w:top w:w="0" w:type="dxa"/>
                  <w:left w:w="108" w:type="dxa"/>
                  <w:bottom w:w="0" w:type="dxa"/>
                  <w:right w:w="108" w:type="dxa"/>
                </w:tblCellMar>
              </w:tblPrEx>
              <w:trPr>
                <w:trHeight w:val="369" w:hRule="atLeast"/>
                <w:jc w:val="center"/>
              </w:trPr>
              <w:tc>
                <w:tcPr>
                  <w:tcW w:w="492" w:type="pct"/>
                  <w:tcBorders>
                    <w:top w:val="nil"/>
                    <w:left w:val="single" w:color="auto" w:sz="4" w:space="0"/>
                    <w:bottom w:val="single" w:color="auto" w:sz="4" w:space="0"/>
                    <w:right w:val="single" w:color="auto" w:sz="4" w:space="0"/>
                  </w:tcBorders>
                  <w:noWrap w:val="0"/>
                  <w:vAlign w:val="center"/>
                </w:tcPr>
                <w:p>
                  <w:pPr>
                    <w:pStyle w:val="18"/>
                    <w:bidi w:val="0"/>
                    <w:rPr>
                      <w:rFonts w:hint="eastAsia"/>
                      <w:color w:val="auto"/>
                    </w:rPr>
                  </w:pPr>
                  <w:r>
                    <w:rPr>
                      <w:rFonts w:hint="eastAsia"/>
                      <w:color w:val="auto"/>
                    </w:rPr>
                    <w:t>CO</w:t>
                  </w:r>
                </w:p>
              </w:tc>
              <w:tc>
                <w:tcPr>
                  <w:tcW w:w="172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24小时平均第95百分位数</w:t>
                  </w:r>
                </w:p>
              </w:tc>
              <w:tc>
                <w:tcPr>
                  <w:tcW w:w="723"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1</w:t>
                  </w:r>
                </w:p>
              </w:tc>
              <w:tc>
                <w:tcPr>
                  <w:tcW w:w="74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4000</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0.03</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达标</w:t>
                  </w:r>
                </w:p>
              </w:tc>
            </w:tr>
            <w:tr>
              <w:tblPrEx>
                <w:tblCellMar>
                  <w:top w:w="0" w:type="dxa"/>
                  <w:left w:w="108" w:type="dxa"/>
                  <w:bottom w:w="0" w:type="dxa"/>
                  <w:right w:w="108" w:type="dxa"/>
                </w:tblCellMar>
              </w:tblPrEx>
              <w:trPr>
                <w:trHeight w:val="369" w:hRule="atLeast"/>
                <w:jc w:val="center"/>
              </w:trPr>
              <w:tc>
                <w:tcPr>
                  <w:tcW w:w="492" w:type="pct"/>
                  <w:tcBorders>
                    <w:top w:val="nil"/>
                    <w:left w:val="single" w:color="auto" w:sz="4" w:space="0"/>
                    <w:bottom w:val="single" w:color="auto" w:sz="4" w:space="0"/>
                    <w:right w:val="single" w:color="auto" w:sz="4" w:space="0"/>
                  </w:tcBorders>
                  <w:noWrap w:val="0"/>
                  <w:vAlign w:val="center"/>
                </w:tcPr>
                <w:p>
                  <w:pPr>
                    <w:pStyle w:val="18"/>
                    <w:bidi w:val="0"/>
                    <w:rPr>
                      <w:rFonts w:hint="eastAsia"/>
                      <w:color w:val="auto"/>
                    </w:rPr>
                  </w:pPr>
                  <w:r>
                    <w:rPr>
                      <w:rFonts w:hint="eastAsia"/>
                      <w:color w:val="auto"/>
                    </w:rPr>
                    <w:t>O</w:t>
                  </w:r>
                  <w:r>
                    <w:rPr>
                      <w:rFonts w:hint="eastAsia"/>
                      <w:color w:val="auto"/>
                      <w:vertAlign w:val="subscript"/>
                    </w:rPr>
                    <w:t>3</w:t>
                  </w:r>
                </w:p>
              </w:tc>
              <w:tc>
                <w:tcPr>
                  <w:tcW w:w="172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日最大8小时滑动平均值的第90位百分数</w:t>
                  </w:r>
                </w:p>
              </w:tc>
              <w:tc>
                <w:tcPr>
                  <w:tcW w:w="723"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113</w:t>
                  </w:r>
                </w:p>
              </w:tc>
              <w:tc>
                <w:tcPr>
                  <w:tcW w:w="746"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160</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70.63</w:t>
                  </w:r>
                </w:p>
              </w:tc>
              <w:tc>
                <w:tcPr>
                  <w:tcW w:w="655" w:type="pct"/>
                  <w:tcBorders>
                    <w:top w:val="nil"/>
                    <w:left w:val="nil"/>
                    <w:bottom w:val="single" w:color="auto" w:sz="4" w:space="0"/>
                    <w:right w:val="single" w:color="auto" w:sz="4" w:space="0"/>
                  </w:tcBorders>
                  <w:noWrap w:val="0"/>
                  <w:vAlign w:val="center"/>
                </w:tcPr>
                <w:p>
                  <w:pPr>
                    <w:pStyle w:val="18"/>
                    <w:bidi w:val="0"/>
                    <w:rPr>
                      <w:rFonts w:hint="eastAsia"/>
                      <w:color w:val="auto"/>
                    </w:rPr>
                  </w:pPr>
                  <w:r>
                    <w:rPr>
                      <w:rFonts w:hint="eastAsia"/>
                      <w:color w:val="auto"/>
                    </w:rPr>
                    <w:t>达标</w:t>
                  </w:r>
                </w:p>
              </w:tc>
            </w:tr>
          </w:tbl>
          <w:p>
            <w:pPr>
              <w:bidi w:val="0"/>
              <w:rPr>
                <w:rFonts w:hint="eastAsia"/>
                <w:color w:val="auto"/>
                <w:lang w:eastAsia="zh-CN"/>
              </w:rPr>
            </w:pPr>
            <w:r>
              <w:rPr>
                <w:rFonts w:hint="eastAsia"/>
                <w:color w:val="auto"/>
                <w:lang w:eastAsia="zh-CN"/>
              </w:rPr>
              <w:t>根据上表分析，富民县环境空气质量达到</w:t>
            </w:r>
            <w:r>
              <w:rPr>
                <w:rFonts w:hint="eastAsia"/>
                <w:color w:val="auto"/>
              </w:rPr>
              <w:t>《环境空气质量标准》</w:t>
            </w:r>
            <w:r>
              <w:rPr>
                <w:rFonts w:hint="eastAsia"/>
                <w:color w:val="auto"/>
                <w:lang w:eastAsia="zh-CN"/>
              </w:rPr>
              <w:t>（</w:t>
            </w:r>
            <w:r>
              <w:rPr>
                <w:rFonts w:hint="eastAsia"/>
                <w:color w:val="auto"/>
              </w:rPr>
              <w:t>GB3095—2012</w:t>
            </w:r>
            <w:r>
              <w:rPr>
                <w:rFonts w:hint="eastAsia"/>
                <w:color w:val="auto"/>
                <w:lang w:eastAsia="zh-CN"/>
              </w:rPr>
              <w:t>）</w:t>
            </w:r>
            <w:r>
              <w:rPr>
                <w:rFonts w:hint="eastAsia"/>
                <w:color w:val="auto"/>
              </w:rPr>
              <w:t>二级标准</w:t>
            </w:r>
            <w:r>
              <w:rPr>
                <w:rFonts w:hint="eastAsia"/>
                <w:color w:val="auto"/>
                <w:lang w:eastAsia="zh-CN"/>
              </w:rPr>
              <w:t>，为环境空气质量达标区。</w:t>
            </w:r>
          </w:p>
          <w:p>
            <w:pPr>
              <w:bidi w:val="0"/>
              <w:rPr>
                <w:rFonts w:hint="eastAsia"/>
                <w:color w:val="auto"/>
                <w:lang w:eastAsia="zh-CN"/>
              </w:rPr>
            </w:pPr>
            <w:r>
              <w:rPr>
                <w:rFonts w:hint="eastAsia"/>
                <w:color w:val="auto"/>
                <w:lang w:eastAsia="zh-CN"/>
              </w:rPr>
              <w:t>②项目区域环境质量</w:t>
            </w:r>
          </w:p>
          <w:p>
            <w:pPr>
              <w:jc w:val="left"/>
              <w:rPr>
                <w:rFonts w:hint="default"/>
                <w:color w:val="auto"/>
              </w:rPr>
            </w:pPr>
            <w:r>
              <w:rPr>
                <w:rFonts w:hint="eastAsia"/>
                <w:color w:val="auto"/>
                <w:lang w:eastAsia="zh-CN"/>
              </w:rPr>
              <w:t>根据本项目产污特点，为了解所在区域环境空气质量现状中</w:t>
            </w:r>
            <w:r>
              <w:rPr>
                <w:rFonts w:hint="eastAsia"/>
                <w:color w:val="auto"/>
                <w:lang w:val="en-US" w:eastAsia="zh-CN"/>
              </w:rPr>
              <w:t>TVOC现状情况，环评期间委托</w:t>
            </w:r>
            <w:r>
              <w:rPr>
                <w:rFonts w:hint="eastAsia"/>
                <w:color w:val="auto"/>
                <w:lang w:eastAsia="zh-CN"/>
              </w:rPr>
              <w:t>昆明京诚检测技术有限公司</w:t>
            </w:r>
            <w:r>
              <w:rPr>
                <w:rFonts w:hint="default"/>
                <w:color w:val="auto"/>
                <w:lang w:eastAsia="zh-CN"/>
              </w:rPr>
              <w:t>进行的环境空气质量现状监测结果，对区域环境空</w:t>
            </w:r>
            <w:r>
              <w:rPr>
                <w:rFonts w:hint="default"/>
                <w:color w:val="auto"/>
              </w:rPr>
              <w:t>气质量现状</w:t>
            </w:r>
            <w:r>
              <w:rPr>
                <w:rFonts w:hint="eastAsia"/>
                <w:color w:val="auto"/>
                <w:lang w:eastAsia="zh-CN"/>
              </w:rPr>
              <w:t>中</w:t>
            </w:r>
            <w:r>
              <w:rPr>
                <w:rFonts w:hint="eastAsia"/>
                <w:color w:val="auto"/>
                <w:lang w:val="en-US" w:eastAsia="zh-CN"/>
              </w:rPr>
              <w:t>TVOC进行监测</w:t>
            </w:r>
            <w:r>
              <w:rPr>
                <w:rFonts w:hint="default"/>
                <w:color w:val="auto"/>
              </w:rPr>
              <w:t>，统计结果见下表。</w:t>
            </w:r>
          </w:p>
          <w:p>
            <w:pPr>
              <w:pStyle w:val="19"/>
              <w:bidi w:val="0"/>
              <w:rPr>
                <w:rFonts w:hint="eastAsia"/>
                <w:color w:val="auto"/>
              </w:rPr>
            </w:pPr>
            <w:r>
              <w:rPr>
                <w:rFonts w:hint="eastAsia"/>
                <w:color w:val="auto"/>
              </w:rPr>
              <w:t>表3-</w:t>
            </w:r>
            <w:r>
              <w:rPr>
                <w:rFonts w:hint="eastAsia"/>
                <w:color w:val="auto"/>
                <w:lang w:val="en-US" w:eastAsia="zh-CN"/>
              </w:rPr>
              <w:t>2</w:t>
            </w:r>
            <w:r>
              <w:rPr>
                <w:rFonts w:hint="eastAsia"/>
                <w:color w:val="auto"/>
                <w:lang w:eastAsia="zh-CN"/>
              </w:rPr>
              <w:t>环境空气</w:t>
            </w:r>
            <w:r>
              <w:rPr>
                <w:rFonts w:hint="eastAsia"/>
                <w:color w:val="auto"/>
              </w:rPr>
              <w:t>检测结果</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9"/>
              <w:gridCol w:w="1520"/>
              <w:gridCol w:w="1618"/>
              <w:gridCol w:w="2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pct"/>
                  <w:vMerge w:val="restart"/>
                  <w:noWrap w:val="0"/>
                  <w:vAlign w:val="center"/>
                </w:tcPr>
                <w:p>
                  <w:pPr>
                    <w:pStyle w:val="18"/>
                    <w:bidi w:val="0"/>
                    <w:rPr>
                      <w:rFonts w:hint="default"/>
                      <w:color w:val="auto"/>
                    </w:rPr>
                  </w:pPr>
                  <w:r>
                    <w:rPr>
                      <w:rFonts w:hint="default"/>
                      <w:color w:val="auto"/>
                    </w:rPr>
                    <w:t>采样点位</w:t>
                  </w:r>
                </w:p>
              </w:tc>
              <w:tc>
                <w:tcPr>
                  <w:tcW w:w="916" w:type="pct"/>
                  <w:vMerge w:val="restart"/>
                  <w:noWrap w:val="0"/>
                  <w:vAlign w:val="center"/>
                </w:tcPr>
                <w:p>
                  <w:pPr>
                    <w:pStyle w:val="18"/>
                    <w:bidi w:val="0"/>
                    <w:rPr>
                      <w:rFonts w:hint="eastAsia"/>
                      <w:color w:val="auto"/>
                      <w:lang w:eastAsia="zh-CN"/>
                    </w:rPr>
                  </w:pPr>
                  <w:r>
                    <w:rPr>
                      <w:rFonts w:hint="eastAsia"/>
                      <w:color w:val="auto"/>
                      <w:lang w:eastAsia="zh-CN"/>
                    </w:rPr>
                    <w:t>采样日期</w:t>
                  </w:r>
                </w:p>
              </w:tc>
              <w:tc>
                <w:tcPr>
                  <w:tcW w:w="975" w:type="pct"/>
                  <w:vMerge w:val="restart"/>
                  <w:noWrap w:val="0"/>
                  <w:vAlign w:val="center"/>
                </w:tcPr>
                <w:p>
                  <w:pPr>
                    <w:pStyle w:val="18"/>
                    <w:bidi w:val="0"/>
                    <w:rPr>
                      <w:color w:val="auto"/>
                    </w:rPr>
                  </w:pPr>
                  <w:r>
                    <w:rPr>
                      <w:rFonts w:hint="default"/>
                      <w:color w:val="auto"/>
                    </w:rPr>
                    <w:t>采样时间</w:t>
                  </w:r>
                </w:p>
              </w:tc>
              <w:tc>
                <w:tcPr>
                  <w:tcW w:w="1390" w:type="pct"/>
                  <w:noWrap w:val="0"/>
                  <w:vAlign w:val="center"/>
                </w:tcPr>
                <w:p>
                  <w:pPr>
                    <w:pStyle w:val="18"/>
                    <w:bidi w:val="0"/>
                    <w:rPr>
                      <w:rFonts w:hint="default"/>
                      <w:color w:val="auto"/>
                    </w:rPr>
                  </w:pPr>
                  <w:r>
                    <w:rPr>
                      <w:rFonts w:hint="default"/>
                      <w:color w:val="auto"/>
                    </w:rPr>
                    <w:t>检测项目</w:t>
                  </w:r>
                </w:p>
                <w:p>
                  <w:pPr>
                    <w:pStyle w:val="18"/>
                    <w:bidi w:val="0"/>
                    <w:rPr>
                      <w:rFonts w:hint="default"/>
                      <w:color w:val="auto"/>
                    </w:rPr>
                  </w:pPr>
                  <w:r>
                    <w:rPr>
                      <w:rFonts w:hint="default"/>
                      <w:color w:val="auto"/>
                    </w:rPr>
                    <w:t>(单位：</w:t>
                  </w:r>
                  <w:r>
                    <w:rPr>
                      <w:rFonts w:hint="default"/>
                      <w:color w:val="auto"/>
                      <w:lang w:val="en-US" w:eastAsia="zh-CN"/>
                    </w:rPr>
                    <w:t>μg/m</w:t>
                  </w:r>
                  <w:r>
                    <w:rPr>
                      <w:rFonts w:hint="default"/>
                      <w:color w:val="auto"/>
                      <w:vertAlign w:val="superscript"/>
                      <w:lang w:val="en-US" w:eastAsia="zh-CN"/>
                    </w:rPr>
                    <w:t>3</w:t>
                  </w:r>
                  <w:r>
                    <w:rPr>
                      <w:rFonts w:hint="default"/>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pct"/>
                  <w:vMerge w:val="continue"/>
                  <w:noWrap w:val="0"/>
                  <w:vAlign w:val="center"/>
                </w:tcPr>
                <w:p>
                  <w:pPr>
                    <w:pStyle w:val="18"/>
                    <w:bidi w:val="0"/>
                    <w:rPr>
                      <w:rFonts w:hint="default"/>
                      <w:color w:val="auto"/>
                    </w:rPr>
                  </w:pPr>
                </w:p>
              </w:tc>
              <w:tc>
                <w:tcPr>
                  <w:tcW w:w="916" w:type="pct"/>
                  <w:vMerge w:val="continue"/>
                  <w:noWrap w:val="0"/>
                  <w:vAlign w:val="center"/>
                </w:tcPr>
                <w:p>
                  <w:pPr>
                    <w:pStyle w:val="18"/>
                    <w:bidi w:val="0"/>
                    <w:rPr>
                      <w:color w:val="auto"/>
                    </w:rPr>
                  </w:pPr>
                </w:p>
              </w:tc>
              <w:tc>
                <w:tcPr>
                  <w:tcW w:w="975" w:type="pct"/>
                  <w:vMerge w:val="continue"/>
                  <w:noWrap w:val="0"/>
                  <w:vAlign w:val="center"/>
                </w:tcPr>
                <w:p>
                  <w:pPr>
                    <w:pStyle w:val="18"/>
                    <w:bidi w:val="0"/>
                    <w:rPr>
                      <w:color w:val="auto"/>
                    </w:rPr>
                  </w:pPr>
                </w:p>
              </w:tc>
              <w:tc>
                <w:tcPr>
                  <w:tcW w:w="1390" w:type="pct"/>
                  <w:noWrap w:val="0"/>
                  <w:vAlign w:val="center"/>
                </w:tcPr>
                <w:p>
                  <w:pPr>
                    <w:pStyle w:val="18"/>
                    <w:bidi w:val="0"/>
                    <w:rPr>
                      <w:rFonts w:hint="default"/>
                      <w:color w:val="auto"/>
                    </w:rPr>
                  </w:pPr>
                  <w:r>
                    <w:rPr>
                      <w:rFonts w:hint="eastAsia"/>
                      <w:color w:val="auto"/>
                      <w:lang w:val="en-US" w:eastAsia="zh-CN"/>
                    </w:rPr>
                    <w:t>总挥发性有机物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7" w:type="pct"/>
                  <w:tcBorders>
                    <w:bottom w:val="single" w:color="000000" w:sz="4" w:space="0"/>
                  </w:tcBorders>
                  <w:noWrap w:val="0"/>
                  <w:vAlign w:val="center"/>
                </w:tcPr>
                <w:p>
                  <w:pPr>
                    <w:pStyle w:val="18"/>
                    <w:bidi w:val="0"/>
                    <w:rPr>
                      <w:rFonts w:hint="eastAsia"/>
                      <w:color w:val="auto"/>
                      <w:lang w:eastAsia="zh-CN"/>
                    </w:rPr>
                  </w:pPr>
                  <w:r>
                    <w:rPr>
                      <w:rFonts w:hint="eastAsia"/>
                      <w:color w:val="auto"/>
                      <w:lang w:eastAsia="zh-CN"/>
                    </w:rPr>
                    <w:t>项目生产车间外空地</w:t>
                  </w:r>
                </w:p>
              </w:tc>
              <w:tc>
                <w:tcPr>
                  <w:tcW w:w="916" w:type="pct"/>
                  <w:vMerge w:val="restart"/>
                  <w:noWrap w:val="0"/>
                  <w:vAlign w:val="center"/>
                </w:tcPr>
                <w:p>
                  <w:pPr>
                    <w:pStyle w:val="18"/>
                    <w:bidi w:val="0"/>
                    <w:rPr>
                      <w:rFonts w:hint="default"/>
                      <w:color w:val="auto"/>
                      <w:lang w:val="en-US" w:eastAsia="zh-CN"/>
                    </w:rPr>
                  </w:pPr>
                  <w:r>
                    <w:rPr>
                      <w:rFonts w:hint="eastAsia"/>
                      <w:color w:val="auto"/>
                      <w:lang w:val="en-US" w:eastAsia="zh-CN"/>
                    </w:rPr>
                    <w:t>2019.11.13</w:t>
                  </w:r>
                </w:p>
              </w:tc>
              <w:tc>
                <w:tcPr>
                  <w:tcW w:w="975" w:type="pct"/>
                  <w:vMerge w:val="restart"/>
                  <w:noWrap w:val="0"/>
                  <w:vAlign w:val="center"/>
                </w:tcPr>
                <w:p>
                  <w:pPr>
                    <w:pStyle w:val="18"/>
                    <w:bidi w:val="0"/>
                    <w:rPr>
                      <w:rFonts w:hint="default"/>
                      <w:color w:val="auto"/>
                      <w:lang w:val="en-US" w:eastAsia="zh-CN"/>
                    </w:rPr>
                  </w:pPr>
                  <w:r>
                    <w:rPr>
                      <w:rFonts w:hint="eastAsia"/>
                      <w:color w:val="auto"/>
                      <w:lang w:val="en-US" w:eastAsia="zh-CN"/>
                    </w:rPr>
                    <w:t>09</w:t>
                  </w:r>
                  <w:r>
                    <w:rPr>
                      <w:rFonts w:hint="default"/>
                      <w:color w:val="auto"/>
                    </w:rPr>
                    <w:t>:</w:t>
                  </w:r>
                  <w:r>
                    <w:rPr>
                      <w:rFonts w:hint="eastAsia"/>
                      <w:color w:val="auto"/>
                      <w:lang w:val="en-US" w:eastAsia="zh-CN"/>
                    </w:rPr>
                    <w:t>17-17:17</w:t>
                  </w:r>
                </w:p>
              </w:tc>
              <w:tc>
                <w:tcPr>
                  <w:tcW w:w="1390" w:type="pct"/>
                  <w:noWrap w:val="0"/>
                  <w:vAlign w:val="center"/>
                </w:tcPr>
                <w:p>
                  <w:pPr>
                    <w:pStyle w:val="18"/>
                    <w:bidi w:val="0"/>
                    <w:rPr>
                      <w:rFonts w:hint="default"/>
                      <w:color w:val="auto"/>
                      <w:lang w:val="en-US" w:eastAsia="zh-CN"/>
                    </w:rPr>
                  </w:pPr>
                  <w:r>
                    <w:rPr>
                      <w:rFonts w:hint="eastAsia"/>
                      <w:color w:val="auto"/>
                      <w:lang w:val="en-US" w:eastAsia="zh-CN"/>
                    </w:rPr>
                    <w:t>&lt;0.5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7" w:type="pct"/>
                  <w:tcBorders>
                    <w:top w:val="single" w:color="000000" w:sz="4" w:space="0"/>
                    <w:bottom w:val="single" w:color="000000" w:sz="4" w:space="0"/>
                  </w:tcBorders>
                  <w:noWrap w:val="0"/>
                  <w:vAlign w:val="center"/>
                </w:tcPr>
                <w:p>
                  <w:pPr>
                    <w:pStyle w:val="18"/>
                    <w:bidi w:val="0"/>
                    <w:rPr>
                      <w:rFonts w:hint="default"/>
                      <w:color w:val="auto"/>
                    </w:rPr>
                  </w:pPr>
                  <w:r>
                    <w:rPr>
                      <w:rFonts w:hint="eastAsia"/>
                      <w:color w:val="auto"/>
                      <w:lang w:eastAsia="zh-CN"/>
                    </w:rPr>
                    <w:t>项目下风向</w:t>
                  </w:r>
                </w:p>
              </w:tc>
              <w:tc>
                <w:tcPr>
                  <w:tcW w:w="916" w:type="pct"/>
                  <w:vMerge w:val="continue"/>
                  <w:noWrap w:val="0"/>
                  <w:vAlign w:val="center"/>
                </w:tcPr>
                <w:p>
                  <w:pPr>
                    <w:pStyle w:val="18"/>
                    <w:bidi w:val="0"/>
                    <w:rPr>
                      <w:rFonts w:hint="default"/>
                      <w:color w:val="auto"/>
                    </w:rPr>
                  </w:pPr>
                </w:p>
              </w:tc>
              <w:tc>
                <w:tcPr>
                  <w:tcW w:w="975" w:type="pct"/>
                  <w:vMerge w:val="continue"/>
                  <w:noWrap w:val="0"/>
                  <w:vAlign w:val="center"/>
                </w:tcPr>
                <w:p>
                  <w:pPr>
                    <w:pStyle w:val="18"/>
                    <w:bidi w:val="0"/>
                    <w:rPr>
                      <w:rFonts w:hint="default"/>
                      <w:color w:val="auto"/>
                      <w:lang w:val="en-US" w:eastAsia="zh-CN"/>
                    </w:rPr>
                  </w:pPr>
                </w:p>
              </w:tc>
              <w:tc>
                <w:tcPr>
                  <w:tcW w:w="1390" w:type="pct"/>
                  <w:noWrap w:val="0"/>
                  <w:vAlign w:val="center"/>
                </w:tcPr>
                <w:p>
                  <w:pPr>
                    <w:pStyle w:val="18"/>
                    <w:bidi w:val="0"/>
                    <w:rPr>
                      <w:rFonts w:hint="default"/>
                      <w:color w:val="auto"/>
                      <w:lang w:val="en-US" w:eastAsia="zh-CN"/>
                    </w:rPr>
                  </w:pPr>
                  <w:r>
                    <w:rPr>
                      <w:rFonts w:hint="eastAsia"/>
                      <w:color w:val="auto"/>
                      <w:lang w:val="en-US" w:eastAsia="zh-CN"/>
                    </w:rPr>
                    <w:t>&lt;0.5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pct"/>
                  <w:tcBorders>
                    <w:top w:val="single" w:color="000000" w:sz="4" w:space="0"/>
                    <w:bottom w:val="single" w:color="000000" w:sz="4" w:space="0"/>
                  </w:tcBorders>
                  <w:noWrap w:val="0"/>
                  <w:vAlign w:val="center"/>
                </w:tcPr>
                <w:p>
                  <w:pPr>
                    <w:pStyle w:val="18"/>
                    <w:bidi w:val="0"/>
                    <w:rPr>
                      <w:rFonts w:hint="eastAsia"/>
                      <w:color w:val="auto"/>
                      <w:lang w:eastAsia="zh-CN"/>
                    </w:rPr>
                  </w:pPr>
                  <w:r>
                    <w:rPr>
                      <w:rFonts w:hint="eastAsia"/>
                      <w:color w:val="auto"/>
                      <w:lang w:eastAsia="zh-CN"/>
                    </w:rPr>
                    <w:t>项目生产车间外空地</w:t>
                  </w:r>
                </w:p>
              </w:tc>
              <w:tc>
                <w:tcPr>
                  <w:tcW w:w="916" w:type="pct"/>
                  <w:vMerge w:val="restart"/>
                  <w:noWrap w:val="0"/>
                  <w:vAlign w:val="center"/>
                </w:tcPr>
                <w:p>
                  <w:pPr>
                    <w:pStyle w:val="18"/>
                    <w:bidi w:val="0"/>
                    <w:rPr>
                      <w:rFonts w:hint="default"/>
                      <w:color w:val="auto"/>
                      <w:lang w:val="en-US" w:eastAsia="zh-CN"/>
                    </w:rPr>
                  </w:pPr>
                  <w:r>
                    <w:rPr>
                      <w:rFonts w:hint="eastAsia"/>
                      <w:color w:val="auto"/>
                      <w:lang w:val="en-US" w:eastAsia="zh-CN"/>
                    </w:rPr>
                    <w:t>2019.11.14</w:t>
                  </w:r>
                </w:p>
              </w:tc>
              <w:tc>
                <w:tcPr>
                  <w:tcW w:w="975" w:type="pct"/>
                  <w:vMerge w:val="restart"/>
                  <w:noWrap w:val="0"/>
                  <w:vAlign w:val="center"/>
                </w:tcPr>
                <w:p>
                  <w:pPr>
                    <w:pStyle w:val="18"/>
                    <w:bidi w:val="0"/>
                    <w:rPr>
                      <w:rFonts w:hint="default"/>
                      <w:color w:val="auto"/>
                      <w:lang w:val="en-US" w:eastAsia="zh-CN"/>
                    </w:rPr>
                  </w:pPr>
                  <w:r>
                    <w:rPr>
                      <w:rFonts w:hint="eastAsia"/>
                      <w:color w:val="auto"/>
                      <w:lang w:val="en-US" w:eastAsia="zh-CN"/>
                    </w:rPr>
                    <w:t>09</w:t>
                  </w:r>
                  <w:r>
                    <w:rPr>
                      <w:rFonts w:hint="default"/>
                      <w:color w:val="auto"/>
                    </w:rPr>
                    <w:t>:</w:t>
                  </w:r>
                  <w:r>
                    <w:rPr>
                      <w:rFonts w:hint="eastAsia"/>
                      <w:color w:val="auto"/>
                      <w:lang w:val="en-US" w:eastAsia="zh-CN"/>
                    </w:rPr>
                    <w:t>34-17</w:t>
                  </w:r>
                  <w:r>
                    <w:rPr>
                      <w:rFonts w:hint="default"/>
                      <w:color w:val="auto"/>
                    </w:rPr>
                    <w:t>:</w:t>
                  </w:r>
                  <w:r>
                    <w:rPr>
                      <w:rFonts w:hint="eastAsia"/>
                      <w:color w:val="auto"/>
                      <w:lang w:val="en-US" w:eastAsia="zh-CN"/>
                    </w:rPr>
                    <w:t>34</w:t>
                  </w:r>
                </w:p>
              </w:tc>
              <w:tc>
                <w:tcPr>
                  <w:tcW w:w="1390" w:type="pct"/>
                  <w:noWrap w:val="0"/>
                  <w:vAlign w:val="center"/>
                </w:tcPr>
                <w:p>
                  <w:pPr>
                    <w:pStyle w:val="18"/>
                    <w:bidi w:val="0"/>
                    <w:rPr>
                      <w:rFonts w:hint="default"/>
                      <w:color w:val="auto"/>
                      <w:lang w:val="en-US" w:eastAsia="zh-CN"/>
                    </w:rPr>
                  </w:pPr>
                  <w:r>
                    <w:rPr>
                      <w:rFonts w:hint="eastAsia"/>
                      <w:color w:val="auto"/>
                      <w:lang w:val="en-US" w:eastAsia="zh-CN"/>
                    </w:rPr>
                    <w:t>&lt;0.5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pct"/>
                  <w:tcBorders>
                    <w:top w:val="single" w:color="000000" w:sz="4" w:space="0"/>
                    <w:bottom w:val="single" w:color="000000" w:sz="4" w:space="0"/>
                  </w:tcBorders>
                  <w:noWrap w:val="0"/>
                  <w:vAlign w:val="center"/>
                </w:tcPr>
                <w:p>
                  <w:pPr>
                    <w:pStyle w:val="18"/>
                    <w:bidi w:val="0"/>
                    <w:rPr>
                      <w:rFonts w:hint="default"/>
                      <w:color w:val="auto"/>
                    </w:rPr>
                  </w:pPr>
                  <w:r>
                    <w:rPr>
                      <w:rFonts w:hint="eastAsia"/>
                      <w:color w:val="auto"/>
                      <w:lang w:eastAsia="zh-CN"/>
                    </w:rPr>
                    <w:t>项目下风向</w:t>
                  </w:r>
                </w:p>
              </w:tc>
              <w:tc>
                <w:tcPr>
                  <w:tcW w:w="916" w:type="pct"/>
                  <w:vMerge w:val="continue"/>
                  <w:noWrap w:val="0"/>
                  <w:vAlign w:val="center"/>
                </w:tcPr>
                <w:p>
                  <w:pPr>
                    <w:pStyle w:val="18"/>
                    <w:bidi w:val="0"/>
                    <w:rPr>
                      <w:rFonts w:hint="default"/>
                      <w:color w:val="auto"/>
                    </w:rPr>
                  </w:pPr>
                </w:p>
              </w:tc>
              <w:tc>
                <w:tcPr>
                  <w:tcW w:w="975" w:type="pct"/>
                  <w:vMerge w:val="continue"/>
                  <w:noWrap w:val="0"/>
                  <w:vAlign w:val="center"/>
                </w:tcPr>
                <w:p>
                  <w:pPr>
                    <w:pStyle w:val="18"/>
                    <w:bidi w:val="0"/>
                    <w:rPr>
                      <w:rFonts w:hint="default"/>
                      <w:color w:val="auto"/>
                      <w:lang w:val="en-US" w:eastAsia="zh-CN"/>
                    </w:rPr>
                  </w:pPr>
                </w:p>
              </w:tc>
              <w:tc>
                <w:tcPr>
                  <w:tcW w:w="1390" w:type="pct"/>
                  <w:noWrap w:val="0"/>
                  <w:vAlign w:val="center"/>
                </w:tcPr>
                <w:p>
                  <w:pPr>
                    <w:pStyle w:val="18"/>
                    <w:bidi w:val="0"/>
                    <w:rPr>
                      <w:rFonts w:hint="default"/>
                      <w:color w:val="auto"/>
                      <w:lang w:val="en-US" w:eastAsia="zh-CN"/>
                    </w:rPr>
                  </w:pPr>
                  <w:r>
                    <w:rPr>
                      <w:rFonts w:hint="eastAsia"/>
                      <w:color w:val="auto"/>
                      <w:lang w:val="en-US" w:eastAsia="zh-CN"/>
                    </w:rPr>
                    <w:t>&lt;0.5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pct"/>
                  <w:tcBorders>
                    <w:top w:val="single" w:color="000000" w:sz="4" w:space="0"/>
                    <w:bottom w:val="single" w:color="000000" w:sz="4" w:space="0"/>
                  </w:tcBorders>
                  <w:noWrap w:val="0"/>
                  <w:vAlign w:val="center"/>
                </w:tcPr>
                <w:p>
                  <w:pPr>
                    <w:pStyle w:val="18"/>
                    <w:bidi w:val="0"/>
                    <w:rPr>
                      <w:rFonts w:hint="default"/>
                      <w:color w:val="auto"/>
                      <w:lang w:val="en-US" w:eastAsia="zh-CN"/>
                    </w:rPr>
                  </w:pPr>
                  <w:r>
                    <w:rPr>
                      <w:rFonts w:hint="eastAsia"/>
                      <w:color w:val="auto"/>
                      <w:lang w:eastAsia="zh-CN"/>
                    </w:rPr>
                    <w:t>项目生产车间外空地</w:t>
                  </w:r>
                </w:p>
              </w:tc>
              <w:tc>
                <w:tcPr>
                  <w:tcW w:w="916" w:type="pct"/>
                  <w:vMerge w:val="restart"/>
                  <w:noWrap w:val="0"/>
                  <w:vAlign w:val="center"/>
                </w:tcPr>
                <w:p>
                  <w:pPr>
                    <w:pStyle w:val="18"/>
                    <w:bidi w:val="0"/>
                    <w:rPr>
                      <w:rFonts w:hint="default"/>
                      <w:color w:val="auto"/>
                      <w:lang w:val="en-US" w:eastAsia="zh-CN"/>
                    </w:rPr>
                  </w:pPr>
                  <w:r>
                    <w:rPr>
                      <w:rFonts w:hint="eastAsia"/>
                      <w:color w:val="auto"/>
                      <w:lang w:val="en-US" w:eastAsia="zh-CN"/>
                    </w:rPr>
                    <w:t>2019.11.15</w:t>
                  </w:r>
                </w:p>
              </w:tc>
              <w:tc>
                <w:tcPr>
                  <w:tcW w:w="975" w:type="pct"/>
                  <w:vMerge w:val="restart"/>
                  <w:noWrap w:val="0"/>
                  <w:vAlign w:val="center"/>
                </w:tcPr>
                <w:p>
                  <w:pPr>
                    <w:pStyle w:val="18"/>
                    <w:bidi w:val="0"/>
                    <w:rPr>
                      <w:rFonts w:hint="default"/>
                      <w:color w:val="auto"/>
                      <w:lang w:val="en-US" w:eastAsia="zh-CN"/>
                    </w:rPr>
                  </w:pPr>
                  <w:r>
                    <w:rPr>
                      <w:rFonts w:hint="eastAsia"/>
                      <w:color w:val="auto"/>
                      <w:lang w:val="en-US" w:eastAsia="zh-CN"/>
                    </w:rPr>
                    <w:t>09</w:t>
                  </w:r>
                  <w:r>
                    <w:rPr>
                      <w:rFonts w:hint="default"/>
                      <w:color w:val="auto"/>
                    </w:rPr>
                    <w:t>:</w:t>
                  </w:r>
                  <w:r>
                    <w:rPr>
                      <w:rFonts w:hint="eastAsia"/>
                      <w:color w:val="auto"/>
                      <w:lang w:val="en-US" w:eastAsia="zh-CN"/>
                    </w:rPr>
                    <w:t>01-17</w:t>
                  </w:r>
                  <w:r>
                    <w:rPr>
                      <w:rFonts w:hint="default"/>
                      <w:color w:val="auto"/>
                    </w:rPr>
                    <w:t>:</w:t>
                  </w:r>
                  <w:r>
                    <w:rPr>
                      <w:rFonts w:hint="eastAsia"/>
                      <w:color w:val="auto"/>
                      <w:lang w:val="en-US" w:eastAsia="zh-CN"/>
                    </w:rPr>
                    <w:t>01</w:t>
                  </w:r>
                </w:p>
              </w:tc>
              <w:tc>
                <w:tcPr>
                  <w:tcW w:w="1390" w:type="pct"/>
                  <w:noWrap w:val="0"/>
                  <w:vAlign w:val="center"/>
                </w:tcPr>
                <w:p>
                  <w:pPr>
                    <w:pStyle w:val="18"/>
                    <w:bidi w:val="0"/>
                    <w:rPr>
                      <w:rFonts w:hint="default"/>
                      <w:color w:val="auto"/>
                      <w:lang w:val="en-US" w:eastAsia="zh-CN"/>
                    </w:rPr>
                  </w:pPr>
                  <w:r>
                    <w:rPr>
                      <w:rFonts w:hint="eastAsia"/>
                      <w:color w:val="auto"/>
                      <w:lang w:val="en-US" w:eastAsia="zh-CN"/>
                    </w:rPr>
                    <w:t>&lt;0.5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pct"/>
                  <w:tcBorders>
                    <w:top w:val="single" w:color="000000" w:sz="4" w:space="0"/>
                    <w:bottom w:val="single" w:color="000000" w:sz="4" w:space="0"/>
                  </w:tcBorders>
                  <w:noWrap w:val="0"/>
                  <w:vAlign w:val="center"/>
                </w:tcPr>
                <w:p>
                  <w:pPr>
                    <w:pStyle w:val="18"/>
                    <w:bidi w:val="0"/>
                    <w:rPr>
                      <w:rFonts w:hint="default"/>
                      <w:color w:val="auto"/>
                      <w:lang w:val="en-US" w:eastAsia="zh-CN"/>
                    </w:rPr>
                  </w:pPr>
                  <w:r>
                    <w:rPr>
                      <w:rFonts w:hint="eastAsia"/>
                      <w:color w:val="auto"/>
                      <w:lang w:eastAsia="zh-CN"/>
                    </w:rPr>
                    <w:t>项目下风向</w:t>
                  </w:r>
                </w:p>
              </w:tc>
              <w:tc>
                <w:tcPr>
                  <w:tcW w:w="916" w:type="pct"/>
                  <w:vMerge w:val="continue"/>
                  <w:noWrap w:val="0"/>
                  <w:vAlign w:val="center"/>
                </w:tcPr>
                <w:p>
                  <w:pPr>
                    <w:pStyle w:val="18"/>
                    <w:bidi w:val="0"/>
                    <w:rPr>
                      <w:rFonts w:hint="default"/>
                      <w:color w:val="auto"/>
                    </w:rPr>
                  </w:pPr>
                </w:p>
              </w:tc>
              <w:tc>
                <w:tcPr>
                  <w:tcW w:w="975" w:type="pct"/>
                  <w:vMerge w:val="continue"/>
                  <w:noWrap w:val="0"/>
                  <w:vAlign w:val="center"/>
                </w:tcPr>
                <w:p>
                  <w:pPr>
                    <w:pStyle w:val="18"/>
                    <w:bidi w:val="0"/>
                    <w:rPr>
                      <w:rFonts w:hint="default"/>
                      <w:color w:val="auto"/>
                      <w:lang w:val="en-US" w:eastAsia="zh-CN"/>
                    </w:rPr>
                  </w:pPr>
                </w:p>
              </w:tc>
              <w:tc>
                <w:tcPr>
                  <w:tcW w:w="1390" w:type="pct"/>
                  <w:noWrap w:val="0"/>
                  <w:vAlign w:val="center"/>
                </w:tcPr>
                <w:p>
                  <w:pPr>
                    <w:pStyle w:val="18"/>
                    <w:bidi w:val="0"/>
                    <w:rPr>
                      <w:rFonts w:hint="default"/>
                      <w:color w:val="auto"/>
                      <w:lang w:val="en-US" w:eastAsia="zh-CN"/>
                    </w:rPr>
                  </w:pPr>
                  <w:r>
                    <w:rPr>
                      <w:rFonts w:hint="eastAsia"/>
                      <w:color w:val="auto"/>
                      <w:lang w:val="en-US" w:eastAsia="zh-CN"/>
                    </w:rPr>
                    <w:t>&lt;0.5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pct"/>
                  <w:tcBorders>
                    <w:top w:val="single" w:color="000000" w:sz="4" w:space="0"/>
                    <w:bottom w:val="single" w:color="000000" w:sz="4" w:space="0"/>
                  </w:tcBorders>
                  <w:noWrap w:val="0"/>
                  <w:vAlign w:val="center"/>
                </w:tcPr>
                <w:p>
                  <w:pPr>
                    <w:pStyle w:val="18"/>
                    <w:bidi w:val="0"/>
                    <w:rPr>
                      <w:rFonts w:hint="default"/>
                      <w:color w:val="auto"/>
                      <w:lang w:val="en-US" w:eastAsia="zh-CN"/>
                    </w:rPr>
                  </w:pPr>
                  <w:r>
                    <w:rPr>
                      <w:rFonts w:hint="eastAsia"/>
                      <w:color w:val="auto"/>
                      <w:lang w:eastAsia="zh-CN"/>
                    </w:rPr>
                    <w:t>项目生产车间外空地</w:t>
                  </w:r>
                </w:p>
              </w:tc>
              <w:tc>
                <w:tcPr>
                  <w:tcW w:w="916" w:type="pct"/>
                  <w:vMerge w:val="restart"/>
                  <w:noWrap w:val="0"/>
                  <w:vAlign w:val="center"/>
                </w:tcPr>
                <w:p>
                  <w:pPr>
                    <w:pStyle w:val="18"/>
                    <w:bidi w:val="0"/>
                    <w:rPr>
                      <w:rFonts w:hint="default"/>
                      <w:color w:val="auto"/>
                      <w:lang w:val="en-US" w:eastAsia="zh-CN"/>
                    </w:rPr>
                  </w:pPr>
                  <w:r>
                    <w:rPr>
                      <w:rFonts w:hint="eastAsia"/>
                      <w:color w:val="auto"/>
                      <w:lang w:val="en-US" w:eastAsia="zh-CN"/>
                    </w:rPr>
                    <w:t>2019.11.16</w:t>
                  </w:r>
                </w:p>
              </w:tc>
              <w:tc>
                <w:tcPr>
                  <w:tcW w:w="975" w:type="pct"/>
                  <w:vMerge w:val="restart"/>
                  <w:noWrap w:val="0"/>
                  <w:vAlign w:val="center"/>
                </w:tcPr>
                <w:p>
                  <w:pPr>
                    <w:pStyle w:val="18"/>
                    <w:bidi w:val="0"/>
                    <w:rPr>
                      <w:rFonts w:hint="default"/>
                      <w:color w:val="auto"/>
                      <w:lang w:val="en-US" w:eastAsia="zh-CN"/>
                    </w:rPr>
                  </w:pPr>
                  <w:r>
                    <w:rPr>
                      <w:rFonts w:hint="eastAsia"/>
                      <w:color w:val="auto"/>
                      <w:lang w:val="en-US" w:eastAsia="zh-CN"/>
                    </w:rPr>
                    <w:t>08</w:t>
                  </w:r>
                  <w:r>
                    <w:rPr>
                      <w:rFonts w:hint="default"/>
                      <w:color w:val="auto"/>
                    </w:rPr>
                    <w:t>:</w:t>
                  </w:r>
                  <w:r>
                    <w:rPr>
                      <w:rFonts w:hint="eastAsia"/>
                      <w:color w:val="auto"/>
                      <w:lang w:val="en-US" w:eastAsia="zh-CN"/>
                    </w:rPr>
                    <w:t>49-16</w:t>
                  </w:r>
                  <w:r>
                    <w:rPr>
                      <w:rFonts w:hint="default"/>
                      <w:color w:val="auto"/>
                    </w:rPr>
                    <w:t>:</w:t>
                  </w:r>
                  <w:r>
                    <w:rPr>
                      <w:rFonts w:hint="eastAsia"/>
                      <w:color w:val="auto"/>
                      <w:lang w:val="en-US" w:eastAsia="zh-CN"/>
                    </w:rPr>
                    <w:t>49</w:t>
                  </w:r>
                </w:p>
              </w:tc>
              <w:tc>
                <w:tcPr>
                  <w:tcW w:w="1390" w:type="pct"/>
                  <w:noWrap w:val="0"/>
                  <w:vAlign w:val="center"/>
                </w:tcPr>
                <w:p>
                  <w:pPr>
                    <w:pStyle w:val="18"/>
                    <w:bidi w:val="0"/>
                    <w:rPr>
                      <w:rFonts w:hint="default"/>
                      <w:color w:val="auto"/>
                      <w:lang w:val="en-US" w:eastAsia="zh-CN"/>
                    </w:rPr>
                  </w:pPr>
                  <w:r>
                    <w:rPr>
                      <w:rFonts w:hint="eastAsia"/>
                      <w:color w:val="auto"/>
                      <w:lang w:val="en-US" w:eastAsia="zh-CN"/>
                    </w:rPr>
                    <w:t>&lt;0.5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717" w:type="pct"/>
                  <w:tcBorders>
                    <w:top w:val="single" w:color="000000" w:sz="4" w:space="0"/>
                    <w:bottom w:val="single" w:color="000000" w:sz="4" w:space="0"/>
                  </w:tcBorders>
                  <w:noWrap w:val="0"/>
                  <w:vAlign w:val="center"/>
                </w:tcPr>
                <w:p>
                  <w:pPr>
                    <w:pStyle w:val="18"/>
                    <w:bidi w:val="0"/>
                    <w:rPr>
                      <w:rFonts w:hint="default"/>
                      <w:color w:val="auto"/>
                      <w:lang w:val="en-US" w:eastAsia="zh-CN"/>
                    </w:rPr>
                  </w:pPr>
                  <w:r>
                    <w:rPr>
                      <w:rFonts w:hint="eastAsia"/>
                      <w:color w:val="auto"/>
                      <w:lang w:eastAsia="zh-CN"/>
                    </w:rPr>
                    <w:t>项目下风向</w:t>
                  </w:r>
                </w:p>
              </w:tc>
              <w:tc>
                <w:tcPr>
                  <w:tcW w:w="916" w:type="pct"/>
                  <w:vMerge w:val="continue"/>
                  <w:noWrap w:val="0"/>
                  <w:vAlign w:val="center"/>
                </w:tcPr>
                <w:p>
                  <w:pPr>
                    <w:pStyle w:val="18"/>
                    <w:bidi w:val="0"/>
                    <w:rPr>
                      <w:rFonts w:hint="default"/>
                      <w:color w:val="auto"/>
                    </w:rPr>
                  </w:pPr>
                </w:p>
              </w:tc>
              <w:tc>
                <w:tcPr>
                  <w:tcW w:w="975" w:type="pct"/>
                  <w:vMerge w:val="continue"/>
                  <w:noWrap w:val="0"/>
                  <w:vAlign w:val="center"/>
                </w:tcPr>
                <w:p>
                  <w:pPr>
                    <w:pStyle w:val="18"/>
                    <w:bidi w:val="0"/>
                    <w:rPr>
                      <w:rFonts w:hint="default"/>
                      <w:color w:val="auto"/>
                      <w:lang w:val="en-US" w:eastAsia="zh-CN"/>
                    </w:rPr>
                  </w:pPr>
                </w:p>
              </w:tc>
              <w:tc>
                <w:tcPr>
                  <w:tcW w:w="1390" w:type="pct"/>
                  <w:noWrap w:val="0"/>
                  <w:vAlign w:val="center"/>
                </w:tcPr>
                <w:p>
                  <w:pPr>
                    <w:pStyle w:val="18"/>
                    <w:bidi w:val="0"/>
                    <w:rPr>
                      <w:rFonts w:hint="default"/>
                      <w:color w:val="auto"/>
                      <w:lang w:val="en-US" w:eastAsia="zh-CN"/>
                    </w:rPr>
                  </w:pPr>
                  <w:r>
                    <w:rPr>
                      <w:rFonts w:hint="eastAsia"/>
                      <w:color w:val="auto"/>
                      <w:lang w:val="en-US" w:eastAsia="zh-CN"/>
                    </w:rPr>
                    <w:t>&lt;0.5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pct"/>
                  <w:tcBorders>
                    <w:top w:val="single" w:color="000000" w:sz="4" w:space="0"/>
                    <w:bottom w:val="single" w:color="000000" w:sz="4" w:space="0"/>
                  </w:tcBorders>
                  <w:noWrap w:val="0"/>
                  <w:vAlign w:val="center"/>
                </w:tcPr>
                <w:p>
                  <w:pPr>
                    <w:pStyle w:val="18"/>
                    <w:bidi w:val="0"/>
                    <w:rPr>
                      <w:rFonts w:hint="default"/>
                      <w:color w:val="auto"/>
                      <w:lang w:val="en-US" w:eastAsia="zh-CN"/>
                    </w:rPr>
                  </w:pPr>
                  <w:r>
                    <w:rPr>
                      <w:rFonts w:hint="eastAsia"/>
                      <w:color w:val="auto"/>
                      <w:lang w:eastAsia="zh-CN"/>
                    </w:rPr>
                    <w:t>项目生产车间外空地</w:t>
                  </w:r>
                </w:p>
              </w:tc>
              <w:tc>
                <w:tcPr>
                  <w:tcW w:w="916" w:type="pct"/>
                  <w:vMerge w:val="restart"/>
                  <w:noWrap w:val="0"/>
                  <w:vAlign w:val="center"/>
                </w:tcPr>
                <w:p>
                  <w:pPr>
                    <w:pStyle w:val="18"/>
                    <w:bidi w:val="0"/>
                    <w:rPr>
                      <w:rFonts w:hint="default"/>
                      <w:color w:val="auto"/>
                      <w:lang w:val="en-US" w:eastAsia="zh-CN"/>
                    </w:rPr>
                  </w:pPr>
                  <w:r>
                    <w:rPr>
                      <w:rFonts w:hint="eastAsia"/>
                      <w:color w:val="auto"/>
                      <w:lang w:val="en-US" w:eastAsia="zh-CN"/>
                    </w:rPr>
                    <w:t>2019.11.17</w:t>
                  </w:r>
                </w:p>
              </w:tc>
              <w:tc>
                <w:tcPr>
                  <w:tcW w:w="975" w:type="pct"/>
                  <w:vMerge w:val="restart"/>
                  <w:noWrap w:val="0"/>
                  <w:vAlign w:val="center"/>
                </w:tcPr>
                <w:p>
                  <w:pPr>
                    <w:pStyle w:val="18"/>
                    <w:bidi w:val="0"/>
                    <w:rPr>
                      <w:rFonts w:hint="default"/>
                      <w:color w:val="auto"/>
                      <w:lang w:val="en-US" w:eastAsia="zh-CN"/>
                    </w:rPr>
                  </w:pPr>
                  <w:r>
                    <w:rPr>
                      <w:rFonts w:hint="eastAsia"/>
                      <w:color w:val="auto"/>
                      <w:lang w:val="en-US" w:eastAsia="zh-CN"/>
                    </w:rPr>
                    <w:t>09</w:t>
                  </w:r>
                  <w:r>
                    <w:rPr>
                      <w:rFonts w:hint="default"/>
                      <w:color w:val="auto"/>
                    </w:rPr>
                    <w:t>:</w:t>
                  </w:r>
                  <w:r>
                    <w:rPr>
                      <w:rFonts w:hint="eastAsia"/>
                      <w:color w:val="auto"/>
                      <w:lang w:val="en-US" w:eastAsia="zh-CN"/>
                    </w:rPr>
                    <w:t>05-17</w:t>
                  </w:r>
                  <w:r>
                    <w:rPr>
                      <w:rFonts w:hint="default"/>
                      <w:color w:val="auto"/>
                    </w:rPr>
                    <w:t>:</w:t>
                  </w:r>
                  <w:r>
                    <w:rPr>
                      <w:rFonts w:hint="eastAsia"/>
                      <w:color w:val="auto"/>
                      <w:lang w:val="en-US" w:eastAsia="zh-CN"/>
                    </w:rPr>
                    <w:t>05</w:t>
                  </w:r>
                </w:p>
              </w:tc>
              <w:tc>
                <w:tcPr>
                  <w:tcW w:w="1390" w:type="pct"/>
                  <w:noWrap w:val="0"/>
                  <w:vAlign w:val="center"/>
                </w:tcPr>
                <w:p>
                  <w:pPr>
                    <w:pStyle w:val="18"/>
                    <w:bidi w:val="0"/>
                    <w:rPr>
                      <w:rFonts w:hint="default"/>
                      <w:color w:val="auto"/>
                      <w:lang w:val="en-US" w:eastAsia="zh-CN"/>
                    </w:rPr>
                  </w:pPr>
                  <w:r>
                    <w:rPr>
                      <w:rFonts w:hint="eastAsia"/>
                      <w:color w:val="auto"/>
                      <w:lang w:val="en-US" w:eastAsia="zh-CN"/>
                    </w:rPr>
                    <w:t>&lt;0.5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pct"/>
                  <w:tcBorders>
                    <w:top w:val="single" w:color="000000" w:sz="4" w:space="0"/>
                    <w:bottom w:val="single" w:color="000000" w:sz="4" w:space="0"/>
                  </w:tcBorders>
                  <w:noWrap w:val="0"/>
                  <w:vAlign w:val="center"/>
                </w:tcPr>
                <w:p>
                  <w:pPr>
                    <w:pStyle w:val="18"/>
                    <w:bidi w:val="0"/>
                    <w:rPr>
                      <w:rFonts w:hint="default"/>
                      <w:color w:val="auto"/>
                      <w:lang w:val="en-US" w:eastAsia="zh-CN"/>
                    </w:rPr>
                  </w:pPr>
                  <w:r>
                    <w:rPr>
                      <w:rFonts w:hint="eastAsia"/>
                      <w:color w:val="auto"/>
                      <w:lang w:eastAsia="zh-CN"/>
                    </w:rPr>
                    <w:t>项目下风向</w:t>
                  </w:r>
                </w:p>
              </w:tc>
              <w:tc>
                <w:tcPr>
                  <w:tcW w:w="916" w:type="pct"/>
                  <w:vMerge w:val="continue"/>
                  <w:noWrap w:val="0"/>
                  <w:vAlign w:val="center"/>
                </w:tcPr>
                <w:p>
                  <w:pPr>
                    <w:pStyle w:val="18"/>
                    <w:bidi w:val="0"/>
                    <w:rPr>
                      <w:rFonts w:hint="default"/>
                      <w:color w:val="auto"/>
                    </w:rPr>
                  </w:pPr>
                </w:p>
              </w:tc>
              <w:tc>
                <w:tcPr>
                  <w:tcW w:w="975" w:type="pct"/>
                  <w:vMerge w:val="continue"/>
                  <w:noWrap w:val="0"/>
                  <w:vAlign w:val="center"/>
                </w:tcPr>
                <w:p>
                  <w:pPr>
                    <w:pStyle w:val="18"/>
                    <w:bidi w:val="0"/>
                    <w:rPr>
                      <w:rFonts w:hint="default"/>
                      <w:color w:val="auto"/>
                      <w:lang w:val="en-US" w:eastAsia="zh-CN"/>
                    </w:rPr>
                  </w:pPr>
                </w:p>
              </w:tc>
              <w:tc>
                <w:tcPr>
                  <w:tcW w:w="1390" w:type="pct"/>
                  <w:noWrap w:val="0"/>
                  <w:vAlign w:val="center"/>
                </w:tcPr>
                <w:p>
                  <w:pPr>
                    <w:pStyle w:val="18"/>
                    <w:bidi w:val="0"/>
                    <w:rPr>
                      <w:rFonts w:hint="default"/>
                      <w:color w:val="auto"/>
                      <w:lang w:val="en-US" w:eastAsia="zh-CN"/>
                    </w:rPr>
                  </w:pPr>
                  <w:r>
                    <w:rPr>
                      <w:rFonts w:hint="eastAsia"/>
                      <w:color w:val="auto"/>
                      <w:lang w:val="en-US" w:eastAsia="zh-CN"/>
                    </w:rPr>
                    <w:t>&lt;0.5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pct"/>
                  <w:tcBorders>
                    <w:top w:val="single" w:color="000000" w:sz="4" w:space="0"/>
                    <w:bottom w:val="single" w:color="000000" w:sz="4" w:space="0"/>
                  </w:tcBorders>
                  <w:noWrap w:val="0"/>
                  <w:vAlign w:val="center"/>
                </w:tcPr>
                <w:p>
                  <w:pPr>
                    <w:pStyle w:val="18"/>
                    <w:bidi w:val="0"/>
                    <w:rPr>
                      <w:rFonts w:hint="default"/>
                      <w:color w:val="auto"/>
                      <w:lang w:val="en-US" w:eastAsia="zh-CN"/>
                    </w:rPr>
                  </w:pPr>
                  <w:r>
                    <w:rPr>
                      <w:rFonts w:hint="eastAsia"/>
                      <w:color w:val="auto"/>
                      <w:lang w:eastAsia="zh-CN"/>
                    </w:rPr>
                    <w:t>项目生产车间外空地</w:t>
                  </w:r>
                </w:p>
              </w:tc>
              <w:tc>
                <w:tcPr>
                  <w:tcW w:w="916" w:type="pct"/>
                  <w:vMerge w:val="restart"/>
                  <w:noWrap w:val="0"/>
                  <w:vAlign w:val="center"/>
                </w:tcPr>
                <w:p>
                  <w:pPr>
                    <w:pStyle w:val="18"/>
                    <w:bidi w:val="0"/>
                    <w:rPr>
                      <w:rFonts w:hint="default"/>
                      <w:color w:val="auto"/>
                      <w:lang w:val="en-US" w:eastAsia="zh-CN"/>
                    </w:rPr>
                  </w:pPr>
                  <w:r>
                    <w:rPr>
                      <w:rFonts w:hint="eastAsia"/>
                      <w:color w:val="auto"/>
                      <w:lang w:val="en-US" w:eastAsia="zh-CN"/>
                    </w:rPr>
                    <w:t>2019.11.18</w:t>
                  </w:r>
                </w:p>
              </w:tc>
              <w:tc>
                <w:tcPr>
                  <w:tcW w:w="975" w:type="pct"/>
                  <w:vMerge w:val="restart"/>
                  <w:noWrap w:val="0"/>
                  <w:vAlign w:val="center"/>
                </w:tcPr>
                <w:p>
                  <w:pPr>
                    <w:pStyle w:val="18"/>
                    <w:bidi w:val="0"/>
                    <w:rPr>
                      <w:rFonts w:hint="default"/>
                      <w:color w:val="auto"/>
                      <w:lang w:val="en-US" w:eastAsia="zh-CN"/>
                    </w:rPr>
                  </w:pPr>
                  <w:r>
                    <w:rPr>
                      <w:rFonts w:hint="eastAsia"/>
                      <w:color w:val="auto"/>
                      <w:lang w:val="en-US" w:eastAsia="zh-CN"/>
                    </w:rPr>
                    <w:t>09</w:t>
                  </w:r>
                  <w:r>
                    <w:rPr>
                      <w:rFonts w:hint="default"/>
                      <w:color w:val="auto"/>
                    </w:rPr>
                    <w:t>:</w:t>
                  </w:r>
                  <w:r>
                    <w:rPr>
                      <w:rFonts w:hint="eastAsia"/>
                      <w:color w:val="auto"/>
                      <w:lang w:val="en-US" w:eastAsia="zh-CN"/>
                    </w:rPr>
                    <w:t>11-17</w:t>
                  </w:r>
                  <w:r>
                    <w:rPr>
                      <w:rFonts w:hint="default"/>
                      <w:color w:val="auto"/>
                    </w:rPr>
                    <w:t>:</w:t>
                  </w:r>
                  <w:r>
                    <w:rPr>
                      <w:rFonts w:hint="eastAsia"/>
                      <w:color w:val="auto"/>
                      <w:lang w:val="en-US" w:eastAsia="zh-CN"/>
                    </w:rPr>
                    <w:t>11</w:t>
                  </w:r>
                </w:p>
              </w:tc>
              <w:tc>
                <w:tcPr>
                  <w:tcW w:w="1390" w:type="pct"/>
                  <w:noWrap w:val="0"/>
                  <w:vAlign w:val="center"/>
                </w:tcPr>
                <w:p>
                  <w:pPr>
                    <w:pStyle w:val="18"/>
                    <w:bidi w:val="0"/>
                    <w:rPr>
                      <w:rFonts w:hint="default"/>
                      <w:color w:val="auto"/>
                      <w:lang w:val="en-US" w:eastAsia="zh-CN"/>
                    </w:rPr>
                  </w:pPr>
                  <w:r>
                    <w:rPr>
                      <w:rFonts w:hint="eastAsia"/>
                      <w:color w:val="auto"/>
                      <w:lang w:val="en-US" w:eastAsia="zh-CN"/>
                    </w:rPr>
                    <w:t>&lt;0.5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pct"/>
                  <w:tcBorders>
                    <w:top w:val="single" w:color="000000" w:sz="4" w:space="0"/>
                    <w:bottom w:val="single" w:color="000000" w:sz="4" w:space="0"/>
                  </w:tcBorders>
                  <w:noWrap w:val="0"/>
                  <w:vAlign w:val="center"/>
                </w:tcPr>
                <w:p>
                  <w:pPr>
                    <w:pStyle w:val="18"/>
                    <w:bidi w:val="0"/>
                    <w:rPr>
                      <w:rFonts w:hint="default"/>
                      <w:color w:val="auto"/>
                      <w:lang w:val="en-US" w:eastAsia="zh-CN"/>
                    </w:rPr>
                  </w:pPr>
                  <w:r>
                    <w:rPr>
                      <w:rFonts w:hint="eastAsia"/>
                      <w:color w:val="auto"/>
                      <w:lang w:eastAsia="zh-CN"/>
                    </w:rPr>
                    <w:t>项目下风向</w:t>
                  </w:r>
                </w:p>
              </w:tc>
              <w:tc>
                <w:tcPr>
                  <w:tcW w:w="916" w:type="pct"/>
                  <w:vMerge w:val="continue"/>
                  <w:noWrap w:val="0"/>
                  <w:vAlign w:val="center"/>
                </w:tcPr>
                <w:p>
                  <w:pPr>
                    <w:pStyle w:val="18"/>
                    <w:bidi w:val="0"/>
                    <w:rPr>
                      <w:rFonts w:hint="default"/>
                      <w:color w:val="auto"/>
                    </w:rPr>
                  </w:pPr>
                </w:p>
              </w:tc>
              <w:tc>
                <w:tcPr>
                  <w:tcW w:w="975" w:type="pct"/>
                  <w:vMerge w:val="continue"/>
                  <w:noWrap w:val="0"/>
                  <w:vAlign w:val="center"/>
                </w:tcPr>
                <w:p>
                  <w:pPr>
                    <w:pStyle w:val="18"/>
                    <w:bidi w:val="0"/>
                    <w:rPr>
                      <w:rFonts w:hint="default"/>
                      <w:color w:val="auto"/>
                      <w:lang w:val="en-US" w:eastAsia="zh-CN"/>
                    </w:rPr>
                  </w:pPr>
                </w:p>
              </w:tc>
              <w:tc>
                <w:tcPr>
                  <w:tcW w:w="1390" w:type="pct"/>
                  <w:noWrap w:val="0"/>
                  <w:vAlign w:val="center"/>
                </w:tcPr>
                <w:p>
                  <w:pPr>
                    <w:pStyle w:val="18"/>
                    <w:bidi w:val="0"/>
                    <w:rPr>
                      <w:rFonts w:hint="default"/>
                      <w:color w:val="auto"/>
                      <w:lang w:val="en-US" w:eastAsia="zh-CN"/>
                    </w:rPr>
                  </w:pPr>
                  <w:r>
                    <w:rPr>
                      <w:rFonts w:hint="eastAsia"/>
                      <w:color w:val="auto"/>
                      <w:lang w:val="en-US" w:eastAsia="zh-CN"/>
                    </w:rPr>
                    <w:t>&lt;0.5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7" w:type="pct"/>
                  <w:tcBorders>
                    <w:top w:val="single" w:color="000000" w:sz="4" w:space="0"/>
                    <w:bottom w:val="single" w:color="000000" w:sz="4" w:space="0"/>
                  </w:tcBorders>
                  <w:noWrap w:val="0"/>
                  <w:vAlign w:val="center"/>
                </w:tcPr>
                <w:p>
                  <w:pPr>
                    <w:pStyle w:val="18"/>
                    <w:bidi w:val="0"/>
                    <w:rPr>
                      <w:rFonts w:hint="default"/>
                      <w:color w:val="auto"/>
                      <w:lang w:val="en-US" w:eastAsia="zh-CN"/>
                    </w:rPr>
                  </w:pPr>
                  <w:r>
                    <w:rPr>
                      <w:rFonts w:hint="eastAsia"/>
                      <w:color w:val="auto"/>
                      <w:lang w:eastAsia="zh-CN"/>
                    </w:rPr>
                    <w:t>项目生产车间外空地</w:t>
                  </w:r>
                </w:p>
              </w:tc>
              <w:tc>
                <w:tcPr>
                  <w:tcW w:w="916" w:type="pct"/>
                  <w:vMerge w:val="restart"/>
                  <w:noWrap w:val="0"/>
                  <w:vAlign w:val="center"/>
                </w:tcPr>
                <w:p>
                  <w:pPr>
                    <w:pStyle w:val="18"/>
                    <w:bidi w:val="0"/>
                    <w:rPr>
                      <w:rFonts w:hint="default"/>
                      <w:color w:val="auto"/>
                      <w:lang w:val="en-US" w:eastAsia="zh-CN"/>
                    </w:rPr>
                  </w:pPr>
                  <w:r>
                    <w:rPr>
                      <w:rFonts w:hint="eastAsia"/>
                      <w:color w:val="auto"/>
                      <w:lang w:val="en-US" w:eastAsia="zh-CN"/>
                    </w:rPr>
                    <w:t>2019.11.19</w:t>
                  </w:r>
                </w:p>
              </w:tc>
              <w:tc>
                <w:tcPr>
                  <w:tcW w:w="975" w:type="pct"/>
                  <w:vMerge w:val="restart"/>
                  <w:noWrap w:val="0"/>
                  <w:vAlign w:val="center"/>
                </w:tcPr>
                <w:p>
                  <w:pPr>
                    <w:pStyle w:val="18"/>
                    <w:bidi w:val="0"/>
                    <w:rPr>
                      <w:rFonts w:hint="default"/>
                      <w:color w:val="auto"/>
                      <w:lang w:val="en-US" w:eastAsia="zh-CN"/>
                    </w:rPr>
                  </w:pPr>
                  <w:r>
                    <w:rPr>
                      <w:rFonts w:hint="eastAsia"/>
                      <w:color w:val="auto"/>
                      <w:lang w:val="en-US" w:eastAsia="zh-CN"/>
                    </w:rPr>
                    <w:t>08</w:t>
                  </w:r>
                  <w:r>
                    <w:rPr>
                      <w:rFonts w:hint="default"/>
                      <w:color w:val="auto"/>
                    </w:rPr>
                    <w:t>:</w:t>
                  </w:r>
                  <w:r>
                    <w:rPr>
                      <w:rFonts w:hint="eastAsia"/>
                      <w:color w:val="auto"/>
                      <w:lang w:val="en-US" w:eastAsia="zh-CN"/>
                    </w:rPr>
                    <w:t>44-16</w:t>
                  </w:r>
                  <w:r>
                    <w:rPr>
                      <w:rFonts w:hint="default"/>
                      <w:color w:val="auto"/>
                    </w:rPr>
                    <w:t>:</w:t>
                  </w:r>
                  <w:r>
                    <w:rPr>
                      <w:rFonts w:hint="eastAsia"/>
                      <w:color w:val="auto"/>
                      <w:lang w:val="en-US" w:eastAsia="zh-CN"/>
                    </w:rPr>
                    <w:t>44</w:t>
                  </w:r>
                </w:p>
              </w:tc>
              <w:tc>
                <w:tcPr>
                  <w:tcW w:w="1390" w:type="pct"/>
                  <w:noWrap w:val="0"/>
                  <w:vAlign w:val="center"/>
                </w:tcPr>
                <w:p>
                  <w:pPr>
                    <w:pStyle w:val="18"/>
                    <w:bidi w:val="0"/>
                    <w:rPr>
                      <w:rFonts w:hint="default"/>
                      <w:color w:val="auto"/>
                      <w:lang w:val="en-US" w:eastAsia="zh-CN"/>
                    </w:rPr>
                  </w:pPr>
                  <w:r>
                    <w:rPr>
                      <w:rFonts w:hint="eastAsia"/>
                      <w:color w:val="auto"/>
                      <w:lang w:val="en-US" w:eastAsia="zh-CN"/>
                    </w:rPr>
                    <w:t>&lt;0.5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717" w:type="pct"/>
                  <w:tcBorders>
                    <w:top w:val="single" w:color="000000" w:sz="4" w:space="0"/>
                    <w:bottom w:val="single" w:color="000000" w:sz="4" w:space="0"/>
                  </w:tcBorders>
                  <w:noWrap w:val="0"/>
                  <w:vAlign w:val="center"/>
                </w:tcPr>
                <w:p>
                  <w:pPr>
                    <w:pStyle w:val="18"/>
                    <w:bidi w:val="0"/>
                    <w:rPr>
                      <w:rFonts w:hint="default"/>
                      <w:color w:val="auto"/>
                      <w:lang w:val="en-US" w:eastAsia="zh-CN"/>
                    </w:rPr>
                  </w:pPr>
                  <w:r>
                    <w:rPr>
                      <w:rFonts w:hint="eastAsia"/>
                      <w:color w:val="auto"/>
                      <w:lang w:eastAsia="zh-CN"/>
                    </w:rPr>
                    <w:t>项目下风向</w:t>
                  </w:r>
                </w:p>
              </w:tc>
              <w:tc>
                <w:tcPr>
                  <w:tcW w:w="916" w:type="pct"/>
                  <w:vMerge w:val="continue"/>
                  <w:noWrap w:val="0"/>
                  <w:vAlign w:val="center"/>
                </w:tcPr>
                <w:p>
                  <w:pPr>
                    <w:pStyle w:val="18"/>
                    <w:bidi w:val="0"/>
                    <w:rPr>
                      <w:rFonts w:hint="default"/>
                      <w:color w:val="auto"/>
                    </w:rPr>
                  </w:pPr>
                </w:p>
              </w:tc>
              <w:tc>
                <w:tcPr>
                  <w:tcW w:w="975" w:type="pct"/>
                  <w:vMerge w:val="continue"/>
                  <w:noWrap w:val="0"/>
                  <w:vAlign w:val="center"/>
                </w:tcPr>
                <w:p>
                  <w:pPr>
                    <w:pStyle w:val="18"/>
                    <w:bidi w:val="0"/>
                    <w:rPr>
                      <w:rFonts w:hint="default"/>
                      <w:color w:val="auto"/>
                      <w:lang w:val="en-US" w:eastAsia="zh-CN"/>
                    </w:rPr>
                  </w:pPr>
                </w:p>
              </w:tc>
              <w:tc>
                <w:tcPr>
                  <w:tcW w:w="1390" w:type="pct"/>
                  <w:noWrap w:val="0"/>
                  <w:vAlign w:val="center"/>
                </w:tcPr>
                <w:p>
                  <w:pPr>
                    <w:pStyle w:val="18"/>
                    <w:bidi w:val="0"/>
                    <w:rPr>
                      <w:rFonts w:hint="default"/>
                      <w:color w:val="auto"/>
                      <w:lang w:val="en-US" w:eastAsia="zh-CN"/>
                    </w:rPr>
                  </w:pPr>
                  <w:r>
                    <w:rPr>
                      <w:rFonts w:hint="eastAsia"/>
                      <w:color w:val="auto"/>
                      <w:lang w:val="en-US" w:eastAsia="zh-CN"/>
                    </w:rPr>
                    <w:t>&lt;0.5</w:t>
                  </w:r>
                </w:p>
              </w:tc>
            </w:tr>
          </w:tbl>
          <w:p>
            <w:pPr>
              <w:pStyle w:val="2"/>
              <w:ind w:firstLine="480" w:firstLineChars="200"/>
              <w:jc w:val="both"/>
              <w:rPr>
                <w:rFonts w:hint="default"/>
                <w:color w:val="auto"/>
                <w:lang w:val="en-US" w:eastAsia="zh-CN"/>
              </w:rPr>
            </w:pPr>
            <w:r>
              <w:rPr>
                <w:rFonts w:hint="eastAsia"/>
                <w:color w:val="auto"/>
                <w:lang w:eastAsia="zh-CN"/>
              </w:rPr>
              <w:t>根据监测结果，本项目所在区域监测期间</w:t>
            </w:r>
            <w:r>
              <w:rPr>
                <w:rFonts w:hint="eastAsia"/>
                <w:color w:val="auto"/>
                <w:lang w:val="en-US" w:eastAsia="zh-CN"/>
              </w:rPr>
              <w:t>TVOC上下风向均未检出，</w:t>
            </w:r>
            <w:r>
              <w:rPr>
                <w:rFonts w:hint="eastAsia"/>
                <w:color w:val="auto"/>
                <w:lang w:eastAsia="zh-CN"/>
              </w:rPr>
              <w:t>环境空气质量达到</w:t>
            </w:r>
            <w:r>
              <w:rPr>
                <w:rFonts w:hint="eastAsia"/>
                <w:color w:val="auto"/>
              </w:rPr>
              <w:t>《环境空气质量标准》</w:t>
            </w:r>
            <w:r>
              <w:rPr>
                <w:rFonts w:hint="eastAsia"/>
                <w:color w:val="auto"/>
                <w:lang w:eastAsia="zh-CN"/>
              </w:rPr>
              <w:t>（</w:t>
            </w:r>
            <w:r>
              <w:rPr>
                <w:rFonts w:hint="eastAsia"/>
                <w:color w:val="auto"/>
              </w:rPr>
              <w:t>GB3095—2012</w:t>
            </w:r>
            <w:r>
              <w:rPr>
                <w:rFonts w:hint="eastAsia"/>
                <w:color w:val="auto"/>
                <w:lang w:eastAsia="zh-CN"/>
              </w:rPr>
              <w:t>）</w:t>
            </w:r>
            <w:r>
              <w:rPr>
                <w:rFonts w:hint="eastAsia"/>
                <w:color w:val="auto"/>
              </w:rPr>
              <w:t>二级标准</w:t>
            </w:r>
            <w:r>
              <w:rPr>
                <w:rFonts w:hint="eastAsia"/>
                <w:color w:val="auto"/>
                <w:lang w:eastAsia="zh-CN"/>
              </w:rPr>
              <w:t>，为环境空气质量达标区。</w:t>
            </w:r>
          </w:p>
          <w:p>
            <w:pPr>
              <w:pageBreakBefore w:val="0"/>
              <w:kinsoku/>
              <w:wordWrap/>
              <w:overflowPunct/>
              <w:topLinePunct w:val="0"/>
              <w:autoSpaceDE/>
              <w:autoSpaceDN/>
              <w:bidi w:val="0"/>
              <w:spacing w:line="360" w:lineRule="auto"/>
              <w:ind w:firstLine="480" w:firstLineChars="200"/>
              <w:textAlignment w:val="auto"/>
              <w:rPr>
                <w:rFonts w:hint="default"/>
                <w:color w:val="auto"/>
              </w:rPr>
            </w:pPr>
            <w:r>
              <w:rPr>
                <w:rFonts w:hint="default"/>
                <w:color w:val="auto"/>
              </w:rPr>
              <w:t>2、地表水环境质量现状</w:t>
            </w:r>
          </w:p>
          <w:p>
            <w:pPr>
              <w:pageBreakBefore w:val="0"/>
              <w:kinsoku/>
              <w:wordWrap/>
              <w:overflowPunct/>
              <w:topLinePunct w:val="0"/>
              <w:autoSpaceDE/>
              <w:autoSpaceDN/>
              <w:bidi w:val="0"/>
              <w:spacing w:line="360" w:lineRule="auto"/>
              <w:ind w:firstLine="480" w:firstLineChars="200"/>
              <w:textAlignment w:val="auto"/>
              <w:rPr>
                <w:rFonts w:hint="eastAsia"/>
                <w:color w:val="auto"/>
                <w:lang w:val="zh-CN" w:eastAsia="zh-CN"/>
              </w:rPr>
            </w:pPr>
            <w:r>
              <w:rPr>
                <w:rFonts w:hint="eastAsia"/>
                <w:color w:val="auto"/>
                <w:lang w:eastAsia="zh-CN"/>
              </w:rPr>
              <w:t>距</w:t>
            </w:r>
            <w:r>
              <w:rPr>
                <w:rFonts w:hint="eastAsia"/>
                <w:color w:val="auto"/>
              </w:rPr>
              <w:t>离本项目最近的地表水主要为南面约</w:t>
            </w:r>
            <w:r>
              <w:rPr>
                <w:rFonts w:hint="eastAsia"/>
                <w:color w:val="auto"/>
                <w:lang w:val="en-US" w:eastAsia="zh-CN"/>
              </w:rPr>
              <w:t>1130</w:t>
            </w:r>
            <w:r>
              <w:rPr>
                <w:rFonts w:hint="eastAsia"/>
                <w:color w:val="auto"/>
              </w:rPr>
              <w:t>m处的大营河，</w:t>
            </w:r>
            <w:r>
              <w:rPr>
                <w:rFonts w:hint="eastAsia"/>
                <w:color w:val="auto"/>
                <w:lang w:eastAsia="zh-CN"/>
              </w:rPr>
              <w:t>大营河为螳螂川支流，</w:t>
            </w:r>
            <w:r>
              <w:rPr>
                <w:rFonts w:hint="eastAsia"/>
                <w:color w:val="auto"/>
                <w:lang w:val="zh-CN"/>
              </w:rPr>
              <w:t>根据</w:t>
            </w:r>
            <w:r>
              <w:rPr>
                <w:rFonts w:hint="eastAsia"/>
                <w:color w:val="auto"/>
              </w:rPr>
              <w:t>《</w:t>
            </w:r>
            <w:r>
              <w:rPr>
                <w:rFonts w:hint="eastAsia"/>
                <w:color w:val="auto"/>
                <w:lang w:eastAsia="zh-CN"/>
              </w:rPr>
              <w:t>云南省地表水水环境功能区划</w:t>
            </w:r>
            <w:r>
              <w:rPr>
                <w:rFonts w:hint="eastAsia"/>
                <w:color w:val="auto"/>
              </w:rPr>
              <w:t>》（2010~2020年），</w:t>
            </w:r>
            <w:r>
              <w:rPr>
                <w:rFonts w:hint="eastAsia"/>
                <w:color w:val="auto"/>
                <w:lang w:eastAsia="zh-CN"/>
              </w:rPr>
              <w:t>螳螂川（富民大桥—普渡河桥）</w:t>
            </w:r>
            <w:r>
              <w:rPr>
                <w:rFonts w:hint="eastAsia"/>
                <w:color w:val="auto"/>
              </w:rPr>
              <w:t>水环境功能为工业用水，水质类别为Ⅳ类水体，执行《地表水环境质量标准》（GB3838-2002）Ⅳ类标准</w:t>
            </w:r>
            <w:r>
              <w:rPr>
                <w:rFonts w:hint="eastAsia"/>
                <w:color w:val="auto"/>
                <w:lang w:eastAsia="zh-CN"/>
              </w:rPr>
              <w:t>；</w:t>
            </w:r>
            <w:r>
              <w:rPr>
                <w:rFonts w:hint="eastAsia"/>
                <w:color w:val="auto"/>
              </w:rPr>
              <w:t>《</w:t>
            </w:r>
            <w:r>
              <w:rPr>
                <w:rFonts w:hint="eastAsia"/>
                <w:color w:val="auto"/>
                <w:lang w:eastAsia="zh-CN"/>
              </w:rPr>
              <w:t>云南省地表水水环境功能区划</w:t>
            </w:r>
            <w:r>
              <w:rPr>
                <w:rFonts w:hint="eastAsia"/>
                <w:color w:val="auto"/>
              </w:rPr>
              <w:t>》（2010~2020年）</w:t>
            </w:r>
            <w:r>
              <w:rPr>
                <w:rFonts w:hint="eastAsia"/>
                <w:color w:val="auto"/>
                <w:lang w:eastAsia="zh-CN"/>
              </w:rPr>
              <w:t>未对大营河水体功能进行规划，根据支流水体不低于干流原则，大营河参照螳螂川执行</w:t>
            </w:r>
            <w:r>
              <w:rPr>
                <w:rFonts w:hint="eastAsia"/>
                <w:color w:val="auto"/>
              </w:rPr>
              <w:t>《地表水环境质量标准》（GB3838-2002）Ⅳ类标准</w:t>
            </w:r>
            <w:r>
              <w:rPr>
                <w:rFonts w:hint="eastAsia"/>
                <w:color w:val="auto"/>
                <w:lang w:eastAsia="zh-CN"/>
              </w:rPr>
              <w:t>。</w:t>
            </w:r>
          </w:p>
          <w:p>
            <w:pPr>
              <w:pageBreakBefore w:val="0"/>
              <w:kinsoku/>
              <w:wordWrap/>
              <w:overflowPunct/>
              <w:topLinePunct w:val="0"/>
              <w:autoSpaceDE/>
              <w:autoSpaceDN/>
              <w:bidi w:val="0"/>
              <w:spacing w:line="360" w:lineRule="auto"/>
              <w:ind w:firstLine="480" w:firstLineChars="200"/>
              <w:textAlignment w:val="auto"/>
              <w:rPr>
                <w:rFonts w:hint="eastAsia"/>
                <w:color w:val="auto"/>
                <w:lang w:val="en-US" w:eastAsia="zh-CN"/>
              </w:rPr>
            </w:pPr>
            <w:r>
              <w:rPr>
                <w:rFonts w:hint="eastAsia"/>
                <w:color w:val="auto"/>
              </w:rPr>
              <w:t>根据</w:t>
            </w:r>
            <w:r>
              <w:rPr>
                <w:rFonts w:hint="eastAsia"/>
                <w:color w:val="auto"/>
                <w:lang w:eastAsia="zh-CN"/>
              </w:rPr>
              <w:t>富民县环境监测站</w:t>
            </w:r>
            <w:r>
              <w:rPr>
                <w:rFonts w:hint="eastAsia"/>
                <w:color w:val="auto"/>
                <w:lang w:val="en-US" w:eastAsia="zh-CN"/>
              </w:rPr>
              <w:t>2018年1</w:t>
            </w:r>
            <w:r>
              <w:rPr>
                <w:rFonts w:hint="eastAsia"/>
                <w:color w:val="auto"/>
              </w:rPr>
              <w:t>～</w:t>
            </w:r>
            <w:r>
              <w:rPr>
                <w:rFonts w:hint="eastAsia"/>
                <w:color w:val="auto"/>
                <w:lang w:val="en-US" w:eastAsia="zh-CN"/>
              </w:rPr>
              <w:t>12月富民大桥断面每月的水质例行监测数据，检测结果统计见表3-3。</w:t>
            </w:r>
          </w:p>
          <w:p>
            <w:pPr>
              <w:pStyle w:val="19"/>
              <w:bidi w:val="0"/>
              <w:rPr>
                <w:rFonts w:hint="eastAsia"/>
                <w:color w:val="auto"/>
                <w:lang w:val="en-US" w:eastAsia="zh-CN"/>
              </w:rPr>
            </w:pPr>
            <w:r>
              <w:rPr>
                <w:rFonts w:hint="eastAsia"/>
                <w:color w:val="auto"/>
                <w:lang w:val="en-US" w:eastAsia="zh-CN"/>
              </w:rPr>
              <w:t>表3-3  2018年富民大桥断面监测数据表</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1552"/>
              <w:gridCol w:w="1159"/>
              <w:gridCol w:w="1171"/>
              <w:gridCol w:w="1125"/>
              <w:gridCol w:w="1120"/>
              <w:gridCol w:w="1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pct"/>
                  <w:noWrap w:val="0"/>
                  <w:vAlign w:val="top"/>
                </w:tcPr>
                <w:p>
                  <w:pPr>
                    <w:pStyle w:val="18"/>
                    <w:bidi w:val="0"/>
                    <w:rPr>
                      <w:rFonts w:hint="default"/>
                      <w:color w:val="auto"/>
                      <w:lang w:val="en-US" w:eastAsia="zh-CN"/>
                    </w:rPr>
                  </w:pPr>
                  <w:r>
                    <w:rPr>
                      <w:rFonts w:hint="default"/>
                      <w:color w:val="auto"/>
                      <w:lang w:val="en-US" w:eastAsia="zh-CN"/>
                    </w:rPr>
                    <w:t>污染物</w:t>
                  </w:r>
                </w:p>
              </w:tc>
              <w:tc>
                <w:tcPr>
                  <w:tcW w:w="936" w:type="pct"/>
                  <w:noWrap w:val="0"/>
                  <w:vAlign w:val="top"/>
                </w:tcPr>
                <w:p>
                  <w:pPr>
                    <w:pStyle w:val="18"/>
                    <w:bidi w:val="0"/>
                    <w:rPr>
                      <w:rFonts w:hint="default"/>
                      <w:color w:val="auto"/>
                      <w:lang w:val="en-US" w:eastAsia="zh-CN"/>
                    </w:rPr>
                  </w:pPr>
                  <w:r>
                    <w:rPr>
                      <w:rFonts w:hint="default"/>
                      <w:color w:val="auto"/>
                      <w:lang w:val="en-US" w:eastAsia="zh-CN"/>
                    </w:rPr>
                    <w:t>浓度范围（ug/m³）</w:t>
                  </w:r>
                </w:p>
              </w:tc>
              <w:tc>
                <w:tcPr>
                  <w:tcW w:w="699" w:type="pct"/>
                  <w:noWrap w:val="0"/>
                  <w:vAlign w:val="top"/>
                </w:tcPr>
                <w:p>
                  <w:pPr>
                    <w:pStyle w:val="18"/>
                    <w:bidi w:val="0"/>
                    <w:rPr>
                      <w:rFonts w:hint="default"/>
                      <w:color w:val="auto"/>
                      <w:lang w:val="en-US" w:eastAsia="zh-CN"/>
                    </w:rPr>
                  </w:pPr>
                  <w:r>
                    <w:rPr>
                      <w:rFonts w:hint="default"/>
                      <w:color w:val="auto"/>
                      <w:lang w:val="en-US" w:eastAsia="zh-CN"/>
                    </w:rPr>
                    <w:t>平均值（ug/m³）</w:t>
                  </w:r>
                </w:p>
              </w:tc>
              <w:tc>
                <w:tcPr>
                  <w:tcW w:w="706" w:type="pct"/>
                  <w:noWrap w:val="0"/>
                  <w:vAlign w:val="top"/>
                </w:tcPr>
                <w:p>
                  <w:pPr>
                    <w:pStyle w:val="18"/>
                    <w:bidi w:val="0"/>
                    <w:rPr>
                      <w:rFonts w:hint="default"/>
                      <w:color w:val="auto"/>
                      <w:lang w:val="en-US" w:eastAsia="zh-CN"/>
                    </w:rPr>
                  </w:pPr>
                  <w:r>
                    <w:rPr>
                      <w:rFonts w:hint="default"/>
                      <w:color w:val="auto"/>
                      <w:lang w:val="en-US" w:eastAsia="zh-CN"/>
                    </w:rPr>
                    <w:t>标准值（ug/m³）</w:t>
                  </w:r>
                </w:p>
              </w:tc>
              <w:tc>
                <w:tcPr>
                  <w:tcW w:w="678" w:type="pct"/>
                  <w:noWrap w:val="0"/>
                  <w:vAlign w:val="top"/>
                </w:tcPr>
                <w:p>
                  <w:pPr>
                    <w:pStyle w:val="18"/>
                    <w:bidi w:val="0"/>
                    <w:rPr>
                      <w:rFonts w:hint="default"/>
                      <w:color w:val="auto"/>
                      <w:lang w:val="en-US" w:eastAsia="zh-CN"/>
                    </w:rPr>
                  </w:pPr>
                  <w:r>
                    <w:rPr>
                      <w:rFonts w:hint="default"/>
                      <w:color w:val="auto"/>
                      <w:lang w:val="en-US" w:eastAsia="zh-CN"/>
                    </w:rPr>
                    <w:t>超标率%</w:t>
                  </w:r>
                </w:p>
              </w:tc>
              <w:tc>
                <w:tcPr>
                  <w:tcW w:w="675" w:type="pct"/>
                  <w:noWrap w:val="0"/>
                  <w:vAlign w:val="top"/>
                </w:tcPr>
                <w:p>
                  <w:pPr>
                    <w:pStyle w:val="18"/>
                    <w:bidi w:val="0"/>
                    <w:rPr>
                      <w:rFonts w:hint="default"/>
                      <w:color w:val="auto"/>
                      <w:lang w:val="en-US" w:eastAsia="zh-CN"/>
                    </w:rPr>
                  </w:pPr>
                  <w:r>
                    <w:rPr>
                      <w:rFonts w:hint="default"/>
                      <w:color w:val="auto"/>
                      <w:lang w:val="en-US" w:eastAsia="zh-CN"/>
                    </w:rPr>
                    <w:t>最大超标倍数</w:t>
                  </w:r>
                </w:p>
              </w:tc>
              <w:tc>
                <w:tcPr>
                  <w:tcW w:w="680" w:type="pct"/>
                  <w:noWrap w:val="0"/>
                  <w:vAlign w:val="top"/>
                </w:tcPr>
                <w:p>
                  <w:pPr>
                    <w:pStyle w:val="18"/>
                    <w:bidi w:val="0"/>
                    <w:rPr>
                      <w:rFonts w:hint="default"/>
                      <w:color w:val="auto"/>
                      <w:lang w:val="en-US" w:eastAsia="zh-CN"/>
                    </w:rPr>
                  </w:pPr>
                  <w:r>
                    <w:rPr>
                      <w:rFonts w:hint="default"/>
                      <w:color w:val="auto"/>
                      <w:lang w:val="en-US"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noWrap w:val="0"/>
                  <w:vAlign w:val="top"/>
                </w:tcPr>
                <w:p>
                  <w:pPr>
                    <w:pStyle w:val="18"/>
                    <w:bidi w:val="0"/>
                    <w:rPr>
                      <w:rFonts w:hint="default"/>
                      <w:color w:val="auto"/>
                      <w:lang w:val="en-US" w:eastAsia="zh-CN"/>
                    </w:rPr>
                  </w:pPr>
                  <w:r>
                    <w:rPr>
                      <w:rFonts w:hint="default"/>
                      <w:color w:val="auto"/>
                      <w:lang w:val="en-US" w:eastAsia="zh-CN"/>
                    </w:rPr>
                    <w:t>富民大桥断面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pct"/>
                  <w:noWrap w:val="0"/>
                  <w:vAlign w:val="top"/>
                </w:tcPr>
                <w:p>
                  <w:pPr>
                    <w:pStyle w:val="18"/>
                    <w:bidi w:val="0"/>
                    <w:rPr>
                      <w:rFonts w:hint="default"/>
                      <w:color w:val="auto"/>
                      <w:lang w:val="en-US" w:eastAsia="zh-CN"/>
                    </w:rPr>
                  </w:pPr>
                  <w:r>
                    <w:rPr>
                      <w:rFonts w:hint="default"/>
                      <w:color w:val="auto"/>
                      <w:lang w:val="en-US" w:eastAsia="zh-CN"/>
                    </w:rPr>
                    <w:t>pH</w:t>
                  </w:r>
                </w:p>
              </w:tc>
              <w:tc>
                <w:tcPr>
                  <w:tcW w:w="936" w:type="pct"/>
                  <w:noWrap w:val="0"/>
                  <w:vAlign w:val="top"/>
                </w:tcPr>
                <w:p>
                  <w:pPr>
                    <w:pStyle w:val="18"/>
                    <w:bidi w:val="0"/>
                    <w:rPr>
                      <w:rFonts w:hint="default"/>
                      <w:color w:val="auto"/>
                      <w:lang w:val="en-US" w:eastAsia="zh-CN"/>
                    </w:rPr>
                  </w:pPr>
                  <w:r>
                    <w:rPr>
                      <w:rFonts w:hint="default"/>
                      <w:color w:val="auto"/>
                      <w:lang w:val="en-US" w:eastAsia="zh-CN"/>
                    </w:rPr>
                    <w:t>7.47</w:t>
                  </w:r>
                  <w:r>
                    <w:rPr>
                      <w:rFonts w:hint="default"/>
                      <w:color w:val="auto"/>
                    </w:rPr>
                    <w:t>～</w:t>
                  </w:r>
                  <w:r>
                    <w:rPr>
                      <w:rFonts w:hint="default"/>
                      <w:color w:val="auto"/>
                      <w:lang w:val="en-US" w:eastAsia="zh-CN"/>
                    </w:rPr>
                    <w:t>8.11</w:t>
                  </w:r>
                </w:p>
              </w:tc>
              <w:tc>
                <w:tcPr>
                  <w:tcW w:w="699" w:type="pct"/>
                  <w:noWrap w:val="0"/>
                  <w:vAlign w:val="top"/>
                </w:tcPr>
                <w:p>
                  <w:pPr>
                    <w:pStyle w:val="18"/>
                    <w:bidi w:val="0"/>
                    <w:rPr>
                      <w:rFonts w:hint="default"/>
                      <w:color w:val="auto"/>
                      <w:lang w:val="en-US" w:eastAsia="zh-CN"/>
                    </w:rPr>
                  </w:pPr>
                  <w:r>
                    <w:rPr>
                      <w:rFonts w:hint="default"/>
                      <w:color w:val="auto"/>
                      <w:lang w:val="en-US" w:eastAsia="zh-CN"/>
                    </w:rPr>
                    <w:t>7.89</w:t>
                  </w:r>
                </w:p>
              </w:tc>
              <w:tc>
                <w:tcPr>
                  <w:tcW w:w="706" w:type="pct"/>
                  <w:noWrap w:val="0"/>
                  <w:vAlign w:val="top"/>
                </w:tcPr>
                <w:p>
                  <w:pPr>
                    <w:pStyle w:val="18"/>
                    <w:bidi w:val="0"/>
                    <w:rPr>
                      <w:rFonts w:hint="default"/>
                      <w:color w:val="auto"/>
                      <w:lang w:val="en-US" w:eastAsia="zh-CN"/>
                    </w:rPr>
                  </w:pPr>
                  <w:r>
                    <w:rPr>
                      <w:rFonts w:hint="default"/>
                      <w:color w:val="auto"/>
                      <w:lang w:val="en-US" w:eastAsia="zh-CN"/>
                    </w:rPr>
                    <w:t>6</w:t>
                  </w:r>
                  <w:r>
                    <w:rPr>
                      <w:rFonts w:hint="default"/>
                      <w:color w:val="auto"/>
                    </w:rPr>
                    <w:t>～</w:t>
                  </w:r>
                  <w:r>
                    <w:rPr>
                      <w:rFonts w:hint="default"/>
                      <w:color w:val="auto"/>
                      <w:lang w:val="en-US" w:eastAsia="zh-CN"/>
                    </w:rPr>
                    <w:t>9</w:t>
                  </w:r>
                </w:p>
              </w:tc>
              <w:tc>
                <w:tcPr>
                  <w:tcW w:w="678" w:type="pct"/>
                  <w:noWrap w:val="0"/>
                  <w:vAlign w:val="top"/>
                </w:tcPr>
                <w:p>
                  <w:pPr>
                    <w:pStyle w:val="18"/>
                    <w:bidi w:val="0"/>
                    <w:rPr>
                      <w:rFonts w:hint="default"/>
                      <w:color w:val="auto"/>
                      <w:lang w:val="en-US" w:eastAsia="zh-CN"/>
                    </w:rPr>
                  </w:pPr>
                  <w:r>
                    <w:rPr>
                      <w:rFonts w:hint="default"/>
                      <w:color w:val="auto"/>
                      <w:lang w:val="en-US" w:eastAsia="zh-CN"/>
                    </w:rPr>
                    <w:t>0</w:t>
                  </w:r>
                </w:p>
              </w:tc>
              <w:tc>
                <w:tcPr>
                  <w:tcW w:w="675" w:type="pct"/>
                  <w:noWrap w:val="0"/>
                  <w:vAlign w:val="top"/>
                </w:tcPr>
                <w:p>
                  <w:pPr>
                    <w:pStyle w:val="18"/>
                    <w:bidi w:val="0"/>
                    <w:rPr>
                      <w:rFonts w:hint="default"/>
                      <w:color w:val="auto"/>
                      <w:lang w:val="en-US" w:eastAsia="zh-CN"/>
                    </w:rPr>
                  </w:pPr>
                  <w:r>
                    <w:rPr>
                      <w:rFonts w:hint="default"/>
                      <w:color w:val="auto"/>
                      <w:lang w:val="en-US" w:eastAsia="zh-CN"/>
                    </w:rPr>
                    <w:t>0</w:t>
                  </w:r>
                </w:p>
              </w:tc>
              <w:tc>
                <w:tcPr>
                  <w:tcW w:w="680" w:type="pct"/>
                  <w:noWrap w:val="0"/>
                  <w:vAlign w:val="top"/>
                </w:tcPr>
                <w:p>
                  <w:pPr>
                    <w:pStyle w:val="18"/>
                    <w:bidi w:val="0"/>
                    <w:rPr>
                      <w:rFonts w:hint="default"/>
                      <w:color w:val="auto"/>
                      <w:lang w:val="en-US" w:eastAsia="zh-CN"/>
                    </w:rPr>
                  </w:pPr>
                  <w:r>
                    <w:rPr>
                      <w:rFonts w:hint="default"/>
                      <w:color w:val="auto"/>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pct"/>
                  <w:noWrap w:val="0"/>
                  <w:vAlign w:val="top"/>
                </w:tcPr>
                <w:p>
                  <w:pPr>
                    <w:pStyle w:val="18"/>
                    <w:bidi w:val="0"/>
                    <w:rPr>
                      <w:rFonts w:hint="default"/>
                      <w:color w:val="auto"/>
                      <w:lang w:val="en-US" w:eastAsia="zh-CN"/>
                    </w:rPr>
                  </w:pPr>
                  <w:r>
                    <w:rPr>
                      <w:rFonts w:hint="default"/>
                      <w:color w:val="auto"/>
                      <w:lang w:val="en-US" w:eastAsia="zh-CN"/>
                    </w:rPr>
                    <w:t>溶解氧</w:t>
                  </w:r>
                </w:p>
              </w:tc>
              <w:tc>
                <w:tcPr>
                  <w:tcW w:w="936" w:type="pct"/>
                  <w:noWrap w:val="0"/>
                  <w:vAlign w:val="top"/>
                </w:tcPr>
                <w:p>
                  <w:pPr>
                    <w:pStyle w:val="18"/>
                    <w:bidi w:val="0"/>
                    <w:rPr>
                      <w:rFonts w:hint="default"/>
                      <w:color w:val="auto"/>
                      <w:lang w:val="en-US" w:eastAsia="zh-CN"/>
                    </w:rPr>
                  </w:pPr>
                  <w:r>
                    <w:rPr>
                      <w:rFonts w:hint="default"/>
                      <w:color w:val="auto"/>
                      <w:lang w:val="en-US" w:eastAsia="zh-CN"/>
                    </w:rPr>
                    <w:t>6</w:t>
                  </w:r>
                  <w:r>
                    <w:rPr>
                      <w:rFonts w:hint="default"/>
                      <w:color w:val="auto"/>
                    </w:rPr>
                    <w:t>～</w:t>
                  </w:r>
                  <w:r>
                    <w:rPr>
                      <w:rFonts w:hint="default"/>
                      <w:color w:val="auto"/>
                      <w:lang w:val="en-US" w:eastAsia="zh-CN"/>
                    </w:rPr>
                    <w:t>8.9</w:t>
                  </w:r>
                </w:p>
              </w:tc>
              <w:tc>
                <w:tcPr>
                  <w:tcW w:w="699" w:type="pct"/>
                  <w:noWrap w:val="0"/>
                  <w:vAlign w:val="top"/>
                </w:tcPr>
                <w:p>
                  <w:pPr>
                    <w:pStyle w:val="18"/>
                    <w:bidi w:val="0"/>
                    <w:rPr>
                      <w:rFonts w:hint="default"/>
                      <w:color w:val="auto"/>
                      <w:lang w:val="en-US" w:eastAsia="zh-CN"/>
                    </w:rPr>
                  </w:pPr>
                  <w:r>
                    <w:rPr>
                      <w:rFonts w:hint="default"/>
                      <w:color w:val="auto"/>
                      <w:lang w:val="en-US" w:eastAsia="zh-CN"/>
                    </w:rPr>
                    <w:t>6.8</w:t>
                  </w:r>
                </w:p>
              </w:tc>
              <w:tc>
                <w:tcPr>
                  <w:tcW w:w="706" w:type="pct"/>
                  <w:noWrap w:val="0"/>
                  <w:vAlign w:val="top"/>
                </w:tcPr>
                <w:p>
                  <w:pPr>
                    <w:pStyle w:val="18"/>
                    <w:bidi w:val="0"/>
                    <w:rPr>
                      <w:rFonts w:hint="default"/>
                      <w:color w:val="auto"/>
                      <w:lang w:val="en-US" w:eastAsia="zh-CN"/>
                    </w:rPr>
                  </w:pPr>
                  <w:r>
                    <w:rPr>
                      <w:rFonts w:hint="default"/>
                      <w:color w:val="auto"/>
                      <w:lang w:val="en-US" w:eastAsia="zh-CN"/>
                    </w:rPr>
                    <w:t>3</w:t>
                  </w:r>
                </w:p>
              </w:tc>
              <w:tc>
                <w:tcPr>
                  <w:tcW w:w="678" w:type="pct"/>
                  <w:noWrap w:val="0"/>
                  <w:vAlign w:val="top"/>
                </w:tcPr>
                <w:p>
                  <w:pPr>
                    <w:pStyle w:val="18"/>
                    <w:bidi w:val="0"/>
                    <w:rPr>
                      <w:rFonts w:hint="default"/>
                      <w:color w:val="auto"/>
                      <w:lang w:val="en-US" w:eastAsia="zh-CN"/>
                    </w:rPr>
                  </w:pPr>
                  <w:r>
                    <w:rPr>
                      <w:rFonts w:hint="default"/>
                      <w:color w:val="auto"/>
                      <w:lang w:val="en-US" w:eastAsia="zh-CN"/>
                    </w:rPr>
                    <w:t>0</w:t>
                  </w:r>
                </w:p>
              </w:tc>
              <w:tc>
                <w:tcPr>
                  <w:tcW w:w="675" w:type="pct"/>
                  <w:noWrap w:val="0"/>
                  <w:vAlign w:val="top"/>
                </w:tcPr>
                <w:p>
                  <w:pPr>
                    <w:pStyle w:val="18"/>
                    <w:bidi w:val="0"/>
                    <w:rPr>
                      <w:rFonts w:hint="default"/>
                      <w:color w:val="auto"/>
                      <w:lang w:val="en-US" w:eastAsia="zh-CN"/>
                    </w:rPr>
                  </w:pPr>
                  <w:r>
                    <w:rPr>
                      <w:rFonts w:hint="default"/>
                      <w:color w:val="auto"/>
                      <w:lang w:val="en-US" w:eastAsia="zh-CN"/>
                    </w:rPr>
                    <w:t>0</w:t>
                  </w:r>
                </w:p>
              </w:tc>
              <w:tc>
                <w:tcPr>
                  <w:tcW w:w="680" w:type="pct"/>
                  <w:noWrap w:val="0"/>
                  <w:vAlign w:val="top"/>
                </w:tcPr>
                <w:p>
                  <w:pPr>
                    <w:pStyle w:val="18"/>
                    <w:bidi w:val="0"/>
                    <w:rPr>
                      <w:rFonts w:hint="default"/>
                      <w:color w:val="auto"/>
                      <w:lang w:val="en-US" w:eastAsia="zh-CN"/>
                    </w:rPr>
                  </w:pPr>
                  <w:r>
                    <w:rPr>
                      <w:rFonts w:hint="default"/>
                      <w:color w:val="auto"/>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pct"/>
                  <w:noWrap w:val="0"/>
                  <w:vAlign w:val="top"/>
                </w:tcPr>
                <w:p>
                  <w:pPr>
                    <w:pStyle w:val="18"/>
                    <w:bidi w:val="0"/>
                    <w:rPr>
                      <w:rFonts w:hint="default"/>
                      <w:color w:val="auto"/>
                      <w:lang w:val="en-US" w:eastAsia="zh-CN"/>
                    </w:rPr>
                  </w:pPr>
                  <w:r>
                    <w:rPr>
                      <w:rFonts w:hint="default"/>
                      <w:color w:val="auto"/>
                      <w:lang w:val="en-US" w:eastAsia="zh-CN"/>
                    </w:rPr>
                    <w:t>COD</w:t>
                  </w:r>
                </w:p>
              </w:tc>
              <w:tc>
                <w:tcPr>
                  <w:tcW w:w="936" w:type="pct"/>
                  <w:noWrap w:val="0"/>
                  <w:vAlign w:val="top"/>
                </w:tcPr>
                <w:p>
                  <w:pPr>
                    <w:pStyle w:val="18"/>
                    <w:bidi w:val="0"/>
                    <w:rPr>
                      <w:rFonts w:hint="default"/>
                      <w:color w:val="auto"/>
                      <w:lang w:val="en-US" w:eastAsia="zh-CN"/>
                    </w:rPr>
                  </w:pPr>
                  <w:r>
                    <w:rPr>
                      <w:rFonts w:hint="default"/>
                      <w:color w:val="auto"/>
                      <w:lang w:val="en-US" w:eastAsia="zh-CN"/>
                    </w:rPr>
                    <w:t>16</w:t>
                  </w:r>
                  <w:r>
                    <w:rPr>
                      <w:rFonts w:hint="default"/>
                      <w:color w:val="auto"/>
                    </w:rPr>
                    <w:t>～</w:t>
                  </w:r>
                  <w:r>
                    <w:rPr>
                      <w:rFonts w:hint="default"/>
                      <w:color w:val="auto"/>
                      <w:lang w:val="en-US" w:eastAsia="zh-CN"/>
                    </w:rPr>
                    <w:t>43</w:t>
                  </w:r>
                </w:p>
              </w:tc>
              <w:tc>
                <w:tcPr>
                  <w:tcW w:w="699" w:type="pct"/>
                  <w:noWrap w:val="0"/>
                  <w:vAlign w:val="top"/>
                </w:tcPr>
                <w:p>
                  <w:pPr>
                    <w:pStyle w:val="18"/>
                    <w:bidi w:val="0"/>
                    <w:rPr>
                      <w:rFonts w:hint="default"/>
                      <w:color w:val="auto"/>
                      <w:lang w:val="en-US" w:eastAsia="zh-CN"/>
                    </w:rPr>
                  </w:pPr>
                  <w:r>
                    <w:rPr>
                      <w:rFonts w:hint="default"/>
                      <w:color w:val="auto"/>
                      <w:lang w:val="en-US" w:eastAsia="zh-CN"/>
                    </w:rPr>
                    <w:t>26.75</w:t>
                  </w:r>
                </w:p>
              </w:tc>
              <w:tc>
                <w:tcPr>
                  <w:tcW w:w="706" w:type="pct"/>
                  <w:noWrap w:val="0"/>
                  <w:vAlign w:val="top"/>
                </w:tcPr>
                <w:p>
                  <w:pPr>
                    <w:pStyle w:val="18"/>
                    <w:bidi w:val="0"/>
                    <w:rPr>
                      <w:rFonts w:hint="default"/>
                      <w:color w:val="auto"/>
                      <w:lang w:val="en-US" w:eastAsia="zh-CN"/>
                    </w:rPr>
                  </w:pPr>
                  <w:r>
                    <w:rPr>
                      <w:rFonts w:hint="default"/>
                      <w:color w:val="auto"/>
                      <w:lang w:val="en-US" w:eastAsia="zh-CN"/>
                    </w:rPr>
                    <w:t>30</w:t>
                  </w:r>
                </w:p>
              </w:tc>
              <w:tc>
                <w:tcPr>
                  <w:tcW w:w="678" w:type="pct"/>
                  <w:noWrap w:val="0"/>
                  <w:vAlign w:val="top"/>
                </w:tcPr>
                <w:p>
                  <w:pPr>
                    <w:pStyle w:val="18"/>
                    <w:bidi w:val="0"/>
                    <w:rPr>
                      <w:rFonts w:hint="default"/>
                      <w:color w:val="auto"/>
                      <w:lang w:val="en-US" w:eastAsia="zh-CN"/>
                    </w:rPr>
                  </w:pPr>
                  <w:r>
                    <w:rPr>
                      <w:rFonts w:hint="default"/>
                      <w:color w:val="auto"/>
                      <w:lang w:val="en-US" w:eastAsia="zh-CN"/>
                    </w:rPr>
                    <w:t>33.33</w:t>
                  </w:r>
                </w:p>
              </w:tc>
              <w:tc>
                <w:tcPr>
                  <w:tcW w:w="675" w:type="pct"/>
                  <w:noWrap w:val="0"/>
                  <w:vAlign w:val="top"/>
                </w:tcPr>
                <w:p>
                  <w:pPr>
                    <w:pStyle w:val="18"/>
                    <w:bidi w:val="0"/>
                    <w:rPr>
                      <w:rFonts w:hint="default"/>
                      <w:color w:val="auto"/>
                      <w:lang w:val="en-US" w:eastAsia="zh-CN"/>
                    </w:rPr>
                  </w:pPr>
                  <w:r>
                    <w:rPr>
                      <w:rFonts w:hint="default"/>
                      <w:color w:val="auto"/>
                      <w:lang w:val="en-US" w:eastAsia="zh-CN"/>
                    </w:rPr>
                    <w:t>0.43</w:t>
                  </w:r>
                </w:p>
              </w:tc>
              <w:tc>
                <w:tcPr>
                  <w:tcW w:w="680" w:type="pct"/>
                  <w:noWrap w:val="0"/>
                  <w:vAlign w:val="top"/>
                </w:tcPr>
                <w:p>
                  <w:pPr>
                    <w:pStyle w:val="18"/>
                    <w:bidi w:val="0"/>
                    <w:rPr>
                      <w:rFonts w:hint="default"/>
                      <w:color w:val="auto"/>
                      <w:lang w:val="en-US" w:eastAsia="zh-CN"/>
                    </w:rPr>
                  </w:pPr>
                  <w:r>
                    <w:rPr>
                      <w:rFonts w:hint="default"/>
                      <w:color w:val="auto"/>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pct"/>
                  <w:noWrap w:val="0"/>
                  <w:vAlign w:val="top"/>
                </w:tcPr>
                <w:p>
                  <w:pPr>
                    <w:pStyle w:val="18"/>
                    <w:bidi w:val="0"/>
                    <w:rPr>
                      <w:rFonts w:hint="default"/>
                      <w:color w:val="auto"/>
                      <w:lang w:val="en-US" w:eastAsia="zh-CN"/>
                    </w:rPr>
                  </w:pPr>
                  <w:r>
                    <w:rPr>
                      <w:rFonts w:hint="default"/>
                      <w:color w:val="auto"/>
                      <w:lang w:val="en-US" w:eastAsia="zh-CN"/>
                    </w:rPr>
                    <w:t>BOD5</w:t>
                  </w:r>
                </w:p>
              </w:tc>
              <w:tc>
                <w:tcPr>
                  <w:tcW w:w="936" w:type="pct"/>
                  <w:noWrap w:val="0"/>
                  <w:vAlign w:val="top"/>
                </w:tcPr>
                <w:p>
                  <w:pPr>
                    <w:pStyle w:val="18"/>
                    <w:bidi w:val="0"/>
                    <w:rPr>
                      <w:rFonts w:hint="default"/>
                      <w:color w:val="auto"/>
                      <w:lang w:val="en-US" w:eastAsia="zh-CN"/>
                    </w:rPr>
                  </w:pPr>
                  <w:r>
                    <w:rPr>
                      <w:rFonts w:hint="default"/>
                      <w:color w:val="auto"/>
                      <w:lang w:val="en-US" w:eastAsia="zh-CN"/>
                    </w:rPr>
                    <w:t>2.4</w:t>
                  </w:r>
                  <w:r>
                    <w:rPr>
                      <w:rFonts w:hint="default"/>
                      <w:color w:val="auto"/>
                    </w:rPr>
                    <w:t>～</w:t>
                  </w:r>
                  <w:r>
                    <w:rPr>
                      <w:rFonts w:hint="default"/>
                      <w:color w:val="auto"/>
                      <w:lang w:val="en-US" w:eastAsia="zh-CN"/>
                    </w:rPr>
                    <w:t>26</w:t>
                  </w:r>
                </w:p>
              </w:tc>
              <w:tc>
                <w:tcPr>
                  <w:tcW w:w="699" w:type="pct"/>
                  <w:noWrap w:val="0"/>
                  <w:vAlign w:val="top"/>
                </w:tcPr>
                <w:p>
                  <w:pPr>
                    <w:pStyle w:val="18"/>
                    <w:bidi w:val="0"/>
                    <w:rPr>
                      <w:rFonts w:hint="default"/>
                      <w:color w:val="auto"/>
                      <w:lang w:val="en-US" w:eastAsia="zh-CN"/>
                    </w:rPr>
                  </w:pPr>
                  <w:r>
                    <w:rPr>
                      <w:rFonts w:hint="default"/>
                      <w:color w:val="auto"/>
                      <w:lang w:val="en-US" w:eastAsia="zh-CN"/>
                    </w:rPr>
                    <w:t>7.61</w:t>
                  </w:r>
                </w:p>
              </w:tc>
              <w:tc>
                <w:tcPr>
                  <w:tcW w:w="706" w:type="pct"/>
                  <w:noWrap w:val="0"/>
                  <w:vAlign w:val="top"/>
                </w:tcPr>
                <w:p>
                  <w:pPr>
                    <w:pStyle w:val="18"/>
                    <w:bidi w:val="0"/>
                    <w:rPr>
                      <w:rFonts w:hint="default"/>
                      <w:color w:val="auto"/>
                      <w:lang w:val="en-US" w:eastAsia="zh-CN"/>
                    </w:rPr>
                  </w:pPr>
                  <w:r>
                    <w:rPr>
                      <w:rFonts w:hint="default"/>
                      <w:color w:val="auto"/>
                      <w:lang w:val="en-US" w:eastAsia="zh-CN"/>
                    </w:rPr>
                    <w:t>6</w:t>
                  </w:r>
                </w:p>
              </w:tc>
              <w:tc>
                <w:tcPr>
                  <w:tcW w:w="678" w:type="pct"/>
                  <w:noWrap w:val="0"/>
                  <w:vAlign w:val="top"/>
                </w:tcPr>
                <w:p>
                  <w:pPr>
                    <w:pStyle w:val="18"/>
                    <w:bidi w:val="0"/>
                    <w:rPr>
                      <w:rFonts w:hint="default"/>
                      <w:color w:val="auto"/>
                      <w:lang w:val="en-US" w:eastAsia="zh-CN"/>
                    </w:rPr>
                  </w:pPr>
                  <w:r>
                    <w:rPr>
                      <w:rFonts w:hint="default"/>
                      <w:color w:val="auto"/>
                      <w:lang w:val="en-US" w:eastAsia="zh-CN"/>
                    </w:rPr>
                    <w:t>16.67</w:t>
                  </w:r>
                </w:p>
              </w:tc>
              <w:tc>
                <w:tcPr>
                  <w:tcW w:w="675" w:type="pct"/>
                  <w:noWrap w:val="0"/>
                  <w:vAlign w:val="top"/>
                </w:tcPr>
                <w:p>
                  <w:pPr>
                    <w:pStyle w:val="18"/>
                    <w:bidi w:val="0"/>
                    <w:rPr>
                      <w:rFonts w:hint="default"/>
                      <w:color w:val="auto"/>
                      <w:lang w:val="en-US" w:eastAsia="zh-CN"/>
                    </w:rPr>
                  </w:pPr>
                  <w:r>
                    <w:rPr>
                      <w:rFonts w:hint="default"/>
                      <w:color w:val="auto"/>
                      <w:lang w:val="en-US" w:eastAsia="zh-CN"/>
                    </w:rPr>
                    <w:t>3.33</w:t>
                  </w:r>
                </w:p>
              </w:tc>
              <w:tc>
                <w:tcPr>
                  <w:tcW w:w="680" w:type="pct"/>
                  <w:noWrap w:val="0"/>
                  <w:vAlign w:val="top"/>
                </w:tcPr>
                <w:p>
                  <w:pPr>
                    <w:pStyle w:val="18"/>
                    <w:bidi w:val="0"/>
                    <w:rPr>
                      <w:rFonts w:hint="default"/>
                      <w:color w:val="auto"/>
                      <w:lang w:val="en-US" w:eastAsia="zh-CN"/>
                    </w:rPr>
                  </w:pPr>
                  <w:r>
                    <w:rPr>
                      <w:rFonts w:hint="default"/>
                      <w:color w:val="auto"/>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pct"/>
                  <w:noWrap w:val="0"/>
                  <w:vAlign w:val="top"/>
                </w:tcPr>
                <w:p>
                  <w:pPr>
                    <w:pStyle w:val="18"/>
                    <w:bidi w:val="0"/>
                    <w:rPr>
                      <w:rFonts w:hint="default"/>
                      <w:color w:val="auto"/>
                      <w:lang w:val="en-US" w:eastAsia="zh-CN"/>
                    </w:rPr>
                  </w:pPr>
                  <w:r>
                    <w:rPr>
                      <w:rFonts w:hint="default"/>
                      <w:color w:val="auto"/>
                      <w:lang w:val="en-US" w:eastAsia="zh-CN"/>
                    </w:rPr>
                    <w:t>氨氮</w:t>
                  </w:r>
                </w:p>
              </w:tc>
              <w:tc>
                <w:tcPr>
                  <w:tcW w:w="936" w:type="pct"/>
                  <w:noWrap w:val="0"/>
                  <w:vAlign w:val="top"/>
                </w:tcPr>
                <w:p>
                  <w:pPr>
                    <w:pStyle w:val="18"/>
                    <w:bidi w:val="0"/>
                    <w:rPr>
                      <w:rFonts w:hint="default"/>
                      <w:color w:val="auto"/>
                      <w:lang w:val="en-US" w:eastAsia="zh-CN"/>
                    </w:rPr>
                  </w:pPr>
                  <w:r>
                    <w:rPr>
                      <w:rFonts w:hint="default"/>
                      <w:color w:val="auto"/>
                      <w:lang w:val="en-US" w:eastAsia="zh-CN"/>
                    </w:rPr>
                    <w:t>0.06</w:t>
                  </w:r>
                  <w:r>
                    <w:rPr>
                      <w:rFonts w:hint="default"/>
                      <w:color w:val="auto"/>
                    </w:rPr>
                    <w:t>～</w:t>
                  </w:r>
                  <w:r>
                    <w:rPr>
                      <w:rFonts w:hint="default"/>
                      <w:color w:val="auto"/>
                      <w:lang w:val="en-US" w:eastAsia="zh-CN"/>
                    </w:rPr>
                    <w:t>2.01</w:t>
                  </w:r>
                </w:p>
              </w:tc>
              <w:tc>
                <w:tcPr>
                  <w:tcW w:w="699" w:type="pct"/>
                  <w:noWrap w:val="0"/>
                  <w:vAlign w:val="top"/>
                </w:tcPr>
                <w:p>
                  <w:pPr>
                    <w:pStyle w:val="18"/>
                    <w:bidi w:val="0"/>
                    <w:rPr>
                      <w:rFonts w:hint="default"/>
                      <w:color w:val="auto"/>
                      <w:lang w:val="en-US" w:eastAsia="zh-CN"/>
                    </w:rPr>
                  </w:pPr>
                  <w:r>
                    <w:rPr>
                      <w:rFonts w:hint="default"/>
                      <w:color w:val="auto"/>
                      <w:lang w:val="en-US" w:eastAsia="zh-CN"/>
                    </w:rPr>
                    <w:t>0.74</w:t>
                  </w:r>
                </w:p>
              </w:tc>
              <w:tc>
                <w:tcPr>
                  <w:tcW w:w="706" w:type="pct"/>
                  <w:noWrap w:val="0"/>
                  <w:vAlign w:val="top"/>
                </w:tcPr>
                <w:p>
                  <w:pPr>
                    <w:pStyle w:val="18"/>
                    <w:bidi w:val="0"/>
                    <w:rPr>
                      <w:rFonts w:hint="default"/>
                      <w:color w:val="auto"/>
                      <w:lang w:val="en-US" w:eastAsia="zh-CN"/>
                    </w:rPr>
                  </w:pPr>
                  <w:r>
                    <w:rPr>
                      <w:rFonts w:hint="default"/>
                      <w:color w:val="auto"/>
                      <w:lang w:val="en-US" w:eastAsia="zh-CN"/>
                    </w:rPr>
                    <w:t>1.5</w:t>
                  </w:r>
                </w:p>
              </w:tc>
              <w:tc>
                <w:tcPr>
                  <w:tcW w:w="678" w:type="pct"/>
                  <w:noWrap w:val="0"/>
                  <w:vAlign w:val="top"/>
                </w:tcPr>
                <w:p>
                  <w:pPr>
                    <w:pStyle w:val="18"/>
                    <w:bidi w:val="0"/>
                    <w:rPr>
                      <w:rFonts w:hint="default"/>
                      <w:color w:val="auto"/>
                      <w:lang w:val="en-US" w:eastAsia="zh-CN"/>
                    </w:rPr>
                  </w:pPr>
                  <w:r>
                    <w:rPr>
                      <w:rFonts w:hint="default"/>
                      <w:color w:val="auto"/>
                      <w:lang w:val="en-US" w:eastAsia="zh-CN"/>
                    </w:rPr>
                    <w:t>16.67</w:t>
                  </w:r>
                </w:p>
              </w:tc>
              <w:tc>
                <w:tcPr>
                  <w:tcW w:w="675" w:type="pct"/>
                  <w:noWrap w:val="0"/>
                  <w:vAlign w:val="top"/>
                </w:tcPr>
                <w:p>
                  <w:pPr>
                    <w:pStyle w:val="18"/>
                    <w:bidi w:val="0"/>
                    <w:rPr>
                      <w:rFonts w:hint="default"/>
                      <w:color w:val="auto"/>
                      <w:lang w:val="en-US" w:eastAsia="zh-CN"/>
                    </w:rPr>
                  </w:pPr>
                  <w:r>
                    <w:rPr>
                      <w:rFonts w:hint="default"/>
                      <w:color w:val="auto"/>
                      <w:lang w:val="en-US" w:eastAsia="zh-CN"/>
                    </w:rPr>
                    <w:t>0.34</w:t>
                  </w:r>
                </w:p>
              </w:tc>
              <w:tc>
                <w:tcPr>
                  <w:tcW w:w="680" w:type="pct"/>
                  <w:noWrap w:val="0"/>
                  <w:vAlign w:val="top"/>
                </w:tcPr>
                <w:p>
                  <w:pPr>
                    <w:pStyle w:val="18"/>
                    <w:bidi w:val="0"/>
                    <w:rPr>
                      <w:rFonts w:hint="default"/>
                      <w:color w:val="auto"/>
                      <w:lang w:val="en-US" w:eastAsia="zh-CN"/>
                    </w:rPr>
                  </w:pPr>
                  <w:r>
                    <w:rPr>
                      <w:rFonts w:hint="default"/>
                      <w:color w:val="auto"/>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pct"/>
                  <w:noWrap w:val="0"/>
                  <w:vAlign w:val="top"/>
                </w:tcPr>
                <w:p>
                  <w:pPr>
                    <w:pStyle w:val="18"/>
                    <w:bidi w:val="0"/>
                    <w:rPr>
                      <w:rFonts w:hint="default"/>
                      <w:color w:val="auto"/>
                      <w:lang w:val="en-US" w:eastAsia="zh-CN"/>
                    </w:rPr>
                  </w:pPr>
                  <w:r>
                    <w:rPr>
                      <w:rFonts w:hint="default"/>
                      <w:color w:val="auto"/>
                      <w:lang w:val="en-US" w:eastAsia="zh-CN"/>
                    </w:rPr>
                    <w:t>总磷</w:t>
                  </w:r>
                </w:p>
              </w:tc>
              <w:tc>
                <w:tcPr>
                  <w:tcW w:w="936" w:type="pct"/>
                  <w:noWrap w:val="0"/>
                  <w:vAlign w:val="top"/>
                </w:tcPr>
                <w:p>
                  <w:pPr>
                    <w:pStyle w:val="18"/>
                    <w:bidi w:val="0"/>
                    <w:rPr>
                      <w:rFonts w:hint="default"/>
                      <w:color w:val="auto"/>
                      <w:lang w:val="en-US" w:eastAsia="zh-CN"/>
                    </w:rPr>
                  </w:pPr>
                  <w:r>
                    <w:rPr>
                      <w:rFonts w:hint="default"/>
                      <w:color w:val="auto"/>
                      <w:lang w:val="en-US" w:eastAsia="zh-CN"/>
                    </w:rPr>
                    <w:t>0.32</w:t>
                  </w:r>
                  <w:r>
                    <w:rPr>
                      <w:rFonts w:hint="default"/>
                      <w:color w:val="auto"/>
                    </w:rPr>
                    <w:t>～</w:t>
                  </w:r>
                  <w:r>
                    <w:rPr>
                      <w:rFonts w:hint="default"/>
                      <w:color w:val="auto"/>
                      <w:lang w:val="en-US" w:eastAsia="zh-CN"/>
                    </w:rPr>
                    <w:t>6.53</w:t>
                  </w:r>
                </w:p>
              </w:tc>
              <w:tc>
                <w:tcPr>
                  <w:tcW w:w="699" w:type="pct"/>
                  <w:noWrap w:val="0"/>
                  <w:vAlign w:val="top"/>
                </w:tcPr>
                <w:p>
                  <w:pPr>
                    <w:pStyle w:val="18"/>
                    <w:bidi w:val="0"/>
                    <w:rPr>
                      <w:rFonts w:hint="default"/>
                      <w:color w:val="auto"/>
                      <w:lang w:val="en-US" w:eastAsia="zh-CN"/>
                    </w:rPr>
                  </w:pPr>
                  <w:r>
                    <w:rPr>
                      <w:rFonts w:hint="default"/>
                      <w:color w:val="auto"/>
                      <w:lang w:val="en-US" w:eastAsia="zh-CN"/>
                    </w:rPr>
                    <w:t>1.10</w:t>
                  </w:r>
                </w:p>
              </w:tc>
              <w:tc>
                <w:tcPr>
                  <w:tcW w:w="706" w:type="pct"/>
                  <w:noWrap w:val="0"/>
                  <w:vAlign w:val="top"/>
                </w:tcPr>
                <w:p>
                  <w:pPr>
                    <w:pStyle w:val="18"/>
                    <w:bidi w:val="0"/>
                    <w:rPr>
                      <w:rFonts w:hint="default"/>
                      <w:color w:val="auto"/>
                      <w:lang w:val="en-US" w:eastAsia="zh-CN"/>
                    </w:rPr>
                  </w:pPr>
                  <w:r>
                    <w:rPr>
                      <w:rFonts w:hint="default"/>
                      <w:color w:val="auto"/>
                      <w:lang w:val="en-US" w:eastAsia="zh-CN"/>
                    </w:rPr>
                    <w:t>0.3</w:t>
                  </w:r>
                </w:p>
              </w:tc>
              <w:tc>
                <w:tcPr>
                  <w:tcW w:w="678" w:type="pct"/>
                  <w:noWrap w:val="0"/>
                  <w:vAlign w:val="top"/>
                </w:tcPr>
                <w:p>
                  <w:pPr>
                    <w:pStyle w:val="18"/>
                    <w:bidi w:val="0"/>
                    <w:rPr>
                      <w:rFonts w:hint="default"/>
                      <w:color w:val="auto"/>
                      <w:lang w:val="en-US" w:eastAsia="zh-CN"/>
                    </w:rPr>
                  </w:pPr>
                  <w:r>
                    <w:rPr>
                      <w:rFonts w:hint="default"/>
                      <w:color w:val="auto"/>
                      <w:lang w:val="en-US" w:eastAsia="zh-CN"/>
                    </w:rPr>
                    <w:t>100</w:t>
                  </w:r>
                </w:p>
              </w:tc>
              <w:tc>
                <w:tcPr>
                  <w:tcW w:w="675" w:type="pct"/>
                  <w:noWrap w:val="0"/>
                  <w:vAlign w:val="top"/>
                </w:tcPr>
                <w:p>
                  <w:pPr>
                    <w:pStyle w:val="18"/>
                    <w:bidi w:val="0"/>
                    <w:rPr>
                      <w:rFonts w:hint="default"/>
                      <w:color w:val="auto"/>
                      <w:lang w:val="en-US" w:eastAsia="zh-CN"/>
                    </w:rPr>
                  </w:pPr>
                  <w:r>
                    <w:rPr>
                      <w:rFonts w:hint="default"/>
                      <w:color w:val="auto"/>
                      <w:lang w:val="en-US" w:eastAsia="zh-CN"/>
                    </w:rPr>
                    <w:t>20.77</w:t>
                  </w:r>
                </w:p>
              </w:tc>
              <w:tc>
                <w:tcPr>
                  <w:tcW w:w="680" w:type="pct"/>
                  <w:noWrap w:val="0"/>
                  <w:vAlign w:val="top"/>
                </w:tcPr>
                <w:p>
                  <w:pPr>
                    <w:pStyle w:val="18"/>
                    <w:bidi w:val="0"/>
                    <w:rPr>
                      <w:rFonts w:hint="default"/>
                      <w:color w:val="auto"/>
                      <w:lang w:val="en-US" w:eastAsia="zh-CN"/>
                    </w:rPr>
                  </w:pPr>
                  <w:r>
                    <w:rPr>
                      <w:rFonts w:hint="default"/>
                      <w:color w:val="auto"/>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3" w:type="pct"/>
                  <w:noWrap w:val="0"/>
                  <w:vAlign w:val="top"/>
                </w:tcPr>
                <w:p>
                  <w:pPr>
                    <w:pStyle w:val="18"/>
                    <w:bidi w:val="0"/>
                    <w:rPr>
                      <w:rFonts w:hint="default"/>
                      <w:color w:val="auto"/>
                      <w:lang w:val="en-US" w:eastAsia="zh-CN"/>
                    </w:rPr>
                  </w:pPr>
                  <w:r>
                    <w:rPr>
                      <w:rFonts w:hint="default"/>
                      <w:color w:val="auto"/>
                      <w:lang w:val="en-US" w:eastAsia="zh-CN"/>
                    </w:rPr>
                    <w:t>石油类</w:t>
                  </w:r>
                </w:p>
              </w:tc>
              <w:tc>
                <w:tcPr>
                  <w:tcW w:w="936" w:type="pct"/>
                  <w:noWrap w:val="0"/>
                  <w:vAlign w:val="top"/>
                </w:tcPr>
                <w:p>
                  <w:pPr>
                    <w:pStyle w:val="18"/>
                    <w:bidi w:val="0"/>
                    <w:rPr>
                      <w:rFonts w:hint="default"/>
                      <w:color w:val="auto"/>
                      <w:lang w:val="en-US" w:eastAsia="zh-CN"/>
                    </w:rPr>
                  </w:pPr>
                  <w:r>
                    <w:rPr>
                      <w:rFonts w:hint="default"/>
                      <w:color w:val="auto"/>
                      <w:lang w:val="en-US" w:eastAsia="zh-CN"/>
                    </w:rPr>
                    <w:t>0.01L</w:t>
                  </w:r>
                  <w:r>
                    <w:rPr>
                      <w:rFonts w:hint="default"/>
                      <w:color w:val="auto"/>
                    </w:rPr>
                    <w:t>～</w:t>
                  </w:r>
                  <w:r>
                    <w:rPr>
                      <w:rFonts w:hint="default"/>
                      <w:color w:val="auto"/>
                      <w:lang w:val="en-US" w:eastAsia="zh-CN"/>
                    </w:rPr>
                    <w:t>0.01L</w:t>
                  </w:r>
                </w:p>
              </w:tc>
              <w:tc>
                <w:tcPr>
                  <w:tcW w:w="699" w:type="pct"/>
                  <w:noWrap w:val="0"/>
                  <w:vAlign w:val="top"/>
                </w:tcPr>
                <w:p>
                  <w:pPr>
                    <w:pStyle w:val="18"/>
                    <w:bidi w:val="0"/>
                    <w:rPr>
                      <w:rFonts w:hint="default"/>
                      <w:color w:val="auto"/>
                      <w:lang w:val="en-US" w:eastAsia="zh-CN"/>
                    </w:rPr>
                  </w:pPr>
                  <w:r>
                    <w:rPr>
                      <w:rFonts w:hint="default"/>
                      <w:color w:val="auto"/>
                      <w:lang w:val="en-US" w:eastAsia="zh-CN"/>
                    </w:rPr>
                    <w:t>0.01L</w:t>
                  </w:r>
                </w:p>
              </w:tc>
              <w:tc>
                <w:tcPr>
                  <w:tcW w:w="706" w:type="pct"/>
                  <w:noWrap w:val="0"/>
                  <w:vAlign w:val="top"/>
                </w:tcPr>
                <w:p>
                  <w:pPr>
                    <w:pStyle w:val="18"/>
                    <w:bidi w:val="0"/>
                    <w:rPr>
                      <w:rFonts w:hint="default"/>
                      <w:color w:val="auto"/>
                      <w:lang w:val="en-US" w:eastAsia="zh-CN"/>
                    </w:rPr>
                  </w:pPr>
                  <w:r>
                    <w:rPr>
                      <w:rFonts w:hint="default"/>
                      <w:color w:val="auto"/>
                      <w:lang w:val="en-US" w:eastAsia="zh-CN"/>
                    </w:rPr>
                    <w:t>0.5</w:t>
                  </w:r>
                </w:p>
              </w:tc>
              <w:tc>
                <w:tcPr>
                  <w:tcW w:w="678" w:type="pct"/>
                  <w:noWrap w:val="0"/>
                  <w:vAlign w:val="top"/>
                </w:tcPr>
                <w:p>
                  <w:pPr>
                    <w:pStyle w:val="18"/>
                    <w:bidi w:val="0"/>
                    <w:rPr>
                      <w:rFonts w:hint="default"/>
                      <w:color w:val="auto"/>
                      <w:lang w:val="en-US" w:eastAsia="zh-CN"/>
                    </w:rPr>
                  </w:pPr>
                  <w:r>
                    <w:rPr>
                      <w:rFonts w:hint="default"/>
                      <w:color w:val="auto"/>
                      <w:lang w:val="en-US" w:eastAsia="zh-CN"/>
                    </w:rPr>
                    <w:t>0</w:t>
                  </w:r>
                </w:p>
              </w:tc>
              <w:tc>
                <w:tcPr>
                  <w:tcW w:w="675" w:type="pct"/>
                  <w:noWrap w:val="0"/>
                  <w:vAlign w:val="top"/>
                </w:tcPr>
                <w:p>
                  <w:pPr>
                    <w:pStyle w:val="18"/>
                    <w:bidi w:val="0"/>
                    <w:rPr>
                      <w:rFonts w:hint="default"/>
                      <w:color w:val="auto"/>
                      <w:lang w:val="en-US" w:eastAsia="zh-CN"/>
                    </w:rPr>
                  </w:pPr>
                  <w:r>
                    <w:rPr>
                      <w:rFonts w:hint="default"/>
                      <w:color w:val="auto"/>
                      <w:lang w:val="en-US" w:eastAsia="zh-CN"/>
                    </w:rPr>
                    <w:t>0</w:t>
                  </w:r>
                </w:p>
              </w:tc>
              <w:tc>
                <w:tcPr>
                  <w:tcW w:w="680" w:type="pct"/>
                  <w:noWrap w:val="0"/>
                  <w:vAlign w:val="top"/>
                </w:tcPr>
                <w:p>
                  <w:pPr>
                    <w:pStyle w:val="18"/>
                    <w:bidi w:val="0"/>
                    <w:rPr>
                      <w:rFonts w:hint="default"/>
                      <w:color w:val="auto"/>
                      <w:lang w:val="en-US" w:eastAsia="zh-CN"/>
                    </w:rPr>
                  </w:pPr>
                  <w:r>
                    <w:rPr>
                      <w:rFonts w:hint="default"/>
                      <w:color w:val="auto"/>
                      <w:lang w:val="en-US" w:eastAsia="zh-CN"/>
                    </w:rPr>
                    <w:t>达标</w:t>
                  </w:r>
                </w:p>
              </w:tc>
            </w:tr>
          </w:tbl>
          <w:p>
            <w:pPr>
              <w:pageBreakBefore w:val="0"/>
              <w:kinsoku/>
              <w:wordWrap/>
              <w:overflowPunct/>
              <w:topLinePunct w:val="0"/>
              <w:autoSpaceDE/>
              <w:autoSpaceDN/>
              <w:bidi w:val="0"/>
              <w:adjustRightInd w:val="0"/>
              <w:snapToGrid w:val="0"/>
              <w:spacing w:line="360" w:lineRule="auto"/>
              <w:ind w:right="113" w:rightChars="47" w:firstLine="480" w:firstLineChars="200"/>
              <w:textAlignment w:val="auto"/>
              <w:rPr>
                <w:rFonts w:hint="eastAsia"/>
                <w:color w:val="auto"/>
                <w:lang w:val="en-US" w:eastAsia="zh-CN"/>
              </w:rPr>
            </w:pPr>
            <w:r>
              <w:rPr>
                <w:rFonts w:hint="eastAsia"/>
                <w:color w:val="auto"/>
                <w:lang w:val="en-US" w:eastAsia="zh-CN"/>
              </w:rPr>
              <w:t>由表3-3可看出，除COD、BOD</w:t>
            </w:r>
            <w:bookmarkStart w:id="122" w:name="_GoBack"/>
            <w:r>
              <w:rPr>
                <w:rFonts w:hint="eastAsia"/>
                <w:color w:val="auto"/>
                <w:vertAlign w:val="subscript"/>
                <w:lang w:val="en-US" w:eastAsia="zh-CN"/>
              </w:rPr>
              <w:t>5</w:t>
            </w:r>
            <w:bookmarkEnd w:id="122"/>
            <w:r>
              <w:rPr>
                <w:rFonts w:hint="eastAsia"/>
                <w:color w:val="auto"/>
                <w:lang w:val="en-US" w:eastAsia="zh-CN"/>
              </w:rPr>
              <w:t>、氨氮、总磷，其他指标均达到《地表水环境质量标准》（GB3838-2002）Ⅳ类水标准，超标原因主要是河流沿岸有居民居住，存在一定的面源污染。</w:t>
            </w:r>
          </w:p>
          <w:p>
            <w:pPr>
              <w:pageBreakBefore w:val="0"/>
              <w:kinsoku/>
              <w:wordWrap/>
              <w:overflowPunct/>
              <w:topLinePunct w:val="0"/>
              <w:autoSpaceDE/>
              <w:autoSpaceDN/>
              <w:bidi w:val="0"/>
              <w:adjustRightInd w:val="0"/>
              <w:snapToGrid w:val="0"/>
              <w:spacing w:line="360" w:lineRule="auto"/>
              <w:ind w:right="113" w:rightChars="47" w:firstLine="480" w:firstLineChars="200"/>
              <w:textAlignment w:val="auto"/>
              <w:rPr>
                <w:rFonts w:hint="default"/>
                <w:color w:val="auto"/>
              </w:rPr>
            </w:pPr>
            <w:r>
              <w:rPr>
                <w:rFonts w:hint="default"/>
                <w:color w:val="auto"/>
              </w:rPr>
              <w:t>3、声环境质量现状</w:t>
            </w:r>
          </w:p>
          <w:p>
            <w:pPr>
              <w:pageBreakBefore w:val="0"/>
              <w:kinsoku/>
              <w:wordWrap/>
              <w:overflowPunct/>
              <w:topLinePunct w:val="0"/>
              <w:autoSpaceDE/>
              <w:autoSpaceDN/>
              <w:bidi w:val="0"/>
              <w:spacing w:line="360" w:lineRule="auto"/>
              <w:ind w:firstLine="480" w:firstLineChars="200"/>
              <w:textAlignment w:val="auto"/>
              <w:rPr>
                <w:rFonts w:hint="default"/>
                <w:color w:val="auto"/>
                <w:lang w:eastAsia="zh-CN"/>
              </w:rPr>
            </w:pPr>
            <w:bookmarkStart w:id="64" w:name="OLE_LINK36"/>
            <w:r>
              <w:rPr>
                <w:rFonts w:hint="default"/>
                <w:color w:val="auto"/>
              </w:rPr>
              <w:t>项目地处富民县工业园区</w:t>
            </w:r>
            <w:r>
              <w:rPr>
                <w:rFonts w:hint="default"/>
                <w:color w:val="auto"/>
                <w:lang w:eastAsia="zh-CN"/>
              </w:rPr>
              <w:t>，</w:t>
            </w:r>
            <w:r>
              <w:rPr>
                <w:rFonts w:hint="default"/>
                <w:color w:val="auto"/>
              </w:rPr>
              <w:t>属规划工业园区，执行《声环境质量标准》（GB3096-2008）3类标准。</w:t>
            </w:r>
            <w:r>
              <w:rPr>
                <w:rFonts w:hint="default"/>
                <w:color w:val="auto"/>
                <w:lang w:eastAsia="zh-CN"/>
              </w:rPr>
              <w:t>即</w:t>
            </w:r>
            <w:r>
              <w:rPr>
                <w:rFonts w:hint="default"/>
                <w:color w:val="auto"/>
              </w:rPr>
              <w:t>昼间≤65dB（A）、夜间≤55dB（A）</w:t>
            </w:r>
            <w:r>
              <w:rPr>
                <w:rFonts w:hint="default"/>
                <w:color w:val="auto"/>
                <w:lang w:eastAsia="zh-CN"/>
              </w:rPr>
              <w:t>，</w:t>
            </w:r>
          </w:p>
          <w:p>
            <w:pPr>
              <w:pageBreakBefore w:val="0"/>
              <w:kinsoku/>
              <w:wordWrap/>
              <w:overflowPunct/>
              <w:topLinePunct w:val="0"/>
              <w:autoSpaceDE/>
              <w:autoSpaceDN/>
              <w:bidi w:val="0"/>
              <w:spacing w:line="360" w:lineRule="auto"/>
              <w:ind w:firstLine="480" w:firstLineChars="200"/>
              <w:textAlignment w:val="auto"/>
              <w:rPr>
                <w:rFonts w:hint="default"/>
                <w:color w:val="auto"/>
                <w:lang w:eastAsia="zh-CN"/>
              </w:rPr>
            </w:pPr>
            <w:r>
              <w:rPr>
                <w:rFonts w:hint="eastAsia"/>
                <w:color w:val="auto"/>
                <w:lang w:eastAsia="zh-CN"/>
              </w:rPr>
              <w:t>为了解项目区声环境质量现状，建设单位委托空吗京诚检测技术有限公司于</w:t>
            </w:r>
            <w:r>
              <w:rPr>
                <w:rFonts w:hint="eastAsia"/>
                <w:color w:val="auto"/>
                <w:lang w:val="en-US" w:eastAsia="zh-CN"/>
              </w:rPr>
              <w:t>2019年11月13日至14日对项目区厂界噪声进行监测</w:t>
            </w:r>
            <w:r>
              <w:rPr>
                <w:rFonts w:hint="default"/>
                <w:color w:val="auto"/>
                <w:lang w:eastAsia="zh-CN"/>
              </w:rPr>
              <w:t>。</w:t>
            </w:r>
          </w:p>
          <w:p>
            <w:pPr>
              <w:ind w:firstLine="520"/>
              <w:rPr>
                <w:rFonts w:hint="eastAsia"/>
                <w:color w:val="auto"/>
              </w:rPr>
            </w:pPr>
            <w:r>
              <w:rPr>
                <w:rFonts w:hint="eastAsia"/>
                <w:color w:val="auto"/>
              </w:rPr>
              <w:t>监测项目：等效连续A声级（LAeq）；</w:t>
            </w:r>
          </w:p>
          <w:p>
            <w:pPr>
              <w:ind w:firstLine="520"/>
              <w:rPr>
                <w:rFonts w:hint="eastAsia"/>
                <w:color w:val="auto"/>
              </w:rPr>
            </w:pPr>
            <w:r>
              <w:rPr>
                <w:rFonts w:hint="eastAsia"/>
                <w:color w:val="auto"/>
              </w:rPr>
              <w:t>监测时间及频率：有效监测天数两天，昼间、夜间各一次；</w:t>
            </w:r>
          </w:p>
          <w:p>
            <w:pPr>
              <w:ind w:firstLine="520"/>
              <w:rPr>
                <w:rFonts w:hint="eastAsia"/>
                <w:color w:val="auto"/>
              </w:rPr>
            </w:pPr>
            <w:r>
              <w:rPr>
                <w:rFonts w:hint="eastAsia"/>
                <w:color w:val="auto"/>
              </w:rPr>
              <w:t>监测布点：</w:t>
            </w:r>
            <w:r>
              <w:rPr>
                <w:rFonts w:hint="eastAsia"/>
                <w:color w:val="auto"/>
                <w:lang w:eastAsia="zh-CN"/>
              </w:rPr>
              <w:t>本项目</w:t>
            </w:r>
            <w:r>
              <w:rPr>
                <w:rFonts w:hint="eastAsia"/>
                <w:color w:val="auto"/>
              </w:rPr>
              <w:t>东</w:t>
            </w:r>
            <w:r>
              <w:rPr>
                <w:rFonts w:hint="eastAsia"/>
                <w:color w:val="auto"/>
                <w:lang w:eastAsia="zh-CN"/>
              </w:rPr>
              <w:t>、南、西、北厂界个设置一个监测点</w:t>
            </w:r>
            <w:r>
              <w:rPr>
                <w:rFonts w:hint="eastAsia"/>
                <w:color w:val="auto"/>
              </w:rPr>
              <w:t>；</w:t>
            </w:r>
          </w:p>
          <w:p>
            <w:pPr>
              <w:rPr>
                <w:rFonts w:hint="eastAsia"/>
                <w:color w:val="auto"/>
                <w:lang w:val="en-US" w:eastAsia="zh-CN"/>
              </w:rPr>
            </w:pPr>
            <w:r>
              <w:rPr>
                <w:rFonts w:hint="eastAsia"/>
                <w:color w:val="auto"/>
                <w:lang w:eastAsia="zh-CN"/>
              </w:rPr>
              <w:t>监测结果见表</w:t>
            </w:r>
            <w:r>
              <w:rPr>
                <w:rFonts w:hint="eastAsia"/>
                <w:color w:val="auto"/>
                <w:lang w:val="en-US" w:eastAsia="zh-CN"/>
              </w:rPr>
              <w:t>3-4；</w:t>
            </w:r>
          </w:p>
          <w:p>
            <w:pPr>
              <w:pStyle w:val="19"/>
              <w:bidi w:val="0"/>
              <w:rPr>
                <w:rFonts w:hint="default"/>
                <w:color w:val="auto"/>
                <w:lang w:val="en-US" w:eastAsia="zh-CN"/>
              </w:rPr>
            </w:pPr>
            <w:r>
              <w:rPr>
                <w:rFonts w:hint="eastAsia"/>
                <w:color w:val="auto"/>
              </w:rPr>
              <w:t>表3-</w:t>
            </w:r>
            <w:r>
              <w:rPr>
                <w:rFonts w:hint="eastAsia"/>
                <w:color w:val="auto"/>
                <w:lang w:val="en-US" w:eastAsia="zh-CN"/>
              </w:rPr>
              <w:t>3</w:t>
            </w:r>
            <w:r>
              <w:rPr>
                <w:rFonts w:hint="eastAsia"/>
                <w:color w:val="auto"/>
              </w:rPr>
              <w:t xml:space="preserve"> 噪声检测结果</w:t>
            </w:r>
            <w:r>
              <w:rPr>
                <w:rFonts w:hint="eastAsia"/>
                <w:color w:val="auto"/>
                <w:lang w:val="en-US" w:eastAsia="zh-CN"/>
              </w:rPr>
              <w:t xml:space="preserve">  单位：</w:t>
            </w:r>
            <w:r>
              <w:rPr>
                <w:rFonts w:hint="default"/>
                <w:color w:val="auto"/>
              </w:rPr>
              <w:t>(dB（A）)</w:t>
            </w:r>
          </w:p>
          <w:tbl>
            <w:tblPr>
              <w:tblStyle w:val="13"/>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1166"/>
              <w:gridCol w:w="1169"/>
              <w:gridCol w:w="1419"/>
              <w:gridCol w:w="1419"/>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1022" w:type="pct"/>
                  <w:vMerge w:val="restart"/>
                  <w:noWrap w:val="0"/>
                  <w:vAlign w:val="center"/>
                </w:tcPr>
                <w:p>
                  <w:pPr>
                    <w:pStyle w:val="18"/>
                    <w:bidi w:val="0"/>
                    <w:rPr>
                      <w:rFonts w:hint="default"/>
                      <w:color w:val="auto"/>
                    </w:rPr>
                  </w:pPr>
                  <w:r>
                    <w:rPr>
                      <w:rFonts w:hint="default"/>
                      <w:color w:val="auto"/>
                    </w:rPr>
                    <w:t>检测点位</w:t>
                  </w:r>
                </w:p>
              </w:tc>
              <w:tc>
                <w:tcPr>
                  <w:tcW w:w="703" w:type="pct"/>
                  <w:vMerge w:val="restart"/>
                  <w:noWrap w:val="0"/>
                  <w:vAlign w:val="center"/>
                </w:tcPr>
                <w:p>
                  <w:pPr>
                    <w:pStyle w:val="18"/>
                    <w:bidi w:val="0"/>
                    <w:rPr>
                      <w:rFonts w:hint="default"/>
                      <w:color w:val="auto"/>
                    </w:rPr>
                  </w:pPr>
                  <w:r>
                    <w:rPr>
                      <w:rFonts w:hint="default"/>
                      <w:color w:val="auto"/>
                    </w:rPr>
                    <w:t>检测日期</w:t>
                  </w:r>
                </w:p>
              </w:tc>
              <w:tc>
                <w:tcPr>
                  <w:tcW w:w="705" w:type="pct"/>
                  <w:noWrap w:val="0"/>
                  <w:vAlign w:val="center"/>
                </w:tcPr>
                <w:p>
                  <w:pPr>
                    <w:pStyle w:val="18"/>
                    <w:bidi w:val="0"/>
                    <w:rPr>
                      <w:rFonts w:hint="default"/>
                      <w:color w:val="auto"/>
                    </w:rPr>
                  </w:pPr>
                  <w:r>
                    <w:rPr>
                      <w:rFonts w:hint="default"/>
                      <w:color w:val="auto"/>
                    </w:rPr>
                    <w:t>检测时间</w:t>
                  </w:r>
                </w:p>
              </w:tc>
              <w:tc>
                <w:tcPr>
                  <w:tcW w:w="856" w:type="pct"/>
                  <w:noWrap w:val="0"/>
                  <w:vAlign w:val="center"/>
                </w:tcPr>
                <w:p>
                  <w:pPr>
                    <w:pStyle w:val="18"/>
                    <w:bidi w:val="0"/>
                    <w:rPr>
                      <w:rFonts w:hint="eastAsia"/>
                      <w:color w:val="auto"/>
                      <w:lang w:eastAsia="zh-CN"/>
                    </w:rPr>
                  </w:pPr>
                  <w:r>
                    <w:rPr>
                      <w:rFonts w:hint="default"/>
                      <w:color w:val="auto"/>
                    </w:rPr>
                    <w:t>检测</w:t>
                  </w:r>
                  <w:r>
                    <w:rPr>
                      <w:rFonts w:hint="eastAsia"/>
                      <w:color w:val="auto"/>
                      <w:lang w:eastAsia="zh-CN"/>
                    </w:rPr>
                    <w:t>结果</w:t>
                  </w:r>
                </w:p>
              </w:tc>
              <w:tc>
                <w:tcPr>
                  <w:tcW w:w="856" w:type="pct"/>
                  <w:noWrap w:val="0"/>
                  <w:vAlign w:val="center"/>
                </w:tcPr>
                <w:p>
                  <w:pPr>
                    <w:pStyle w:val="18"/>
                    <w:bidi w:val="0"/>
                    <w:rPr>
                      <w:rFonts w:hint="eastAsia"/>
                      <w:color w:val="auto"/>
                      <w:lang w:eastAsia="zh-CN"/>
                    </w:rPr>
                  </w:pPr>
                  <w:r>
                    <w:rPr>
                      <w:rFonts w:hint="eastAsia"/>
                      <w:color w:val="auto"/>
                      <w:lang w:eastAsia="zh-CN"/>
                    </w:rPr>
                    <w:t>标准值</w:t>
                  </w:r>
                </w:p>
              </w:tc>
              <w:tc>
                <w:tcPr>
                  <w:tcW w:w="856" w:type="pct"/>
                  <w:noWrap w:val="0"/>
                  <w:vAlign w:val="center"/>
                </w:tcPr>
                <w:p>
                  <w:pPr>
                    <w:pStyle w:val="18"/>
                    <w:bidi w:val="0"/>
                    <w:rPr>
                      <w:rFonts w:hint="eastAsia"/>
                      <w:color w:val="auto"/>
                      <w:lang w:eastAsia="zh-CN"/>
                    </w:rPr>
                  </w:pPr>
                  <w:r>
                    <w:rPr>
                      <w:rFonts w:hint="eastAsia"/>
                      <w:color w:val="auto"/>
                      <w:lang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022" w:type="pct"/>
                  <w:vMerge w:val="restart"/>
                  <w:noWrap w:val="0"/>
                  <w:vAlign w:val="center"/>
                </w:tcPr>
                <w:p>
                  <w:pPr>
                    <w:pStyle w:val="18"/>
                    <w:bidi w:val="0"/>
                    <w:rPr>
                      <w:rFonts w:hint="default"/>
                      <w:color w:val="auto"/>
                    </w:rPr>
                  </w:pPr>
                  <w:r>
                    <w:rPr>
                      <w:rFonts w:hint="eastAsia"/>
                      <w:color w:val="auto"/>
                      <w:lang w:eastAsia="zh-CN"/>
                    </w:rPr>
                    <w:t>厂界</w:t>
                  </w:r>
                  <w:r>
                    <w:rPr>
                      <w:rFonts w:hint="default"/>
                      <w:color w:val="auto"/>
                    </w:rPr>
                    <w:t>1#</w:t>
                  </w:r>
                </w:p>
              </w:tc>
              <w:tc>
                <w:tcPr>
                  <w:tcW w:w="703" w:type="pct"/>
                  <w:vMerge w:val="restart"/>
                  <w:noWrap w:val="0"/>
                  <w:vAlign w:val="center"/>
                </w:tcPr>
                <w:p>
                  <w:pPr>
                    <w:pStyle w:val="18"/>
                    <w:bidi w:val="0"/>
                    <w:rPr>
                      <w:rFonts w:hint="default"/>
                      <w:color w:val="auto"/>
                      <w:lang w:val="en-US" w:eastAsia="zh-CN"/>
                    </w:rPr>
                  </w:pPr>
                  <w:r>
                    <w:rPr>
                      <w:rFonts w:hint="eastAsia"/>
                      <w:color w:val="auto"/>
                      <w:lang w:val="en-US" w:eastAsia="zh-CN"/>
                    </w:rPr>
                    <w:t>2019.11.17</w:t>
                  </w:r>
                </w:p>
              </w:tc>
              <w:tc>
                <w:tcPr>
                  <w:tcW w:w="705" w:type="pct"/>
                  <w:noWrap w:val="0"/>
                  <w:vAlign w:val="center"/>
                </w:tcPr>
                <w:p>
                  <w:pPr>
                    <w:pStyle w:val="18"/>
                    <w:bidi w:val="0"/>
                    <w:rPr>
                      <w:rFonts w:hint="default"/>
                      <w:color w:val="auto"/>
                      <w:lang w:val="en-US" w:eastAsia="zh-CN"/>
                    </w:rPr>
                  </w:pPr>
                  <w:r>
                    <w:rPr>
                      <w:rFonts w:hint="eastAsia"/>
                      <w:color w:val="auto"/>
                      <w:lang w:val="en-US" w:eastAsia="zh-CN"/>
                    </w:rPr>
                    <w:t>13</w:t>
                  </w:r>
                  <w:r>
                    <w:rPr>
                      <w:rFonts w:hint="default"/>
                      <w:color w:val="auto"/>
                    </w:rPr>
                    <w:t>:</w:t>
                  </w:r>
                  <w:r>
                    <w:rPr>
                      <w:rFonts w:hint="eastAsia"/>
                      <w:color w:val="auto"/>
                      <w:lang w:val="en-US" w:eastAsia="zh-CN"/>
                    </w:rPr>
                    <w:t>10</w:t>
                  </w:r>
                </w:p>
              </w:tc>
              <w:tc>
                <w:tcPr>
                  <w:tcW w:w="856" w:type="pct"/>
                  <w:noWrap w:val="0"/>
                  <w:vAlign w:val="center"/>
                </w:tcPr>
                <w:p>
                  <w:pPr>
                    <w:pStyle w:val="18"/>
                    <w:bidi w:val="0"/>
                    <w:rPr>
                      <w:rFonts w:hint="default"/>
                      <w:color w:val="auto"/>
                      <w:lang w:val="en-US" w:eastAsia="zh-CN"/>
                    </w:rPr>
                  </w:pPr>
                  <w:r>
                    <w:rPr>
                      <w:rFonts w:hint="eastAsia"/>
                      <w:color w:val="auto"/>
                      <w:lang w:val="en-US" w:eastAsia="zh-CN"/>
                    </w:rPr>
                    <w:t>60.7</w:t>
                  </w:r>
                </w:p>
              </w:tc>
              <w:tc>
                <w:tcPr>
                  <w:tcW w:w="856" w:type="pct"/>
                  <w:vMerge w:val="restart"/>
                  <w:noWrap w:val="0"/>
                  <w:vAlign w:val="center"/>
                </w:tcPr>
                <w:p>
                  <w:pPr>
                    <w:pStyle w:val="18"/>
                    <w:bidi w:val="0"/>
                    <w:rPr>
                      <w:rFonts w:hint="eastAsia"/>
                      <w:color w:val="auto"/>
                      <w:lang w:val="en-US" w:eastAsia="zh-CN"/>
                    </w:rPr>
                  </w:pPr>
                  <w:r>
                    <w:rPr>
                      <w:rFonts w:hint="eastAsia"/>
                      <w:color w:val="auto"/>
                      <w:lang w:val="en-US" w:eastAsia="zh-CN"/>
                    </w:rPr>
                    <w:t>昼间：65</w:t>
                  </w:r>
                </w:p>
                <w:p>
                  <w:pPr>
                    <w:pStyle w:val="18"/>
                    <w:bidi w:val="0"/>
                    <w:rPr>
                      <w:rFonts w:hint="default"/>
                      <w:color w:val="auto"/>
                      <w:lang w:val="en-US" w:eastAsia="zh-CN"/>
                    </w:rPr>
                  </w:pPr>
                  <w:r>
                    <w:rPr>
                      <w:rFonts w:hint="eastAsia"/>
                      <w:color w:val="auto"/>
                      <w:lang w:val="en-US" w:eastAsia="zh-CN"/>
                    </w:rPr>
                    <w:t>夜间：55</w:t>
                  </w:r>
                </w:p>
              </w:tc>
              <w:tc>
                <w:tcPr>
                  <w:tcW w:w="856" w:type="pct"/>
                  <w:noWrap w:val="0"/>
                  <w:vAlign w:val="center"/>
                </w:tcPr>
                <w:p>
                  <w:pPr>
                    <w:pStyle w:val="18"/>
                    <w:bidi w:val="0"/>
                    <w:rPr>
                      <w:rFonts w:hint="eastAsia"/>
                      <w:color w:val="auto"/>
                      <w:lang w:val="en-US" w:eastAsia="zh-CN"/>
                    </w:rPr>
                  </w:pPr>
                  <w:r>
                    <w:rPr>
                      <w:rFonts w:hint="eastAsia"/>
                      <w:color w:val="auto"/>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2" w:type="pct"/>
                  <w:vMerge w:val="continue"/>
                  <w:noWrap w:val="0"/>
                  <w:vAlign w:val="center"/>
                </w:tcPr>
                <w:p>
                  <w:pPr>
                    <w:pStyle w:val="18"/>
                    <w:bidi w:val="0"/>
                    <w:rPr>
                      <w:rFonts w:hint="eastAsia"/>
                      <w:color w:val="auto"/>
                      <w:lang w:eastAsia="zh-CN"/>
                    </w:rPr>
                  </w:pPr>
                </w:p>
              </w:tc>
              <w:tc>
                <w:tcPr>
                  <w:tcW w:w="703" w:type="pct"/>
                  <w:vMerge w:val="continue"/>
                  <w:noWrap w:val="0"/>
                  <w:vAlign w:val="center"/>
                </w:tcPr>
                <w:p>
                  <w:pPr>
                    <w:pStyle w:val="18"/>
                    <w:bidi w:val="0"/>
                    <w:rPr>
                      <w:rFonts w:hint="default"/>
                      <w:color w:val="auto"/>
                    </w:rPr>
                  </w:pPr>
                </w:p>
              </w:tc>
              <w:tc>
                <w:tcPr>
                  <w:tcW w:w="705" w:type="pct"/>
                  <w:noWrap w:val="0"/>
                  <w:vAlign w:val="center"/>
                </w:tcPr>
                <w:p>
                  <w:pPr>
                    <w:pStyle w:val="18"/>
                    <w:bidi w:val="0"/>
                    <w:rPr>
                      <w:rFonts w:hint="default"/>
                      <w:color w:val="auto"/>
                      <w:lang w:val="en-US" w:eastAsia="zh-CN"/>
                    </w:rPr>
                  </w:pPr>
                  <w:r>
                    <w:rPr>
                      <w:rFonts w:hint="eastAsia"/>
                      <w:color w:val="auto"/>
                      <w:lang w:val="en-US" w:eastAsia="zh-CN"/>
                    </w:rPr>
                    <w:t>22</w:t>
                  </w:r>
                  <w:r>
                    <w:rPr>
                      <w:rFonts w:hint="default"/>
                      <w:color w:val="auto"/>
                    </w:rPr>
                    <w:t>:</w:t>
                  </w:r>
                  <w:r>
                    <w:rPr>
                      <w:rFonts w:hint="eastAsia"/>
                      <w:color w:val="auto"/>
                      <w:lang w:val="en-US" w:eastAsia="zh-CN"/>
                    </w:rPr>
                    <w:t>02</w:t>
                  </w:r>
                </w:p>
              </w:tc>
              <w:tc>
                <w:tcPr>
                  <w:tcW w:w="856" w:type="pct"/>
                  <w:noWrap w:val="0"/>
                  <w:vAlign w:val="center"/>
                </w:tcPr>
                <w:p>
                  <w:pPr>
                    <w:pStyle w:val="18"/>
                    <w:bidi w:val="0"/>
                    <w:rPr>
                      <w:rFonts w:hint="default"/>
                      <w:color w:val="auto"/>
                      <w:lang w:val="en-US" w:eastAsia="zh-CN"/>
                    </w:rPr>
                  </w:pPr>
                  <w:r>
                    <w:rPr>
                      <w:rFonts w:hint="eastAsia"/>
                      <w:color w:val="auto"/>
                      <w:lang w:val="en-US" w:eastAsia="zh-CN"/>
                    </w:rPr>
                    <w:t>40.7</w:t>
                  </w:r>
                </w:p>
              </w:tc>
              <w:tc>
                <w:tcPr>
                  <w:tcW w:w="856" w:type="pct"/>
                  <w:vMerge w:val="continue"/>
                  <w:noWrap w:val="0"/>
                  <w:vAlign w:val="center"/>
                </w:tcPr>
                <w:p>
                  <w:pPr>
                    <w:pStyle w:val="18"/>
                    <w:bidi w:val="0"/>
                    <w:rPr>
                      <w:rFonts w:hint="eastAsia"/>
                      <w:color w:val="auto"/>
                      <w:lang w:val="en-US" w:eastAsia="zh-CN"/>
                    </w:rPr>
                  </w:pPr>
                </w:p>
              </w:tc>
              <w:tc>
                <w:tcPr>
                  <w:tcW w:w="856" w:type="pct"/>
                  <w:noWrap w:val="0"/>
                  <w:vAlign w:val="center"/>
                </w:tcPr>
                <w:p>
                  <w:pPr>
                    <w:pStyle w:val="18"/>
                    <w:bidi w:val="0"/>
                    <w:rPr>
                      <w:rFonts w:hint="eastAsia"/>
                      <w:color w:val="auto"/>
                      <w:lang w:val="en-US" w:eastAsia="zh-CN"/>
                    </w:rPr>
                  </w:pPr>
                  <w:r>
                    <w:rPr>
                      <w:rFonts w:hint="eastAsia"/>
                      <w:color w:val="auto"/>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Merge w:val="restart"/>
                  <w:noWrap w:val="0"/>
                  <w:vAlign w:val="center"/>
                </w:tcPr>
                <w:p>
                  <w:pPr>
                    <w:pStyle w:val="18"/>
                    <w:bidi w:val="0"/>
                    <w:rPr>
                      <w:rFonts w:hint="default"/>
                      <w:color w:val="auto"/>
                      <w:lang w:eastAsia="zh-CN"/>
                    </w:rPr>
                  </w:pPr>
                  <w:r>
                    <w:rPr>
                      <w:rFonts w:hint="eastAsia"/>
                      <w:color w:val="auto"/>
                      <w:lang w:eastAsia="zh-CN"/>
                    </w:rPr>
                    <w:t>厂界</w:t>
                  </w:r>
                  <w:r>
                    <w:rPr>
                      <w:rFonts w:hint="eastAsia"/>
                      <w:color w:val="auto"/>
                      <w:lang w:val="en-US" w:eastAsia="zh-CN"/>
                    </w:rPr>
                    <w:t>2</w:t>
                  </w:r>
                  <w:r>
                    <w:rPr>
                      <w:rFonts w:hint="default"/>
                      <w:color w:val="auto"/>
                      <w:lang w:eastAsia="zh-CN"/>
                    </w:rPr>
                    <w:t>#</w:t>
                  </w:r>
                </w:p>
              </w:tc>
              <w:tc>
                <w:tcPr>
                  <w:tcW w:w="703" w:type="pct"/>
                  <w:vMerge w:val="continue"/>
                  <w:noWrap w:val="0"/>
                  <w:vAlign w:val="center"/>
                </w:tcPr>
                <w:p>
                  <w:pPr>
                    <w:pStyle w:val="18"/>
                    <w:bidi w:val="0"/>
                    <w:rPr>
                      <w:rFonts w:hint="default"/>
                      <w:color w:val="auto"/>
                    </w:rPr>
                  </w:pPr>
                </w:p>
              </w:tc>
              <w:tc>
                <w:tcPr>
                  <w:tcW w:w="705" w:type="pct"/>
                  <w:noWrap w:val="0"/>
                  <w:vAlign w:val="center"/>
                </w:tcPr>
                <w:p>
                  <w:pPr>
                    <w:pStyle w:val="18"/>
                    <w:bidi w:val="0"/>
                    <w:rPr>
                      <w:rFonts w:hint="default"/>
                      <w:color w:val="auto"/>
                      <w:lang w:val="en-US" w:eastAsia="zh-CN"/>
                    </w:rPr>
                  </w:pPr>
                  <w:r>
                    <w:rPr>
                      <w:rFonts w:hint="eastAsia"/>
                      <w:color w:val="auto"/>
                      <w:lang w:val="en-US" w:eastAsia="zh-CN"/>
                    </w:rPr>
                    <w:t>13</w:t>
                  </w:r>
                  <w:r>
                    <w:rPr>
                      <w:rFonts w:hint="default"/>
                      <w:color w:val="auto"/>
                    </w:rPr>
                    <w:t>:</w:t>
                  </w:r>
                  <w:r>
                    <w:rPr>
                      <w:rFonts w:hint="eastAsia"/>
                      <w:color w:val="auto"/>
                      <w:lang w:val="en-US" w:eastAsia="zh-CN"/>
                    </w:rPr>
                    <w:t>23</w:t>
                  </w:r>
                </w:p>
              </w:tc>
              <w:tc>
                <w:tcPr>
                  <w:tcW w:w="856" w:type="pct"/>
                  <w:noWrap w:val="0"/>
                  <w:vAlign w:val="center"/>
                </w:tcPr>
                <w:p>
                  <w:pPr>
                    <w:pStyle w:val="18"/>
                    <w:bidi w:val="0"/>
                    <w:rPr>
                      <w:rFonts w:hint="default"/>
                      <w:color w:val="auto"/>
                      <w:lang w:val="en-US" w:eastAsia="zh-CN"/>
                    </w:rPr>
                  </w:pPr>
                  <w:r>
                    <w:rPr>
                      <w:rFonts w:hint="eastAsia"/>
                      <w:color w:val="auto"/>
                      <w:lang w:val="en-US" w:eastAsia="zh-CN"/>
                    </w:rPr>
                    <w:t>62.6</w:t>
                  </w:r>
                </w:p>
              </w:tc>
              <w:tc>
                <w:tcPr>
                  <w:tcW w:w="856" w:type="pct"/>
                  <w:vMerge w:val="continue"/>
                  <w:noWrap w:val="0"/>
                  <w:vAlign w:val="center"/>
                </w:tcPr>
                <w:p>
                  <w:pPr>
                    <w:pStyle w:val="18"/>
                    <w:bidi w:val="0"/>
                    <w:rPr>
                      <w:rFonts w:hint="eastAsia"/>
                      <w:color w:val="auto"/>
                      <w:lang w:val="en-US" w:eastAsia="zh-CN"/>
                    </w:rPr>
                  </w:pPr>
                </w:p>
              </w:tc>
              <w:tc>
                <w:tcPr>
                  <w:tcW w:w="856" w:type="pct"/>
                  <w:noWrap w:val="0"/>
                  <w:vAlign w:val="center"/>
                </w:tcPr>
                <w:p>
                  <w:pPr>
                    <w:pStyle w:val="18"/>
                    <w:bidi w:val="0"/>
                    <w:rPr>
                      <w:rFonts w:hint="eastAsia"/>
                      <w:color w:val="auto"/>
                      <w:lang w:val="en-US" w:eastAsia="zh-CN"/>
                    </w:rPr>
                  </w:pPr>
                  <w:r>
                    <w:rPr>
                      <w:rFonts w:hint="eastAsia"/>
                      <w:color w:val="auto"/>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Merge w:val="continue"/>
                  <w:noWrap w:val="0"/>
                  <w:vAlign w:val="center"/>
                </w:tcPr>
                <w:p>
                  <w:pPr>
                    <w:pStyle w:val="18"/>
                    <w:bidi w:val="0"/>
                    <w:rPr>
                      <w:rFonts w:hint="eastAsia"/>
                      <w:color w:val="auto"/>
                      <w:lang w:eastAsia="zh-CN"/>
                    </w:rPr>
                  </w:pPr>
                </w:p>
              </w:tc>
              <w:tc>
                <w:tcPr>
                  <w:tcW w:w="703" w:type="pct"/>
                  <w:vMerge w:val="continue"/>
                  <w:noWrap w:val="0"/>
                  <w:vAlign w:val="center"/>
                </w:tcPr>
                <w:p>
                  <w:pPr>
                    <w:pStyle w:val="18"/>
                    <w:bidi w:val="0"/>
                    <w:rPr>
                      <w:rFonts w:hint="default"/>
                      <w:color w:val="auto"/>
                    </w:rPr>
                  </w:pPr>
                </w:p>
              </w:tc>
              <w:tc>
                <w:tcPr>
                  <w:tcW w:w="705" w:type="pct"/>
                  <w:noWrap w:val="0"/>
                  <w:vAlign w:val="center"/>
                </w:tcPr>
                <w:p>
                  <w:pPr>
                    <w:pStyle w:val="18"/>
                    <w:bidi w:val="0"/>
                    <w:rPr>
                      <w:rFonts w:hint="default"/>
                      <w:color w:val="auto"/>
                      <w:lang w:val="en-US" w:eastAsia="zh-CN"/>
                    </w:rPr>
                  </w:pPr>
                  <w:r>
                    <w:rPr>
                      <w:rFonts w:hint="eastAsia"/>
                      <w:color w:val="auto"/>
                      <w:lang w:val="en-US" w:eastAsia="zh-CN"/>
                    </w:rPr>
                    <w:t>22</w:t>
                  </w:r>
                  <w:r>
                    <w:rPr>
                      <w:rFonts w:hint="default"/>
                      <w:color w:val="auto"/>
                    </w:rPr>
                    <w:t>:</w:t>
                  </w:r>
                  <w:r>
                    <w:rPr>
                      <w:rFonts w:hint="eastAsia"/>
                      <w:color w:val="auto"/>
                      <w:lang w:val="en-US" w:eastAsia="zh-CN"/>
                    </w:rPr>
                    <w:t>10</w:t>
                  </w:r>
                </w:p>
              </w:tc>
              <w:tc>
                <w:tcPr>
                  <w:tcW w:w="856" w:type="pct"/>
                  <w:noWrap w:val="0"/>
                  <w:vAlign w:val="center"/>
                </w:tcPr>
                <w:p>
                  <w:pPr>
                    <w:pStyle w:val="18"/>
                    <w:bidi w:val="0"/>
                    <w:rPr>
                      <w:rFonts w:hint="default"/>
                      <w:color w:val="auto"/>
                      <w:lang w:val="en-US" w:eastAsia="zh-CN"/>
                    </w:rPr>
                  </w:pPr>
                  <w:r>
                    <w:rPr>
                      <w:rFonts w:hint="eastAsia"/>
                      <w:color w:val="auto"/>
                      <w:lang w:val="en-US" w:eastAsia="zh-CN"/>
                    </w:rPr>
                    <w:t>50.5</w:t>
                  </w:r>
                </w:p>
              </w:tc>
              <w:tc>
                <w:tcPr>
                  <w:tcW w:w="856" w:type="pct"/>
                  <w:vMerge w:val="continue"/>
                  <w:noWrap w:val="0"/>
                  <w:vAlign w:val="center"/>
                </w:tcPr>
                <w:p>
                  <w:pPr>
                    <w:pStyle w:val="18"/>
                    <w:bidi w:val="0"/>
                    <w:rPr>
                      <w:rFonts w:hint="eastAsia"/>
                      <w:color w:val="auto"/>
                      <w:lang w:val="en-US" w:eastAsia="zh-CN"/>
                    </w:rPr>
                  </w:pPr>
                </w:p>
              </w:tc>
              <w:tc>
                <w:tcPr>
                  <w:tcW w:w="856" w:type="pct"/>
                  <w:noWrap w:val="0"/>
                  <w:vAlign w:val="center"/>
                </w:tcPr>
                <w:p>
                  <w:pPr>
                    <w:pStyle w:val="18"/>
                    <w:bidi w:val="0"/>
                    <w:rPr>
                      <w:rFonts w:hint="eastAsia"/>
                      <w:color w:val="auto"/>
                      <w:lang w:val="en-US" w:eastAsia="zh-CN"/>
                    </w:rPr>
                  </w:pPr>
                  <w:r>
                    <w:rPr>
                      <w:rFonts w:hint="eastAsia"/>
                      <w:color w:val="auto"/>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Merge w:val="restart"/>
                  <w:noWrap w:val="0"/>
                  <w:vAlign w:val="center"/>
                </w:tcPr>
                <w:p>
                  <w:pPr>
                    <w:pStyle w:val="18"/>
                    <w:bidi w:val="0"/>
                    <w:rPr>
                      <w:rFonts w:hint="default"/>
                      <w:color w:val="auto"/>
                      <w:lang w:eastAsia="zh-CN"/>
                    </w:rPr>
                  </w:pPr>
                  <w:r>
                    <w:rPr>
                      <w:rFonts w:hint="eastAsia"/>
                      <w:color w:val="auto"/>
                      <w:lang w:eastAsia="zh-CN"/>
                    </w:rPr>
                    <w:t>厂界</w:t>
                  </w:r>
                  <w:r>
                    <w:rPr>
                      <w:rFonts w:hint="eastAsia"/>
                      <w:color w:val="auto"/>
                      <w:lang w:val="en-US" w:eastAsia="zh-CN"/>
                    </w:rPr>
                    <w:t>3</w:t>
                  </w:r>
                  <w:r>
                    <w:rPr>
                      <w:rFonts w:hint="default"/>
                      <w:color w:val="auto"/>
                      <w:lang w:eastAsia="zh-CN"/>
                    </w:rPr>
                    <w:t>#</w:t>
                  </w:r>
                </w:p>
              </w:tc>
              <w:tc>
                <w:tcPr>
                  <w:tcW w:w="703" w:type="pct"/>
                  <w:vMerge w:val="continue"/>
                  <w:noWrap w:val="0"/>
                  <w:vAlign w:val="center"/>
                </w:tcPr>
                <w:p>
                  <w:pPr>
                    <w:pStyle w:val="18"/>
                    <w:bidi w:val="0"/>
                    <w:rPr>
                      <w:rFonts w:hint="default"/>
                      <w:color w:val="auto"/>
                    </w:rPr>
                  </w:pPr>
                </w:p>
              </w:tc>
              <w:tc>
                <w:tcPr>
                  <w:tcW w:w="705" w:type="pct"/>
                  <w:noWrap w:val="0"/>
                  <w:vAlign w:val="center"/>
                </w:tcPr>
                <w:p>
                  <w:pPr>
                    <w:pStyle w:val="18"/>
                    <w:bidi w:val="0"/>
                    <w:rPr>
                      <w:rFonts w:hint="default"/>
                      <w:color w:val="auto"/>
                      <w:lang w:val="en-US" w:eastAsia="zh-CN"/>
                    </w:rPr>
                  </w:pPr>
                  <w:r>
                    <w:rPr>
                      <w:rFonts w:hint="eastAsia"/>
                      <w:color w:val="auto"/>
                      <w:lang w:val="en-US" w:eastAsia="zh-CN"/>
                    </w:rPr>
                    <w:t>13</w:t>
                  </w:r>
                  <w:r>
                    <w:rPr>
                      <w:rFonts w:hint="default"/>
                      <w:color w:val="auto"/>
                    </w:rPr>
                    <w:t>:</w:t>
                  </w:r>
                  <w:r>
                    <w:rPr>
                      <w:rFonts w:hint="eastAsia"/>
                      <w:color w:val="auto"/>
                      <w:lang w:val="en-US" w:eastAsia="zh-CN"/>
                    </w:rPr>
                    <w:t>30</w:t>
                  </w:r>
                </w:p>
              </w:tc>
              <w:tc>
                <w:tcPr>
                  <w:tcW w:w="856" w:type="pct"/>
                  <w:noWrap w:val="0"/>
                  <w:vAlign w:val="center"/>
                </w:tcPr>
                <w:p>
                  <w:pPr>
                    <w:pStyle w:val="18"/>
                    <w:bidi w:val="0"/>
                    <w:rPr>
                      <w:rFonts w:hint="default"/>
                      <w:color w:val="auto"/>
                      <w:lang w:val="en-US" w:eastAsia="zh-CN"/>
                    </w:rPr>
                  </w:pPr>
                  <w:r>
                    <w:rPr>
                      <w:rFonts w:hint="eastAsia"/>
                      <w:color w:val="auto"/>
                      <w:lang w:val="en-US" w:eastAsia="zh-CN"/>
                    </w:rPr>
                    <w:t>60.5</w:t>
                  </w:r>
                </w:p>
              </w:tc>
              <w:tc>
                <w:tcPr>
                  <w:tcW w:w="856" w:type="pct"/>
                  <w:vMerge w:val="continue"/>
                  <w:noWrap w:val="0"/>
                  <w:vAlign w:val="center"/>
                </w:tcPr>
                <w:p>
                  <w:pPr>
                    <w:pStyle w:val="18"/>
                    <w:bidi w:val="0"/>
                    <w:rPr>
                      <w:rFonts w:hint="eastAsia"/>
                      <w:color w:val="auto"/>
                      <w:lang w:val="en-US" w:eastAsia="zh-CN"/>
                    </w:rPr>
                  </w:pPr>
                </w:p>
              </w:tc>
              <w:tc>
                <w:tcPr>
                  <w:tcW w:w="856" w:type="pct"/>
                  <w:noWrap w:val="0"/>
                  <w:vAlign w:val="center"/>
                </w:tcPr>
                <w:p>
                  <w:pPr>
                    <w:pStyle w:val="18"/>
                    <w:bidi w:val="0"/>
                    <w:rPr>
                      <w:rFonts w:hint="eastAsia"/>
                      <w:color w:val="auto"/>
                      <w:lang w:val="en-US" w:eastAsia="zh-CN"/>
                    </w:rPr>
                  </w:pPr>
                  <w:r>
                    <w:rPr>
                      <w:rFonts w:hint="eastAsia"/>
                      <w:color w:val="auto"/>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Merge w:val="continue"/>
                  <w:noWrap w:val="0"/>
                  <w:vAlign w:val="center"/>
                </w:tcPr>
                <w:p>
                  <w:pPr>
                    <w:pStyle w:val="18"/>
                    <w:bidi w:val="0"/>
                    <w:rPr>
                      <w:rFonts w:hint="eastAsia"/>
                      <w:color w:val="auto"/>
                      <w:lang w:eastAsia="zh-CN"/>
                    </w:rPr>
                  </w:pPr>
                </w:p>
              </w:tc>
              <w:tc>
                <w:tcPr>
                  <w:tcW w:w="703" w:type="pct"/>
                  <w:vMerge w:val="continue"/>
                  <w:noWrap w:val="0"/>
                  <w:vAlign w:val="center"/>
                </w:tcPr>
                <w:p>
                  <w:pPr>
                    <w:pStyle w:val="18"/>
                    <w:bidi w:val="0"/>
                    <w:rPr>
                      <w:rFonts w:hint="default"/>
                      <w:color w:val="auto"/>
                    </w:rPr>
                  </w:pPr>
                </w:p>
              </w:tc>
              <w:tc>
                <w:tcPr>
                  <w:tcW w:w="705" w:type="pct"/>
                  <w:noWrap w:val="0"/>
                  <w:vAlign w:val="center"/>
                </w:tcPr>
                <w:p>
                  <w:pPr>
                    <w:pStyle w:val="18"/>
                    <w:bidi w:val="0"/>
                    <w:rPr>
                      <w:rFonts w:hint="default"/>
                      <w:color w:val="auto"/>
                      <w:lang w:val="en-US" w:eastAsia="zh-CN"/>
                    </w:rPr>
                  </w:pPr>
                  <w:r>
                    <w:rPr>
                      <w:rFonts w:hint="eastAsia"/>
                      <w:color w:val="auto"/>
                      <w:lang w:val="en-US" w:eastAsia="zh-CN"/>
                    </w:rPr>
                    <w:t>22</w:t>
                  </w:r>
                  <w:r>
                    <w:rPr>
                      <w:rFonts w:hint="default"/>
                      <w:color w:val="auto"/>
                    </w:rPr>
                    <w:t>:</w:t>
                  </w:r>
                  <w:r>
                    <w:rPr>
                      <w:rFonts w:hint="eastAsia"/>
                      <w:color w:val="auto"/>
                      <w:lang w:val="en-US" w:eastAsia="zh-CN"/>
                    </w:rPr>
                    <w:t>16</w:t>
                  </w:r>
                </w:p>
              </w:tc>
              <w:tc>
                <w:tcPr>
                  <w:tcW w:w="856" w:type="pct"/>
                  <w:noWrap w:val="0"/>
                  <w:vAlign w:val="center"/>
                </w:tcPr>
                <w:p>
                  <w:pPr>
                    <w:pStyle w:val="18"/>
                    <w:bidi w:val="0"/>
                    <w:rPr>
                      <w:rFonts w:hint="default"/>
                      <w:color w:val="auto"/>
                      <w:lang w:val="en-US" w:eastAsia="zh-CN"/>
                    </w:rPr>
                  </w:pPr>
                  <w:r>
                    <w:rPr>
                      <w:rFonts w:hint="eastAsia"/>
                      <w:color w:val="auto"/>
                      <w:lang w:val="en-US" w:eastAsia="zh-CN"/>
                    </w:rPr>
                    <w:t>53.1</w:t>
                  </w:r>
                </w:p>
              </w:tc>
              <w:tc>
                <w:tcPr>
                  <w:tcW w:w="856" w:type="pct"/>
                  <w:vMerge w:val="continue"/>
                  <w:noWrap w:val="0"/>
                  <w:vAlign w:val="center"/>
                </w:tcPr>
                <w:p>
                  <w:pPr>
                    <w:pStyle w:val="18"/>
                    <w:bidi w:val="0"/>
                    <w:rPr>
                      <w:rFonts w:hint="eastAsia"/>
                      <w:color w:val="auto"/>
                      <w:lang w:val="en-US" w:eastAsia="zh-CN"/>
                    </w:rPr>
                  </w:pPr>
                </w:p>
              </w:tc>
              <w:tc>
                <w:tcPr>
                  <w:tcW w:w="856" w:type="pct"/>
                  <w:noWrap w:val="0"/>
                  <w:vAlign w:val="center"/>
                </w:tcPr>
                <w:p>
                  <w:pPr>
                    <w:pStyle w:val="18"/>
                    <w:bidi w:val="0"/>
                    <w:rPr>
                      <w:rFonts w:hint="eastAsia"/>
                      <w:color w:val="auto"/>
                      <w:lang w:val="en-US" w:eastAsia="zh-CN"/>
                    </w:rPr>
                  </w:pPr>
                  <w:r>
                    <w:rPr>
                      <w:rFonts w:hint="eastAsia"/>
                      <w:color w:val="auto"/>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Merge w:val="restart"/>
                  <w:noWrap w:val="0"/>
                  <w:vAlign w:val="center"/>
                </w:tcPr>
                <w:p>
                  <w:pPr>
                    <w:pStyle w:val="18"/>
                    <w:bidi w:val="0"/>
                    <w:rPr>
                      <w:rFonts w:hint="default"/>
                      <w:color w:val="auto"/>
                      <w:lang w:eastAsia="zh-CN"/>
                    </w:rPr>
                  </w:pPr>
                  <w:r>
                    <w:rPr>
                      <w:rFonts w:hint="eastAsia"/>
                      <w:color w:val="auto"/>
                      <w:lang w:eastAsia="zh-CN"/>
                    </w:rPr>
                    <w:t>厂界</w:t>
                  </w:r>
                  <w:r>
                    <w:rPr>
                      <w:rFonts w:hint="eastAsia"/>
                      <w:color w:val="auto"/>
                      <w:lang w:val="en-US" w:eastAsia="zh-CN"/>
                    </w:rPr>
                    <w:t>4</w:t>
                  </w:r>
                  <w:r>
                    <w:rPr>
                      <w:rFonts w:hint="default"/>
                      <w:color w:val="auto"/>
                      <w:lang w:eastAsia="zh-CN"/>
                    </w:rPr>
                    <w:t>#</w:t>
                  </w:r>
                </w:p>
              </w:tc>
              <w:tc>
                <w:tcPr>
                  <w:tcW w:w="703" w:type="pct"/>
                  <w:vMerge w:val="continue"/>
                  <w:noWrap w:val="0"/>
                  <w:vAlign w:val="center"/>
                </w:tcPr>
                <w:p>
                  <w:pPr>
                    <w:pStyle w:val="18"/>
                    <w:bidi w:val="0"/>
                    <w:rPr>
                      <w:rFonts w:hint="default"/>
                      <w:color w:val="auto"/>
                    </w:rPr>
                  </w:pPr>
                </w:p>
              </w:tc>
              <w:tc>
                <w:tcPr>
                  <w:tcW w:w="705" w:type="pct"/>
                  <w:noWrap w:val="0"/>
                  <w:vAlign w:val="center"/>
                </w:tcPr>
                <w:p>
                  <w:pPr>
                    <w:pStyle w:val="18"/>
                    <w:bidi w:val="0"/>
                    <w:rPr>
                      <w:rFonts w:hint="default"/>
                      <w:color w:val="auto"/>
                      <w:lang w:val="en-US" w:eastAsia="zh-CN"/>
                    </w:rPr>
                  </w:pPr>
                  <w:r>
                    <w:rPr>
                      <w:rFonts w:hint="eastAsia"/>
                      <w:color w:val="auto"/>
                      <w:lang w:val="en-US" w:eastAsia="zh-CN"/>
                    </w:rPr>
                    <w:t>13</w:t>
                  </w:r>
                  <w:r>
                    <w:rPr>
                      <w:rFonts w:hint="default"/>
                      <w:color w:val="auto"/>
                    </w:rPr>
                    <w:t>:</w:t>
                  </w:r>
                  <w:r>
                    <w:rPr>
                      <w:rFonts w:hint="eastAsia"/>
                      <w:color w:val="auto"/>
                      <w:lang w:val="en-US" w:eastAsia="zh-CN"/>
                    </w:rPr>
                    <w:t>46</w:t>
                  </w:r>
                </w:p>
              </w:tc>
              <w:tc>
                <w:tcPr>
                  <w:tcW w:w="856" w:type="pct"/>
                  <w:noWrap w:val="0"/>
                  <w:vAlign w:val="center"/>
                </w:tcPr>
                <w:p>
                  <w:pPr>
                    <w:pStyle w:val="18"/>
                    <w:bidi w:val="0"/>
                    <w:rPr>
                      <w:rFonts w:hint="default"/>
                      <w:color w:val="auto"/>
                      <w:lang w:val="en-US" w:eastAsia="zh-CN"/>
                    </w:rPr>
                  </w:pPr>
                  <w:r>
                    <w:rPr>
                      <w:rFonts w:hint="eastAsia"/>
                      <w:color w:val="auto"/>
                      <w:lang w:val="en-US" w:eastAsia="zh-CN"/>
                    </w:rPr>
                    <w:t>58.3</w:t>
                  </w:r>
                </w:p>
              </w:tc>
              <w:tc>
                <w:tcPr>
                  <w:tcW w:w="856" w:type="pct"/>
                  <w:vMerge w:val="continue"/>
                  <w:noWrap w:val="0"/>
                  <w:vAlign w:val="center"/>
                </w:tcPr>
                <w:p>
                  <w:pPr>
                    <w:pStyle w:val="18"/>
                    <w:bidi w:val="0"/>
                    <w:rPr>
                      <w:rFonts w:hint="eastAsia"/>
                      <w:color w:val="auto"/>
                      <w:lang w:val="en-US" w:eastAsia="zh-CN"/>
                    </w:rPr>
                  </w:pPr>
                </w:p>
              </w:tc>
              <w:tc>
                <w:tcPr>
                  <w:tcW w:w="856" w:type="pct"/>
                  <w:noWrap w:val="0"/>
                  <w:vAlign w:val="center"/>
                </w:tcPr>
                <w:p>
                  <w:pPr>
                    <w:pStyle w:val="18"/>
                    <w:bidi w:val="0"/>
                    <w:rPr>
                      <w:rFonts w:hint="eastAsia"/>
                      <w:color w:val="auto"/>
                      <w:lang w:val="en-US" w:eastAsia="zh-CN"/>
                    </w:rPr>
                  </w:pPr>
                  <w:r>
                    <w:rPr>
                      <w:rFonts w:hint="eastAsia"/>
                      <w:color w:val="auto"/>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Merge w:val="continue"/>
                  <w:noWrap w:val="0"/>
                  <w:vAlign w:val="center"/>
                </w:tcPr>
                <w:p>
                  <w:pPr>
                    <w:pStyle w:val="18"/>
                    <w:bidi w:val="0"/>
                    <w:rPr>
                      <w:rFonts w:hint="eastAsia"/>
                      <w:color w:val="auto"/>
                      <w:lang w:eastAsia="zh-CN"/>
                    </w:rPr>
                  </w:pPr>
                </w:p>
              </w:tc>
              <w:tc>
                <w:tcPr>
                  <w:tcW w:w="703" w:type="pct"/>
                  <w:vMerge w:val="continue"/>
                  <w:noWrap w:val="0"/>
                  <w:vAlign w:val="center"/>
                </w:tcPr>
                <w:p>
                  <w:pPr>
                    <w:pStyle w:val="18"/>
                    <w:bidi w:val="0"/>
                    <w:rPr>
                      <w:rFonts w:hint="default"/>
                      <w:color w:val="auto"/>
                    </w:rPr>
                  </w:pPr>
                </w:p>
              </w:tc>
              <w:tc>
                <w:tcPr>
                  <w:tcW w:w="705" w:type="pct"/>
                  <w:noWrap w:val="0"/>
                  <w:vAlign w:val="center"/>
                </w:tcPr>
                <w:p>
                  <w:pPr>
                    <w:pStyle w:val="18"/>
                    <w:bidi w:val="0"/>
                    <w:rPr>
                      <w:rFonts w:hint="default"/>
                      <w:color w:val="auto"/>
                      <w:lang w:val="en-US" w:eastAsia="zh-CN"/>
                    </w:rPr>
                  </w:pPr>
                  <w:r>
                    <w:rPr>
                      <w:rFonts w:hint="eastAsia"/>
                      <w:color w:val="auto"/>
                      <w:lang w:val="en-US" w:eastAsia="zh-CN"/>
                    </w:rPr>
                    <w:t>22</w:t>
                  </w:r>
                  <w:r>
                    <w:rPr>
                      <w:rFonts w:hint="default"/>
                      <w:color w:val="auto"/>
                    </w:rPr>
                    <w:t>:</w:t>
                  </w:r>
                  <w:r>
                    <w:rPr>
                      <w:rFonts w:hint="eastAsia"/>
                      <w:color w:val="auto"/>
                      <w:lang w:val="en-US" w:eastAsia="zh-CN"/>
                    </w:rPr>
                    <w:t>22</w:t>
                  </w:r>
                </w:p>
              </w:tc>
              <w:tc>
                <w:tcPr>
                  <w:tcW w:w="856" w:type="pct"/>
                  <w:noWrap w:val="0"/>
                  <w:vAlign w:val="center"/>
                </w:tcPr>
                <w:p>
                  <w:pPr>
                    <w:pStyle w:val="18"/>
                    <w:bidi w:val="0"/>
                    <w:rPr>
                      <w:rFonts w:hint="default"/>
                      <w:color w:val="auto"/>
                      <w:lang w:val="en-US" w:eastAsia="zh-CN"/>
                    </w:rPr>
                  </w:pPr>
                  <w:r>
                    <w:rPr>
                      <w:rFonts w:hint="eastAsia"/>
                      <w:color w:val="auto"/>
                      <w:lang w:val="en-US" w:eastAsia="zh-CN"/>
                    </w:rPr>
                    <w:t>47.2</w:t>
                  </w:r>
                </w:p>
              </w:tc>
              <w:tc>
                <w:tcPr>
                  <w:tcW w:w="856" w:type="pct"/>
                  <w:vMerge w:val="continue"/>
                  <w:noWrap w:val="0"/>
                  <w:vAlign w:val="center"/>
                </w:tcPr>
                <w:p>
                  <w:pPr>
                    <w:pStyle w:val="18"/>
                    <w:bidi w:val="0"/>
                    <w:rPr>
                      <w:rFonts w:hint="eastAsia"/>
                      <w:color w:val="auto"/>
                      <w:lang w:val="en-US" w:eastAsia="zh-CN"/>
                    </w:rPr>
                  </w:pPr>
                </w:p>
              </w:tc>
              <w:tc>
                <w:tcPr>
                  <w:tcW w:w="856" w:type="pct"/>
                  <w:noWrap w:val="0"/>
                  <w:vAlign w:val="center"/>
                </w:tcPr>
                <w:p>
                  <w:pPr>
                    <w:pStyle w:val="18"/>
                    <w:bidi w:val="0"/>
                    <w:rPr>
                      <w:rFonts w:hint="eastAsia"/>
                      <w:color w:val="auto"/>
                      <w:lang w:val="en-US" w:eastAsia="zh-CN"/>
                    </w:rPr>
                  </w:pPr>
                  <w:r>
                    <w:rPr>
                      <w:rFonts w:hint="eastAsia"/>
                      <w:color w:val="auto"/>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Merge w:val="restart"/>
                  <w:noWrap w:val="0"/>
                  <w:vAlign w:val="center"/>
                </w:tcPr>
                <w:p>
                  <w:pPr>
                    <w:pStyle w:val="18"/>
                    <w:bidi w:val="0"/>
                    <w:rPr>
                      <w:rFonts w:hint="default"/>
                      <w:color w:val="auto"/>
                      <w:lang w:eastAsia="zh-CN"/>
                    </w:rPr>
                  </w:pPr>
                  <w:r>
                    <w:rPr>
                      <w:rFonts w:hint="eastAsia"/>
                      <w:color w:val="auto"/>
                      <w:lang w:eastAsia="zh-CN"/>
                    </w:rPr>
                    <w:t>厂界</w:t>
                  </w:r>
                  <w:r>
                    <w:rPr>
                      <w:rFonts w:hint="default"/>
                      <w:color w:val="auto"/>
                      <w:lang w:eastAsia="zh-CN"/>
                    </w:rPr>
                    <w:t>1#</w:t>
                  </w:r>
                </w:p>
              </w:tc>
              <w:tc>
                <w:tcPr>
                  <w:tcW w:w="703" w:type="pct"/>
                  <w:vMerge w:val="restart"/>
                  <w:noWrap w:val="0"/>
                  <w:vAlign w:val="center"/>
                </w:tcPr>
                <w:p>
                  <w:pPr>
                    <w:pStyle w:val="18"/>
                    <w:bidi w:val="0"/>
                    <w:rPr>
                      <w:rFonts w:hint="default"/>
                      <w:color w:val="auto"/>
                      <w:lang w:val="en-US" w:eastAsia="zh-CN"/>
                    </w:rPr>
                  </w:pPr>
                  <w:r>
                    <w:rPr>
                      <w:rFonts w:hint="eastAsia"/>
                      <w:color w:val="auto"/>
                      <w:lang w:val="en-US" w:eastAsia="zh-CN"/>
                    </w:rPr>
                    <w:t>2019.11.18</w:t>
                  </w:r>
                </w:p>
              </w:tc>
              <w:tc>
                <w:tcPr>
                  <w:tcW w:w="705" w:type="pct"/>
                  <w:noWrap w:val="0"/>
                  <w:vAlign w:val="center"/>
                </w:tcPr>
                <w:p>
                  <w:pPr>
                    <w:pStyle w:val="18"/>
                    <w:bidi w:val="0"/>
                    <w:rPr>
                      <w:rFonts w:hint="default"/>
                      <w:color w:val="auto"/>
                      <w:lang w:val="en-US" w:eastAsia="zh-CN"/>
                    </w:rPr>
                  </w:pPr>
                  <w:r>
                    <w:rPr>
                      <w:rFonts w:hint="eastAsia"/>
                      <w:color w:val="auto"/>
                      <w:lang w:val="en-US" w:eastAsia="zh-CN"/>
                    </w:rPr>
                    <w:t>12</w:t>
                  </w:r>
                  <w:r>
                    <w:rPr>
                      <w:rFonts w:hint="default"/>
                      <w:color w:val="auto"/>
                    </w:rPr>
                    <w:t>:</w:t>
                  </w:r>
                  <w:r>
                    <w:rPr>
                      <w:rFonts w:hint="eastAsia"/>
                      <w:color w:val="auto"/>
                      <w:lang w:val="en-US" w:eastAsia="zh-CN"/>
                    </w:rPr>
                    <w:t>23</w:t>
                  </w:r>
                </w:p>
              </w:tc>
              <w:tc>
                <w:tcPr>
                  <w:tcW w:w="856" w:type="pct"/>
                  <w:noWrap w:val="0"/>
                  <w:vAlign w:val="center"/>
                </w:tcPr>
                <w:p>
                  <w:pPr>
                    <w:pStyle w:val="18"/>
                    <w:bidi w:val="0"/>
                    <w:rPr>
                      <w:rFonts w:hint="default"/>
                      <w:color w:val="auto"/>
                      <w:lang w:val="en-US" w:eastAsia="zh-CN"/>
                    </w:rPr>
                  </w:pPr>
                  <w:r>
                    <w:rPr>
                      <w:rFonts w:hint="eastAsia"/>
                      <w:color w:val="auto"/>
                      <w:lang w:val="en-US" w:eastAsia="zh-CN"/>
                    </w:rPr>
                    <w:t>61.4</w:t>
                  </w:r>
                </w:p>
              </w:tc>
              <w:tc>
                <w:tcPr>
                  <w:tcW w:w="856" w:type="pct"/>
                  <w:vMerge w:val="continue"/>
                  <w:noWrap w:val="0"/>
                  <w:vAlign w:val="center"/>
                </w:tcPr>
                <w:p>
                  <w:pPr>
                    <w:pStyle w:val="18"/>
                    <w:bidi w:val="0"/>
                    <w:rPr>
                      <w:rFonts w:hint="eastAsia"/>
                      <w:color w:val="auto"/>
                      <w:lang w:val="en-US" w:eastAsia="zh-CN"/>
                    </w:rPr>
                  </w:pPr>
                </w:p>
              </w:tc>
              <w:tc>
                <w:tcPr>
                  <w:tcW w:w="856" w:type="pct"/>
                  <w:noWrap w:val="0"/>
                  <w:vAlign w:val="center"/>
                </w:tcPr>
                <w:p>
                  <w:pPr>
                    <w:pStyle w:val="18"/>
                    <w:bidi w:val="0"/>
                    <w:rPr>
                      <w:rFonts w:hint="eastAsia"/>
                      <w:color w:val="auto"/>
                      <w:lang w:val="en-US" w:eastAsia="zh-CN"/>
                    </w:rPr>
                  </w:pPr>
                  <w:r>
                    <w:rPr>
                      <w:rFonts w:hint="eastAsia"/>
                      <w:color w:val="auto"/>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Merge w:val="continue"/>
                  <w:noWrap w:val="0"/>
                  <w:vAlign w:val="center"/>
                </w:tcPr>
                <w:p>
                  <w:pPr>
                    <w:pStyle w:val="18"/>
                    <w:bidi w:val="0"/>
                    <w:rPr>
                      <w:rFonts w:hint="eastAsia"/>
                      <w:color w:val="auto"/>
                      <w:lang w:eastAsia="zh-CN"/>
                    </w:rPr>
                  </w:pPr>
                </w:p>
              </w:tc>
              <w:tc>
                <w:tcPr>
                  <w:tcW w:w="703" w:type="pct"/>
                  <w:vMerge w:val="continue"/>
                  <w:noWrap w:val="0"/>
                  <w:vAlign w:val="center"/>
                </w:tcPr>
                <w:p>
                  <w:pPr>
                    <w:pStyle w:val="18"/>
                    <w:bidi w:val="0"/>
                    <w:rPr>
                      <w:rFonts w:hint="default"/>
                      <w:color w:val="auto"/>
                    </w:rPr>
                  </w:pPr>
                </w:p>
              </w:tc>
              <w:tc>
                <w:tcPr>
                  <w:tcW w:w="705" w:type="pct"/>
                  <w:noWrap w:val="0"/>
                  <w:vAlign w:val="center"/>
                </w:tcPr>
                <w:p>
                  <w:pPr>
                    <w:pStyle w:val="18"/>
                    <w:bidi w:val="0"/>
                    <w:rPr>
                      <w:rFonts w:hint="default"/>
                      <w:color w:val="auto"/>
                      <w:lang w:val="en-US" w:eastAsia="zh-CN"/>
                    </w:rPr>
                  </w:pPr>
                  <w:r>
                    <w:rPr>
                      <w:rFonts w:hint="eastAsia"/>
                      <w:color w:val="auto"/>
                      <w:lang w:val="en-US" w:eastAsia="zh-CN"/>
                    </w:rPr>
                    <w:t>22</w:t>
                  </w:r>
                  <w:r>
                    <w:rPr>
                      <w:rFonts w:hint="default"/>
                      <w:color w:val="auto"/>
                    </w:rPr>
                    <w:t>:</w:t>
                  </w:r>
                  <w:r>
                    <w:rPr>
                      <w:rFonts w:hint="eastAsia"/>
                      <w:color w:val="auto"/>
                      <w:lang w:val="en-US" w:eastAsia="zh-CN"/>
                    </w:rPr>
                    <w:t>02</w:t>
                  </w:r>
                </w:p>
              </w:tc>
              <w:tc>
                <w:tcPr>
                  <w:tcW w:w="856" w:type="pct"/>
                  <w:noWrap w:val="0"/>
                  <w:vAlign w:val="center"/>
                </w:tcPr>
                <w:p>
                  <w:pPr>
                    <w:pStyle w:val="18"/>
                    <w:bidi w:val="0"/>
                    <w:rPr>
                      <w:rFonts w:hint="default"/>
                      <w:color w:val="auto"/>
                      <w:lang w:val="en-US" w:eastAsia="zh-CN"/>
                    </w:rPr>
                  </w:pPr>
                  <w:r>
                    <w:rPr>
                      <w:rFonts w:hint="eastAsia"/>
                      <w:color w:val="auto"/>
                      <w:lang w:val="en-US" w:eastAsia="zh-CN"/>
                    </w:rPr>
                    <w:t>48.2</w:t>
                  </w:r>
                </w:p>
              </w:tc>
              <w:tc>
                <w:tcPr>
                  <w:tcW w:w="856" w:type="pct"/>
                  <w:vMerge w:val="continue"/>
                  <w:noWrap w:val="0"/>
                  <w:vAlign w:val="center"/>
                </w:tcPr>
                <w:p>
                  <w:pPr>
                    <w:pStyle w:val="18"/>
                    <w:bidi w:val="0"/>
                    <w:rPr>
                      <w:rFonts w:hint="eastAsia"/>
                      <w:color w:val="auto"/>
                      <w:lang w:val="en-US" w:eastAsia="zh-CN"/>
                    </w:rPr>
                  </w:pPr>
                </w:p>
              </w:tc>
              <w:tc>
                <w:tcPr>
                  <w:tcW w:w="856" w:type="pct"/>
                  <w:noWrap w:val="0"/>
                  <w:vAlign w:val="center"/>
                </w:tcPr>
                <w:p>
                  <w:pPr>
                    <w:pStyle w:val="18"/>
                    <w:bidi w:val="0"/>
                    <w:rPr>
                      <w:rFonts w:hint="eastAsia"/>
                      <w:color w:val="auto"/>
                      <w:lang w:val="en-US" w:eastAsia="zh-CN"/>
                    </w:rPr>
                  </w:pPr>
                  <w:r>
                    <w:rPr>
                      <w:rFonts w:hint="eastAsia"/>
                      <w:color w:val="auto"/>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Merge w:val="restart"/>
                  <w:noWrap w:val="0"/>
                  <w:vAlign w:val="center"/>
                </w:tcPr>
                <w:p>
                  <w:pPr>
                    <w:pStyle w:val="18"/>
                    <w:bidi w:val="0"/>
                    <w:rPr>
                      <w:rFonts w:hint="default"/>
                      <w:color w:val="auto"/>
                      <w:lang w:eastAsia="zh-CN"/>
                    </w:rPr>
                  </w:pPr>
                  <w:r>
                    <w:rPr>
                      <w:rFonts w:hint="eastAsia"/>
                      <w:color w:val="auto"/>
                      <w:lang w:eastAsia="zh-CN"/>
                    </w:rPr>
                    <w:t>厂界</w:t>
                  </w:r>
                  <w:r>
                    <w:rPr>
                      <w:rFonts w:hint="eastAsia"/>
                      <w:color w:val="auto"/>
                      <w:lang w:val="en-US" w:eastAsia="zh-CN"/>
                    </w:rPr>
                    <w:t>2</w:t>
                  </w:r>
                  <w:r>
                    <w:rPr>
                      <w:rFonts w:hint="default"/>
                      <w:color w:val="auto"/>
                      <w:lang w:eastAsia="zh-CN"/>
                    </w:rPr>
                    <w:t>#</w:t>
                  </w:r>
                </w:p>
              </w:tc>
              <w:tc>
                <w:tcPr>
                  <w:tcW w:w="703" w:type="pct"/>
                  <w:vMerge w:val="continue"/>
                  <w:noWrap w:val="0"/>
                  <w:vAlign w:val="center"/>
                </w:tcPr>
                <w:p>
                  <w:pPr>
                    <w:pStyle w:val="18"/>
                    <w:bidi w:val="0"/>
                    <w:rPr>
                      <w:rFonts w:hint="default"/>
                      <w:color w:val="auto"/>
                    </w:rPr>
                  </w:pPr>
                </w:p>
              </w:tc>
              <w:tc>
                <w:tcPr>
                  <w:tcW w:w="705" w:type="pct"/>
                  <w:noWrap w:val="0"/>
                  <w:vAlign w:val="center"/>
                </w:tcPr>
                <w:p>
                  <w:pPr>
                    <w:pStyle w:val="18"/>
                    <w:bidi w:val="0"/>
                    <w:rPr>
                      <w:rFonts w:hint="default"/>
                      <w:color w:val="auto"/>
                      <w:lang w:val="en-US" w:eastAsia="zh-CN"/>
                    </w:rPr>
                  </w:pPr>
                  <w:r>
                    <w:rPr>
                      <w:rFonts w:hint="eastAsia"/>
                      <w:color w:val="auto"/>
                      <w:lang w:val="en-US" w:eastAsia="zh-CN"/>
                    </w:rPr>
                    <w:t>12</w:t>
                  </w:r>
                  <w:r>
                    <w:rPr>
                      <w:rFonts w:hint="default"/>
                      <w:color w:val="auto"/>
                    </w:rPr>
                    <w:t>:</w:t>
                  </w:r>
                  <w:r>
                    <w:rPr>
                      <w:rFonts w:hint="eastAsia"/>
                      <w:color w:val="auto"/>
                      <w:lang w:val="en-US" w:eastAsia="zh-CN"/>
                    </w:rPr>
                    <w:t>30</w:t>
                  </w:r>
                </w:p>
              </w:tc>
              <w:tc>
                <w:tcPr>
                  <w:tcW w:w="856" w:type="pct"/>
                  <w:noWrap w:val="0"/>
                  <w:vAlign w:val="center"/>
                </w:tcPr>
                <w:p>
                  <w:pPr>
                    <w:pStyle w:val="18"/>
                    <w:bidi w:val="0"/>
                    <w:rPr>
                      <w:rFonts w:hint="default"/>
                      <w:color w:val="auto"/>
                      <w:lang w:val="en-US" w:eastAsia="zh-CN"/>
                    </w:rPr>
                  </w:pPr>
                  <w:r>
                    <w:rPr>
                      <w:rFonts w:hint="eastAsia"/>
                      <w:color w:val="auto"/>
                      <w:lang w:val="en-US" w:eastAsia="zh-CN"/>
                    </w:rPr>
                    <w:t>63.7</w:t>
                  </w:r>
                </w:p>
              </w:tc>
              <w:tc>
                <w:tcPr>
                  <w:tcW w:w="856" w:type="pct"/>
                  <w:vMerge w:val="continue"/>
                  <w:noWrap w:val="0"/>
                  <w:vAlign w:val="center"/>
                </w:tcPr>
                <w:p>
                  <w:pPr>
                    <w:pStyle w:val="18"/>
                    <w:bidi w:val="0"/>
                    <w:rPr>
                      <w:rFonts w:hint="eastAsia"/>
                      <w:color w:val="auto"/>
                      <w:lang w:val="en-US" w:eastAsia="zh-CN"/>
                    </w:rPr>
                  </w:pPr>
                </w:p>
              </w:tc>
              <w:tc>
                <w:tcPr>
                  <w:tcW w:w="856" w:type="pct"/>
                  <w:noWrap w:val="0"/>
                  <w:vAlign w:val="center"/>
                </w:tcPr>
                <w:p>
                  <w:pPr>
                    <w:pStyle w:val="18"/>
                    <w:bidi w:val="0"/>
                    <w:rPr>
                      <w:rFonts w:hint="eastAsia"/>
                      <w:color w:val="auto"/>
                      <w:lang w:val="en-US" w:eastAsia="zh-CN"/>
                    </w:rPr>
                  </w:pPr>
                  <w:r>
                    <w:rPr>
                      <w:rFonts w:hint="eastAsia"/>
                      <w:color w:val="auto"/>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Merge w:val="continue"/>
                  <w:noWrap w:val="0"/>
                  <w:vAlign w:val="center"/>
                </w:tcPr>
                <w:p>
                  <w:pPr>
                    <w:pStyle w:val="18"/>
                    <w:bidi w:val="0"/>
                    <w:rPr>
                      <w:rFonts w:hint="eastAsia"/>
                      <w:color w:val="auto"/>
                      <w:lang w:eastAsia="zh-CN"/>
                    </w:rPr>
                  </w:pPr>
                </w:p>
              </w:tc>
              <w:tc>
                <w:tcPr>
                  <w:tcW w:w="703" w:type="pct"/>
                  <w:vMerge w:val="continue"/>
                  <w:noWrap w:val="0"/>
                  <w:vAlign w:val="center"/>
                </w:tcPr>
                <w:p>
                  <w:pPr>
                    <w:pStyle w:val="18"/>
                    <w:bidi w:val="0"/>
                    <w:rPr>
                      <w:rFonts w:hint="default"/>
                      <w:color w:val="auto"/>
                    </w:rPr>
                  </w:pPr>
                </w:p>
              </w:tc>
              <w:tc>
                <w:tcPr>
                  <w:tcW w:w="705" w:type="pct"/>
                  <w:noWrap w:val="0"/>
                  <w:vAlign w:val="center"/>
                </w:tcPr>
                <w:p>
                  <w:pPr>
                    <w:pStyle w:val="18"/>
                    <w:bidi w:val="0"/>
                    <w:rPr>
                      <w:rFonts w:hint="default"/>
                      <w:color w:val="auto"/>
                      <w:lang w:val="en-US" w:eastAsia="zh-CN"/>
                    </w:rPr>
                  </w:pPr>
                  <w:r>
                    <w:rPr>
                      <w:rFonts w:hint="eastAsia"/>
                      <w:color w:val="auto"/>
                      <w:lang w:val="en-US" w:eastAsia="zh-CN"/>
                    </w:rPr>
                    <w:t>22</w:t>
                  </w:r>
                  <w:r>
                    <w:rPr>
                      <w:rFonts w:hint="default"/>
                      <w:color w:val="auto"/>
                    </w:rPr>
                    <w:t>:</w:t>
                  </w:r>
                  <w:r>
                    <w:rPr>
                      <w:rFonts w:hint="eastAsia"/>
                      <w:color w:val="auto"/>
                      <w:lang w:val="en-US" w:eastAsia="zh-CN"/>
                    </w:rPr>
                    <w:t>10</w:t>
                  </w:r>
                </w:p>
              </w:tc>
              <w:tc>
                <w:tcPr>
                  <w:tcW w:w="856" w:type="pct"/>
                  <w:noWrap w:val="0"/>
                  <w:vAlign w:val="center"/>
                </w:tcPr>
                <w:p>
                  <w:pPr>
                    <w:pStyle w:val="18"/>
                    <w:bidi w:val="0"/>
                    <w:rPr>
                      <w:rFonts w:hint="default"/>
                      <w:color w:val="auto"/>
                      <w:lang w:val="en-US" w:eastAsia="zh-CN"/>
                    </w:rPr>
                  </w:pPr>
                  <w:r>
                    <w:rPr>
                      <w:rFonts w:hint="eastAsia"/>
                      <w:color w:val="auto"/>
                      <w:lang w:val="en-US" w:eastAsia="zh-CN"/>
                    </w:rPr>
                    <w:t>46.9</w:t>
                  </w:r>
                </w:p>
              </w:tc>
              <w:tc>
                <w:tcPr>
                  <w:tcW w:w="856" w:type="pct"/>
                  <w:vMerge w:val="continue"/>
                  <w:noWrap w:val="0"/>
                  <w:vAlign w:val="center"/>
                </w:tcPr>
                <w:p>
                  <w:pPr>
                    <w:pStyle w:val="18"/>
                    <w:bidi w:val="0"/>
                    <w:rPr>
                      <w:rFonts w:hint="eastAsia"/>
                      <w:color w:val="auto"/>
                      <w:lang w:val="en-US" w:eastAsia="zh-CN"/>
                    </w:rPr>
                  </w:pPr>
                </w:p>
              </w:tc>
              <w:tc>
                <w:tcPr>
                  <w:tcW w:w="856" w:type="pct"/>
                  <w:noWrap w:val="0"/>
                  <w:vAlign w:val="center"/>
                </w:tcPr>
                <w:p>
                  <w:pPr>
                    <w:pStyle w:val="18"/>
                    <w:bidi w:val="0"/>
                    <w:rPr>
                      <w:rFonts w:hint="eastAsia"/>
                      <w:color w:val="auto"/>
                      <w:lang w:val="en-US" w:eastAsia="zh-CN"/>
                    </w:rPr>
                  </w:pPr>
                  <w:r>
                    <w:rPr>
                      <w:rFonts w:hint="eastAsia"/>
                      <w:color w:val="auto"/>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Merge w:val="restart"/>
                  <w:noWrap w:val="0"/>
                  <w:vAlign w:val="center"/>
                </w:tcPr>
                <w:p>
                  <w:pPr>
                    <w:pStyle w:val="18"/>
                    <w:bidi w:val="0"/>
                    <w:rPr>
                      <w:rFonts w:hint="default"/>
                      <w:color w:val="auto"/>
                      <w:lang w:eastAsia="zh-CN"/>
                    </w:rPr>
                  </w:pPr>
                  <w:r>
                    <w:rPr>
                      <w:rFonts w:hint="eastAsia"/>
                      <w:color w:val="auto"/>
                      <w:lang w:eastAsia="zh-CN"/>
                    </w:rPr>
                    <w:t>厂界</w:t>
                  </w:r>
                  <w:r>
                    <w:rPr>
                      <w:rFonts w:hint="eastAsia"/>
                      <w:color w:val="auto"/>
                      <w:lang w:val="en-US" w:eastAsia="zh-CN"/>
                    </w:rPr>
                    <w:t>3</w:t>
                  </w:r>
                  <w:r>
                    <w:rPr>
                      <w:rFonts w:hint="default"/>
                      <w:color w:val="auto"/>
                      <w:lang w:eastAsia="zh-CN"/>
                    </w:rPr>
                    <w:t>#</w:t>
                  </w:r>
                </w:p>
              </w:tc>
              <w:tc>
                <w:tcPr>
                  <w:tcW w:w="703" w:type="pct"/>
                  <w:vMerge w:val="continue"/>
                  <w:noWrap w:val="0"/>
                  <w:vAlign w:val="center"/>
                </w:tcPr>
                <w:p>
                  <w:pPr>
                    <w:pStyle w:val="18"/>
                    <w:bidi w:val="0"/>
                    <w:rPr>
                      <w:rFonts w:hint="default"/>
                      <w:color w:val="auto"/>
                    </w:rPr>
                  </w:pPr>
                </w:p>
              </w:tc>
              <w:tc>
                <w:tcPr>
                  <w:tcW w:w="705" w:type="pct"/>
                  <w:noWrap w:val="0"/>
                  <w:vAlign w:val="center"/>
                </w:tcPr>
                <w:p>
                  <w:pPr>
                    <w:pStyle w:val="18"/>
                    <w:bidi w:val="0"/>
                    <w:rPr>
                      <w:rFonts w:hint="default"/>
                      <w:color w:val="auto"/>
                      <w:lang w:val="en-US" w:eastAsia="zh-CN"/>
                    </w:rPr>
                  </w:pPr>
                  <w:r>
                    <w:rPr>
                      <w:rFonts w:hint="eastAsia"/>
                      <w:color w:val="auto"/>
                      <w:lang w:val="en-US" w:eastAsia="zh-CN"/>
                    </w:rPr>
                    <w:t>12</w:t>
                  </w:r>
                  <w:r>
                    <w:rPr>
                      <w:rFonts w:hint="default"/>
                      <w:color w:val="auto"/>
                    </w:rPr>
                    <w:t>:</w:t>
                  </w:r>
                  <w:r>
                    <w:rPr>
                      <w:rFonts w:hint="eastAsia"/>
                      <w:color w:val="auto"/>
                      <w:lang w:val="en-US" w:eastAsia="zh-CN"/>
                    </w:rPr>
                    <w:t>36</w:t>
                  </w:r>
                </w:p>
              </w:tc>
              <w:tc>
                <w:tcPr>
                  <w:tcW w:w="856" w:type="pct"/>
                  <w:noWrap w:val="0"/>
                  <w:vAlign w:val="center"/>
                </w:tcPr>
                <w:p>
                  <w:pPr>
                    <w:pStyle w:val="18"/>
                    <w:bidi w:val="0"/>
                    <w:rPr>
                      <w:rFonts w:hint="default"/>
                      <w:color w:val="auto"/>
                      <w:lang w:val="en-US" w:eastAsia="zh-CN"/>
                    </w:rPr>
                  </w:pPr>
                  <w:r>
                    <w:rPr>
                      <w:rFonts w:hint="eastAsia"/>
                      <w:color w:val="auto"/>
                      <w:lang w:val="en-US" w:eastAsia="zh-CN"/>
                    </w:rPr>
                    <w:t>61.2</w:t>
                  </w:r>
                </w:p>
              </w:tc>
              <w:tc>
                <w:tcPr>
                  <w:tcW w:w="856" w:type="pct"/>
                  <w:vMerge w:val="continue"/>
                  <w:noWrap w:val="0"/>
                  <w:vAlign w:val="center"/>
                </w:tcPr>
                <w:p>
                  <w:pPr>
                    <w:pStyle w:val="18"/>
                    <w:bidi w:val="0"/>
                    <w:rPr>
                      <w:rFonts w:hint="eastAsia"/>
                      <w:color w:val="auto"/>
                      <w:lang w:val="en-US" w:eastAsia="zh-CN"/>
                    </w:rPr>
                  </w:pPr>
                </w:p>
              </w:tc>
              <w:tc>
                <w:tcPr>
                  <w:tcW w:w="856" w:type="pct"/>
                  <w:noWrap w:val="0"/>
                  <w:vAlign w:val="center"/>
                </w:tcPr>
                <w:p>
                  <w:pPr>
                    <w:pStyle w:val="18"/>
                    <w:bidi w:val="0"/>
                    <w:rPr>
                      <w:rFonts w:hint="eastAsia"/>
                      <w:color w:val="auto"/>
                      <w:lang w:val="en-US" w:eastAsia="zh-CN"/>
                    </w:rPr>
                  </w:pPr>
                  <w:r>
                    <w:rPr>
                      <w:rFonts w:hint="eastAsia"/>
                      <w:color w:val="auto"/>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Merge w:val="continue"/>
                  <w:noWrap w:val="0"/>
                  <w:vAlign w:val="center"/>
                </w:tcPr>
                <w:p>
                  <w:pPr>
                    <w:pStyle w:val="18"/>
                    <w:bidi w:val="0"/>
                    <w:rPr>
                      <w:rFonts w:hint="eastAsia"/>
                      <w:color w:val="auto"/>
                      <w:lang w:eastAsia="zh-CN"/>
                    </w:rPr>
                  </w:pPr>
                </w:p>
              </w:tc>
              <w:tc>
                <w:tcPr>
                  <w:tcW w:w="703" w:type="pct"/>
                  <w:vMerge w:val="continue"/>
                  <w:noWrap w:val="0"/>
                  <w:vAlign w:val="center"/>
                </w:tcPr>
                <w:p>
                  <w:pPr>
                    <w:pStyle w:val="18"/>
                    <w:bidi w:val="0"/>
                    <w:rPr>
                      <w:rFonts w:hint="default"/>
                      <w:color w:val="auto"/>
                    </w:rPr>
                  </w:pPr>
                </w:p>
              </w:tc>
              <w:tc>
                <w:tcPr>
                  <w:tcW w:w="705" w:type="pct"/>
                  <w:noWrap w:val="0"/>
                  <w:vAlign w:val="center"/>
                </w:tcPr>
                <w:p>
                  <w:pPr>
                    <w:pStyle w:val="18"/>
                    <w:bidi w:val="0"/>
                    <w:rPr>
                      <w:rFonts w:hint="default"/>
                      <w:color w:val="auto"/>
                      <w:lang w:val="en-US" w:eastAsia="zh-CN"/>
                    </w:rPr>
                  </w:pPr>
                  <w:r>
                    <w:rPr>
                      <w:rFonts w:hint="eastAsia"/>
                      <w:color w:val="auto"/>
                      <w:lang w:val="en-US" w:eastAsia="zh-CN"/>
                    </w:rPr>
                    <w:t>22</w:t>
                  </w:r>
                  <w:r>
                    <w:rPr>
                      <w:rFonts w:hint="default"/>
                      <w:color w:val="auto"/>
                    </w:rPr>
                    <w:t>:</w:t>
                  </w:r>
                  <w:r>
                    <w:rPr>
                      <w:rFonts w:hint="eastAsia"/>
                      <w:color w:val="auto"/>
                      <w:lang w:val="en-US" w:eastAsia="zh-CN"/>
                    </w:rPr>
                    <w:t>22</w:t>
                  </w:r>
                </w:p>
              </w:tc>
              <w:tc>
                <w:tcPr>
                  <w:tcW w:w="856" w:type="pct"/>
                  <w:noWrap w:val="0"/>
                  <w:vAlign w:val="center"/>
                </w:tcPr>
                <w:p>
                  <w:pPr>
                    <w:pStyle w:val="18"/>
                    <w:bidi w:val="0"/>
                    <w:rPr>
                      <w:rFonts w:hint="default"/>
                      <w:color w:val="auto"/>
                      <w:lang w:val="en-US" w:eastAsia="zh-CN"/>
                    </w:rPr>
                  </w:pPr>
                  <w:r>
                    <w:rPr>
                      <w:rFonts w:hint="eastAsia"/>
                      <w:color w:val="auto"/>
                      <w:lang w:val="en-US" w:eastAsia="zh-CN"/>
                    </w:rPr>
                    <w:t>46.2</w:t>
                  </w:r>
                </w:p>
              </w:tc>
              <w:tc>
                <w:tcPr>
                  <w:tcW w:w="856" w:type="pct"/>
                  <w:vMerge w:val="continue"/>
                  <w:noWrap w:val="0"/>
                  <w:vAlign w:val="center"/>
                </w:tcPr>
                <w:p>
                  <w:pPr>
                    <w:pStyle w:val="18"/>
                    <w:bidi w:val="0"/>
                    <w:rPr>
                      <w:rFonts w:hint="eastAsia"/>
                      <w:color w:val="auto"/>
                      <w:lang w:val="en-US" w:eastAsia="zh-CN"/>
                    </w:rPr>
                  </w:pPr>
                </w:p>
              </w:tc>
              <w:tc>
                <w:tcPr>
                  <w:tcW w:w="856" w:type="pct"/>
                  <w:noWrap w:val="0"/>
                  <w:vAlign w:val="center"/>
                </w:tcPr>
                <w:p>
                  <w:pPr>
                    <w:pStyle w:val="18"/>
                    <w:bidi w:val="0"/>
                    <w:rPr>
                      <w:rFonts w:hint="eastAsia"/>
                      <w:color w:val="auto"/>
                      <w:lang w:val="en-US" w:eastAsia="zh-CN"/>
                    </w:rPr>
                  </w:pPr>
                  <w:r>
                    <w:rPr>
                      <w:rFonts w:hint="eastAsia"/>
                      <w:color w:val="auto"/>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Merge w:val="restart"/>
                  <w:noWrap w:val="0"/>
                  <w:vAlign w:val="center"/>
                </w:tcPr>
                <w:p>
                  <w:pPr>
                    <w:pStyle w:val="18"/>
                    <w:bidi w:val="0"/>
                    <w:rPr>
                      <w:rFonts w:hint="default"/>
                      <w:color w:val="auto"/>
                      <w:lang w:eastAsia="zh-CN"/>
                    </w:rPr>
                  </w:pPr>
                  <w:r>
                    <w:rPr>
                      <w:rFonts w:hint="eastAsia"/>
                      <w:color w:val="auto"/>
                      <w:lang w:eastAsia="zh-CN"/>
                    </w:rPr>
                    <w:t>厂界</w:t>
                  </w:r>
                  <w:r>
                    <w:rPr>
                      <w:rFonts w:hint="eastAsia"/>
                      <w:color w:val="auto"/>
                      <w:lang w:val="en-US" w:eastAsia="zh-CN"/>
                    </w:rPr>
                    <w:t>4</w:t>
                  </w:r>
                  <w:r>
                    <w:rPr>
                      <w:rFonts w:hint="default"/>
                      <w:color w:val="auto"/>
                      <w:lang w:eastAsia="zh-CN"/>
                    </w:rPr>
                    <w:t>#</w:t>
                  </w:r>
                </w:p>
              </w:tc>
              <w:tc>
                <w:tcPr>
                  <w:tcW w:w="703" w:type="pct"/>
                  <w:vMerge w:val="continue"/>
                  <w:noWrap w:val="0"/>
                  <w:vAlign w:val="center"/>
                </w:tcPr>
                <w:p>
                  <w:pPr>
                    <w:pStyle w:val="18"/>
                    <w:bidi w:val="0"/>
                    <w:rPr>
                      <w:rFonts w:hint="default"/>
                      <w:color w:val="auto"/>
                    </w:rPr>
                  </w:pPr>
                </w:p>
              </w:tc>
              <w:tc>
                <w:tcPr>
                  <w:tcW w:w="705" w:type="pct"/>
                  <w:noWrap w:val="0"/>
                  <w:vAlign w:val="center"/>
                </w:tcPr>
                <w:p>
                  <w:pPr>
                    <w:pStyle w:val="18"/>
                    <w:bidi w:val="0"/>
                    <w:rPr>
                      <w:rFonts w:hint="default"/>
                      <w:color w:val="auto"/>
                      <w:lang w:val="en-US" w:eastAsia="zh-CN"/>
                    </w:rPr>
                  </w:pPr>
                  <w:r>
                    <w:rPr>
                      <w:rFonts w:hint="eastAsia"/>
                      <w:color w:val="auto"/>
                      <w:lang w:val="en-US" w:eastAsia="zh-CN"/>
                    </w:rPr>
                    <w:t>12</w:t>
                  </w:r>
                  <w:r>
                    <w:rPr>
                      <w:rFonts w:hint="default"/>
                      <w:color w:val="auto"/>
                    </w:rPr>
                    <w:t>:</w:t>
                  </w:r>
                  <w:r>
                    <w:rPr>
                      <w:rFonts w:hint="eastAsia"/>
                      <w:color w:val="auto"/>
                      <w:lang w:val="en-US" w:eastAsia="zh-CN"/>
                    </w:rPr>
                    <w:t>44</w:t>
                  </w:r>
                </w:p>
              </w:tc>
              <w:tc>
                <w:tcPr>
                  <w:tcW w:w="856" w:type="pct"/>
                  <w:noWrap w:val="0"/>
                  <w:vAlign w:val="center"/>
                </w:tcPr>
                <w:p>
                  <w:pPr>
                    <w:pStyle w:val="18"/>
                    <w:bidi w:val="0"/>
                    <w:rPr>
                      <w:rFonts w:hint="default"/>
                      <w:color w:val="auto"/>
                      <w:lang w:val="en-US" w:eastAsia="zh-CN"/>
                    </w:rPr>
                  </w:pPr>
                  <w:r>
                    <w:rPr>
                      <w:rFonts w:hint="eastAsia"/>
                      <w:color w:val="auto"/>
                      <w:lang w:val="en-US" w:eastAsia="zh-CN"/>
                    </w:rPr>
                    <w:t>62.9</w:t>
                  </w:r>
                </w:p>
              </w:tc>
              <w:tc>
                <w:tcPr>
                  <w:tcW w:w="856" w:type="pct"/>
                  <w:vMerge w:val="continue"/>
                  <w:noWrap w:val="0"/>
                  <w:vAlign w:val="center"/>
                </w:tcPr>
                <w:p>
                  <w:pPr>
                    <w:pStyle w:val="18"/>
                    <w:bidi w:val="0"/>
                    <w:rPr>
                      <w:rFonts w:hint="eastAsia"/>
                      <w:color w:val="auto"/>
                      <w:lang w:val="en-US" w:eastAsia="zh-CN"/>
                    </w:rPr>
                  </w:pPr>
                </w:p>
              </w:tc>
              <w:tc>
                <w:tcPr>
                  <w:tcW w:w="856" w:type="pct"/>
                  <w:noWrap w:val="0"/>
                  <w:vAlign w:val="center"/>
                </w:tcPr>
                <w:p>
                  <w:pPr>
                    <w:pStyle w:val="18"/>
                    <w:bidi w:val="0"/>
                    <w:rPr>
                      <w:rFonts w:hint="eastAsia"/>
                      <w:color w:val="auto"/>
                      <w:lang w:val="en-US" w:eastAsia="zh-CN"/>
                    </w:rPr>
                  </w:pPr>
                  <w:r>
                    <w:rPr>
                      <w:rFonts w:hint="eastAsia"/>
                      <w:color w:val="auto"/>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 w:type="pct"/>
                  <w:vMerge w:val="continue"/>
                  <w:noWrap w:val="0"/>
                  <w:vAlign w:val="center"/>
                </w:tcPr>
                <w:p>
                  <w:pPr>
                    <w:pStyle w:val="18"/>
                    <w:bidi w:val="0"/>
                    <w:rPr>
                      <w:rFonts w:hint="eastAsia"/>
                      <w:color w:val="auto"/>
                      <w:lang w:eastAsia="zh-CN"/>
                    </w:rPr>
                  </w:pPr>
                </w:p>
              </w:tc>
              <w:tc>
                <w:tcPr>
                  <w:tcW w:w="703" w:type="pct"/>
                  <w:vMerge w:val="continue"/>
                  <w:noWrap w:val="0"/>
                  <w:vAlign w:val="center"/>
                </w:tcPr>
                <w:p>
                  <w:pPr>
                    <w:pStyle w:val="18"/>
                    <w:bidi w:val="0"/>
                    <w:rPr>
                      <w:rFonts w:hint="default"/>
                      <w:color w:val="auto"/>
                    </w:rPr>
                  </w:pPr>
                </w:p>
              </w:tc>
              <w:tc>
                <w:tcPr>
                  <w:tcW w:w="705" w:type="pct"/>
                  <w:noWrap w:val="0"/>
                  <w:vAlign w:val="center"/>
                </w:tcPr>
                <w:p>
                  <w:pPr>
                    <w:pStyle w:val="18"/>
                    <w:bidi w:val="0"/>
                    <w:rPr>
                      <w:rFonts w:hint="default"/>
                      <w:color w:val="auto"/>
                      <w:lang w:val="en-US" w:eastAsia="zh-CN"/>
                    </w:rPr>
                  </w:pPr>
                  <w:r>
                    <w:rPr>
                      <w:rFonts w:hint="eastAsia"/>
                      <w:color w:val="auto"/>
                      <w:lang w:val="en-US" w:eastAsia="zh-CN"/>
                    </w:rPr>
                    <w:t>22</w:t>
                  </w:r>
                  <w:r>
                    <w:rPr>
                      <w:rFonts w:hint="default"/>
                      <w:color w:val="auto"/>
                    </w:rPr>
                    <w:t>:</w:t>
                  </w:r>
                  <w:r>
                    <w:rPr>
                      <w:rFonts w:hint="eastAsia"/>
                      <w:color w:val="auto"/>
                      <w:lang w:val="en-US" w:eastAsia="zh-CN"/>
                    </w:rPr>
                    <w:t>28</w:t>
                  </w:r>
                </w:p>
              </w:tc>
              <w:tc>
                <w:tcPr>
                  <w:tcW w:w="856" w:type="pct"/>
                  <w:noWrap w:val="0"/>
                  <w:vAlign w:val="center"/>
                </w:tcPr>
                <w:p>
                  <w:pPr>
                    <w:pStyle w:val="18"/>
                    <w:bidi w:val="0"/>
                    <w:rPr>
                      <w:rFonts w:hint="default"/>
                      <w:color w:val="auto"/>
                      <w:lang w:val="en-US" w:eastAsia="zh-CN"/>
                    </w:rPr>
                  </w:pPr>
                  <w:r>
                    <w:rPr>
                      <w:rFonts w:hint="eastAsia"/>
                      <w:color w:val="auto"/>
                      <w:lang w:val="en-US" w:eastAsia="zh-CN"/>
                    </w:rPr>
                    <w:t>49.0</w:t>
                  </w:r>
                </w:p>
              </w:tc>
              <w:tc>
                <w:tcPr>
                  <w:tcW w:w="856" w:type="pct"/>
                  <w:vMerge w:val="continue"/>
                  <w:noWrap w:val="0"/>
                  <w:vAlign w:val="center"/>
                </w:tcPr>
                <w:p>
                  <w:pPr>
                    <w:pStyle w:val="18"/>
                    <w:bidi w:val="0"/>
                    <w:rPr>
                      <w:rFonts w:hint="eastAsia"/>
                      <w:color w:val="auto"/>
                      <w:lang w:val="en-US" w:eastAsia="zh-CN"/>
                    </w:rPr>
                  </w:pPr>
                </w:p>
              </w:tc>
              <w:tc>
                <w:tcPr>
                  <w:tcW w:w="856" w:type="pct"/>
                  <w:noWrap w:val="0"/>
                  <w:vAlign w:val="center"/>
                </w:tcPr>
                <w:p>
                  <w:pPr>
                    <w:pStyle w:val="18"/>
                    <w:bidi w:val="0"/>
                    <w:rPr>
                      <w:rFonts w:hint="eastAsia"/>
                      <w:color w:val="auto"/>
                      <w:lang w:val="en-US" w:eastAsia="zh-CN"/>
                    </w:rPr>
                  </w:pPr>
                  <w:r>
                    <w:rPr>
                      <w:rFonts w:hint="eastAsia"/>
                      <w:color w:val="auto"/>
                      <w:lang w:val="en-US" w:eastAsia="zh-CN"/>
                    </w:rPr>
                    <w:t>达标</w:t>
                  </w:r>
                </w:p>
              </w:tc>
            </w:tr>
            <w:bookmarkEnd w:id="64"/>
          </w:tbl>
          <w:p>
            <w:pPr>
              <w:pageBreakBefore w:val="0"/>
              <w:kinsoku/>
              <w:wordWrap/>
              <w:overflowPunct/>
              <w:topLinePunct w:val="0"/>
              <w:autoSpaceDE/>
              <w:autoSpaceDN/>
              <w:bidi w:val="0"/>
              <w:adjustRightInd w:val="0"/>
              <w:snapToGrid w:val="0"/>
              <w:spacing w:line="360" w:lineRule="auto"/>
              <w:ind w:left="0" w:leftChars="0" w:firstLine="480" w:firstLineChars="200"/>
              <w:textAlignment w:val="auto"/>
              <w:rPr>
                <w:rFonts w:hint="default"/>
                <w:color w:val="auto"/>
              </w:rPr>
            </w:pPr>
            <w:r>
              <w:rPr>
                <w:rFonts w:hint="default"/>
                <w:color w:val="auto"/>
              </w:rPr>
              <w:t>4、生态环境现状</w:t>
            </w:r>
          </w:p>
          <w:p>
            <w:pPr>
              <w:pageBreakBefore w:val="0"/>
              <w:kinsoku/>
              <w:wordWrap/>
              <w:overflowPunct/>
              <w:topLinePunct w:val="0"/>
              <w:autoSpaceDE/>
              <w:autoSpaceDN/>
              <w:bidi w:val="0"/>
              <w:spacing w:line="360" w:lineRule="auto"/>
              <w:ind w:firstLine="480"/>
              <w:textAlignment w:val="auto"/>
              <w:rPr>
                <w:rFonts w:hint="default"/>
                <w:color w:val="auto"/>
                <w:lang w:val="zh-CN"/>
              </w:rPr>
            </w:pPr>
            <w:bookmarkStart w:id="65" w:name="OLE_LINK37"/>
            <w:r>
              <w:rPr>
                <w:rFonts w:hint="default"/>
                <w:color w:val="auto"/>
                <w:lang w:val="zh-CN"/>
              </w:rPr>
              <w:t>项目位于富民工业园区，由于受人为活动影响，已无原生植被</w:t>
            </w:r>
            <w:bookmarkEnd w:id="65"/>
            <w:r>
              <w:rPr>
                <w:rFonts w:hint="default"/>
                <w:color w:val="auto"/>
                <w:lang w:val="zh-CN"/>
              </w:rPr>
              <w:t>。</w:t>
            </w:r>
          </w:p>
          <w:p>
            <w:pPr>
              <w:pageBreakBefore w:val="0"/>
              <w:kinsoku/>
              <w:wordWrap/>
              <w:overflowPunct/>
              <w:topLinePunct w:val="0"/>
              <w:autoSpaceDE/>
              <w:autoSpaceDN/>
              <w:bidi w:val="0"/>
              <w:spacing w:line="360" w:lineRule="auto"/>
              <w:ind w:firstLine="480"/>
              <w:textAlignment w:val="auto"/>
              <w:rPr>
                <w:rFonts w:hint="default"/>
                <w:color w:val="auto"/>
              </w:rPr>
            </w:pPr>
            <w:r>
              <w:rPr>
                <w:rFonts w:hint="default"/>
                <w:color w:val="auto"/>
                <w:lang w:val="en-US" w:eastAsia="zh-CN"/>
              </w:rPr>
              <w:t>5</w:t>
            </w:r>
            <w:r>
              <w:rPr>
                <w:rFonts w:hint="default"/>
                <w:color w:val="auto"/>
              </w:rPr>
              <w:t>、主要环境保护目标（列出名单及保护级别）：</w:t>
            </w:r>
          </w:p>
          <w:p>
            <w:pPr>
              <w:pageBreakBefore w:val="0"/>
              <w:kinsoku/>
              <w:wordWrap/>
              <w:overflowPunct/>
              <w:topLinePunct w:val="0"/>
              <w:autoSpaceDE/>
              <w:autoSpaceDN/>
              <w:bidi w:val="0"/>
              <w:spacing w:line="360" w:lineRule="auto"/>
              <w:textAlignment w:val="auto"/>
              <w:rPr>
                <w:rFonts w:hint="default"/>
                <w:color w:val="auto"/>
              </w:rPr>
            </w:pPr>
            <w:r>
              <w:rPr>
                <w:rFonts w:hint="default"/>
                <w:color w:val="auto"/>
              </w:rPr>
              <w:t>项目位于</w:t>
            </w:r>
            <w:r>
              <w:rPr>
                <w:rFonts w:hint="default"/>
                <w:color w:val="auto"/>
                <w:lang w:eastAsia="zh-CN"/>
              </w:rPr>
              <w:t>富民工业园区大营五金建材产业园片区</w:t>
            </w:r>
            <w:r>
              <w:rPr>
                <w:rFonts w:hint="default"/>
                <w:color w:val="auto"/>
              </w:rPr>
              <w:t>，</w:t>
            </w:r>
            <w:r>
              <w:rPr>
                <w:rFonts w:hint="default"/>
                <w:color w:val="auto"/>
                <w:lang w:eastAsia="zh-CN"/>
              </w:rPr>
              <w:t>项目周围</w:t>
            </w:r>
            <w:r>
              <w:rPr>
                <w:rFonts w:hint="default"/>
                <w:color w:val="auto"/>
                <w:lang w:val="en-US" w:eastAsia="zh-CN"/>
              </w:rPr>
              <w:t>200m范围</w:t>
            </w:r>
            <w:r>
              <w:rPr>
                <w:rFonts w:hint="default"/>
                <w:color w:val="auto"/>
                <w:lang w:eastAsia="zh-CN"/>
              </w:rPr>
              <w:t>无声环境敏感目标，</w:t>
            </w:r>
            <w:r>
              <w:rPr>
                <w:rFonts w:hint="default"/>
                <w:color w:val="auto"/>
              </w:rPr>
              <w:t>周围主要</w:t>
            </w:r>
            <w:r>
              <w:rPr>
                <w:rFonts w:hint="default"/>
                <w:color w:val="auto"/>
                <w:lang w:eastAsia="zh-CN"/>
              </w:rPr>
              <w:t>大气和水</w:t>
            </w:r>
            <w:r>
              <w:rPr>
                <w:rFonts w:hint="default"/>
                <w:color w:val="auto"/>
              </w:rPr>
              <w:t>环境保护目标详见表3</w:t>
            </w:r>
            <w:r>
              <w:rPr>
                <w:rFonts w:hint="default"/>
                <w:color w:val="auto"/>
                <w:lang w:val="en-US" w:eastAsia="zh-CN"/>
              </w:rPr>
              <w:t>-3</w:t>
            </w:r>
            <w:r>
              <w:rPr>
                <w:rFonts w:hint="default"/>
                <w:color w:val="auto"/>
              </w:rPr>
              <w:t>。</w:t>
            </w:r>
          </w:p>
          <w:p>
            <w:pPr>
              <w:pStyle w:val="19"/>
              <w:bidi w:val="0"/>
              <w:rPr>
                <w:rFonts w:hint="default"/>
                <w:color w:val="auto"/>
              </w:rPr>
            </w:pPr>
            <w:r>
              <w:rPr>
                <w:rFonts w:hint="default"/>
                <w:color w:val="auto"/>
              </w:rPr>
              <w:t>表3-</w:t>
            </w:r>
            <w:r>
              <w:rPr>
                <w:rFonts w:hint="default"/>
                <w:color w:val="auto"/>
                <w:lang w:val="en-US" w:eastAsia="zh-CN"/>
              </w:rPr>
              <w:t>3</w:t>
            </w:r>
            <w:r>
              <w:rPr>
                <w:rFonts w:hint="default"/>
                <w:color w:val="auto"/>
              </w:rPr>
              <w:t xml:space="preserve">  项目周围环境保护目标一览表</w:t>
            </w:r>
          </w:p>
          <w:tbl>
            <w:tblPr>
              <w:tblStyle w:val="13"/>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1066"/>
              <w:gridCol w:w="1214"/>
              <w:gridCol w:w="1116"/>
              <w:gridCol w:w="990"/>
              <w:gridCol w:w="834"/>
              <w:gridCol w:w="1001"/>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56" w:type="pct"/>
                  <w:vMerge w:val="restart"/>
                  <w:noWrap w:val="0"/>
                  <w:vAlign w:val="center"/>
                </w:tcPr>
                <w:p>
                  <w:pPr>
                    <w:pStyle w:val="18"/>
                    <w:bidi w:val="0"/>
                    <w:rPr>
                      <w:rFonts w:hint="eastAsia"/>
                      <w:color w:val="auto"/>
                      <w:lang w:val="en-US" w:eastAsia="zh-CN"/>
                    </w:rPr>
                  </w:pPr>
                  <w:r>
                    <w:rPr>
                      <w:rFonts w:hint="eastAsia"/>
                      <w:color w:val="auto"/>
                      <w:lang w:val="en-US" w:eastAsia="zh-CN"/>
                    </w:rPr>
                    <w:t>类别</w:t>
                  </w:r>
                </w:p>
              </w:tc>
              <w:tc>
                <w:tcPr>
                  <w:tcW w:w="643" w:type="pct"/>
                  <w:vMerge w:val="restart"/>
                  <w:noWrap w:val="0"/>
                  <w:vAlign w:val="center"/>
                </w:tcPr>
                <w:p>
                  <w:pPr>
                    <w:pStyle w:val="18"/>
                    <w:bidi w:val="0"/>
                    <w:rPr>
                      <w:rFonts w:hint="eastAsia"/>
                      <w:color w:val="auto"/>
                      <w:lang w:val="en-US" w:eastAsia="zh-CN"/>
                    </w:rPr>
                  </w:pPr>
                  <w:r>
                    <w:rPr>
                      <w:rFonts w:hint="eastAsia"/>
                      <w:color w:val="auto"/>
                      <w:lang w:val="en-US" w:eastAsia="zh-CN"/>
                    </w:rPr>
                    <w:t>环境保护目标</w:t>
                  </w:r>
                </w:p>
              </w:tc>
              <w:tc>
                <w:tcPr>
                  <w:tcW w:w="1406" w:type="pct"/>
                  <w:gridSpan w:val="2"/>
                  <w:noWrap w:val="0"/>
                  <w:vAlign w:val="center"/>
                </w:tcPr>
                <w:p>
                  <w:pPr>
                    <w:pStyle w:val="18"/>
                    <w:bidi w:val="0"/>
                    <w:rPr>
                      <w:rFonts w:hint="eastAsia"/>
                      <w:color w:val="auto"/>
                      <w:lang w:val="en-US" w:eastAsia="zh-CN"/>
                    </w:rPr>
                  </w:pPr>
                  <w:r>
                    <w:rPr>
                      <w:rFonts w:hint="eastAsia"/>
                      <w:color w:val="auto"/>
                      <w:lang w:val="en-US" w:eastAsia="zh-CN"/>
                    </w:rPr>
                    <w:t>坐标</w:t>
                  </w:r>
                </w:p>
              </w:tc>
              <w:tc>
                <w:tcPr>
                  <w:tcW w:w="597" w:type="pct"/>
                  <w:vMerge w:val="restart"/>
                  <w:noWrap w:val="0"/>
                  <w:vAlign w:val="center"/>
                </w:tcPr>
                <w:p>
                  <w:pPr>
                    <w:pStyle w:val="18"/>
                    <w:bidi w:val="0"/>
                    <w:rPr>
                      <w:rFonts w:hint="eastAsia"/>
                      <w:color w:val="auto"/>
                      <w:lang w:val="en-US" w:eastAsia="zh-CN"/>
                    </w:rPr>
                  </w:pPr>
                  <w:r>
                    <w:rPr>
                      <w:rFonts w:hint="eastAsia"/>
                      <w:color w:val="auto"/>
                      <w:lang w:val="en-US" w:eastAsia="zh-CN"/>
                    </w:rPr>
                    <w:t>保护规模</w:t>
                  </w:r>
                </w:p>
              </w:tc>
              <w:tc>
                <w:tcPr>
                  <w:tcW w:w="503" w:type="pct"/>
                  <w:vMerge w:val="restart"/>
                  <w:noWrap w:val="0"/>
                  <w:vAlign w:val="center"/>
                </w:tcPr>
                <w:p>
                  <w:pPr>
                    <w:pStyle w:val="18"/>
                    <w:bidi w:val="0"/>
                    <w:rPr>
                      <w:rFonts w:hint="eastAsia"/>
                      <w:color w:val="auto"/>
                      <w:lang w:val="en-US" w:eastAsia="zh-CN"/>
                    </w:rPr>
                  </w:pPr>
                  <w:r>
                    <w:rPr>
                      <w:rFonts w:hint="eastAsia"/>
                      <w:color w:val="auto"/>
                      <w:lang w:val="en-US" w:eastAsia="zh-CN"/>
                    </w:rPr>
                    <w:t>方位</w:t>
                  </w:r>
                </w:p>
              </w:tc>
              <w:tc>
                <w:tcPr>
                  <w:tcW w:w="604" w:type="pct"/>
                  <w:vMerge w:val="restart"/>
                  <w:noWrap w:val="0"/>
                  <w:vAlign w:val="center"/>
                </w:tcPr>
                <w:p>
                  <w:pPr>
                    <w:pStyle w:val="18"/>
                    <w:bidi w:val="0"/>
                    <w:rPr>
                      <w:rFonts w:hint="eastAsia"/>
                      <w:color w:val="auto"/>
                      <w:lang w:val="en-US" w:eastAsia="zh-CN"/>
                    </w:rPr>
                  </w:pPr>
                  <w:r>
                    <w:rPr>
                      <w:rFonts w:hint="eastAsia"/>
                      <w:color w:val="auto"/>
                      <w:lang w:val="en-US" w:eastAsia="zh-CN"/>
                    </w:rPr>
                    <w:t>与厂界最近距离（m）</w:t>
                  </w:r>
                </w:p>
              </w:tc>
              <w:tc>
                <w:tcPr>
                  <w:tcW w:w="988" w:type="pct"/>
                  <w:vMerge w:val="restart"/>
                  <w:noWrap w:val="0"/>
                  <w:vAlign w:val="center"/>
                </w:tcPr>
                <w:p>
                  <w:pPr>
                    <w:pStyle w:val="18"/>
                    <w:bidi w:val="0"/>
                    <w:rPr>
                      <w:rFonts w:hint="eastAsia"/>
                      <w:color w:val="auto"/>
                      <w:lang w:val="en-US" w:eastAsia="zh-CN"/>
                    </w:rPr>
                  </w:pPr>
                  <w:r>
                    <w:rPr>
                      <w:rFonts w:hint="eastAsia"/>
                      <w:color w:val="auto"/>
                      <w:lang w:val="en-US" w:eastAsia="zh-CN"/>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56" w:type="pct"/>
                  <w:vMerge w:val="continue"/>
                  <w:noWrap w:val="0"/>
                  <w:vAlign w:val="center"/>
                </w:tcPr>
                <w:p>
                  <w:pPr>
                    <w:pStyle w:val="18"/>
                    <w:bidi w:val="0"/>
                    <w:rPr>
                      <w:rFonts w:hint="eastAsia"/>
                      <w:color w:val="auto"/>
                      <w:lang w:val="en-US" w:eastAsia="zh-CN"/>
                    </w:rPr>
                  </w:pPr>
                </w:p>
              </w:tc>
              <w:tc>
                <w:tcPr>
                  <w:tcW w:w="643" w:type="pct"/>
                  <w:vMerge w:val="continue"/>
                  <w:noWrap w:val="0"/>
                  <w:vAlign w:val="center"/>
                </w:tcPr>
                <w:p>
                  <w:pPr>
                    <w:pStyle w:val="18"/>
                    <w:bidi w:val="0"/>
                    <w:rPr>
                      <w:rFonts w:hint="eastAsia"/>
                      <w:color w:val="auto"/>
                      <w:lang w:val="en-US" w:eastAsia="zh-CN"/>
                    </w:rPr>
                  </w:pPr>
                </w:p>
              </w:tc>
              <w:tc>
                <w:tcPr>
                  <w:tcW w:w="732" w:type="pct"/>
                  <w:noWrap w:val="0"/>
                  <w:vAlign w:val="center"/>
                </w:tcPr>
                <w:p>
                  <w:pPr>
                    <w:pStyle w:val="18"/>
                    <w:bidi w:val="0"/>
                    <w:rPr>
                      <w:rFonts w:hint="default"/>
                      <w:color w:val="auto"/>
                      <w:lang w:val="en-US" w:eastAsia="zh-CN"/>
                    </w:rPr>
                  </w:pPr>
                  <w:r>
                    <w:rPr>
                      <w:rFonts w:hint="eastAsia"/>
                      <w:color w:val="auto"/>
                      <w:lang w:val="en-US" w:eastAsia="zh-CN"/>
                    </w:rPr>
                    <w:t>经度</w:t>
                  </w:r>
                </w:p>
              </w:tc>
              <w:tc>
                <w:tcPr>
                  <w:tcW w:w="673" w:type="pct"/>
                  <w:noWrap w:val="0"/>
                  <w:vAlign w:val="center"/>
                </w:tcPr>
                <w:p>
                  <w:pPr>
                    <w:pStyle w:val="18"/>
                    <w:bidi w:val="0"/>
                    <w:rPr>
                      <w:rFonts w:hint="eastAsia"/>
                      <w:color w:val="auto"/>
                      <w:lang w:val="en-US" w:eastAsia="zh-CN"/>
                    </w:rPr>
                  </w:pPr>
                  <w:r>
                    <w:rPr>
                      <w:rFonts w:hint="eastAsia"/>
                      <w:color w:val="auto"/>
                      <w:lang w:val="en-US" w:eastAsia="zh-CN"/>
                    </w:rPr>
                    <w:t>纬度</w:t>
                  </w:r>
                </w:p>
              </w:tc>
              <w:tc>
                <w:tcPr>
                  <w:tcW w:w="597" w:type="pct"/>
                  <w:vMerge w:val="continue"/>
                  <w:noWrap w:val="0"/>
                  <w:vAlign w:val="center"/>
                </w:tcPr>
                <w:p>
                  <w:pPr>
                    <w:pStyle w:val="18"/>
                    <w:bidi w:val="0"/>
                    <w:rPr>
                      <w:rFonts w:hint="eastAsia"/>
                      <w:color w:val="auto"/>
                      <w:lang w:val="en-US" w:eastAsia="zh-CN"/>
                    </w:rPr>
                  </w:pPr>
                </w:p>
              </w:tc>
              <w:tc>
                <w:tcPr>
                  <w:tcW w:w="503" w:type="pct"/>
                  <w:vMerge w:val="continue"/>
                  <w:noWrap w:val="0"/>
                  <w:vAlign w:val="center"/>
                </w:tcPr>
                <w:p>
                  <w:pPr>
                    <w:pStyle w:val="18"/>
                    <w:bidi w:val="0"/>
                    <w:rPr>
                      <w:rFonts w:hint="eastAsia"/>
                      <w:color w:val="auto"/>
                      <w:lang w:val="en-US" w:eastAsia="zh-CN"/>
                    </w:rPr>
                  </w:pPr>
                </w:p>
              </w:tc>
              <w:tc>
                <w:tcPr>
                  <w:tcW w:w="604" w:type="pct"/>
                  <w:vMerge w:val="continue"/>
                  <w:noWrap w:val="0"/>
                  <w:vAlign w:val="center"/>
                </w:tcPr>
                <w:p>
                  <w:pPr>
                    <w:pStyle w:val="18"/>
                    <w:bidi w:val="0"/>
                    <w:rPr>
                      <w:rFonts w:hint="eastAsia"/>
                      <w:color w:val="auto"/>
                      <w:lang w:val="en-US" w:eastAsia="zh-CN"/>
                    </w:rPr>
                  </w:pPr>
                </w:p>
              </w:tc>
              <w:tc>
                <w:tcPr>
                  <w:tcW w:w="988"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 w:type="pct"/>
                  <w:vMerge w:val="restart"/>
                  <w:noWrap w:val="0"/>
                  <w:vAlign w:val="center"/>
                </w:tcPr>
                <w:p>
                  <w:pPr>
                    <w:pStyle w:val="18"/>
                    <w:bidi w:val="0"/>
                    <w:rPr>
                      <w:rFonts w:hint="eastAsia"/>
                      <w:color w:val="auto"/>
                      <w:lang w:val="en-US" w:eastAsia="zh-CN"/>
                    </w:rPr>
                  </w:pPr>
                  <w:r>
                    <w:rPr>
                      <w:rFonts w:hint="eastAsia"/>
                      <w:color w:val="auto"/>
                      <w:lang w:val="en-US" w:eastAsia="zh-CN"/>
                    </w:rPr>
                    <w:t>大气环境</w:t>
                  </w:r>
                </w:p>
              </w:tc>
              <w:tc>
                <w:tcPr>
                  <w:tcW w:w="643" w:type="pct"/>
                  <w:noWrap w:val="0"/>
                  <w:vAlign w:val="center"/>
                </w:tcPr>
                <w:p>
                  <w:pPr>
                    <w:pStyle w:val="18"/>
                    <w:bidi w:val="0"/>
                    <w:rPr>
                      <w:rFonts w:hint="eastAsia"/>
                      <w:color w:val="auto"/>
                      <w:lang w:val="en-US" w:eastAsia="zh-CN"/>
                    </w:rPr>
                  </w:pPr>
                  <w:r>
                    <w:rPr>
                      <w:rFonts w:hint="eastAsia"/>
                      <w:color w:val="auto"/>
                      <w:lang w:val="en-US" w:eastAsia="zh-CN"/>
                    </w:rPr>
                    <w:t>滥泥箐</w:t>
                  </w:r>
                </w:p>
              </w:tc>
              <w:tc>
                <w:tcPr>
                  <w:tcW w:w="732" w:type="pct"/>
                  <w:noWrap w:val="0"/>
                  <w:vAlign w:val="center"/>
                </w:tcPr>
                <w:p>
                  <w:pPr>
                    <w:pStyle w:val="18"/>
                    <w:bidi w:val="0"/>
                    <w:rPr>
                      <w:rFonts w:hint="eastAsia"/>
                      <w:color w:val="auto"/>
                      <w:lang w:val="en-US" w:eastAsia="zh-CN"/>
                    </w:rPr>
                  </w:pPr>
                  <w:r>
                    <w:rPr>
                      <w:rFonts w:hint="eastAsia"/>
                      <w:color w:val="auto"/>
                      <w:lang w:val="en-US" w:eastAsia="zh-CN"/>
                    </w:rPr>
                    <w:t>102.530079</w:t>
                  </w:r>
                </w:p>
              </w:tc>
              <w:tc>
                <w:tcPr>
                  <w:tcW w:w="673" w:type="pct"/>
                  <w:noWrap w:val="0"/>
                  <w:vAlign w:val="center"/>
                </w:tcPr>
                <w:p>
                  <w:pPr>
                    <w:pStyle w:val="18"/>
                    <w:bidi w:val="0"/>
                    <w:rPr>
                      <w:rFonts w:hint="eastAsia"/>
                      <w:color w:val="auto"/>
                      <w:lang w:val="en-US" w:eastAsia="zh-CN"/>
                    </w:rPr>
                  </w:pPr>
                  <w:r>
                    <w:rPr>
                      <w:rFonts w:hint="eastAsia"/>
                      <w:color w:val="auto"/>
                      <w:lang w:val="en-US" w:eastAsia="zh-CN"/>
                    </w:rPr>
                    <w:t>25.246132</w:t>
                  </w:r>
                </w:p>
              </w:tc>
              <w:tc>
                <w:tcPr>
                  <w:tcW w:w="597" w:type="pct"/>
                  <w:noWrap w:val="0"/>
                  <w:vAlign w:val="center"/>
                </w:tcPr>
                <w:p>
                  <w:pPr>
                    <w:pStyle w:val="18"/>
                    <w:bidi w:val="0"/>
                    <w:rPr>
                      <w:rFonts w:hint="eastAsia"/>
                      <w:color w:val="auto"/>
                      <w:lang w:val="en-US" w:eastAsia="zh-CN"/>
                    </w:rPr>
                  </w:pPr>
                  <w:r>
                    <w:rPr>
                      <w:rFonts w:hint="eastAsia"/>
                      <w:color w:val="auto"/>
                      <w:lang w:val="en-US" w:eastAsia="zh-CN"/>
                    </w:rPr>
                    <w:t>21户，79人</w:t>
                  </w:r>
                </w:p>
              </w:tc>
              <w:tc>
                <w:tcPr>
                  <w:tcW w:w="503" w:type="pct"/>
                  <w:noWrap w:val="0"/>
                  <w:vAlign w:val="center"/>
                </w:tcPr>
                <w:p>
                  <w:pPr>
                    <w:pStyle w:val="18"/>
                    <w:bidi w:val="0"/>
                    <w:rPr>
                      <w:rFonts w:hint="eastAsia"/>
                      <w:color w:val="auto"/>
                      <w:lang w:val="en-US" w:eastAsia="zh-CN"/>
                    </w:rPr>
                  </w:pPr>
                  <w:r>
                    <w:rPr>
                      <w:rFonts w:hint="eastAsia"/>
                      <w:color w:val="auto"/>
                      <w:lang w:val="en-US" w:eastAsia="zh-CN"/>
                    </w:rPr>
                    <w:t>北面</w:t>
                  </w:r>
                </w:p>
              </w:tc>
              <w:tc>
                <w:tcPr>
                  <w:tcW w:w="604" w:type="pct"/>
                  <w:noWrap w:val="0"/>
                  <w:vAlign w:val="center"/>
                </w:tcPr>
                <w:p>
                  <w:pPr>
                    <w:pStyle w:val="18"/>
                    <w:bidi w:val="0"/>
                    <w:rPr>
                      <w:rFonts w:hint="eastAsia"/>
                      <w:color w:val="auto"/>
                      <w:lang w:val="en-US" w:eastAsia="zh-CN"/>
                    </w:rPr>
                  </w:pPr>
                  <w:r>
                    <w:rPr>
                      <w:rFonts w:hint="eastAsia"/>
                      <w:color w:val="auto"/>
                      <w:lang w:val="en-US" w:eastAsia="zh-CN"/>
                    </w:rPr>
                    <w:t>1560</w:t>
                  </w:r>
                </w:p>
              </w:tc>
              <w:tc>
                <w:tcPr>
                  <w:tcW w:w="988" w:type="pct"/>
                  <w:vMerge w:val="restart"/>
                  <w:noWrap w:val="0"/>
                  <w:vAlign w:val="center"/>
                </w:tcPr>
                <w:p>
                  <w:pPr>
                    <w:pStyle w:val="18"/>
                    <w:bidi w:val="0"/>
                    <w:rPr>
                      <w:rFonts w:hint="eastAsia"/>
                      <w:color w:val="auto"/>
                      <w:lang w:val="en-US" w:eastAsia="zh-CN"/>
                    </w:rPr>
                  </w:pPr>
                  <w:r>
                    <w:rPr>
                      <w:rFonts w:hint="eastAsia"/>
                      <w:color w:val="auto"/>
                      <w:lang w:val="en-US" w:eastAsia="zh-CN"/>
                    </w:rPr>
                    <w:t>《环境空气质量》（GB3095-2012）中二级标准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 w:type="pct"/>
                  <w:vMerge w:val="continue"/>
                  <w:noWrap w:val="0"/>
                  <w:vAlign w:val="center"/>
                </w:tcPr>
                <w:p>
                  <w:pPr>
                    <w:pStyle w:val="18"/>
                    <w:bidi w:val="0"/>
                    <w:rPr>
                      <w:rFonts w:hint="eastAsia"/>
                      <w:color w:val="auto"/>
                      <w:lang w:val="en-US" w:eastAsia="zh-CN"/>
                    </w:rPr>
                  </w:pPr>
                </w:p>
              </w:tc>
              <w:tc>
                <w:tcPr>
                  <w:tcW w:w="643" w:type="pct"/>
                  <w:noWrap w:val="0"/>
                  <w:vAlign w:val="center"/>
                </w:tcPr>
                <w:p>
                  <w:pPr>
                    <w:pStyle w:val="18"/>
                    <w:bidi w:val="0"/>
                    <w:rPr>
                      <w:rFonts w:hint="eastAsia"/>
                      <w:color w:val="auto"/>
                      <w:lang w:val="en-US" w:eastAsia="zh-CN"/>
                    </w:rPr>
                  </w:pPr>
                  <w:r>
                    <w:rPr>
                      <w:rFonts w:hint="eastAsia"/>
                      <w:color w:val="auto"/>
                      <w:lang w:val="en-US" w:eastAsia="zh-CN"/>
                    </w:rPr>
                    <w:t>沙锅村</w:t>
                  </w:r>
                </w:p>
              </w:tc>
              <w:tc>
                <w:tcPr>
                  <w:tcW w:w="732" w:type="pct"/>
                  <w:noWrap w:val="0"/>
                  <w:vAlign w:val="center"/>
                </w:tcPr>
                <w:p>
                  <w:pPr>
                    <w:pStyle w:val="18"/>
                    <w:bidi w:val="0"/>
                    <w:rPr>
                      <w:rFonts w:hint="eastAsia"/>
                      <w:color w:val="auto"/>
                      <w:lang w:val="en-US" w:eastAsia="zh-CN"/>
                    </w:rPr>
                  </w:pPr>
                  <w:r>
                    <w:rPr>
                      <w:rFonts w:hint="eastAsia"/>
                      <w:color w:val="auto"/>
                      <w:lang w:val="en-US" w:eastAsia="zh-CN"/>
                    </w:rPr>
                    <w:t>102.542953</w:t>
                  </w:r>
                </w:p>
              </w:tc>
              <w:tc>
                <w:tcPr>
                  <w:tcW w:w="673" w:type="pct"/>
                  <w:noWrap w:val="0"/>
                  <w:vAlign w:val="center"/>
                </w:tcPr>
                <w:p>
                  <w:pPr>
                    <w:pStyle w:val="18"/>
                    <w:bidi w:val="0"/>
                    <w:rPr>
                      <w:rFonts w:hint="eastAsia"/>
                      <w:color w:val="auto"/>
                      <w:lang w:val="en-US" w:eastAsia="zh-CN"/>
                    </w:rPr>
                  </w:pPr>
                  <w:r>
                    <w:rPr>
                      <w:rFonts w:hint="eastAsia"/>
                      <w:color w:val="auto"/>
                      <w:lang w:val="en-US" w:eastAsia="zh-CN"/>
                    </w:rPr>
                    <w:t>25.224859</w:t>
                  </w:r>
                </w:p>
              </w:tc>
              <w:tc>
                <w:tcPr>
                  <w:tcW w:w="597" w:type="pct"/>
                  <w:noWrap w:val="0"/>
                  <w:vAlign w:val="center"/>
                </w:tcPr>
                <w:p>
                  <w:pPr>
                    <w:pStyle w:val="18"/>
                    <w:bidi w:val="0"/>
                    <w:rPr>
                      <w:rFonts w:hint="eastAsia"/>
                      <w:color w:val="auto"/>
                      <w:lang w:val="en-US" w:eastAsia="zh-CN"/>
                    </w:rPr>
                  </w:pPr>
                  <w:r>
                    <w:rPr>
                      <w:rFonts w:hint="eastAsia"/>
                      <w:color w:val="auto"/>
                      <w:lang w:val="en-US" w:eastAsia="zh-CN"/>
                    </w:rPr>
                    <w:t>369户，1227人</w:t>
                  </w:r>
                </w:p>
              </w:tc>
              <w:tc>
                <w:tcPr>
                  <w:tcW w:w="503" w:type="pct"/>
                  <w:noWrap w:val="0"/>
                  <w:vAlign w:val="center"/>
                </w:tcPr>
                <w:p>
                  <w:pPr>
                    <w:pStyle w:val="18"/>
                    <w:bidi w:val="0"/>
                    <w:rPr>
                      <w:rFonts w:hint="eastAsia"/>
                      <w:color w:val="auto"/>
                      <w:lang w:val="en-US" w:eastAsia="zh-CN"/>
                    </w:rPr>
                  </w:pPr>
                  <w:r>
                    <w:rPr>
                      <w:rFonts w:hint="eastAsia"/>
                      <w:color w:val="auto"/>
                      <w:lang w:val="en-US" w:eastAsia="zh-CN"/>
                    </w:rPr>
                    <w:t>东南面</w:t>
                  </w:r>
                </w:p>
              </w:tc>
              <w:tc>
                <w:tcPr>
                  <w:tcW w:w="604" w:type="pct"/>
                  <w:noWrap w:val="0"/>
                  <w:vAlign w:val="center"/>
                </w:tcPr>
                <w:p>
                  <w:pPr>
                    <w:pStyle w:val="18"/>
                    <w:bidi w:val="0"/>
                    <w:rPr>
                      <w:rFonts w:hint="eastAsia"/>
                      <w:color w:val="auto"/>
                      <w:lang w:val="en-US" w:eastAsia="zh-CN"/>
                    </w:rPr>
                  </w:pPr>
                  <w:r>
                    <w:rPr>
                      <w:rFonts w:hint="eastAsia"/>
                      <w:color w:val="auto"/>
                      <w:lang w:val="en-US" w:eastAsia="zh-CN"/>
                    </w:rPr>
                    <w:t>900</w:t>
                  </w:r>
                </w:p>
              </w:tc>
              <w:tc>
                <w:tcPr>
                  <w:tcW w:w="988"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 w:type="pct"/>
                  <w:vMerge w:val="continue"/>
                  <w:noWrap w:val="0"/>
                  <w:vAlign w:val="center"/>
                </w:tcPr>
                <w:p>
                  <w:pPr>
                    <w:pStyle w:val="18"/>
                    <w:bidi w:val="0"/>
                    <w:rPr>
                      <w:rFonts w:hint="eastAsia"/>
                      <w:color w:val="auto"/>
                      <w:lang w:val="en-US" w:eastAsia="zh-CN"/>
                    </w:rPr>
                  </w:pPr>
                </w:p>
              </w:tc>
              <w:tc>
                <w:tcPr>
                  <w:tcW w:w="643" w:type="pct"/>
                  <w:noWrap w:val="0"/>
                  <w:vAlign w:val="center"/>
                </w:tcPr>
                <w:p>
                  <w:pPr>
                    <w:pStyle w:val="18"/>
                    <w:bidi w:val="0"/>
                    <w:rPr>
                      <w:rFonts w:hint="eastAsia"/>
                      <w:color w:val="auto"/>
                      <w:lang w:val="en-US" w:eastAsia="zh-CN"/>
                    </w:rPr>
                  </w:pPr>
                  <w:r>
                    <w:rPr>
                      <w:rFonts w:hint="eastAsia"/>
                      <w:color w:val="auto"/>
                      <w:lang w:val="en-US" w:eastAsia="zh-CN"/>
                    </w:rPr>
                    <w:t>经典墅（小区）</w:t>
                  </w:r>
                </w:p>
              </w:tc>
              <w:tc>
                <w:tcPr>
                  <w:tcW w:w="732" w:type="pct"/>
                  <w:noWrap w:val="0"/>
                  <w:vAlign w:val="center"/>
                </w:tcPr>
                <w:p>
                  <w:pPr>
                    <w:pStyle w:val="18"/>
                    <w:bidi w:val="0"/>
                    <w:rPr>
                      <w:rFonts w:hint="eastAsia"/>
                      <w:color w:val="auto"/>
                      <w:lang w:val="en-US" w:eastAsia="zh-CN"/>
                    </w:rPr>
                  </w:pPr>
                  <w:r>
                    <w:rPr>
                      <w:rFonts w:hint="eastAsia"/>
                      <w:color w:val="auto"/>
                      <w:lang w:val="en-US" w:eastAsia="zh-CN"/>
                    </w:rPr>
                    <w:t>102.537289</w:t>
                  </w:r>
                </w:p>
              </w:tc>
              <w:tc>
                <w:tcPr>
                  <w:tcW w:w="673" w:type="pct"/>
                  <w:noWrap w:val="0"/>
                  <w:vAlign w:val="center"/>
                </w:tcPr>
                <w:p>
                  <w:pPr>
                    <w:pStyle w:val="18"/>
                    <w:bidi w:val="0"/>
                    <w:rPr>
                      <w:rFonts w:hint="eastAsia"/>
                      <w:color w:val="auto"/>
                      <w:lang w:val="en-US" w:eastAsia="zh-CN"/>
                    </w:rPr>
                  </w:pPr>
                  <w:r>
                    <w:rPr>
                      <w:rFonts w:hint="eastAsia"/>
                      <w:color w:val="auto"/>
                      <w:lang w:val="en-US" w:eastAsia="zh-CN"/>
                    </w:rPr>
                    <w:t>25.215929</w:t>
                  </w:r>
                </w:p>
              </w:tc>
              <w:tc>
                <w:tcPr>
                  <w:tcW w:w="597" w:type="pct"/>
                  <w:noWrap w:val="0"/>
                  <w:vAlign w:val="center"/>
                </w:tcPr>
                <w:p>
                  <w:pPr>
                    <w:pStyle w:val="18"/>
                    <w:bidi w:val="0"/>
                    <w:rPr>
                      <w:rFonts w:hint="eastAsia"/>
                      <w:color w:val="auto"/>
                      <w:lang w:val="en-US" w:eastAsia="zh-CN"/>
                    </w:rPr>
                  </w:pPr>
                  <w:r>
                    <w:rPr>
                      <w:rFonts w:hint="eastAsia"/>
                      <w:color w:val="auto"/>
                      <w:lang w:val="en-US" w:eastAsia="zh-CN"/>
                    </w:rPr>
                    <w:t>320户，1216人</w:t>
                  </w:r>
                </w:p>
              </w:tc>
              <w:tc>
                <w:tcPr>
                  <w:tcW w:w="503" w:type="pct"/>
                  <w:noWrap w:val="0"/>
                  <w:vAlign w:val="center"/>
                </w:tcPr>
                <w:p>
                  <w:pPr>
                    <w:pStyle w:val="18"/>
                    <w:bidi w:val="0"/>
                    <w:rPr>
                      <w:rFonts w:hint="eastAsia"/>
                      <w:color w:val="auto"/>
                      <w:lang w:val="en-US" w:eastAsia="zh-CN"/>
                    </w:rPr>
                  </w:pPr>
                  <w:r>
                    <w:rPr>
                      <w:rFonts w:hint="eastAsia"/>
                      <w:color w:val="auto"/>
                      <w:lang w:val="en-US" w:eastAsia="zh-CN"/>
                    </w:rPr>
                    <w:t>南面</w:t>
                  </w:r>
                </w:p>
              </w:tc>
              <w:tc>
                <w:tcPr>
                  <w:tcW w:w="604" w:type="pct"/>
                  <w:noWrap w:val="0"/>
                  <w:vAlign w:val="center"/>
                </w:tcPr>
                <w:p>
                  <w:pPr>
                    <w:pStyle w:val="18"/>
                    <w:bidi w:val="0"/>
                    <w:rPr>
                      <w:rFonts w:hint="eastAsia"/>
                      <w:color w:val="auto"/>
                      <w:lang w:val="en-US" w:eastAsia="zh-CN"/>
                    </w:rPr>
                  </w:pPr>
                  <w:r>
                    <w:rPr>
                      <w:rFonts w:hint="eastAsia"/>
                      <w:color w:val="auto"/>
                      <w:lang w:val="en-US" w:eastAsia="zh-CN"/>
                    </w:rPr>
                    <w:t>1400</w:t>
                  </w:r>
                </w:p>
              </w:tc>
              <w:tc>
                <w:tcPr>
                  <w:tcW w:w="988"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 w:type="pct"/>
                  <w:vMerge w:val="continue"/>
                  <w:noWrap w:val="0"/>
                  <w:vAlign w:val="center"/>
                </w:tcPr>
                <w:p>
                  <w:pPr>
                    <w:pStyle w:val="18"/>
                    <w:bidi w:val="0"/>
                    <w:rPr>
                      <w:rFonts w:hint="eastAsia"/>
                      <w:color w:val="auto"/>
                      <w:lang w:val="en-US" w:eastAsia="zh-CN"/>
                    </w:rPr>
                  </w:pPr>
                </w:p>
              </w:tc>
              <w:tc>
                <w:tcPr>
                  <w:tcW w:w="643" w:type="pct"/>
                  <w:noWrap w:val="0"/>
                  <w:vAlign w:val="center"/>
                </w:tcPr>
                <w:p>
                  <w:pPr>
                    <w:pStyle w:val="18"/>
                    <w:bidi w:val="0"/>
                    <w:rPr>
                      <w:rFonts w:hint="eastAsia"/>
                      <w:color w:val="auto"/>
                      <w:lang w:val="en-US" w:eastAsia="zh-CN"/>
                    </w:rPr>
                  </w:pPr>
                  <w:r>
                    <w:rPr>
                      <w:rFonts w:hint="eastAsia"/>
                      <w:color w:val="auto"/>
                      <w:lang w:val="en-US" w:eastAsia="zh-CN"/>
                    </w:rPr>
                    <w:t>何管营</w:t>
                  </w:r>
                </w:p>
              </w:tc>
              <w:tc>
                <w:tcPr>
                  <w:tcW w:w="732" w:type="pct"/>
                  <w:noWrap w:val="0"/>
                  <w:vAlign w:val="center"/>
                </w:tcPr>
                <w:p>
                  <w:pPr>
                    <w:pStyle w:val="18"/>
                    <w:bidi w:val="0"/>
                    <w:rPr>
                      <w:rFonts w:hint="eastAsia"/>
                      <w:color w:val="auto"/>
                      <w:lang w:val="en-US" w:eastAsia="zh-CN"/>
                    </w:rPr>
                  </w:pPr>
                  <w:r>
                    <w:rPr>
                      <w:rFonts w:hint="eastAsia"/>
                      <w:color w:val="auto"/>
                      <w:lang w:val="en-US" w:eastAsia="zh-CN"/>
                    </w:rPr>
                    <w:t>102.534285</w:t>
                  </w:r>
                </w:p>
              </w:tc>
              <w:tc>
                <w:tcPr>
                  <w:tcW w:w="673" w:type="pct"/>
                  <w:noWrap w:val="0"/>
                  <w:vAlign w:val="center"/>
                </w:tcPr>
                <w:p>
                  <w:pPr>
                    <w:pStyle w:val="18"/>
                    <w:bidi w:val="0"/>
                    <w:rPr>
                      <w:rFonts w:hint="eastAsia"/>
                      <w:color w:val="auto"/>
                      <w:lang w:val="en-US" w:eastAsia="zh-CN"/>
                    </w:rPr>
                  </w:pPr>
                  <w:r>
                    <w:rPr>
                      <w:rFonts w:hint="eastAsia"/>
                      <w:color w:val="auto"/>
                      <w:lang w:val="en-US" w:eastAsia="zh-CN"/>
                    </w:rPr>
                    <w:t>25.218142</w:t>
                  </w:r>
                </w:p>
              </w:tc>
              <w:tc>
                <w:tcPr>
                  <w:tcW w:w="597" w:type="pct"/>
                  <w:noWrap w:val="0"/>
                  <w:vAlign w:val="center"/>
                </w:tcPr>
                <w:p>
                  <w:pPr>
                    <w:pStyle w:val="18"/>
                    <w:bidi w:val="0"/>
                    <w:rPr>
                      <w:rFonts w:hint="eastAsia"/>
                      <w:color w:val="auto"/>
                      <w:lang w:val="en-US" w:eastAsia="zh-CN"/>
                    </w:rPr>
                  </w:pPr>
                  <w:r>
                    <w:rPr>
                      <w:rFonts w:hint="eastAsia"/>
                      <w:color w:val="auto"/>
                      <w:lang w:val="en-US" w:eastAsia="zh-CN"/>
                    </w:rPr>
                    <w:t>165户，560人</w:t>
                  </w:r>
                </w:p>
              </w:tc>
              <w:tc>
                <w:tcPr>
                  <w:tcW w:w="503" w:type="pct"/>
                  <w:noWrap w:val="0"/>
                  <w:vAlign w:val="center"/>
                </w:tcPr>
                <w:p>
                  <w:pPr>
                    <w:pStyle w:val="18"/>
                    <w:bidi w:val="0"/>
                    <w:rPr>
                      <w:rFonts w:hint="eastAsia"/>
                      <w:color w:val="auto"/>
                      <w:lang w:val="en-US" w:eastAsia="zh-CN"/>
                    </w:rPr>
                  </w:pPr>
                  <w:r>
                    <w:rPr>
                      <w:rFonts w:hint="eastAsia"/>
                      <w:color w:val="auto"/>
                      <w:lang w:val="en-US" w:eastAsia="zh-CN"/>
                    </w:rPr>
                    <w:t>南面</w:t>
                  </w:r>
                </w:p>
              </w:tc>
              <w:tc>
                <w:tcPr>
                  <w:tcW w:w="604" w:type="pct"/>
                  <w:noWrap w:val="0"/>
                  <w:vAlign w:val="center"/>
                </w:tcPr>
                <w:p>
                  <w:pPr>
                    <w:pStyle w:val="18"/>
                    <w:bidi w:val="0"/>
                    <w:rPr>
                      <w:rFonts w:hint="eastAsia"/>
                      <w:color w:val="auto"/>
                      <w:lang w:val="en-US" w:eastAsia="zh-CN"/>
                    </w:rPr>
                  </w:pPr>
                  <w:r>
                    <w:rPr>
                      <w:rFonts w:hint="eastAsia"/>
                      <w:color w:val="auto"/>
                      <w:lang w:val="en-US" w:eastAsia="zh-CN"/>
                    </w:rPr>
                    <w:t>1210</w:t>
                  </w:r>
                </w:p>
              </w:tc>
              <w:tc>
                <w:tcPr>
                  <w:tcW w:w="988"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 w:type="pct"/>
                  <w:vMerge w:val="continue"/>
                  <w:noWrap w:val="0"/>
                  <w:vAlign w:val="center"/>
                </w:tcPr>
                <w:p>
                  <w:pPr>
                    <w:pStyle w:val="18"/>
                    <w:bidi w:val="0"/>
                    <w:rPr>
                      <w:rFonts w:hint="eastAsia"/>
                      <w:color w:val="auto"/>
                      <w:lang w:val="en-US" w:eastAsia="zh-CN"/>
                    </w:rPr>
                  </w:pPr>
                </w:p>
              </w:tc>
              <w:tc>
                <w:tcPr>
                  <w:tcW w:w="643" w:type="pct"/>
                  <w:noWrap w:val="0"/>
                  <w:vAlign w:val="center"/>
                </w:tcPr>
                <w:p>
                  <w:pPr>
                    <w:pStyle w:val="18"/>
                    <w:bidi w:val="0"/>
                    <w:rPr>
                      <w:rFonts w:hint="eastAsia"/>
                      <w:color w:val="auto"/>
                      <w:lang w:val="en-US" w:eastAsia="zh-CN"/>
                    </w:rPr>
                  </w:pPr>
                  <w:r>
                    <w:rPr>
                      <w:rFonts w:hint="eastAsia"/>
                      <w:color w:val="auto"/>
                      <w:lang w:val="en-US" w:eastAsia="zh-CN"/>
                    </w:rPr>
                    <w:t>大营村</w:t>
                  </w:r>
                </w:p>
              </w:tc>
              <w:tc>
                <w:tcPr>
                  <w:tcW w:w="732" w:type="pct"/>
                  <w:noWrap w:val="0"/>
                  <w:vAlign w:val="center"/>
                </w:tcPr>
                <w:p>
                  <w:pPr>
                    <w:pStyle w:val="18"/>
                    <w:bidi w:val="0"/>
                    <w:rPr>
                      <w:rFonts w:hint="eastAsia"/>
                      <w:color w:val="auto"/>
                      <w:lang w:val="en-US" w:eastAsia="zh-CN"/>
                    </w:rPr>
                  </w:pPr>
                  <w:r>
                    <w:rPr>
                      <w:rFonts w:hint="eastAsia"/>
                      <w:color w:val="auto"/>
                      <w:lang w:val="en-US" w:eastAsia="zh-CN"/>
                    </w:rPr>
                    <w:t>102.524800</w:t>
                  </w:r>
                </w:p>
              </w:tc>
              <w:tc>
                <w:tcPr>
                  <w:tcW w:w="673" w:type="pct"/>
                  <w:noWrap w:val="0"/>
                  <w:vAlign w:val="center"/>
                </w:tcPr>
                <w:p>
                  <w:pPr>
                    <w:pStyle w:val="18"/>
                    <w:bidi w:val="0"/>
                    <w:rPr>
                      <w:rFonts w:hint="eastAsia"/>
                      <w:color w:val="auto"/>
                      <w:lang w:val="en-US" w:eastAsia="zh-CN"/>
                    </w:rPr>
                  </w:pPr>
                  <w:r>
                    <w:rPr>
                      <w:rFonts w:hint="eastAsia"/>
                      <w:color w:val="auto"/>
                      <w:lang w:val="en-US" w:eastAsia="zh-CN"/>
                    </w:rPr>
                    <w:t>25.222452</w:t>
                  </w:r>
                </w:p>
              </w:tc>
              <w:tc>
                <w:tcPr>
                  <w:tcW w:w="597" w:type="pct"/>
                  <w:noWrap w:val="0"/>
                  <w:vAlign w:val="center"/>
                </w:tcPr>
                <w:p>
                  <w:pPr>
                    <w:pStyle w:val="18"/>
                    <w:bidi w:val="0"/>
                    <w:rPr>
                      <w:rFonts w:hint="eastAsia"/>
                      <w:color w:val="auto"/>
                      <w:lang w:val="en-US" w:eastAsia="zh-CN"/>
                    </w:rPr>
                  </w:pPr>
                  <w:r>
                    <w:rPr>
                      <w:rFonts w:hint="eastAsia"/>
                      <w:color w:val="auto"/>
                      <w:lang w:val="en-US" w:eastAsia="zh-CN"/>
                    </w:rPr>
                    <w:t>1131户，3473人</w:t>
                  </w:r>
                </w:p>
              </w:tc>
              <w:tc>
                <w:tcPr>
                  <w:tcW w:w="503" w:type="pct"/>
                  <w:noWrap w:val="0"/>
                  <w:vAlign w:val="center"/>
                </w:tcPr>
                <w:p>
                  <w:pPr>
                    <w:pStyle w:val="18"/>
                    <w:bidi w:val="0"/>
                    <w:rPr>
                      <w:rFonts w:hint="eastAsia"/>
                      <w:color w:val="auto"/>
                      <w:lang w:val="en-US" w:eastAsia="zh-CN"/>
                    </w:rPr>
                  </w:pPr>
                  <w:r>
                    <w:rPr>
                      <w:rFonts w:hint="eastAsia"/>
                      <w:color w:val="auto"/>
                      <w:lang w:val="en-US" w:eastAsia="zh-CN"/>
                    </w:rPr>
                    <w:t>西南面</w:t>
                  </w:r>
                </w:p>
              </w:tc>
              <w:tc>
                <w:tcPr>
                  <w:tcW w:w="604" w:type="pct"/>
                  <w:noWrap w:val="0"/>
                  <w:vAlign w:val="center"/>
                </w:tcPr>
                <w:p>
                  <w:pPr>
                    <w:pStyle w:val="18"/>
                    <w:bidi w:val="0"/>
                    <w:rPr>
                      <w:rFonts w:hint="default"/>
                      <w:color w:val="auto"/>
                      <w:lang w:val="en-US" w:eastAsia="zh-CN"/>
                    </w:rPr>
                  </w:pPr>
                  <w:r>
                    <w:rPr>
                      <w:rFonts w:hint="eastAsia"/>
                      <w:color w:val="auto"/>
                      <w:lang w:val="en-US" w:eastAsia="zh-CN"/>
                    </w:rPr>
                    <w:t>1300</w:t>
                  </w:r>
                </w:p>
              </w:tc>
              <w:tc>
                <w:tcPr>
                  <w:tcW w:w="988"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 w:type="pct"/>
                  <w:vMerge w:val="continue"/>
                  <w:noWrap w:val="0"/>
                  <w:vAlign w:val="center"/>
                </w:tcPr>
                <w:p>
                  <w:pPr>
                    <w:pStyle w:val="18"/>
                    <w:bidi w:val="0"/>
                    <w:rPr>
                      <w:rFonts w:hint="eastAsia"/>
                      <w:color w:val="auto"/>
                      <w:lang w:val="en-US" w:eastAsia="zh-CN"/>
                    </w:rPr>
                  </w:pPr>
                </w:p>
              </w:tc>
              <w:tc>
                <w:tcPr>
                  <w:tcW w:w="643" w:type="pct"/>
                  <w:noWrap w:val="0"/>
                  <w:vAlign w:val="center"/>
                </w:tcPr>
                <w:p>
                  <w:pPr>
                    <w:pStyle w:val="18"/>
                    <w:bidi w:val="0"/>
                    <w:rPr>
                      <w:rFonts w:hint="eastAsia"/>
                      <w:color w:val="auto"/>
                      <w:lang w:val="en-US" w:eastAsia="zh-CN"/>
                    </w:rPr>
                  </w:pPr>
                  <w:r>
                    <w:rPr>
                      <w:rFonts w:hint="eastAsia"/>
                      <w:color w:val="auto"/>
                      <w:lang w:val="en-US" w:eastAsia="zh-CN"/>
                    </w:rPr>
                    <w:t>枫桥香山（小区）</w:t>
                  </w:r>
                </w:p>
              </w:tc>
              <w:tc>
                <w:tcPr>
                  <w:tcW w:w="732" w:type="pct"/>
                  <w:noWrap w:val="0"/>
                  <w:vAlign w:val="center"/>
                </w:tcPr>
                <w:p>
                  <w:pPr>
                    <w:pStyle w:val="18"/>
                    <w:bidi w:val="0"/>
                    <w:rPr>
                      <w:rFonts w:hint="eastAsia"/>
                      <w:color w:val="auto"/>
                      <w:lang w:val="en-US" w:eastAsia="zh-CN"/>
                    </w:rPr>
                  </w:pPr>
                  <w:r>
                    <w:rPr>
                      <w:rFonts w:hint="eastAsia"/>
                      <w:color w:val="auto"/>
                      <w:lang w:val="en-US" w:eastAsia="zh-CN"/>
                    </w:rPr>
                    <w:t>102.522740</w:t>
                  </w:r>
                </w:p>
              </w:tc>
              <w:tc>
                <w:tcPr>
                  <w:tcW w:w="673" w:type="pct"/>
                  <w:noWrap w:val="0"/>
                  <w:vAlign w:val="center"/>
                </w:tcPr>
                <w:p>
                  <w:pPr>
                    <w:pStyle w:val="18"/>
                    <w:bidi w:val="0"/>
                    <w:rPr>
                      <w:rFonts w:hint="eastAsia"/>
                      <w:color w:val="auto"/>
                      <w:lang w:val="en-US" w:eastAsia="zh-CN"/>
                    </w:rPr>
                  </w:pPr>
                  <w:r>
                    <w:rPr>
                      <w:rFonts w:hint="eastAsia"/>
                      <w:color w:val="auto"/>
                      <w:lang w:val="en-US" w:eastAsia="zh-CN"/>
                    </w:rPr>
                    <w:t>25.231614</w:t>
                  </w:r>
                </w:p>
              </w:tc>
              <w:tc>
                <w:tcPr>
                  <w:tcW w:w="597" w:type="pct"/>
                  <w:noWrap w:val="0"/>
                  <w:vAlign w:val="center"/>
                </w:tcPr>
                <w:p>
                  <w:pPr>
                    <w:pStyle w:val="18"/>
                    <w:bidi w:val="0"/>
                    <w:rPr>
                      <w:rFonts w:hint="eastAsia"/>
                      <w:color w:val="auto"/>
                      <w:lang w:val="en-US" w:eastAsia="zh-CN"/>
                    </w:rPr>
                  </w:pPr>
                  <w:r>
                    <w:rPr>
                      <w:rFonts w:hint="eastAsia"/>
                      <w:color w:val="auto"/>
                      <w:lang w:val="en-US" w:eastAsia="zh-CN"/>
                    </w:rPr>
                    <w:t>165户，560人</w:t>
                  </w:r>
                </w:p>
              </w:tc>
              <w:tc>
                <w:tcPr>
                  <w:tcW w:w="503" w:type="pct"/>
                  <w:noWrap w:val="0"/>
                  <w:vAlign w:val="center"/>
                </w:tcPr>
                <w:p>
                  <w:pPr>
                    <w:pStyle w:val="18"/>
                    <w:bidi w:val="0"/>
                    <w:rPr>
                      <w:rFonts w:hint="eastAsia"/>
                      <w:color w:val="auto"/>
                      <w:lang w:val="en-US" w:eastAsia="zh-CN"/>
                    </w:rPr>
                  </w:pPr>
                  <w:r>
                    <w:rPr>
                      <w:rFonts w:hint="eastAsia"/>
                      <w:color w:val="auto"/>
                      <w:lang w:val="en-US" w:eastAsia="zh-CN"/>
                    </w:rPr>
                    <w:t>西面</w:t>
                  </w:r>
                </w:p>
              </w:tc>
              <w:tc>
                <w:tcPr>
                  <w:tcW w:w="604" w:type="pct"/>
                  <w:noWrap w:val="0"/>
                  <w:vAlign w:val="center"/>
                </w:tcPr>
                <w:p>
                  <w:pPr>
                    <w:pStyle w:val="18"/>
                    <w:bidi w:val="0"/>
                    <w:rPr>
                      <w:rFonts w:hint="default"/>
                      <w:color w:val="auto"/>
                      <w:lang w:val="en-US" w:eastAsia="zh-CN"/>
                    </w:rPr>
                  </w:pPr>
                  <w:r>
                    <w:rPr>
                      <w:rFonts w:hint="eastAsia"/>
                      <w:color w:val="auto"/>
                      <w:lang w:val="en-US" w:eastAsia="zh-CN"/>
                    </w:rPr>
                    <w:t>820</w:t>
                  </w:r>
                </w:p>
              </w:tc>
              <w:tc>
                <w:tcPr>
                  <w:tcW w:w="988"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 w:type="pct"/>
                  <w:vMerge w:val="continue"/>
                  <w:noWrap w:val="0"/>
                  <w:vAlign w:val="center"/>
                </w:tcPr>
                <w:p>
                  <w:pPr>
                    <w:pStyle w:val="18"/>
                    <w:bidi w:val="0"/>
                    <w:rPr>
                      <w:rFonts w:hint="eastAsia"/>
                      <w:color w:val="auto"/>
                      <w:lang w:val="en-US" w:eastAsia="zh-CN"/>
                    </w:rPr>
                  </w:pPr>
                </w:p>
              </w:tc>
              <w:tc>
                <w:tcPr>
                  <w:tcW w:w="643" w:type="pct"/>
                  <w:noWrap w:val="0"/>
                  <w:vAlign w:val="center"/>
                </w:tcPr>
                <w:p>
                  <w:pPr>
                    <w:pStyle w:val="18"/>
                    <w:bidi w:val="0"/>
                    <w:rPr>
                      <w:rFonts w:hint="eastAsia"/>
                      <w:color w:val="auto"/>
                      <w:lang w:val="en-US" w:eastAsia="zh-CN"/>
                    </w:rPr>
                  </w:pPr>
                  <w:r>
                    <w:rPr>
                      <w:rFonts w:hint="eastAsia"/>
                      <w:color w:val="auto"/>
                      <w:lang w:val="en-US" w:eastAsia="zh-CN"/>
                    </w:rPr>
                    <w:t>张古垄</w:t>
                  </w:r>
                </w:p>
              </w:tc>
              <w:tc>
                <w:tcPr>
                  <w:tcW w:w="732" w:type="pct"/>
                  <w:noWrap w:val="0"/>
                  <w:vAlign w:val="center"/>
                </w:tcPr>
                <w:p>
                  <w:pPr>
                    <w:pStyle w:val="18"/>
                    <w:bidi w:val="0"/>
                    <w:rPr>
                      <w:rFonts w:hint="eastAsia"/>
                      <w:color w:val="auto"/>
                      <w:lang w:val="en-US" w:eastAsia="zh-CN"/>
                    </w:rPr>
                  </w:pPr>
                  <w:r>
                    <w:rPr>
                      <w:rFonts w:hint="eastAsia"/>
                      <w:color w:val="auto"/>
                      <w:lang w:val="en-US" w:eastAsia="zh-CN"/>
                    </w:rPr>
                    <w:t>102.517676</w:t>
                  </w:r>
                </w:p>
              </w:tc>
              <w:tc>
                <w:tcPr>
                  <w:tcW w:w="673" w:type="pct"/>
                  <w:noWrap w:val="0"/>
                  <w:vAlign w:val="center"/>
                </w:tcPr>
                <w:p>
                  <w:pPr>
                    <w:pStyle w:val="18"/>
                    <w:bidi w:val="0"/>
                    <w:rPr>
                      <w:rFonts w:hint="eastAsia"/>
                      <w:color w:val="auto"/>
                      <w:lang w:val="en-US" w:eastAsia="zh-CN"/>
                    </w:rPr>
                  </w:pPr>
                  <w:r>
                    <w:rPr>
                      <w:rFonts w:hint="eastAsia"/>
                      <w:color w:val="auto"/>
                      <w:lang w:val="en-US" w:eastAsia="zh-CN"/>
                    </w:rPr>
                    <w:t>25.230294</w:t>
                  </w:r>
                </w:p>
              </w:tc>
              <w:tc>
                <w:tcPr>
                  <w:tcW w:w="597" w:type="pct"/>
                  <w:noWrap w:val="0"/>
                  <w:vAlign w:val="center"/>
                </w:tcPr>
                <w:p>
                  <w:pPr>
                    <w:pStyle w:val="18"/>
                    <w:bidi w:val="0"/>
                    <w:rPr>
                      <w:rFonts w:hint="eastAsia"/>
                      <w:color w:val="auto"/>
                      <w:lang w:val="en-US" w:eastAsia="zh-CN"/>
                    </w:rPr>
                  </w:pPr>
                  <w:r>
                    <w:rPr>
                      <w:rFonts w:hint="eastAsia"/>
                      <w:color w:val="auto"/>
                      <w:lang w:val="en-US" w:eastAsia="zh-CN"/>
                    </w:rPr>
                    <w:t>81户，332人</w:t>
                  </w:r>
                </w:p>
              </w:tc>
              <w:tc>
                <w:tcPr>
                  <w:tcW w:w="503" w:type="pct"/>
                  <w:noWrap w:val="0"/>
                  <w:vAlign w:val="center"/>
                </w:tcPr>
                <w:p>
                  <w:pPr>
                    <w:pStyle w:val="18"/>
                    <w:bidi w:val="0"/>
                    <w:rPr>
                      <w:rFonts w:hint="eastAsia"/>
                      <w:color w:val="auto"/>
                      <w:lang w:val="en-US" w:eastAsia="zh-CN"/>
                    </w:rPr>
                  </w:pPr>
                  <w:r>
                    <w:rPr>
                      <w:rFonts w:hint="eastAsia"/>
                      <w:color w:val="auto"/>
                      <w:lang w:val="en-US" w:eastAsia="zh-CN"/>
                    </w:rPr>
                    <w:t>西面</w:t>
                  </w:r>
                </w:p>
              </w:tc>
              <w:tc>
                <w:tcPr>
                  <w:tcW w:w="604" w:type="pct"/>
                  <w:noWrap w:val="0"/>
                  <w:vAlign w:val="center"/>
                </w:tcPr>
                <w:p>
                  <w:pPr>
                    <w:pStyle w:val="18"/>
                    <w:bidi w:val="0"/>
                    <w:rPr>
                      <w:rFonts w:hint="default"/>
                      <w:color w:val="auto"/>
                      <w:lang w:val="en-US" w:eastAsia="zh-CN"/>
                    </w:rPr>
                  </w:pPr>
                  <w:r>
                    <w:rPr>
                      <w:rFonts w:hint="eastAsia"/>
                      <w:color w:val="auto"/>
                      <w:lang w:val="en-US" w:eastAsia="zh-CN"/>
                    </w:rPr>
                    <w:t>1600</w:t>
                  </w:r>
                </w:p>
              </w:tc>
              <w:tc>
                <w:tcPr>
                  <w:tcW w:w="988"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 w:type="pct"/>
                  <w:vMerge w:val="continue"/>
                  <w:noWrap w:val="0"/>
                  <w:vAlign w:val="center"/>
                </w:tcPr>
                <w:p>
                  <w:pPr>
                    <w:pStyle w:val="18"/>
                    <w:bidi w:val="0"/>
                    <w:rPr>
                      <w:rFonts w:hint="eastAsia"/>
                      <w:color w:val="auto"/>
                      <w:lang w:val="en-US" w:eastAsia="zh-CN"/>
                    </w:rPr>
                  </w:pPr>
                </w:p>
              </w:tc>
              <w:tc>
                <w:tcPr>
                  <w:tcW w:w="643" w:type="pct"/>
                  <w:noWrap w:val="0"/>
                  <w:vAlign w:val="center"/>
                </w:tcPr>
                <w:p>
                  <w:pPr>
                    <w:pStyle w:val="18"/>
                    <w:bidi w:val="0"/>
                    <w:rPr>
                      <w:rFonts w:hint="eastAsia"/>
                      <w:color w:val="auto"/>
                      <w:lang w:val="en-US" w:eastAsia="zh-CN"/>
                    </w:rPr>
                  </w:pPr>
                  <w:r>
                    <w:rPr>
                      <w:rFonts w:hint="eastAsia"/>
                      <w:color w:val="auto"/>
                      <w:lang w:val="en-US" w:eastAsia="zh-CN"/>
                    </w:rPr>
                    <w:t>麦竜村</w:t>
                  </w:r>
                </w:p>
              </w:tc>
              <w:tc>
                <w:tcPr>
                  <w:tcW w:w="732" w:type="pct"/>
                  <w:noWrap w:val="0"/>
                  <w:vAlign w:val="center"/>
                </w:tcPr>
                <w:p>
                  <w:pPr>
                    <w:pStyle w:val="18"/>
                    <w:bidi w:val="0"/>
                    <w:rPr>
                      <w:rFonts w:hint="eastAsia"/>
                      <w:color w:val="auto"/>
                      <w:lang w:val="en-US" w:eastAsia="zh-CN"/>
                    </w:rPr>
                  </w:pPr>
                  <w:r>
                    <w:rPr>
                      <w:rFonts w:hint="eastAsia"/>
                      <w:color w:val="auto"/>
                      <w:lang w:val="en-US" w:eastAsia="zh-CN"/>
                    </w:rPr>
                    <w:t>102.511969</w:t>
                  </w:r>
                </w:p>
              </w:tc>
              <w:tc>
                <w:tcPr>
                  <w:tcW w:w="673" w:type="pct"/>
                  <w:noWrap w:val="0"/>
                  <w:vAlign w:val="center"/>
                </w:tcPr>
                <w:p>
                  <w:pPr>
                    <w:pStyle w:val="18"/>
                    <w:bidi w:val="0"/>
                    <w:rPr>
                      <w:rFonts w:hint="eastAsia"/>
                      <w:color w:val="auto"/>
                      <w:lang w:val="en-US" w:eastAsia="zh-CN"/>
                    </w:rPr>
                  </w:pPr>
                  <w:r>
                    <w:rPr>
                      <w:rFonts w:hint="eastAsia"/>
                      <w:color w:val="auto"/>
                      <w:lang w:val="en-US" w:eastAsia="zh-CN"/>
                    </w:rPr>
                    <w:t>25.246016</w:t>
                  </w:r>
                </w:p>
              </w:tc>
              <w:tc>
                <w:tcPr>
                  <w:tcW w:w="597" w:type="pct"/>
                  <w:noWrap w:val="0"/>
                  <w:vAlign w:val="center"/>
                </w:tcPr>
                <w:p>
                  <w:pPr>
                    <w:pStyle w:val="18"/>
                    <w:bidi w:val="0"/>
                    <w:rPr>
                      <w:rFonts w:hint="eastAsia"/>
                      <w:color w:val="auto"/>
                      <w:lang w:val="en-US" w:eastAsia="zh-CN"/>
                    </w:rPr>
                  </w:pPr>
                  <w:r>
                    <w:rPr>
                      <w:rFonts w:hint="eastAsia"/>
                      <w:color w:val="auto"/>
                      <w:lang w:val="en-US" w:eastAsia="zh-CN"/>
                    </w:rPr>
                    <w:t>123户，417人</w:t>
                  </w:r>
                </w:p>
              </w:tc>
              <w:tc>
                <w:tcPr>
                  <w:tcW w:w="503" w:type="pct"/>
                  <w:noWrap w:val="0"/>
                  <w:vAlign w:val="center"/>
                </w:tcPr>
                <w:p>
                  <w:pPr>
                    <w:pStyle w:val="18"/>
                    <w:bidi w:val="0"/>
                    <w:rPr>
                      <w:rFonts w:hint="eastAsia"/>
                      <w:color w:val="auto"/>
                      <w:lang w:val="en-US" w:eastAsia="zh-CN"/>
                    </w:rPr>
                  </w:pPr>
                  <w:r>
                    <w:rPr>
                      <w:rFonts w:hint="eastAsia"/>
                      <w:color w:val="auto"/>
                      <w:lang w:val="en-US" w:eastAsia="zh-CN"/>
                    </w:rPr>
                    <w:t>西北面</w:t>
                  </w:r>
                </w:p>
              </w:tc>
              <w:tc>
                <w:tcPr>
                  <w:tcW w:w="604" w:type="pct"/>
                  <w:noWrap w:val="0"/>
                  <w:vAlign w:val="center"/>
                </w:tcPr>
                <w:p>
                  <w:pPr>
                    <w:pStyle w:val="18"/>
                    <w:bidi w:val="0"/>
                    <w:rPr>
                      <w:rFonts w:hint="default"/>
                      <w:color w:val="auto"/>
                      <w:lang w:val="en-US" w:eastAsia="zh-CN"/>
                    </w:rPr>
                  </w:pPr>
                  <w:r>
                    <w:rPr>
                      <w:rFonts w:hint="eastAsia"/>
                      <w:color w:val="auto"/>
                      <w:lang w:val="en-US" w:eastAsia="zh-CN"/>
                    </w:rPr>
                    <w:t>2600</w:t>
                  </w:r>
                </w:p>
              </w:tc>
              <w:tc>
                <w:tcPr>
                  <w:tcW w:w="988"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 w:type="pct"/>
                  <w:vMerge w:val="continue"/>
                  <w:noWrap w:val="0"/>
                  <w:vAlign w:val="center"/>
                </w:tcPr>
                <w:p>
                  <w:pPr>
                    <w:pStyle w:val="18"/>
                    <w:bidi w:val="0"/>
                    <w:rPr>
                      <w:rFonts w:hint="eastAsia"/>
                      <w:color w:val="auto"/>
                      <w:lang w:val="en-US" w:eastAsia="zh-CN"/>
                    </w:rPr>
                  </w:pPr>
                </w:p>
              </w:tc>
              <w:tc>
                <w:tcPr>
                  <w:tcW w:w="643" w:type="pct"/>
                  <w:noWrap w:val="0"/>
                  <w:vAlign w:val="center"/>
                </w:tcPr>
                <w:p>
                  <w:pPr>
                    <w:pStyle w:val="18"/>
                    <w:bidi w:val="0"/>
                    <w:rPr>
                      <w:rFonts w:hint="eastAsia"/>
                      <w:color w:val="auto"/>
                      <w:lang w:val="en-US" w:eastAsia="zh-CN"/>
                    </w:rPr>
                  </w:pPr>
                  <w:r>
                    <w:rPr>
                      <w:rFonts w:hint="eastAsia"/>
                      <w:color w:val="auto"/>
                      <w:lang w:val="en-US" w:eastAsia="zh-CN"/>
                    </w:rPr>
                    <w:t>梨花村</w:t>
                  </w:r>
                </w:p>
              </w:tc>
              <w:tc>
                <w:tcPr>
                  <w:tcW w:w="732" w:type="pct"/>
                  <w:noWrap w:val="0"/>
                  <w:vAlign w:val="center"/>
                </w:tcPr>
                <w:p>
                  <w:pPr>
                    <w:pStyle w:val="18"/>
                    <w:bidi w:val="0"/>
                    <w:rPr>
                      <w:rFonts w:hint="eastAsia"/>
                      <w:color w:val="auto"/>
                      <w:lang w:val="en-US" w:eastAsia="zh-CN"/>
                    </w:rPr>
                  </w:pPr>
                  <w:r>
                    <w:rPr>
                      <w:rFonts w:hint="eastAsia"/>
                      <w:color w:val="auto"/>
                      <w:lang w:val="en-US" w:eastAsia="zh-CN"/>
                    </w:rPr>
                    <w:t>102.522869</w:t>
                  </w:r>
                </w:p>
              </w:tc>
              <w:tc>
                <w:tcPr>
                  <w:tcW w:w="673" w:type="pct"/>
                  <w:noWrap w:val="0"/>
                  <w:vAlign w:val="center"/>
                </w:tcPr>
                <w:p>
                  <w:pPr>
                    <w:pStyle w:val="18"/>
                    <w:bidi w:val="0"/>
                    <w:rPr>
                      <w:rFonts w:hint="eastAsia"/>
                      <w:color w:val="auto"/>
                      <w:lang w:val="en-US" w:eastAsia="zh-CN"/>
                    </w:rPr>
                  </w:pPr>
                  <w:r>
                    <w:rPr>
                      <w:rFonts w:hint="eastAsia"/>
                      <w:color w:val="auto"/>
                      <w:lang w:val="en-US" w:eastAsia="zh-CN"/>
                    </w:rPr>
                    <w:t>25.213639</w:t>
                  </w:r>
                </w:p>
              </w:tc>
              <w:tc>
                <w:tcPr>
                  <w:tcW w:w="597" w:type="pct"/>
                  <w:noWrap w:val="0"/>
                  <w:vAlign w:val="center"/>
                </w:tcPr>
                <w:p>
                  <w:pPr>
                    <w:pStyle w:val="18"/>
                    <w:bidi w:val="0"/>
                    <w:rPr>
                      <w:rFonts w:hint="eastAsia"/>
                      <w:color w:val="auto"/>
                      <w:lang w:val="en-US" w:eastAsia="zh-CN"/>
                    </w:rPr>
                  </w:pPr>
                  <w:r>
                    <w:rPr>
                      <w:rFonts w:hint="eastAsia"/>
                      <w:color w:val="auto"/>
                      <w:lang w:val="en-US" w:eastAsia="zh-CN"/>
                    </w:rPr>
                    <w:t>57户，224人</w:t>
                  </w:r>
                </w:p>
              </w:tc>
              <w:tc>
                <w:tcPr>
                  <w:tcW w:w="503" w:type="pct"/>
                  <w:noWrap w:val="0"/>
                  <w:vAlign w:val="center"/>
                </w:tcPr>
                <w:p>
                  <w:pPr>
                    <w:pStyle w:val="18"/>
                    <w:bidi w:val="0"/>
                    <w:rPr>
                      <w:rFonts w:hint="eastAsia"/>
                      <w:color w:val="auto"/>
                      <w:lang w:val="en-US" w:eastAsia="zh-CN"/>
                    </w:rPr>
                  </w:pPr>
                  <w:r>
                    <w:rPr>
                      <w:rFonts w:hint="eastAsia"/>
                      <w:color w:val="auto"/>
                      <w:lang w:val="en-US" w:eastAsia="zh-CN"/>
                    </w:rPr>
                    <w:t>西南面</w:t>
                  </w:r>
                </w:p>
              </w:tc>
              <w:tc>
                <w:tcPr>
                  <w:tcW w:w="604" w:type="pct"/>
                  <w:noWrap w:val="0"/>
                  <w:vAlign w:val="center"/>
                </w:tcPr>
                <w:p>
                  <w:pPr>
                    <w:pStyle w:val="18"/>
                    <w:bidi w:val="0"/>
                    <w:rPr>
                      <w:rFonts w:hint="eastAsia"/>
                      <w:color w:val="auto"/>
                      <w:lang w:val="en-US" w:eastAsia="zh-CN"/>
                    </w:rPr>
                  </w:pPr>
                  <w:r>
                    <w:rPr>
                      <w:rFonts w:hint="eastAsia"/>
                      <w:color w:val="auto"/>
                      <w:lang w:val="en-US" w:eastAsia="zh-CN"/>
                    </w:rPr>
                    <w:t>2300</w:t>
                  </w:r>
                </w:p>
              </w:tc>
              <w:tc>
                <w:tcPr>
                  <w:tcW w:w="988"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 w:type="pct"/>
                  <w:vMerge w:val="restart"/>
                  <w:noWrap w:val="0"/>
                  <w:vAlign w:val="center"/>
                </w:tcPr>
                <w:p>
                  <w:pPr>
                    <w:pStyle w:val="18"/>
                    <w:bidi w:val="0"/>
                    <w:rPr>
                      <w:rFonts w:hint="eastAsia"/>
                      <w:color w:val="auto"/>
                      <w:lang w:val="en-US" w:eastAsia="zh-CN"/>
                    </w:rPr>
                  </w:pPr>
                  <w:r>
                    <w:rPr>
                      <w:rFonts w:hint="eastAsia"/>
                      <w:color w:val="auto"/>
                      <w:lang w:val="en-US" w:eastAsia="zh-CN"/>
                    </w:rPr>
                    <w:t>水环境</w:t>
                  </w:r>
                </w:p>
              </w:tc>
              <w:tc>
                <w:tcPr>
                  <w:tcW w:w="2049" w:type="pct"/>
                  <w:gridSpan w:val="3"/>
                  <w:noWrap w:val="0"/>
                  <w:vAlign w:val="center"/>
                </w:tcPr>
                <w:p>
                  <w:pPr>
                    <w:pStyle w:val="18"/>
                    <w:bidi w:val="0"/>
                    <w:rPr>
                      <w:rFonts w:hint="eastAsia"/>
                      <w:color w:val="auto"/>
                      <w:lang w:val="en-US" w:eastAsia="zh-CN"/>
                    </w:rPr>
                  </w:pPr>
                  <w:r>
                    <w:rPr>
                      <w:rFonts w:hint="eastAsia"/>
                      <w:color w:val="auto"/>
                      <w:lang w:val="en-US" w:eastAsia="zh-CN"/>
                    </w:rPr>
                    <w:t>大营河</w:t>
                  </w:r>
                </w:p>
              </w:tc>
              <w:tc>
                <w:tcPr>
                  <w:tcW w:w="597" w:type="pct"/>
                  <w:noWrap w:val="0"/>
                  <w:vAlign w:val="center"/>
                </w:tcPr>
                <w:p>
                  <w:pPr>
                    <w:pStyle w:val="18"/>
                    <w:bidi w:val="0"/>
                    <w:rPr>
                      <w:rFonts w:hint="eastAsia"/>
                      <w:color w:val="auto"/>
                      <w:lang w:val="en-US" w:eastAsia="zh-CN"/>
                    </w:rPr>
                  </w:pPr>
                  <w:r>
                    <w:rPr>
                      <w:rFonts w:hint="eastAsia"/>
                      <w:color w:val="auto"/>
                      <w:lang w:val="en-US" w:eastAsia="zh-CN"/>
                    </w:rPr>
                    <w:t>/</w:t>
                  </w:r>
                </w:p>
              </w:tc>
              <w:tc>
                <w:tcPr>
                  <w:tcW w:w="503" w:type="pct"/>
                  <w:noWrap w:val="0"/>
                  <w:vAlign w:val="center"/>
                </w:tcPr>
                <w:p>
                  <w:pPr>
                    <w:pStyle w:val="18"/>
                    <w:bidi w:val="0"/>
                    <w:rPr>
                      <w:rFonts w:hint="eastAsia"/>
                      <w:color w:val="auto"/>
                      <w:lang w:val="en-US" w:eastAsia="zh-CN"/>
                    </w:rPr>
                  </w:pPr>
                  <w:r>
                    <w:rPr>
                      <w:rFonts w:hint="eastAsia"/>
                      <w:color w:val="auto"/>
                      <w:lang w:val="en-US" w:eastAsia="zh-CN"/>
                    </w:rPr>
                    <w:t>南面</w:t>
                  </w:r>
                </w:p>
              </w:tc>
              <w:tc>
                <w:tcPr>
                  <w:tcW w:w="604" w:type="pct"/>
                  <w:noWrap w:val="0"/>
                  <w:vAlign w:val="center"/>
                </w:tcPr>
                <w:p>
                  <w:pPr>
                    <w:pStyle w:val="18"/>
                    <w:bidi w:val="0"/>
                    <w:rPr>
                      <w:rFonts w:hint="eastAsia"/>
                      <w:color w:val="auto"/>
                      <w:lang w:val="en-US" w:eastAsia="zh-CN"/>
                    </w:rPr>
                  </w:pPr>
                  <w:r>
                    <w:rPr>
                      <w:rFonts w:hint="eastAsia"/>
                      <w:color w:val="auto"/>
                      <w:lang w:val="en-US" w:eastAsia="zh-CN"/>
                    </w:rPr>
                    <w:t>1243</w:t>
                  </w:r>
                </w:p>
              </w:tc>
              <w:tc>
                <w:tcPr>
                  <w:tcW w:w="988" w:type="pct"/>
                  <w:vMerge w:val="restart"/>
                  <w:noWrap w:val="0"/>
                  <w:vAlign w:val="center"/>
                </w:tcPr>
                <w:p>
                  <w:pPr>
                    <w:pStyle w:val="18"/>
                    <w:bidi w:val="0"/>
                    <w:rPr>
                      <w:rFonts w:hint="eastAsia"/>
                      <w:color w:val="auto"/>
                      <w:lang w:val="en-US" w:eastAsia="zh-CN"/>
                    </w:rPr>
                  </w:pPr>
                  <w:r>
                    <w:rPr>
                      <w:rFonts w:hint="eastAsia"/>
                      <w:color w:val="auto"/>
                      <w:lang w:val="en-US" w:eastAsia="zh-CN"/>
                    </w:rPr>
                    <w:t>《地表水环境质量标准》（GB3838-2002）中Ⅳ类标准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6" w:type="pct"/>
                  <w:vMerge w:val="continue"/>
                  <w:noWrap w:val="0"/>
                  <w:vAlign w:val="center"/>
                </w:tcPr>
                <w:p>
                  <w:pPr>
                    <w:pStyle w:val="18"/>
                    <w:bidi w:val="0"/>
                    <w:rPr>
                      <w:rFonts w:hint="eastAsia"/>
                      <w:color w:val="auto"/>
                      <w:lang w:val="en-US" w:eastAsia="zh-CN"/>
                    </w:rPr>
                  </w:pPr>
                </w:p>
              </w:tc>
              <w:tc>
                <w:tcPr>
                  <w:tcW w:w="2049" w:type="pct"/>
                  <w:gridSpan w:val="3"/>
                  <w:noWrap w:val="0"/>
                  <w:vAlign w:val="center"/>
                </w:tcPr>
                <w:p>
                  <w:pPr>
                    <w:pStyle w:val="18"/>
                    <w:bidi w:val="0"/>
                    <w:rPr>
                      <w:rFonts w:hint="eastAsia"/>
                      <w:color w:val="auto"/>
                      <w:lang w:val="en-US" w:eastAsia="zh-CN"/>
                    </w:rPr>
                  </w:pPr>
                  <w:r>
                    <w:rPr>
                      <w:rFonts w:hint="eastAsia"/>
                      <w:color w:val="auto"/>
                      <w:lang w:val="en-US" w:eastAsia="zh-CN"/>
                    </w:rPr>
                    <w:t>螳螂川</w:t>
                  </w:r>
                </w:p>
              </w:tc>
              <w:tc>
                <w:tcPr>
                  <w:tcW w:w="597" w:type="pct"/>
                  <w:noWrap w:val="0"/>
                  <w:vAlign w:val="center"/>
                </w:tcPr>
                <w:p>
                  <w:pPr>
                    <w:pStyle w:val="18"/>
                    <w:bidi w:val="0"/>
                    <w:rPr>
                      <w:rFonts w:hint="eastAsia"/>
                      <w:color w:val="auto"/>
                      <w:lang w:val="en-US" w:eastAsia="zh-CN"/>
                    </w:rPr>
                  </w:pPr>
                  <w:r>
                    <w:rPr>
                      <w:rFonts w:hint="eastAsia"/>
                      <w:color w:val="auto"/>
                      <w:lang w:val="en-US" w:eastAsia="zh-CN"/>
                    </w:rPr>
                    <w:t>/</w:t>
                  </w:r>
                </w:p>
              </w:tc>
              <w:tc>
                <w:tcPr>
                  <w:tcW w:w="503" w:type="pct"/>
                  <w:noWrap w:val="0"/>
                  <w:vAlign w:val="center"/>
                </w:tcPr>
                <w:p>
                  <w:pPr>
                    <w:pStyle w:val="18"/>
                    <w:bidi w:val="0"/>
                    <w:rPr>
                      <w:rFonts w:hint="eastAsia"/>
                      <w:color w:val="auto"/>
                      <w:lang w:val="en-US" w:eastAsia="zh-CN"/>
                    </w:rPr>
                  </w:pPr>
                  <w:r>
                    <w:rPr>
                      <w:rFonts w:hint="eastAsia"/>
                      <w:color w:val="auto"/>
                      <w:lang w:val="en-US" w:eastAsia="zh-CN"/>
                    </w:rPr>
                    <w:t>西南面</w:t>
                  </w:r>
                </w:p>
              </w:tc>
              <w:tc>
                <w:tcPr>
                  <w:tcW w:w="604" w:type="pct"/>
                  <w:noWrap w:val="0"/>
                  <w:vAlign w:val="center"/>
                </w:tcPr>
                <w:p>
                  <w:pPr>
                    <w:pStyle w:val="18"/>
                    <w:bidi w:val="0"/>
                    <w:rPr>
                      <w:rFonts w:hint="eastAsia"/>
                      <w:color w:val="auto"/>
                      <w:lang w:val="en-US" w:eastAsia="zh-CN"/>
                    </w:rPr>
                  </w:pPr>
                  <w:r>
                    <w:rPr>
                      <w:rFonts w:hint="eastAsia"/>
                      <w:color w:val="auto"/>
                      <w:lang w:val="en-US" w:eastAsia="zh-CN"/>
                    </w:rPr>
                    <w:t>2800</w:t>
                  </w:r>
                </w:p>
              </w:tc>
              <w:tc>
                <w:tcPr>
                  <w:tcW w:w="988" w:type="pct"/>
                  <w:vMerge w:val="continue"/>
                  <w:noWrap w:val="0"/>
                  <w:vAlign w:val="center"/>
                </w:tcPr>
                <w:p>
                  <w:pPr>
                    <w:pStyle w:val="18"/>
                    <w:bidi w:val="0"/>
                    <w:rPr>
                      <w:rFonts w:hint="eastAsia"/>
                      <w:color w:val="auto"/>
                      <w:lang w:val="en-US" w:eastAsia="zh-CN"/>
                    </w:rPr>
                  </w:pPr>
                </w:p>
              </w:tc>
            </w:tr>
          </w:tbl>
          <w:p>
            <w:pPr>
              <w:pageBreakBefore w:val="0"/>
              <w:kinsoku/>
              <w:wordWrap/>
              <w:overflowPunct/>
              <w:topLinePunct w:val="0"/>
              <w:autoSpaceDE/>
              <w:autoSpaceDN/>
              <w:bidi w:val="0"/>
              <w:ind w:left="0" w:leftChars="0" w:firstLine="0" w:firstLineChars="0"/>
              <w:textAlignment w:val="auto"/>
              <w:rPr>
                <w:rFonts w:hint="default"/>
                <w:color w:val="auto"/>
                <w:lang w:eastAsia="zh-CN"/>
              </w:rPr>
            </w:pPr>
          </w:p>
          <w:p>
            <w:pPr>
              <w:pageBreakBefore w:val="0"/>
              <w:kinsoku/>
              <w:wordWrap/>
              <w:overflowPunct/>
              <w:topLinePunct w:val="0"/>
              <w:autoSpaceDE/>
              <w:autoSpaceDN/>
              <w:bidi w:val="0"/>
              <w:ind w:left="0" w:leftChars="0" w:firstLine="0" w:firstLineChars="0"/>
              <w:textAlignment w:val="auto"/>
              <w:rPr>
                <w:rFonts w:hint="default"/>
                <w:color w:val="auto"/>
                <w:lang w:eastAsia="zh-CN"/>
              </w:rPr>
            </w:pPr>
          </w:p>
          <w:p>
            <w:pPr>
              <w:pageBreakBefore w:val="0"/>
              <w:kinsoku/>
              <w:wordWrap/>
              <w:overflowPunct/>
              <w:topLinePunct w:val="0"/>
              <w:autoSpaceDE/>
              <w:autoSpaceDN/>
              <w:bidi w:val="0"/>
              <w:ind w:left="0" w:leftChars="0" w:firstLine="0" w:firstLineChars="0"/>
              <w:textAlignment w:val="auto"/>
              <w:rPr>
                <w:rFonts w:hint="default"/>
                <w:color w:val="auto"/>
                <w:lang w:eastAsia="zh-CN"/>
              </w:rPr>
            </w:pPr>
          </w:p>
          <w:p>
            <w:pPr>
              <w:pStyle w:val="2"/>
              <w:rPr>
                <w:rFonts w:hint="default"/>
                <w:color w:val="auto"/>
                <w:lang w:eastAsia="zh-CN"/>
              </w:rPr>
            </w:pPr>
          </w:p>
          <w:p>
            <w:pPr>
              <w:rPr>
                <w:rFonts w:hint="default"/>
                <w:color w:val="auto"/>
                <w:lang w:eastAsia="zh-CN"/>
              </w:rPr>
            </w:pPr>
          </w:p>
          <w:p>
            <w:pPr>
              <w:pStyle w:val="2"/>
              <w:rPr>
                <w:rFonts w:hint="default"/>
                <w:color w:val="auto"/>
                <w:lang w:eastAsia="zh-CN"/>
              </w:rPr>
            </w:pPr>
          </w:p>
          <w:p>
            <w:pPr>
              <w:rPr>
                <w:rFonts w:hint="default"/>
                <w:color w:val="auto"/>
                <w:lang w:eastAsia="zh-CN"/>
              </w:rPr>
            </w:pPr>
          </w:p>
        </w:tc>
      </w:tr>
    </w:tbl>
    <w:p>
      <w:pPr>
        <w:pStyle w:val="3"/>
        <w:bidi w:val="0"/>
        <w:rPr>
          <w:rFonts w:hint="default"/>
          <w:color w:val="auto"/>
        </w:rPr>
      </w:pPr>
      <w:bookmarkStart w:id="66" w:name="_Toc433209267"/>
      <w:bookmarkStart w:id="67" w:name="_Toc11593"/>
      <w:bookmarkStart w:id="68" w:name="_Toc31821_WPSOffice_Level1"/>
      <w:bookmarkStart w:id="69" w:name="_Toc31320"/>
      <w:bookmarkStart w:id="70" w:name="_Toc17101"/>
      <w:bookmarkStart w:id="71" w:name="_Toc8438"/>
      <w:bookmarkStart w:id="72" w:name="_Toc19011"/>
      <w:r>
        <w:rPr>
          <w:rFonts w:hint="default"/>
          <w:color w:val="auto"/>
        </w:rPr>
        <w:t>表四</w:t>
      </w:r>
      <w:r>
        <w:rPr>
          <w:rFonts w:hint="default"/>
          <w:color w:val="auto"/>
          <w:lang w:val="en-US" w:eastAsia="zh-CN"/>
        </w:rPr>
        <w:t xml:space="preserve">  </w:t>
      </w:r>
      <w:r>
        <w:rPr>
          <w:rFonts w:hint="default"/>
          <w:color w:val="auto"/>
        </w:rPr>
        <w:t>评价适用标准</w:t>
      </w:r>
      <w:bookmarkEnd w:id="66"/>
      <w:bookmarkEnd w:id="67"/>
      <w:bookmarkEnd w:id="68"/>
      <w:bookmarkEnd w:id="69"/>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7"/>
        <w:gridCol w:w="80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jc w:val="center"/>
        </w:trPr>
        <w:tc>
          <w:tcPr>
            <w:tcW w:w="457" w:type="dxa"/>
            <w:tcBorders>
              <w:left w:val="single" w:color="auto" w:sz="4" w:space="0"/>
              <w:right w:val="single" w:color="auto" w:sz="4" w:space="0"/>
            </w:tcBorders>
            <w:noWrap w:val="0"/>
            <w:vAlign w:val="center"/>
          </w:tcPr>
          <w:p>
            <w:pPr>
              <w:spacing w:line="360" w:lineRule="auto"/>
              <w:ind w:left="0" w:leftChars="0" w:firstLine="0" w:firstLineChars="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环</w:t>
            </w:r>
          </w:p>
          <w:p>
            <w:pPr>
              <w:spacing w:line="360" w:lineRule="auto"/>
              <w:ind w:left="0" w:leftChars="0" w:firstLine="0" w:firstLineChars="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境</w:t>
            </w:r>
          </w:p>
          <w:p>
            <w:pPr>
              <w:spacing w:line="360" w:lineRule="auto"/>
              <w:ind w:left="0" w:leftChars="0" w:firstLine="0" w:firstLineChars="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质</w:t>
            </w:r>
          </w:p>
          <w:p>
            <w:pPr>
              <w:spacing w:line="360" w:lineRule="auto"/>
              <w:ind w:left="0" w:leftChars="0" w:firstLine="0" w:firstLineChars="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量</w:t>
            </w:r>
          </w:p>
          <w:p>
            <w:pPr>
              <w:spacing w:line="360" w:lineRule="auto"/>
              <w:ind w:left="0" w:leftChars="0" w:firstLine="0" w:firstLineChars="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标</w:t>
            </w:r>
          </w:p>
          <w:p>
            <w:pPr>
              <w:spacing w:line="360" w:lineRule="auto"/>
              <w:ind w:left="0" w:leftChars="0" w:firstLine="0" w:firstLineChars="0"/>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准</w:t>
            </w:r>
          </w:p>
        </w:tc>
        <w:tc>
          <w:tcPr>
            <w:tcW w:w="8065" w:type="dxa"/>
            <w:tcBorders>
              <w:left w:val="single" w:color="auto" w:sz="4" w:space="0"/>
            </w:tcBorders>
            <w:noWrap w:val="0"/>
            <w:vAlign w:val="center"/>
          </w:tcPr>
          <w:p>
            <w:pPr>
              <w:widowControl/>
              <w:spacing w:line="360" w:lineRule="auto"/>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环境质量标准：</w:t>
            </w:r>
          </w:p>
          <w:p>
            <w:pPr>
              <w:widowControl/>
              <w:spacing w:line="360" w:lineRule="auto"/>
              <w:ind w:firstLine="482" w:firstLineChars="20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1、环境空气质量</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kern w:val="0"/>
                <w:sz w:val="24"/>
              </w:rPr>
              <w:t>本项目建设地点位于</w:t>
            </w:r>
            <w:r>
              <w:rPr>
                <w:rFonts w:hint="default" w:ascii="Times New Roman" w:hAnsi="Times New Roman" w:cs="Times New Roman"/>
                <w:color w:val="auto"/>
                <w:sz w:val="24"/>
                <w:szCs w:val="24"/>
              </w:rPr>
              <w:t>富民工业园区</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rPr>
              <w:t>属于规划工业园区</w:t>
            </w:r>
            <w:r>
              <w:rPr>
                <w:rFonts w:hint="default" w:ascii="Times New Roman" w:hAnsi="Times New Roman" w:cs="Times New Roman"/>
                <w:bCs/>
                <w:color w:val="auto"/>
                <w:sz w:val="24"/>
                <w:szCs w:val="24"/>
              </w:rPr>
              <w:t>，</w:t>
            </w:r>
            <w:r>
              <w:rPr>
                <w:rFonts w:hint="default" w:ascii="Times New Roman" w:hAnsi="Times New Roman" w:cs="Times New Roman"/>
                <w:color w:val="auto"/>
                <w:sz w:val="24"/>
                <w:szCs w:val="24"/>
              </w:rPr>
              <w:t>所在区域环境空气质量功能区划为二类区，环境空气质量执行GB3095-2012《环境空气质量标准》二级浓度限值。</w:t>
            </w:r>
          </w:p>
          <w:p>
            <w:pPr>
              <w:pStyle w:val="19"/>
              <w:bidi w:val="0"/>
              <w:rPr>
                <w:rFonts w:hint="default"/>
                <w:color w:val="auto"/>
              </w:rPr>
            </w:pPr>
            <w:r>
              <w:rPr>
                <w:rFonts w:hint="default"/>
                <w:color w:val="auto"/>
              </w:rPr>
              <w:t>表4-1  环境空气质量标准  （单位：μg/m</w:t>
            </w:r>
            <w:r>
              <w:rPr>
                <w:rFonts w:hint="default"/>
                <w:color w:val="auto"/>
                <w:vertAlign w:val="superscript"/>
              </w:rPr>
              <w:t>3</w:t>
            </w:r>
            <w:r>
              <w:rPr>
                <w:rFonts w:hint="default"/>
                <w:color w:val="auto"/>
              </w:rPr>
              <w:t>）</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7"/>
              <w:gridCol w:w="723"/>
              <w:gridCol w:w="586"/>
              <w:gridCol w:w="641"/>
              <w:gridCol w:w="737"/>
              <w:gridCol w:w="691"/>
              <w:gridCol w:w="629"/>
              <w:gridCol w:w="646"/>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917" w:type="dxa"/>
                  <w:noWrap w:val="0"/>
                  <w:vAlign w:val="center"/>
                </w:tcPr>
                <w:p>
                  <w:pPr>
                    <w:pStyle w:val="18"/>
                    <w:bidi w:val="0"/>
                    <w:rPr>
                      <w:rFonts w:hint="eastAsia"/>
                      <w:color w:val="auto"/>
                      <w:lang w:eastAsia="zh-CN"/>
                    </w:rPr>
                  </w:pPr>
                  <w:r>
                    <w:rPr>
                      <w:rFonts w:hint="eastAsia"/>
                      <w:color w:val="auto"/>
                      <w:lang w:eastAsia="zh-CN"/>
                    </w:rPr>
                    <w:t>取值时间</w:t>
                  </w:r>
                </w:p>
              </w:tc>
              <w:tc>
                <w:tcPr>
                  <w:tcW w:w="723" w:type="dxa"/>
                  <w:noWrap w:val="0"/>
                  <w:vAlign w:val="center"/>
                </w:tcPr>
                <w:p>
                  <w:pPr>
                    <w:pStyle w:val="18"/>
                    <w:bidi w:val="0"/>
                    <w:rPr>
                      <w:rFonts w:hint="eastAsia"/>
                      <w:color w:val="auto"/>
                      <w:lang w:val="en-US" w:eastAsia="zh-CN"/>
                    </w:rPr>
                  </w:pPr>
                  <w:r>
                    <w:rPr>
                      <w:rFonts w:hint="eastAsia"/>
                      <w:color w:val="auto"/>
                      <w:lang w:val="en-US" w:eastAsia="zh-CN"/>
                    </w:rPr>
                    <w:t>SO</w:t>
                  </w:r>
                  <w:r>
                    <w:rPr>
                      <w:rFonts w:hint="eastAsia"/>
                      <w:color w:val="auto"/>
                      <w:vertAlign w:val="subscript"/>
                      <w:lang w:val="en-US" w:eastAsia="zh-CN"/>
                    </w:rPr>
                    <w:t>2</w:t>
                  </w:r>
                </w:p>
              </w:tc>
              <w:tc>
                <w:tcPr>
                  <w:tcW w:w="586" w:type="dxa"/>
                  <w:noWrap w:val="0"/>
                  <w:vAlign w:val="center"/>
                </w:tcPr>
                <w:p>
                  <w:pPr>
                    <w:pStyle w:val="18"/>
                    <w:bidi w:val="0"/>
                    <w:rPr>
                      <w:rFonts w:hint="eastAsia"/>
                      <w:color w:val="auto"/>
                      <w:lang w:val="en-US" w:eastAsia="zh-CN"/>
                    </w:rPr>
                  </w:pPr>
                  <w:r>
                    <w:rPr>
                      <w:rFonts w:hint="eastAsia"/>
                      <w:color w:val="auto"/>
                      <w:lang w:val="en-US" w:eastAsia="zh-CN"/>
                    </w:rPr>
                    <w:t>CO</w:t>
                  </w:r>
                </w:p>
              </w:tc>
              <w:tc>
                <w:tcPr>
                  <w:tcW w:w="641" w:type="dxa"/>
                  <w:noWrap w:val="0"/>
                  <w:vAlign w:val="center"/>
                </w:tcPr>
                <w:p>
                  <w:pPr>
                    <w:pStyle w:val="18"/>
                    <w:bidi w:val="0"/>
                    <w:rPr>
                      <w:rFonts w:hint="eastAsia"/>
                      <w:color w:val="auto"/>
                      <w:lang w:val="en-US" w:eastAsia="zh-CN"/>
                    </w:rPr>
                  </w:pPr>
                  <w:r>
                    <w:rPr>
                      <w:rFonts w:hint="eastAsia"/>
                      <w:color w:val="auto"/>
                      <w:lang w:val="en-US" w:eastAsia="zh-CN"/>
                    </w:rPr>
                    <w:t>NO</w:t>
                  </w:r>
                  <w:r>
                    <w:rPr>
                      <w:rFonts w:hint="eastAsia"/>
                      <w:color w:val="auto"/>
                      <w:vertAlign w:val="subscript"/>
                      <w:lang w:val="en-US" w:eastAsia="zh-CN"/>
                    </w:rPr>
                    <w:t>2</w:t>
                  </w:r>
                </w:p>
              </w:tc>
              <w:tc>
                <w:tcPr>
                  <w:tcW w:w="737" w:type="dxa"/>
                  <w:noWrap w:val="0"/>
                  <w:vAlign w:val="center"/>
                </w:tcPr>
                <w:p>
                  <w:pPr>
                    <w:pStyle w:val="18"/>
                    <w:bidi w:val="0"/>
                    <w:rPr>
                      <w:rFonts w:hint="eastAsia"/>
                      <w:color w:val="auto"/>
                      <w:lang w:val="en-US" w:eastAsia="zh-CN"/>
                    </w:rPr>
                  </w:pPr>
                  <w:r>
                    <w:rPr>
                      <w:rFonts w:hint="eastAsia"/>
                      <w:color w:val="auto"/>
                      <w:lang w:val="en-US" w:eastAsia="zh-CN"/>
                    </w:rPr>
                    <w:t>PM</w:t>
                  </w:r>
                  <w:r>
                    <w:rPr>
                      <w:rFonts w:hint="eastAsia"/>
                      <w:color w:val="auto"/>
                      <w:vertAlign w:val="subscript"/>
                      <w:lang w:val="en-US" w:eastAsia="zh-CN"/>
                    </w:rPr>
                    <w:t>2.5</w:t>
                  </w:r>
                </w:p>
              </w:tc>
              <w:tc>
                <w:tcPr>
                  <w:tcW w:w="691" w:type="dxa"/>
                  <w:noWrap w:val="0"/>
                  <w:vAlign w:val="center"/>
                </w:tcPr>
                <w:p>
                  <w:pPr>
                    <w:pStyle w:val="18"/>
                    <w:bidi w:val="0"/>
                    <w:rPr>
                      <w:rFonts w:hint="eastAsia"/>
                      <w:color w:val="auto"/>
                      <w:lang w:val="en-US" w:eastAsia="zh-CN"/>
                    </w:rPr>
                  </w:pPr>
                  <w:r>
                    <w:rPr>
                      <w:rFonts w:hint="eastAsia"/>
                      <w:color w:val="auto"/>
                      <w:lang w:val="en-US" w:eastAsia="zh-CN"/>
                    </w:rPr>
                    <w:t>PM</w:t>
                  </w:r>
                  <w:r>
                    <w:rPr>
                      <w:rFonts w:hint="eastAsia"/>
                      <w:color w:val="auto"/>
                      <w:vertAlign w:val="subscript"/>
                      <w:lang w:val="en-US" w:eastAsia="zh-CN"/>
                    </w:rPr>
                    <w:t>10</w:t>
                  </w:r>
                </w:p>
              </w:tc>
              <w:tc>
                <w:tcPr>
                  <w:tcW w:w="629" w:type="dxa"/>
                  <w:noWrap w:val="0"/>
                  <w:vAlign w:val="center"/>
                </w:tcPr>
                <w:p>
                  <w:pPr>
                    <w:pStyle w:val="18"/>
                    <w:bidi w:val="0"/>
                    <w:rPr>
                      <w:rFonts w:hint="eastAsia"/>
                      <w:color w:val="auto"/>
                      <w:lang w:val="en-US" w:eastAsia="zh-CN"/>
                    </w:rPr>
                  </w:pPr>
                  <w:r>
                    <w:rPr>
                      <w:rFonts w:hint="eastAsia"/>
                      <w:color w:val="auto"/>
                      <w:lang w:val="en-US" w:eastAsia="zh-CN"/>
                    </w:rPr>
                    <w:t>TSP</w:t>
                  </w:r>
                </w:p>
              </w:tc>
              <w:tc>
                <w:tcPr>
                  <w:tcW w:w="646" w:type="dxa"/>
                  <w:noWrap w:val="0"/>
                  <w:vAlign w:val="center"/>
                </w:tcPr>
                <w:p>
                  <w:pPr>
                    <w:pStyle w:val="18"/>
                    <w:bidi w:val="0"/>
                    <w:rPr>
                      <w:rFonts w:hint="eastAsia"/>
                      <w:color w:val="auto"/>
                      <w:lang w:val="en-US" w:eastAsia="zh-CN"/>
                    </w:rPr>
                  </w:pPr>
                  <w:r>
                    <w:rPr>
                      <w:rFonts w:hint="eastAsia"/>
                      <w:color w:val="auto"/>
                      <w:lang w:val="en-US" w:eastAsia="zh-CN"/>
                    </w:rPr>
                    <w:t>O</w:t>
                  </w:r>
                  <w:r>
                    <w:rPr>
                      <w:rFonts w:hint="eastAsia"/>
                      <w:color w:val="auto"/>
                      <w:vertAlign w:val="subscript"/>
                      <w:lang w:val="en-US" w:eastAsia="zh-CN"/>
                    </w:rPr>
                    <w:t>3</w:t>
                  </w:r>
                </w:p>
              </w:tc>
              <w:tc>
                <w:tcPr>
                  <w:tcW w:w="1266" w:type="dxa"/>
                  <w:noWrap w:val="0"/>
                  <w:vAlign w:val="center"/>
                </w:tcPr>
                <w:p>
                  <w:pPr>
                    <w:pStyle w:val="18"/>
                    <w:bidi w:val="0"/>
                    <w:rPr>
                      <w:rFonts w:hint="default"/>
                      <w:color w:val="auto"/>
                      <w:lang w:val="en-US" w:eastAsia="zh-CN"/>
                    </w:rPr>
                  </w:pPr>
                  <w:r>
                    <w:rPr>
                      <w:rFonts w:hint="eastAsia"/>
                      <w:color w:val="auto"/>
                      <w:lang w:val="en-US" w:eastAsia="zh-CN"/>
                    </w:rPr>
                    <w:t>TVOC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917" w:type="dxa"/>
                  <w:noWrap w:val="0"/>
                  <w:vAlign w:val="center"/>
                </w:tcPr>
                <w:p>
                  <w:pPr>
                    <w:pStyle w:val="18"/>
                    <w:bidi w:val="0"/>
                    <w:rPr>
                      <w:rFonts w:hint="eastAsia"/>
                      <w:color w:val="auto"/>
                      <w:lang w:val="en-US" w:eastAsia="zh-CN"/>
                    </w:rPr>
                  </w:pPr>
                  <w:r>
                    <w:rPr>
                      <w:rFonts w:hint="eastAsia"/>
                      <w:color w:val="auto"/>
                      <w:lang w:val="en-US" w:eastAsia="zh-CN"/>
                    </w:rPr>
                    <w:t>年平均</w:t>
                  </w:r>
                </w:p>
              </w:tc>
              <w:tc>
                <w:tcPr>
                  <w:tcW w:w="723" w:type="dxa"/>
                  <w:noWrap w:val="0"/>
                  <w:vAlign w:val="center"/>
                </w:tcPr>
                <w:p>
                  <w:pPr>
                    <w:pStyle w:val="18"/>
                    <w:bidi w:val="0"/>
                    <w:rPr>
                      <w:rFonts w:hint="default"/>
                      <w:color w:val="auto"/>
                      <w:lang w:val="en-US" w:eastAsia="zh-CN"/>
                    </w:rPr>
                  </w:pPr>
                  <w:r>
                    <w:rPr>
                      <w:rFonts w:hint="eastAsia"/>
                      <w:color w:val="auto"/>
                      <w:lang w:val="en-US" w:eastAsia="zh-CN"/>
                    </w:rPr>
                    <w:t>60</w:t>
                  </w:r>
                </w:p>
              </w:tc>
              <w:tc>
                <w:tcPr>
                  <w:tcW w:w="586" w:type="dxa"/>
                  <w:noWrap w:val="0"/>
                  <w:vAlign w:val="center"/>
                </w:tcPr>
                <w:p>
                  <w:pPr>
                    <w:pStyle w:val="18"/>
                    <w:bidi w:val="0"/>
                    <w:rPr>
                      <w:rFonts w:hint="eastAsia"/>
                      <w:color w:val="auto"/>
                      <w:lang w:val="en-US" w:eastAsia="zh-CN"/>
                    </w:rPr>
                  </w:pPr>
                  <w:r>
                    <w:rPr>
                      <w:rFonts w:hint="eastAsia"/>
                      <w:color w:val="auto"/>
                      <w:lang w:val="en-US" w:eastAsia="zh-CN"/>
                    </w:rPr>
                    <w:t>/</w:t>
                  </w:r>
                </w:p>
              </w:tc>
              <w:tc>
                <w:tcPr>
                  <w:tcW w:w="641" w:type="dxa"/>
                  <w:noWrap w:val="0"/>
                  <w:vAlign w:val="center"/>
                </w:tcPr>
                <w:p>
                  <w:pPr>
                    <w:pStyle w:val="18"/>
                    <w:bidi w:val="0"/>
                    <w:rPr>
                      <w:rFonts w:hint="default"/>
                      <w:color w:val="auto"/>
                      <w:lang w:val="en-US" w:eastAsia="zh-CN"/>
                    </w:rPr>
                  </w:pPr>
                  <w:r>
                    <w:rPr>
                      <w:rFonts w:hint="eastAsia"/>
                      <w:color w:val="auto"/>
                      <w:lang w:val="en-US" w:eastAsia="zh-CN"/>
                    </w:rPr>
                    <w:t>40</w:t>
                  </w:r>
                </w:p>
              </w:tc>
              <w:tc>
                <w:tcPr>
                  <w:tcW w:w="737" w:type="dxa"/>
                  <w:noWrap w:val="0"/>
                  <w:vAlign w:val="center"/>
                </w:tcPr>
                <w:p>
                  <w:pPr>
                    <w:pStyle w:val="18"/>
                    <w:bidi w:val="0"/>
                    <w:rPr>
                      <w:rFonts w:hint="default"/>
                      <w:color w:val="auto"/>
                      <w:lang w:val="en-US" w:eastAsia="zh-CN"/>
                    </w:rPr>
                  </w:pPr>
                  <w:r>
                    <w:rPr>
                      <w:rFonts w:hint="eastAsia"/>
                      <w:color w:val="auto"/>
                      <w:lang w:val="en-US" w:eastAsia="zh-CN"/>
                    </w:rPr>
                    <w:t>35</w:t>
                  </w:r>
                </w:p>
              </w:tc>
              <w:tc>
                <w:tcPr>
                  <w:tcW w:w="691" w:type="dxa"/>
                  <w:noWrap w:val="0"/>
                  <w:vAlign w:val="center"/>
                </w:tcPr>
                <w:p>
                  <w:pPr>
                    <w:pStyle w:val="18"/>
                    <w:bidi w:val="0"/>
                    <w:rPr>
                      <w:rFonts w:hint="default"/>
                      <w:color w:val="auto"/>
                      <w:lang w:val="en-US" w:eastAsia="zh-CN"/>
                    </w:rPr>
                  </w:pPr>
                  <w:r>
                    <w:rPr>
                      <w:rFonts w:hint="eastAsia"/>
                      <w:color w:val="auto"/>
                      <w:lang w:val="en-US" w:eastAsia="zh-CN"/>
                    </w:rPr>
                    <w:t>70</w:t>
                  </w:r>
                </w:p>
              </w:tc>
              <w:tc>
                <w:tcPr>
                  <w:tcW w:w="629" w:type="dxa"/>
                  <w:noWrap w:val="0"/>
                  <w:vAlign w:val="center"/>
                </w:tcPr>
                <w:p>
                  <w:pPr>
                    <w:pStyle w:val="18"/>
                    <w:bidi w:val="0"/>
                    <w:rPr>
                      <w:rFonts w:hint="default"/>
                      <w:color w:val="auto"/>
                      <w:lang w:val="en-US" w:eastAsia="zh-CN"/>
                    </w:rPr>
                  </w:pPr>
                  <w:r>
                    <w:rPr>
                      <w:rFonts w:hint="eastAsia"/>
                      <w:color w:val="auto"/>
                      <w:lang w:val="en-US" w:eastAsia="zh-CN"/>
                    </w:rPr>
                    <w:t>200</w:t>
                  </w:r>
                </w:p>
              </w:tc>
              <w:tc>
                <w:tcPr>
                  <w:tcW w:w="646" w:type="dxa"/>
                  <w:noWrap w:val="0"/>
                  <w:vAlign w:val="center"/>
                </w:tcPr>
                <w:p>
                  <w:pPr>
                    <w:pStyle w:val="18"/>
                    <w:bidi w:val="0"/>
                    <w:rPr>
                      <w:rFonts w:hint="eastAsia"/>
                      <w:color w:val="auto"/>
                      <w:lang w:val="en-US" w:eastAsia="zh-CN"/>
                    </w:rPr>
                  </w:pPr>
                  <w:r>
                    <w:rPr>
                      <w:rFonts w:hint="eastAsia"/>
                      <w:color w:val="auto"/>
                      <w:lang w:val="en-US" w:eastAsia="zh-CN"/>
                    </w:rPr>
                    <w:t>/</w:t>
                  </w:r>
                </w:p>
              </w:tc>
              <w:tc>
                <w:tcPr>
                  <w:tcW w:w="1266" w:type="dxa"/>
                  <w:noWrap w:val="0"/>
                  <w:vAlign w:val="center"/>
                </w:tcPr>
                <w:p>
                  <w:pPr>
                    <w:pStyle w:val="18"/>
                    <w:bidi w:val="0"/>
                    <w:rPr>
                      <w:rFonts w:hint="default"/>
                      <w:color w:val="auto"/>
                      <w:lang w:val="en-US" w:eastAsia="zh-CN"/>
                    </w:rPr>
                  </w:pPr>
                  <w:r>
                    <w:rPr>
                      <w:rFonts w:hint="eastAsia"/>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917" w:type="dxa"/>
                  <w:noWrap w:val="0"/>
                  <w:vAlign w:val="center"/>
                </w:tcPr>
                <w:p>
                  <w:pPr>
                    <w:pStyle w:val="18"/>
                    <w:bidi w:val="0"/>
                    <w:rPr>
                      <w:rFonts w:hint="eastAsia"/>
                      <w:color w:val="auto"/>
                      <w:lang w:val="en-US" w:eastAsia="zh-CN"/>
                    </w:rPr>
                  </w:pPr>
                  <w:r>
                    <w:rPr>
                      <w:rFonts w:hint="eastAsia"/>
                      <w:color w:val="auto"/>
                      <w:lang w:val="en-US" w:eastAsia="zh-CN"/>
                    </w:rPr>
                    <w:t>24小时平均浓度</w:t>
                  </w:r>
                </w:p>
              </w:tc>
              <w:tc>
                <w:tcPr>
                  <w:tcW w:w="723" w:type="dxa"/>
                  <w:noWrap w:val="0"/>
                  <w:vAlign w:val="center"/>
                </w:tcPr>
                <w:p>
                  <w:pPr>
                    <w:pStyle w:val="18"/>
                    <w:bidi w:val="0"/>
                    <w:rPr>
                      <w:rFonts w:hint="default"/>
                      <w:color w:val="auto"/>
                      <w:lang w:val="en-US" w:eastAsia="zh-CN"/>
                    </w:rPr>
                  </w:pPr>
                  <w:r>
                    <w:rPr>
                      <w:rFonts w:hint="eastAsia"/>
                      <w:color w:val="auto"/>
                      <w:lang w:val="en-US" w:eastAsia="zh-CN"/>
                    </w:rPr>
                    <w:t>150</w:t>
                  </w:r>
                </w:p>
              </w:tc>
              <w:tc>
                <w:tcPr>
                  <w:tcW w:w="586" w:type="dxa"/>
                  <w:noWrap w:val="0"/>
                  <w:vAlign w:val="center"/>
                </w:tcPr>
                <w:p>
                  <w:pPr>
                    <w:pStyle w:val="18"/>
                    <w:bidi w:val="0"/>
                    <w:rPr>
                      <w:rFonts w:hint="eastAsia"/>
                      <w:color w:val="auto"/>
                      <w:lang w:val="en-US" w:eastAsia="zh-CN"/>
                    </w:rPr>
                  </w:pPr>
                  <w:r>
                    <w:rPr>
                      <w:rFonts w:hint="eastAsia"/>
                      <w:color w:val="auto"/>
                      <w:lang w:val="en-US" w:eastAsia="zh-CN"/>
                    </w:rPr>
                    <w:t>4</w:t>
                  </w:r>
                </w:p>
              </w:tc>
              <w:tc>
                <w:tcPr>
                  <w:tcW w:w="641" w:type="dxa"/>
                  <w:noWrap w:val="0"/>
                  <w:vAlign w:val="center"/>
                </w:tcPr>
                <w:p>
                  <w:pPr>
                    <w:pStyle w:val="18"/>
                    <w:bidi w:val="0"/>
                    <w:rPr>
                      <w:rFonts w:hint="default"/>
                      <w:color w:val="auto"/>
                      <w:lang w:val="en-US" w:eastAsia="zh-CN"/>
                    </w:rPr>
                  </w:pPr>
                  <w:r>
                    <w:rPr>
                      <w:rFonts w:hint="eastAsia"/>
                      <w:color w:val="auto"/>
                      <w:lang w:val="en-US" w:eastAsia="zh-CN"/>
                    </w:rPr>
                    <w:t>80</w:t>
                  </w:r>
                </w:p>
              </w:tc>
              <w:tc>
                <w:tcPr>
                  <w:tcW w:w="737" w:type="dxa"/>
                  <w:noWrap w:val="0"/>
                  <w:vAlign w:val="center"/>
                </w:tcPr>
                <w:p>
                  <w:pPr>
                    <w:pStyle w:val="18"/>
                    <w:bidi w:val="0"/>
                    <w:rPr>
                      <w:rFonts w:hint="default"/>
                      <w:color w:val="auto"/>
                      <w:lang w:val="en-US" w:eastAsia="zh-CN"/>
                    </w:rPr>
                  </w:pPr>
                  <w:r>
                    <w:rPr>
                      <w:rFonts w:hint="eastAsia"/>
                      <w:color w:val="auto"/>
                      <w:lang w:val="en-US" w:eastAsia="zh-CN"/>
                    </w:rPr>
                    <w:t>75</w:t>
                  </w:r>
                </w:p>
              </w:tc>
              <w:tc>
                <w:tcPr>
                  <w:tcW w:w="691" w:type="dxa"/>
                  <w:noWrap w:val="0"/>
                  <w:vAlign w:val="center"/>
                </w:tcPr>
                <w:p>
                  <w:pPr>
                    <w:pStyle w:val="18"/>
                    <w:bidi w:val="0"/>
                    <w:rPr>
                      <w:rFonts w:hint="default"/>
                      <w:color w:val="auto"/>
                      <w:lang w:val="en-US" w:eastAsia="zh-CN"/>
                    </w:rPr>
                  </w:pPr>
                  <w:r>
                    <w:rPr>
                      <w:rFonts w:hint="eastAsia"/>
                      <w:color w:val="auto"/>
                      <w:lang w:val="en-US" w:eastAsia="zh-CN"/>
                    </w:rPr>
                    <w:t>150</w:t>
                  </w:r>
                </w:p>
              </w:tc>
              <w:tc>
                <w:tcPr>
                  <w:tcW w:w="629" w:type="dxa"/>
                  <w:noWrap w:val="0"/>
                  <w:vAlign w:val="center"/>
                </w:tcPr>
                <w:p>
                  <w:pPr>
                    <w:pStyle w:val="18"/>
                    <w:bidi w:val="0"/>
                    <w:rPr>
                      <w:rFonts w:hint="default"/>
                      <w:color w:val="auto"/>
                      <w:lang w:val="en-US" w:eastAsia="zh-CN"/>
                    </w:rPr>
                  </w:pPr>
                  <w:r>
                    <w:rPr>
                      <w:rFonts w:hint="eastAsia"/>
                      <w:color w:val="auto"/>
                      <w:lang w:val="en-US" w:eastAsia="zh-CN"/>
                    </w:rPr>
                    <w:t>300</w:t>
                  </w:r>
                </w:p>
              </w:tc>
              <w:tc>
                <w:tcPr>
                  <w:tcW w:w="646" w:type="dxa"/>
                  <w:noWrap w:val="0"/>
                  <w:vAlign w:val="center"/>
                </w:tcPr>
                <w:p>
                  <w:pPr>
                    <w:pStyle w:val="18"/>
                    <w:bidi w:val="0"/>
                    <w:rPr>
                      <w:rFonts w:hint="eastAsia"/>
                      <w:color w:val="auto"/>
                      <w:lang w:val="en-US" w:eastAsia="zh-CN"/>
                    </w:rPr>
                  </w:pPr>
                  <w:r>
                    <w:rPr>
                      <w:rFonts w:hint="eastAsia"/>
                      <w:color w:val="auto"/>
                      <w:lang w:val="en-US" w:eastAsia="zh-CN"/>
                    </w:rPr>
                    <w:t>/</w:t>
                  </w:r>
                </w:p>
              </w:tc>
              <w:tc>
                <w:tcPr>
                  <w:tcW w:w="1266" w:type="dxa"/>
                  <w:noWrap w:val="0"/>
                  <w:vAlign w:val="center"/>
                </w:tcPr>
                <w:p>
                  <w:pPr>
                    <w:pStyle w:val="18"/>
                    <w:bidi w:val="0"/>
                    <w:rPr>
                      <w:rFonts w:hint="default"/>
                      <w:color w:val="auto"/>
                      <w:lang w:val="en-US" w:eastAsia="zh-CN"/>
                    </w:rPr>
                  </w:pPr>
                  <w:r>
                    <w:rPr>
                      <w:rFonts w:hint="eastAsia"/>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917" w:type="dxa"/>
                  <w:noWrap w:val="0"/>
                  <w:vAlign w:val="center"/>
                </w:tcPr>
                <w:p>
                  <w:pPr>
                    <w:pStyle w:val="18"/>
                    <w:bidi w:val="0"/>
                    <w:rPr>
                      <w:rFonts w:hint="eastAsia"/>
                      <w:color w:val="auto"/>
                      <w:lang w:val="en-US" w:eastAsia="zh-CN"/>
                    </w:rPr>
                  </w:pPr>
                  <w:r>
                    <w:rPr>
                      <w:rFonts w:hint="eastAsia"/>
                      <w:color w:val="auto"/>
                      <w:lang w:val="en-US" w:eastAsia="zh-CN"/>
                    </w:rPr>
                    <w:t>1小时平均浓度</w:t>
                  </w:r>
                </w:p>
              </w:tc>
              <w:tc>
                <w:tcPr>
                  <w:tcW w:w="723" w:type="dxa"/>
                  <w:noWrap w:val="0"/>
                  <w:vAlign w:val="center"/>
                </w:tcPr>
                <w:p>
                  <w:pPr>
                    <w:pStyle w:val="18"/>
                    <w:bidi w:val="0"/>
                    <w:rPr>
                      <w:rFonts w:hint="default"/>
                      <w:color w:val="auto"/>
                      <w:lang w:val="en-US" w:eastAsia="zh-CN"/>
                    </w:rPr>
                  </w:pPr>
                  <w:r>
                    <w:rPr>
                      <w:rFonts w:hint="eastAsia"/>
                      <w:color w:val="auto"/>
                      <w:lang w:val="en-US" w:eastAsia="zh-CN"/>
                    </w:rPr>
                    <w:t>500</w:t>
                  </w:r>
                </w:p>
              </w:tc>
              <w:tc>
                <w:tcPr>
                  <w:tcW w:w="586" w:type="dxa"/>
                  <w:noWrap w:val="0"/>
                  <w:vAlign w:val="center"/>
                </w:tcPr>
                <w:p>
                  <w:pPr>
                    <w:pStyle w:val="18"/>
                    <w:bidi w:val="0"/>
                    <w:rPr>
                      <w:rFonts w:hint="eastAsia"/>
                      <w:color w:val="auto"/>
                      <w:lang w:val="en-US" w:eastAsia="zh-CN"/>
                    </w:rPr>
                  </w:pPr>
                  <w:r>
                    <w:rPr>
                      <w:rFonts w:hint="eastAsia"/>
                      <w:color w:val="auto"/>
                      <w:lang w:val="en-US" w:eastAsia="zh-CN"/>
                    </w:rPr>
                    <w:t>10</w:t>
                  </w:r>
                </w:p>
              </w:tc>
              <w:tc>
                <w:tcPr>
                  <w:tcW w:w="641" w:type="dxa"/>
                  <w:noWrap w:val="0"/>
                  <w:vAlign w:val="center"/>
                </w:tcPr>
                <w:p>
                  <w:pPr>
                    <w:pStyle w:val="18"/>
                    <w:bidi w:val="0"/>
                    <w:rPr>
                      <w:rFonts w:hint="default"/>
                      <w:color w:val="auto"/>
                      <w:lang w:val="en-US" w:eastAsia="zh-CN"/>
                    </w:rPr>
                  </w:pPr>
                  <w:r>
                    <w:rPr>
                      <w:rFonts w:hint="eastAsia"/>
                      <w:color w:val="auto"/>
                      <w:lang w:val="en-US" w:eastAsia="zh-CN"/>
                    </w:rPr>
                    <w:t>200</w:t>
                  </w:r>
                </w:p>
              </w:tc>
              <w:tc>
                <w:tcPr>
                  <w:tcW w:w="737" w:type="dxa"/>
                  <w:noWrap w:val="0"/>
                  <w:vAlign w:val="center"/>
                </w:tcPr>
                <w:p>
                  <w:pPr>
                    <w:pStyle w:val="18"/>
                    <w:bidi w:val="0"/>
                    <w:rPr>
                      <w:rFonts w:hint="eastAsia"/>
                      <w:color w:val="auto"/>
                      <w:lang w:val="en-US" w:eastAsia="zh-CN"/>
                    </w:rPr>
                  </w:pPr>
                  <w:r>
                    <w:rPr>
                      <w:rFonts w:hint="eastAsia"/>
                      <w:color w:val="auto"/>
                      <w:lang w:val="en-US" w:eastAsia="zh-CN"/>
                    </w:rPr>
                    <w:t>/</w:t>
                  </w:r>
                </w:p>
              </w:tc>
              <w:tc>
                <w:tcPr>
                  <w:tcW w:w="691" w:type="dxa"/>
                  <w:noWrap w:val="0"/>
                  <w:vAlign w:val="center"/>
                </w:tcPr>
                <w:p>
                  <w:pPr>
                    <w:pStyle w:val="18"/>
                    <w:bidi w:val="0"/>
                    <w:rPr>
                      <w:rFonts w:hint="eastAsia"/>
                      <w:color w:val="auto"/>
                      <w:lang w:val="en-US" w:eastAsia="zh-CN"/>
                    </w:rPr>
                  </w:pPr>
                  <w:r>
                    <w:rPr>
                      <w:rFonts w:hint="eastAsia"/>
                      <w:color w:val="auto"/>
                      <w:lang w:val="en-US" w:eastAsia="zh-CN"/>
                    </w:rPr>
                    <w:t>/</w:t>
                  </w:r>
                </w:p>
              </w:tc>
              <w:tc>
                <w:tcPr>
                  <w:tcW w:w="629" w:type="dxa"/>
                  <w:noWrap w:val="0"/>
                  <w:vAlign w:val="center"/>
                </w:tcPr>
                <w:p>
                  <w:pPr>
                    <w:pStyle w:val="18"/>
                    <w:bidi w:val="0"/>
                    <w:rPr>
                      <w:rFonts w:hint="eastAsia"/>
                      <w:color w:val="auto"/>
                      <w:lang w:val="en-US" w:eastAsia="zh-CN"/>
                    </w:rPr>
                  </w:pPr>
                  <w:r>
                    <w:rPr>
                      <w:rFonts w:hint="eastAsia"/>
                      <w:color w:val="auto"/>
                      <w:lang w:val="en-US" w:eastAsia="zh-CN"/>
                    </w:rPr>
                    <w:t>/</w:t>
                  </w:r>
                </w:p>
              </w:tc>
              <w:tc>
                <w:tcPr>
                  <w:tcW w:w="646" w:type="dxa"/>
                  <w:noWrap w:val="0"/>
                  <w:vAlign w:val="center"/>
                </w:tcPr>
                <w:p>
                  <w:pPr>
                    <w:pStyle w:val="18"/>
                    <w:bidi w:val="0"/>
                    <w:rPr>
                      <w:rFonts w:hint="default"/>
                      <w:color w:val="auto"/>
                      <w:lang w:val="en-US" w:eastAsia="zh-CN"/>
                    </w:rPr>
                  </w:pPr>
                  <w:r>
                    <w:rPr>
                      <w:rFonts w:hint="eastAsia"/>
                      <w:color w:val="auto"/>
                      <w:lang w:val="en-US" w:eastAsia="zh-CN"/>
                    </w:rPr>
                    <w:t>200</w:t>
                  </w:r>
                </w:p>
              </w:tc>
              <w:tc>
                <w:tcPr>
                  <w:tcW w:w="1266" w:type="dxa"/>
                  <w:noWrap w:val="0"/>
                  <w:vAlign w:val="center"/>
                </w:tcPr>
                <w:p>
                  <w:pPr>
                    <w:pStyle w:val="18"/>
                    <w:bidi w:val="0"/>
                    <w:rPr>
                      <w:rFonts w:hint="default"/>
                      <w:color w:val="auto"/>
                      <w:lang w:val="en-US" w:eastAsia="zh-CN"/>
                    </w:rPr>
                  </w:pPr>
                  <w:r>
                    <w:rPr>
                      <w:rFonts w:hint="eastAsia"/>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917" w:type="dxa"/>
                  <w:noWrap w:val="0"/>
                  <w:vAlign w:val="center"/>
                </w:tcPr>
                <w:p>
                  <w:pPr>
                    <w:pStyle w:val="18"/>
                    <w:bidi w:val="0"/>
                    <w:rPr>
                      <w:rFonts w:hint="eastAsia"/>
                      <w:color w:val="auto"/>
                      <w:lang w:val="en-US" w:eastAsia="zh-CN"/>
                    </w:rPr>
                  </w:pPr>
                  <w:r>
                    <w:rPr>
                      <w:rFonts w:hint="eastAsia"/>
                      <w:color w:val="auto"/>
                      <w:lang w:val="en-US" w:eastAsia="zh-CN"/>
                    </w:rPr>
                    <w:t>日最大8小时平均</w:t>
                  </w:r>
                </w:p>
              </w:tc>
              <w:tc>
                <w:tcPr>
                  <w:tcW w:w="723" w:type="dxa"/>
                  <w:noWrap w:val="0"/>
                  <w:vAlign w:val="center"/>
                </w:tcPr>
                <w:p>
                  <w:pPr>
                    <w:pStyle w:val="18"/>
                    <w:bidi w:val="0"/>
                    <w:rPr>
                      <w:rFonts w:hint="eastAsia"/>
                      <w:color w:val="auto"/>
                      <w:lang w:val="en-US" w:eastAsia="zh-CN"/>
                    </w:rPr>
                  </w:pPr>
                  <w:r>
                    <w:rPr>
                      <w:rFonts w:hint="eastAsia"/>
                      <w:color w:val="auto"/>
                      <w:lang w:val="en-US" w:eastAsia="zh-CN"/>
                    </w:rPr>
                    <w:t>/</w:t>
                  </w:r>
                </w:p>
              </w:tc>
              <w:tc>
                <w:tcPr>
                  <w:tcW w:w="586" w:type="dxa"/>
                  <w:noWrap w:val="0"/>
                  <w:vAlign w:val="center"/>
                </w:tcPr>
                <w:p>
                  <w:pPr>
                    <w:pStyle w:val="18"/>
                    <w:bidi w:val="0"/>
                    <w:rPr>
                      <w:rFonts w:hint="eastAsia"/>
                      <w:color w:val="auto"/>
                      <w:lang w:val="en-US" w:eastAsia="zh-CN"/>
                    </w:rPr>
                  </w:pPr>
                  <w:r>
                    <w:rPr>
                      <w:rFonts w:hint="eastAsia"/>
                      <w:color w:val="auto"/>
                      <w:lang w:val="en-US" w:eastAsia="zh-CN"/>
                    </w:rPr>
                    <w:t>/</w:t>
                  </w:r>
                </w:p>
              </w:tc>
              <w:tc>
                <w:tcPr>
                  <w:tcW w:w="641" w:type="dxa"/>
                  <w:noWrap w:val="0"/>
                  <w:vAlign w:val="center"/>
                </w:tcPr>
                <w:p>
                  <w:pPr>
                    <w:pStyle w:val="18"/>
                    <w:bidi w:val="0"/>
                    <w:rPr>
                      <w:rFonts w:hint="eastAsia"/>
                      <w:color w:val="auto"/>
                      <w:lang w:val="en-US" w:eastAsia="zh-CN"/>
                    </w:rPr>
                  </w:pPr>
                  <w:r>
                    <w:rPr>
                      <w:rFonts w:hint="eastAsia"/>
                      <w:color w:val="auto"/>
                      <w:lang w:val="en-US" w:eastAsia="zh-CN"/>
                    </w:rPr>
                    <w:t>/</w:t>
                  </w:r>
                </w:p>
              </w:tc>
              <w:tc>
                <w:tcPr>
                  <w:tcW w:w="737" w:type="dxa"/>
                  <w:noWrap w:val="0"/>
                  <w:vAlign w:val="center"/>
                </w:tcPr>
                <w:p>
                  <w:pPr>
                    <w:pStyle w:val="18"/>
                    <w:bidi w:val="0"/>
                    <w:rPr>
                      <w:rFonts w:hint="eastAsia"/>
                      <w:color w:val="auto"/>
                      <w:lang w:val="en-US" w:eastAsia="zh-CN"/>
                    </w:rPr>
                  </w:pPr>
                  <w:r>
                    <w:rPr>
                      <w:rFonts w:hint="eastAsia"/>
                      <w:color w:val="auto"/>
                      <w:lang w:val="en-US" w:eastAsia="zh-CN"/>
                    </w:rPr>
                    <w:t>/</w:t>
                  </w:r>
                </w:p>
              </w:tc>
              <w:tc>
                <w:tcPr>
                  <w:tcW w:w="691" w:type="dxa"/>
                  <w:noWrap w:val="0"/>
                  <w:vAlign w:val="center"/>
                </w:tcPr>
                <w:p>
                  <w:pPr>
                    <w:pStyle w:val="18"/>
                    <w:bidi w:val="0"/>
                    <w:rPr>
                      <w:rFonts w:hint="eastAsia"/>
                      <w:color w:val="auto"/>
                      <w:lang w:val="en-US" w:eastAsia="zh-CN"/>
                    </w:rPr>
                  </w:pPr>
                  <w:r>
                    <w:rPr>
                      <w:rFonts w:hint="eastAsia"/>
                      <w:color w:val="auto"/>
                      <w:lang w:val="en-US" w:eastAsia="zh-CN"/>
                    </w:rPr>
                    <w:t>/</w:t>
                  </w:r>
                </w:p>
              </w:tc>
              <w:tc>
                <w:tcPr>
                  <w:tcW w:w="629" w:type="dxa"/>
                  <w:noWrap w:val="0"/>
                  <w:vAlign w:val="center"/>
                </w:tcPr>
                <w:p>
                  <w:pPr>
                    <w:pStyle w:val="18"/>
                    <w:bidi w:val="0"/>
                    <w:rPr>
                      <w:rFonts w:hint="eastAsia"/>
                      <w:color w:val="auto"/>
                      <w:lang w:val="en-US" w:eastAsia="zh-CN"/>
                    </w:rPr>
                  </w:pPr>
                  <w:r>
                    <w:rPr>
                      <w:rFonts w:hint="eastAsia"/>
                      <w:color w:val="auto"/>
                      <w:lang w:val="en-US" w:eastAsia="zh-CN"/>
                    </w:rPr>
                    <w:t>/</w:t>
                  </w:r>
                </w:p>
              </w:tc>
              <w:tc>
                <w:tcPr>
                  <w:tcW w:w="646" w:type="dxa"/>
                  <w:noWrap w:val="0"/>
                  <w:vAlign w:val="center"/>
                </w:tcPr>
                <w:p>
                  <w:pPr>
                    <w:pStyle w:val="18"/>
                    <w:bidi w:val="0"/>
                    <w:rPr>
                      <w:rFonts w:hint="default"/>
                      <w:color w:val="auto"/>
                      <w:lang w:val="en-US" w:eastAsia="zh-CN"/>
                    </w:rPr>
                  </w:pPr>
                  <w:r>
                    <w:rPr>
                      <w:rFonts w:hint="eastAsia"/>
                      <w:color w:val="auto"/>
                      <w:lang w:val="en-US" w:eastAsia="zh-CN"/>
                    </w:rPr>
                    <w:t>160</w:t>
                  </w:r>
                </w:p>
              </w:tc>
              <w:tc>
                <w:tcPr>
                  <w:tcW w:w="1266" w:type="dxa"/>
                  <w:noWrap w:val="0"/>
                  <w:vAlign w:val="center"/>
                </w:tcPr>
                <w:p>
                  <w:pPr>
                    <w:pStyle w:val="18"/>
                    <w:bidi w:val="0"/>
                    <w:rPr>
                      <w:rFonts w:hint="default"/>
                      <w:color w:val="auto"/>
                      <w:lang w:val="en-US" w:eastAsia="zh-CN"/>
                    </w:rPr>
                  </w:pPr>
                  <w:r>
                    <w:rPr>
                      <w:rFonts w:hint="eastAsia"/>
                      <w:color w:val="auto"/>
                      <w:lang w:val="en-US" w:eastAsia="zh-CN"/>
                    </w:rPr>
                    <w:t>800</w:t>
                  </w:r>
                </w:p>
              </w:tc>
            </w:tr>
          </w:tbl>
          <w:p>
            <w:pPr>
              <w:keepNext w:val="0"/>
              <w:keepLines w:val="0"/>
              <w:pageBreakBefore w:val="0"/>
              <w:kinsoku/>
              <w:wordWrap/>
              <w:overflowPunct/>
              <w:topLinePunct w:val="0"/>
              <w:bidi w:val="0"/>
              <w:adjustRightInd w:val="0"/>
              <w:snapToGrid/>
              <w:spacing w:line="240" w:lineRule="auto"/>
              <w:ind w:firstLine="420" w:firstLineChars="200"/>
              <w:jc w:val="both"/>
              <w:rPr>
                <w:rFonts w:hint="default" w:ascii="Times New Roman" w:hAnsi="Times New Roman" w:eastAsia="宋体" w:cs="Times New Roman"/>
                <w:b w:val="0"/>
                <w:bCs w:val="0"/>
                <w:color w:val="auto"/>
                <w:sz w:val="21"/>
                <w:szCs w:val="21"/>
                <w:lang w:val="en-US" w:eastAsia="zh-CN"/>
              </w:rPr>
            </w:pPr>
            <w:r>
              <w:rPr>
                <w:rFonts w:hint="eastAsia" w:ascii="宋体" w:hAnsi="宋体" w:cs="宋体"/>
                <w:b w:val="0"/>
                <w:bCs/>
                <w:color w:val="auto"/>
                <w:sz w:val="21"/>
                <w:szCs w:val="21"/>
                <w:lang w:eastAsia="zh-CN"/>
              </w:rPr>
              <w:t>备注：</w:t>
            </w:r>
            <w:r>
              <w:rPr>
                <w:rFonts w:hint="eastAsia" w:ascii="宋体" w:hAnsi="宋体" w:cs="宋体"/>
                <w:b w:val="0"/>
                <w:bCs w:val="0"/>
                <w:color w:val="auto"/>
                <w:kern w:val="0"/>
                <w:sz w:val="21"/>
                <w:szCs w:val="21"/>
                <w:vertAlign w:val="baseline"/>
                <w:lang w:val="en-US" w:eastAsia="zh-CN"/>
              </w:rPr>
              <w:t>本项目产生的TOVC执行《环境影响评价技术导则-大气环境》HJ2.2-2018附录D中的浓度限值</w:t>
            </w:r>
            <w:r>
              <w:rPr>
                <w:rFonts w:hint="eastAsia" w:hAnsi="宋体"/>
                <w:b w:val="0"/>
                <w:bCs/>
                <w:color w:val="auto"/>
                <w:sz w:val="21"/>
                <w:szCs w:val="21"/>
                <w:lang w:eastAsia="zh-CN"/>
              </w:rPr>
              <w:t>。</w:t>
            </w:r>
          </w:p>
          <w:p>
            <w:pPr>
              <w:spacing w:line="360" w:lineRule="auto"/>
              <w:ind w:right="118" w:firstLine="482" w:firstLineChars="200"/>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2、地表水环境质量标准</w:t>
            </w:r>
          </w:p>
          <w:p>
            <w:pPr>
              <w:bidi w:val="0"/>
              <w:rPr>
                <w:rFonts w:hint="default"/>
                <w:color w:val="auto"/>
              </w:rPr>
            </w:pPr>
            <w:r>
              <w:rPr>
                <w:rFonts w:hint="default"/>
                <w:color w:val="auto"/>
                <w:lang w:eastAsia="zh-CN"/>
              </w:rPr>
              <w:t>距</w:t>
            </w:r>
            <w:r>
              <w:rPr>
                <w:rFonts w:hint="default"/>
                <w:color w:val="auto"/>
              </w:rPr>
              <w:t>离本项目最近的地表水主要为南面约</w:t>
            </w:r>
            <w:r>
              <w:rPr>
                <w:rFonts w:hint="default"/>
                <w:color w:val="auto"/>
                <w:lang w:val="en-US" w:eastAsia="zh-CN"/>
              </w:rPr>
              <w:t>1</w:t>
            </w:r>
            <w:r>
              <w:rPr>
                <w:rFonts w:hint="eastAsia"/>
                <w:color w:val="auto"/>
                <w:lang w:val="en-US" w:eastAsia="zh-CN"/>
              </w:rPr>
              <w:t>130</w:t>
            </w:r>
            <w:r>
              <w:rPr>
                <w:rFonts w:hint="default"/>
                <w:color w:val="auto"/>
              </w:rPr>
              <w:t>m处的大营河，</w:t>
            </w:r>
            <w:r>
              <w:rPr>
                <w:rFonts w:hint="default"/>
                <w:color w:val="auto"/>
                <w:lang w:eastAsia="zh-CN"/>
              </w:rPr>
              <w:t>大营河为沙朗河下游，</w:t>
            </w:r>
            <w:r>
              <w:rPr>
                <w:rFonts w:hint="default"/>
                <w:color w:val="auto"/>
                <w:lang w:val="zh-CN"/>
              </w:rPr>
              <w:t>根据</w:t>
            </w:r>
            <w:r>
              <w:rPr>
                <w:rFonts w:hint="default"/>
                <w:color w:val="auto"/>
              </w:rPr>
              <w:t>《昆明市地表水水环境功能区划》（2010~2020年），沙朗河取水点—入螳螂川口水环境功能为工业用水、农业用水，水质类别为Ⅳ类水体，执行《地表水环境质量标准》（GB3838-2002）Ⅳ类标准。标准值见表4-</w:t>
            </w:r>
            <w:r>
              <w:rPr>
                <w:rFonts w:hint="eastAsia"/>
                <w:color w:val="auto"/>
                <w:lang w:val="en-US" w:eastAsia="zh-CN"/>
              </w:rPr>
              <w:t>2</w:t>
            </w:r>
            <w:r>
              <w:rPr>
                <w:rFonts w:hint="default"/>
                <w:color w:val="auto"/>
              </w:rPr>
              <w:t>。</w:t>
            </w:r>
          </w:p>
          <w:p>
            <w:pPr>
              <w:pStyle w:val="19"/>
              <w:bidi w:val="0"/>
              <w:rPr>
                <w:rFonts w:hint="default"/>
                <w:color w:val="auto"/>
              </w:rPr>
            </w:pPr>
            <w:r>
              <w:rPr>
                <w:rFonts w:hint="default"/>
                <w:color w:val="auto"/>
              </w:rPr>
              <w:t>表4-</w:t>
            </w:r>
            <w:r>
              <w:rPr>
                <w:rFonts w:hint="eastAsia"/>
                <w:color w:val="auto"/>
                <w:lang w:val="en-US" w:eastAsia="zh-CN"/>
              </w:rPr>
              <w:t>2</w:t>
            </w:r>
            <w:r>
              <w:rPr>
                <w:rFonts w:hint="default"/>
                <w:color w:val="auto"/>
              </w:rPr>
              <w:t xml:space="preserve">  地表水环境质量标准   单位：mg/L</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2"/>
              <w:gridCol w:w="1104"/>
              <w:gridCol w:w="1003"/>
              <w:gridCol w:w="995"/>
              <w:gridCol w:w="1005"/>
              <w:gridCol w:w="1110"/>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22" w:type="dxa"/>
                  <w:noWrap w:val="0"/>
                  <w:vAlign w:val="center"/>
                </w:tcPr>
                <w:p>
                  <w:pPr>
                    <w:pStyle w:val="18"/>
                    <w:bidi w:val="0"/>
                    <w:rPr>
                      <w:rFonts w:hint="default"/>
                      <w:color w:val="auto"/>
                    </w:rPr>
                  </w:pPr>
                  <w:r>
                    <w:rPr>
                      <w:rFonts w:hint="default"/>
                      <w:color w:val="auto"/>
                    </w:rPr>
                    <w:t>项目</w:t>
                  </w:r>
                </w:p>
              </w:tc>
              <w:tc>
                <w:tcPr>
                  <w:tcW w:w="1104" w:type="dxa"/>
                  <w:noWrap w:val="0"/>
                  <w:vAlign w:val="center"/>
                </w:tcPr>
                <w:p>
                  <w:pPr>
                    <w:pStyle w:val="18"/>
                    <w:bidi w:val="0"/>
                    <w:rPr>
                      <w:rFonts w:hint="default"/>
                      <w:color w:val="auto"/>
                    </w:rPr>
                  </w:pPr>
                  <w:r>
                    <w:rPr>
                      <w:rFonts w:hint="default"/>
                      <w:color w:val="auto"/>
                    </w:rPr>
                    <w:t>pH</w:t>
                  </w:r>
                </w:p>
                <w:p>
                  <w:pPr>
                    <w:pStyle w:val="18"/>
                    <w:bidi w:val="0"/>
                    <w:rPr>
                      <w:rFonts w:hint="default"/>
                      <w:color w:val="auto"/>
                    </w:rPr>
                  </w:pPr>
                  <w:r>
                    <w:rPr>
                      <w:rFonts w:hint="default"/>
                      <w:color w:val="auto"/>
                    </w:rPr>
                    <w:t>(无量纲)</w:t>
                  </w:r>
                </w:p>
              </w:tc>
              <w:tc>
                <w:tcPr>
                  <w:tcW w:w="1003" w:type="dxa"/>
                  <w:noWrap w:val="0"/>
                  <w:vAlign w:val="center"/>
                </w:tcPr>
                <w:p>
                  <w:pPr>
                    <w:pStyle w:val="18"/>
                    <w:bidi w:val="0"/>
                    <w:rPr>
                      <w:rFonts w:hint="default"/>
                      <w:color w:val="auto"/>
                    </w:rPr>
                  </w:pPr>
                  <w:r>
                    <w:rPr>
                      <w:rFonts w:hint="default"/>
                      <w:color w:val="auto"/>
                    </w:rPr>
                    <w:t>COD</w:t>
                  </w:r>
                  <w:r>
                    <w:rPr>
                      <w:rFonts w:hint="default"/>
                      <w:color w:val="auto"/>
                      <w:vertAlign w:val="subscript"/>
                    </w:rPr>
                    <w:t>cr</w:t>
                  </w:r>
                </w:p>
              </w:tc>
              <w:tc>
                <w:tcPr>
                  <w:tcW w:w="995" w:type="dxa"/>
                  <w:noWrap w:val="0"/>
                  <w:vAlign w:val="center"/>
                </w:tcPr>
                <w:p>
                  <w:pPr>
                    <w:pStyle w:val="18"/>
                    <w:bidi w:val="0"/>
                    <w:rPr>
                      <w:rFonts w:hint="default"/>
                      <w:color w:val="auto"/>
                    </w:rPr>
                  </w:pPr>
                  <w:r>
                    <w:rPr>
                      <w:rFonts w:hint="default"/>
                      <w:color w:val="auto"/>
                    </w:rPr>
                    <w:t>BOD</w:t>
                  </w:r>
                  <w:r>
                    <w:rPr>
                      <w:rFonts w:hint="default"/>
                      <w:color w:val="auto"/>
                      <w:vertAlign w:val="subscript"/>
                    </w:rPr>
                    <w:t>5</w:t>
                  </w:r>
                </w:p>
              </w:tc>
              <w:tc>
                <w:tcPr>
                  <w:tcW w:w="1005" w:type="dxa"/>
                  <w:noWrap w:val="0"/>
                  <w:vAlign w:val="center"/>
                </w:tcPr>
                <w:p>
                  <w:pPr>
                    <w:pStyle w:val="18"/>
                    <w:bidi w:val="0"/>
                    <w:rPr>
                      <w:rFonts w:hint="default"/>
                      <w:color w:val="auto"/>
                    </w:rPr>
                  </w:pPr>
                  <w:r>
                    <w:rPr>
                      <w:rFonts w:hint="default"/>
                      <w:color w:val="auto"/>
                    </w:rPr>
                    <w:t>NH</w:t>
                  </w:r>
                  <w:r>
                    <w:rPr>
                      <w:rFonts w:hint="default"/>
                      <w:color w:val="auto"/>
                      <w:vertAlign w:val="subscript"/>
                    </w:rPr>
                    <w:t>4</w:t>
                  </w:r>
                  <w:r>
                    <w:rPr>
                      <w:rFonts w:hint="default"/>
                      <w:color w:val="auto"/>
                    </w:rPr>
                    <w:t>-N</w:t>
                  </w:r>
                </w:p>
              </w:tc>
              <w:tc>
                <w:tcPr>
                  <w:tcW w:w="1110" w:type="dxa"/>
                  <w:noWrap w:val="0"/>
                  <w:vAlign w:val="center"/>
                </w:tcPr>
                <w:p>
                  <w:pPr>
                    <w:pStyle w:val="18"/>
                    <w:bidi w:val="0"/>
                    <w:rPr>
                      <w:rFonts w:hint="default"/>
                      <w:color w:val="auto"/>
                    </w:rPr>
                  </w:pPr>
                  <w:r>
                    <w:rPr>
                      <w:rFonts w:hint="default"/>
                      <w:color w:val="auto"/>
                    </w:rPr>
                    <w:t xml:space="preserve">总磷 </w:t>
                  </w:r>
                </w:p>
              </w:tc>
              <w:tc>
                <w:tcPr>
                  <w:tcW w:w="1400" w:type="dxa"/>
                  <w:noWrap w:val="0"/>
                  <w:vAlign w:val="center"/>
                </w:tcPr>
                <w:p>
                  <w:pPr>
                    <w:pStyle w:val="18"/>
                    <w:bidi w:val="0"/>
                    <w:rPr>
                      <w:rFonts w:hint="default"/>
                      <w:color w:val="auto"/>
                    </w:rPr>
                  </w:pPr>
                  <w:r>
                    <w:rPr>
                      <w:rFonts w:hint="default"/>
                      <w:color w:val="auto"/>
                    </w:rPr>
                    <w:t>粪大肠杆菌</w:t>
                  </w:r>
                </w:p>
                <w:p>
                  <w:pPr>
                    <w:pStyle w:val="18"/>
                    <w:bidi w:val="0"/>
                    <w:rPr>
                      <w:rFonts w:hint="default"/>
                      <w:color w:val="auto"/>
                    </w:rPr>
                  </w:pPr>
                  <w:r>
                    <w:rPr>
                      <w:rFonts w:hint="default"/>
                      <w:color w:val="auto"/>
                    </w:rPr>
                    <w:t>(个/L)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22" w:type="dxa"/>
                  <w:noWrap w:val="0"/>
                  <w:vAlign w:val="center"/>
                </w:tcPr>
                <w:p>
                  <w:pPr>
                    <w:pStyle w:val="18"/>
                    <w:bidi w:val="0"/>
                    <w:rPr>
                      <w:rFonts w:hint="default"/>
                      <w:color w:val="auto"/>
                    </w:rPr>
                  </w:pPr>
                  <w:r>
                    <w:rPr>
                      <w:rFonts w:hint="default"/>
                      <w:color w:val="auto"/>
                    </w:rPr>
                    <w:fldChar w:fldCharType="begin"/>
                  </w:r>
                  <w:r>
                    <w:rPr>
                      <w:rFonts w:hint="default"/>
                      <w:color w:val="auto"/>
                    </w:rPr>
                    <w:instrText xml:space="preserve"> = 4 \* ROMAN \* MERGEFORMAT </w:instrText>
                  </w:r>
                  <w:r>
                    <w:rPr>
                      <w:rFonts w:hint="default"/>
                      <w:color w:val="auto"/>
                    </w:rPr>
                    <w:fldChar w:fldCharType="separate"/>
                  </w:r>
                  <w:r>
                    <w:rPr>
                      <w:rFonts w:hint="default"/>
                      <w:color w:val="auto"/>
                    </w:rPr>
                    <w:t>IV</w:t>
                  </w:r>
                  <w:r>
                    <w:rPr>
                      <w:rFonts w:hint="default"/>
                      <w:color w:val="auto"/>
                    </w:rPr>
                    <w:fldChar w:fldCharType="end"/>
                  </w:r>
                  <w:r>
                    <w:rPr>
                      <w:rFonts w:hint="default"/>
                      <w:color w:val="auto"/>
                    </w:rPr>
                    <w:t>类标准</w:t>
                  </w:r>
                </w:p>
              </w:tc>
              <w:tc>
                <w:tcPr>
                  <w:tcW w:w="1104" w:type="dxa"/>
                  <w:noWrap w:val="0"/>
                  <w:vAlign w:val="center"/>
                </w:tcPr>
                <w:p>
                  <w:pPr>
                    <w:pStyle w:val="18"/>
                    <w:bidi w:val="0"/>
                    <w:rPr>
                      <w:rFonts w:hint="default"/>
                      <w:color w:val="auto"/>
                    </w:rPr>
                  </w:pPr>
                  <w:r>
                    <w:rPr>
                      <w:rFonts w:hint="default"/>
                      <w:color w:val="auto"/>
                    </w:rPr>
                    <w:t>6～9</w:t>
                  </w:r>
                </w:p>
              </w:tc>
              <w:tc>
                <w:tcPr>
                  <w:tcW w:w="1003" w:type="dxa"/>
                  <w:noWrap w:val="0"/>
                  <w:vAlign w:val="center"/>
                </w:tcPr>
                <w:p>
                  <w:pPr>
                    <w:pStyle w:val="18"/>
                    <w:bidi w:val="0"/>
                    <w:rPr>
                      <w:rFonts w:hint="default"/>
                      <w:color w:val="auto"/>
                    </w:rPr>
                  </w:pPr>
                  <w:r>
                    <w:rPr>
                      <w:rFonts w:hint="default"/>
                      <w:color w:val="auto"/>
                    </w:rPr>
                    <w:t>≤30</w:t>
                  </w:r>
                </w:p>
              </w:tc>
              <w:tc>
                <w:tcPr>
                  <w:tcW w:w="995" w:type="dxa"/>
                  <w:noWrap w:val="0"/>
                  <w:vAlign w:val="center"/>
                </w:tcPr>
                <w:p>
                  <w:pPr>
                    <w:pStyle w:val="18"/>
                    <w:bidi w:val="0"/>
                    <w:rPr>
                      <w:rFonts w:hint="default"/>
                      <w:color w:val="auto"/>
                    </w:rPr>
                  </w:pPr>
                  <w:r>
                    <w:rPr>
                      <w:rFonts w:hint="default"/>
                      <w:color w:val="auto"/>
                    </w:rPr>
                    <w:t>≤6</w:t>
                  </w:r>
                </w:p>
              </w:tc>
              <w:tc>
                <w:tcPr>
                  <w:tcW w:w="1005" w:type="dxa"/>
                  <w:noWrap w:val="0"/>
                  <w:vAlign w:val="center"/>
                </w:tcPr>
                <w:p>
                  <w:pPr>
                    <w:pStyle w:val="18"/>
                    <w:bidi w:val="0"/>
                    <w:rPr>
                      <w:rFonts w:hint="default"/>
                      <w:color w:val="auto"/>
                    </w:rPr>
                  </w:pPr>
                  <w:r>
                    <w:rPr>
                      <w:rFonts w:hint="default"/>
                      <w:color w:val="auto"/>
                    </w:rPr>
                    <w:t>≤1.5</w:t>
                  </w:r>
                </w:p>
              </w:tc>
              <w:tc>
                <w:tcPr>
                  <w:tcW w:w="1110" w:type="dxa"/>
                  <w:noWrap w:val="0"/>
                  <w:vAlign w:val="center"/>
                </w:tcPr>
                <w:p>
                  <w:pPr>
                    <w:pStyle w:val="18"/>
                    <w:bidi w:val="0"/>
                    <w:rPr>
                      <w:rFonts w:hint="default"/>
                      <w:color w:val="auto"/>
                    </w:rPr>
                  </w:pPr>
                  <w:r>
                    <w:rPr>
                      <w:rFonts w:hint="default"/>
                      <w:color w:val="auto"/>
                    </w:rPr>
                    <w:t>≤0.3</w:t>
                  </w:r>
                </w:p>
              </w:tc>
              <w:tc>
                <w:tcPr>
                  <w:tcW w:w="1400" w:type="dxa"/>
                  <w:noWrap w:val="0"/>
                  <w:vAlign w:val="center"/>
                </w:tcPr>
                <w:p>
                  <w:pPr>
                    <w:pStyle w:val="18"/>
                    <w:bidi w:val="0"/>
                    <w:rPr>
                      <w:rFonts w:hint="default"/>
                      <w:color w:val="auto"/>
                    </w:rPr>
                  </w:pPr>
                  <w:r>
                    <w:rPr>
                      <w:rFonts w:hint="default"/>
                      <w:color w:val="auto"/>
                    </w:rPr>
                    <w:t>≤20000</w:t>
                  </w:r>
                </w:p>
              </w:tc>
            </w:tr>
          </w:tbl>
          <w:p>
            <w:pPr>
              <w:spacing w:line="360" w:lineRule="auto"/>
              <w:ind w:firstLine="482" w:firstLineChars="20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3、声环境质量</w:t>
            </w:r>
          </w:p>
          <w:p>
            <w:pPr>
              <w:spacing w:line="360" w:lineRule="auto"/>
              <w:ind w:firstLine="480" w:firstLineChars="200"/>
              <w:rPr>
                <w:rFonts w:hint="default"/>
                <w:color w:val="auto"/>
              </w:rPr>
            </w:pPr>
            <w:r>
              <w:rPr>
                <w:rFonts w:hint="default" w:ascii="Times New Roman" w:hAnsi="Times New Roman" w:cs="Times New Roman"/>
                <w:color w:val="auto"/>
                <w:kern w:val="0"/>
                <w:sz w:val="24"/>
              </w:rPr>
              <w:t>本项目建设地点位于</w:t>
            </w:r>
            <w:r>
              <w:rPr>
                <w:rFonts w:hint="default" w:ascii="Times New Roman" w:hAnsi="Times New Roman" w:cs="Times New Roman"/>
                <w:color w:val="auto"/>
                <w:sz w:val="24"/>
                <w:szCs w:val="24"/>
              </w:rPr>
              <w:t>富民工业园区</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rPr>
              <w:t>属于规划工业园区</w:t>
            </w:r>
            <w:r>
              <w:rPr>
                <w:rFonts w:hint="default" w:ascii="Times New Roman" w:hAnsi="Times New Roman" w:cs="Times New Roman"/>
                <w:color w:val="auto"/>
                <w:sz w:val="24"/>
                <w:szCs w:val="24"/>
              </w:rPr>
              <w:t>，项目区执行《声环境质量标准》（GB3096-2008）3类标准，</w:t>
            </w:r>
            <w:r>
              <w:rPr>
                <w:rFonts w:hint="default" w:ascii="Times New Roman" w:hAnsi="Times New Roman" w:eastAsia="宋体" w:cs="Times New Roman"/>
                <w:color w:val="auto"/>
                <w:sz w:val="24"/>
              </w:rPr>
              <w:t>具体限值如表</w:t>
            </w:r>
            <w:r>
              <w:rPr>
                <w:rFonts w:hint="default" w:ascii="Times New Roman" w:hAnsi="Times New Roman" w:eastAsia="TimesNewRomanPSMT" w:cs="Times New Roman"/>
                <w:color w:val="auto"/>
                <w:sz w:val="24"/>
              </w:rPr>
              <w:t>4-</w:t>
            </w:r>
            <w:r>
              <w:rPr>
                <w:rFonts w:hint="eastAsia" w:ascii="Times New Roman" w:hAnsi="Times New Roman" w:cs="Times New Roman"/>
                <w:color w:val="auto"/>
                <w:sz w:val="24"/>
                <w:lang w:val="en-US" w:eastAsia="zh-CN"/>
              </w:rPr>
              <w:t>3</w:t>
            </w:r>
            <w:r>
              <w:rPr>
                <w:rFonts w:hint="default" w:ascii="Times New Roman" w:hAnsi="Times New Roman" w:eastAsia="宋体" w:cs="Times New Roman"/>
                <w:color w:val="auto"/>
                <w:sz w:val="24"/>
              </w:rPr>
              <w:t>所示</w:t>
            </w:r>
            <w:r>
              <w:rPr>
                <w:rFonts w:hint="default" w:ascii="Times New Roman" w:hAnsi="Times New Roman" w:cs="Times New Roman"/>
                <w:color w:val="auto"/>
                <w:sz w:val="24"/>
                <w:szCs w:val="24"/>
              </w:rPr>
              <w:t>。</w:t>
            </w:r>
          </w:p>
          <w:p>
            <w:pPr>
              <w:pStyle w:val="19"/>
              <w:bidi w:val="0"/>
              <w:rPr>
                <w:rFonts w:hint="default"/>
                <w:color w:val="auto"/>
              </w:rPr>
            </w:pPr>
            <w:r>
              <w:rPr>
                <w:rFonts w:hint="default"/>
                <w:color w:val="auto"/>
              </w:rPr>
              <w:t>表4-</w:t>
            </w:r>
            <w:r>
              <w:rPr>
                <w:rFonts w:hint="eastAsia"/>
                <w:color w:val="auto"/>
                <w:lang w:val="en-US" w:eastAsia="zh-CN"/>
              </w:rPr>
              <w:t>3</w:t>
            </w:r>
            <w:r>
              <w:rPr>
                <w:rFonts w:hint="default"/>
                <w:color w:val="auto"/>
              </w:rPr>
              <w:t xml:space="preserve"> 声环境质量标准限值  单位：dB(A)</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4"/>
              <w:gridCol w:w="3066"/>
              <w:gridCol w:w="3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764" w:type="dxa"/>
                  <w:vMerge w:val="restart"/>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r>
                    <w:rPr>
                      <w:rFonts w:hint="default"/>
                      <w:color w:val="auto"/>
                    </w:rPr>
                    <w:t>类别</w:t>
                  </w:r>
                </w:p>
              </w:tc>
              <w:tc>
                <w:tcPr>
                  <w:tcW w:w="6075" w:type="dxa"/>
                  <w:gridSpan w:val="2"/>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r>
                    <w:rPr>
                      <w:rFonts w:hint="default"/>
                      <w:color w:val="auto"/>
                    </w:rPr>
                    <w:t>标准值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64" w:type="dxa"/>
                  <w:vMerge w:val="continue"/>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p>
              </w:tc>
              <w:tc>
                <w:tcPr>
                  <w:tcW w:w="3066"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r>
                    <w:rPr>
                      <w:rFonts w:hint="default"/>
                      <w:color w:val="auto"/>
                    </w:rPr>
                    <w:t>昼间</w:t>
                  </w:r>
                </w:p>
              </w:tc>
              <w:tc>
                <w:tcPr>
                  <w:tcW w:w="3009"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r>
                    <w:rPr>
                      <w:rFonts w:hint="default"/>
                      <w:color w:val="auto"/>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764"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r>
                    <w:rPr>
                      <w:rFonts w:hint="default"/>
                      <w:color w:val="auto"/>
                    </w:rPr>
                    <w:t>3</w:t>
                  </w:r>
                </w:p>
              </w:tc>
              <w:tc>
                <w:tcPr>
                  <w:tcW w:w="3066"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r>
                    <w:rPr>
                      <w:rFonts w:hint="default"/>
                      <w:color w:val="auto"/>
                    </w:rPr>
                    <w:t>65</w:t>
                  </w:r>
                </w:p>
              </w:tc>
              <w:tc>
                <w:tcPr>
                  <w:tcW w:w="3009"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r>
                    <w:rPr>
                      <w:rFonts w:hint="default"/>
                      <w:color w:val="auto"/>
                    </w:rPr>
                    <w:t>55</w:t>
                  </w:r>
                </w:p>
              </w:tc>
            </w:tr>
          </w:tbl>
          <w:p>
            <w:pPr>
              <w:tabs>
                <w:tab w:val="left" w:pos="720"/>
              </w:tabs>
              <w:adjustRightInd w:val="0"/>
              <w:snapToGrid w:val="0"/>
              <w:spacing w:line="360" w:lineRule="auto"/>
              <w:ind w:firstLine="482" w:firstLineChars="200"/>
              <w:jc w:val="left"/>
              <w:rPr>
                <w:rFonts w:hint="default" w:ascii="Times New Roman" w:hAnsi="Times New Roman" w:cs="Times New Roman"/>
                <w:color w:val="auto"/>
                <w:sz w:val="24"/>
                <w:highlight w:val="none"/>
              </w:rPr>
            </w:pPr>
            <w:r>
              <w:rPr>
                <w:rFonts w:hint="default" w:ascii="Times New Roman" w:hAnsi="Times New Roman" w:cs="Times New Roman"/>
                <w:b/>
                <w:color w:val="auto"/>
                <w:sz w:val="24"/>
                <w:highlight w:val="none"/>
                <w:lang w:val="en-US" w:eastAsia="zh-CN"/>
              </w:rPr>
              <w:t>4</w:t>
            </w:r>
            <w:r>
              <w:rPr>
                <w:rFonts w:hint="default" w:ascii="Times New Roman" w:hAnsi="Times New Roman" w:cs="Times New Roman"/>
                <w:b/>
                <w:color w:val="auto"/>
                <w:sz w:val="24"/>
                <w:highlight w:val="none"/>
              </w:rPr>
              <w:t>、</w:t>
            </w:r>
            <w:r>
              <w:rPr>
                <w:rFonts w:hint="default" w:ascii="Times New Roman" w:hAnsi="Times New Roman" w:cs="Times New Roman"/>
                <w:b/>
                <w:color w:val="auto"/>
                <w:sz w:val="24"/>
                <w:highlight w:val="none"/>
                <w:lang w:eastAsia="zh-CN"/>
              </w:rPr>
              <w:t>土壤</w:t>
            </w:r>
            <w:r>
              <w:rPr>
                <w:rFonts w:hint="default" w:ascii="Times New Roman" w:hAnsi="Times New Roman" w:cs="Times New Roman"/>
                <w:b/>
                <w:color w:val="auto"/>
                <w:sz w:val="24"/>
                <w:highlight w:val="none"/>
              </w:rPr>
              <w:t>环境质量标准</w:t>
            </w:r>
          </w:p>
          <w:p>
            <w:pPr>
              <w:tabs>
                <w:tab w:val="left" w:pos="720"/>
              </w:tabs>
              <w:adjustRightInd w:val="0"/>
              <w:snapToGrid w:val="0"/>
              <w:spacing w:line="360" w:lineRule="auto"/>
              <w:ind w:firstLine="480" w:firstLineChars="200"/>
              <w:jc w:val="both"/>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本项目建设地点位于富民工业园区，</w:t>
            </w:r>
            <w:r>
              <w:rPr>
                <w:rFonts w:hint="default" w:ascii="Times New Roman" w:hAnsi="Times New Roman" w:cs="Times New Roman"/>
                <w:color w:val="auto"/>
                <w:sz w:val="24"/>
                <w:highlight w:val="none"/>
                <w:lang w:eastAsia="zh-CN"/>
              </w:rPr>
              <w:t>为二类工业用地</w:t>
            </w:r>
            <w:r>
              <w:rPr>
                <w:rFonts w:hint="default" w:ascii="Times New Roman" w:hAnsi="Times New Roman" w:cs="Times New Roman"/>
                <w:color w:val="auto"/>
                <w:kern w:val="0"/>
                <w:sz w:val="24"/>
                <w:szCs w:val="24"/>
                <w:highlight w:val="none"/>
                <w:lang w:eastAsia="zh-CN"/>
              </w:rPr>
              <w:t>，属于</w:t>
            </w:r>
            <w:r>
              <w:rPr>
                <w:rFonts w:hint="default" w:ascii="Times New Roman" w:hAnsi="Times New Roman" w:cs="Times New Roman"/>
                <w:color w:val="auto"/>
                <w:sz w:val="24"/>
                <w:highlight w:val="none"/>
              </w:rPr>
              <w:t xml:space="preserve">《土壤环境质量 </w:t>
            </w:r>
            <w:r>
              <w:rPr>
                <w:rFonts w:hint="default" w:ascii="Times New Roman" w:hAnsi="Times New Roman" w:cs="Times New Roman"/>
                <w:color w:val="auto"/>
                <w:sz w:val="24"/>
                <w:highlight w:val="none"/>
                <w:lang w:eastAsia="zh-CN"/>
              </w:rPr>
              <w:t>建设</w:t>
            </w:r>
            <w:r>
              <w:rPr>
                <w:rFonts w:hint="default" w:ascii="Times New Roman" w:hAnsi="Times New Roman" w:cs="Times New Roman"/>
                <w:color w:val="auto"/>
                <w:sz w:val="24"/>
                <w:highlight w:val="none"/>
              </w:rPr>
              <w:t>用地土壤污染风险管控标准（试行）》（GB</w:t>
            </w:r>
            <w:r>
              <w:rPr>
                <w:rFonts w:hint="default" w:ascii="Times New Roman" w:hAnsi="Times New Roman" w:cs="Times New Roman"/>
                <w:color w:val="auto"/>
                <w:sz w:val="24"/>
                <w:highlight w:val="none"/>
                <w:lang w:val="en-US" w:eastAsia="zh-CN"/>
              </w:rPr>
              <w:t>36600</w:t>
            </w:r>
            <w:r>
              <w:rPr>
                <w:rFonts w:hint="default" w:ascii="Times New Roman" w:hAnsi="Times New Roman" w:cs="Times New Roman"/>
                <w:color w:val="auto"/>
                <w:sz w:val="24"/>
                <w:highlight w:val="none"/>
              </w:rPr>
              <w:t>-2018）中</w:t>
            </w:r>
            <w:r>
              <w:rPr>
                <w:rFonts w:hint="default" w:ascii="Times New Roman" w:hAnsi="Times New Roman" w:cs="Times New Roman"/>
                <w:color w:val="auto"/>
                <w:sz w:val="24"/>
                <w:highlight w:val="none"/>
                <w:lang w:eastAsia="zh-CN"/>
              </w:rPr>
              <w:t>第二类用地，</w:t>
            </w:r>
            <w:r>
              <w:rPr>
                <w:rFonts w:hint="default" w:ascii="Times New Roman" w:hAnsi="Times New Roman" w:cs="Times New Roman"/>
                <w:color w:val="auto"/>
                <w:sz w:val="24"/>
                <w:highlight w:val="none"/>
              </w:rPr>
              <w:t>土壤污染风险筛选值</w:t>
            </w:r>
            <w:r>
              <w:rPr>
                <w:rFonts w:hint="default" w:ascii="Times New Roman" w:hAnsi="Times New Roman" w:cs="Times New Roman"/>
                <w:color w:val="auto"/>
                <w:sz w:val="24"/>
                <w:highlight w:val="none"/>
                <w:lang w:eastAsia="zh-CN"/>
              </w:rPr>
              <w:t>、管制值</w:t>
            </w:r>
            <w:r>
              <w:rPr>
                <w:rFonts w:hint="default" w:ascii="Times New Roman" w:hAnsi="Times New Roman" w:cs="Times New Roman"/>
                <w:color w:val="auto"/>
                <w:sz w:val="24"/>
                <w:highlight w:val="none"/>
              </w:rPr>
              <w:t>标准，具体标准值如表</w:t>
            </w:r>
            <w:r>
              <w:rPr>
                <w:rFonts w:hint="default" w:ascii="Times New Roman" w:hAnsi="Times New Roman" w:cs="Times New Roman"/>
                <w:color w:val="auto"/>
                <w:sz w:val="24"/>
                <w:highlight w:val="none"/>
                <w:lang w:val="en-US" w:eastAsia="zh-CN"/>
              </w:rPr>
              <w:t>4-</w:t>
            </w:r>
            <w:r>
              <w:rPr>
                <w:rFonts w:hint="eastAsia" w:ascii="Times New Roman" w:hAnsi="Times New Roman" w:cs="Times New Roman"/>
                <w:color w:val="auto"/>
                <w:sz w:val="24"/>
                <w:highlight w:val="none"/>
                <w:lang w:val="en-US" w:eastAsia="zh-CN"/>
              </w:rPr>
              <w:t>4</w:t>
            </w:r>
            <w:r>
              <w:rPr>
                <w:rFonts w:hint="default" w:ascii="Times New Roman" w:hAnsi="Times New Roman" w:cs="Times New Roman"/>
                <w:color w:val="auto"/>
                <w:sz w:val="24"/>
                <w:highlight w:val="none"/>
              </w:rPr>
              <w:t>。</w:t>
            </w:r>
          </w:p>
          <w:p>
            <w:pPr>
              <w:pStyle w:val="19"/>
              <w:bidi w:val="0"/>
              <w:rPr>
                <w:rFonts w:hint="default"/>
                <w:color w:val="auto"/>
              </w:rPr>
            </w:pPr>
            <w:r>
              <w:rPr>
                <w:rFonts w:hint="default"/>
                <w:color w:val="auto"/>
              </w:rPr>
              <w:t>表</w:t>
            </w:r>
            <w:r>
              <w:rPr>
                <w:rFonts w:hint="default"/>
                <w:color w:val="auto"/>
                <w:lang w:val="en-US" w:eastAsia="zh-CN"/>
              </w:rPr>
              <w:t>4-</w:t>
            </w:r>
            <w:r>
              <w:rPr>
                <w:rFonts w:hint="eastAsia"/>
                <w:color w:val="auto"/>
                <w:lang w:val="en-US" w:eastAsia="zh-CN"/>
              </w:rPr>
              <w:t xml:space="preserve">4 </w:t>
            </w:r>
            <w:r>
              <w:rPr>
                <w:rFonts w:hint="default"/>
                <w:color w:val="auto"/>
                <w:lang w:eastAsia="zh-CN"/>
              </w:rPr>
              <w:t>建设</w:t>
            </w:r>
            <w:r>
              <w:rPr>
                <w:rFonts w:hint="default"/>
                <w:color w:val="auto"/>
              </w:rPr>
              <w:t>用地土壤污染风险筛选值</w:t>
            </w:r>
            <w:r>
              <w:rPr>
                <w:rFonts w:hint="default"/>
                <w:color w:val="auto"/>
                <w:lang w:eastAsia="zh-CN"/>
              </w:rPr>
              <w:t>和管制值（节选）</w:t>
            </w:r>
            <w:r>
              <w:rPr>
                <w:rFonts w:hint="default"/>
                <w:color w:val="auto"/>
              </w:rPr>
              <w:t xml:space="preserve">  单位：mg/kg</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9"/>
              <w:gridCol w:w="2287"/>
              <w:gridCol w:w="2082"/>
              <w:gridCol w:w="2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39" w:type="dxa"/>
                  <w:vMerge w:val="restart"/>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r>
                    <w:rPr>
                      <w:rFonts w:hint="default"/>
                      <w:color w:val="auto"/>
                    </w:rPr>
                    <w:t>序号</w:t>
                  </w:r>
                </w:p>
              </w:tc>
              <w:tc>
                <w:tcPr>
                  <w:tcW w:w="2287" w:type="dxa"/>
                  <w:vMerge w:val="restart"/>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r>
                    <w:rPr>
                      <w:rFonts w:hint="default"/>
                      <w:color w:val="auto"/>
                    </w:rPr>
                    <w:t>污染物项目</w:t>
                  </w:r>
                </w:p>
              </w:tc>
              <w:tc>
                <w:tcPr>
                  <w:tcW w:w="2082"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r>
                    <w:rPr>
                      <w:rFonts w:hint="default"/>
                      <w:color w:val="auto"/>
                    </w:rPr>
                    <w:t>筛选值</w:t>
                  </w:r>
                </w:p>
              </w:tc>
              <w:tc>
                <w:tcPr>
                  <w:tcW w:w="2231"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eastAsia="zh-CN"/>
                    </w:rPr>
                  </w:pPr>
                  <w:r>
                    <w:rPr>
                      <w:rFonts w:hint="default"/>
                      <w:color w:val="auto"/>
                      <w:lang w:eastAsia="zh-CN"/>
                    </w:rPr>
                    <w:t>管制值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39" w:type="dxa"/>
                  <w:vMerge w:val="continue"/>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p>
              </w:tc>
              <w:tc>
                <w:tcPr>
                  <w:tcW w:w="2287" w:type="dxa"/>
                  <w:vMerge w:val="continue"/>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p>
              </w:tc>
              <w:tc>
                <w:tcPr>
                  <w:tcW w:w="2082"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eastAsia="zh-CN"/>
                    </w:rPr>
                  </w:pPr>
                  <w:r>
                    <w:rPr>
                      <w:rFonts w:hint="default"/>
                      <w:color w:val="auto"/>
                      <w:lang w:eastAsia="zh-CN"/>
                    </w:rPr>
                    <w:t>第二类用地</w:t>
                  </w:r>
                </w:p>
              </w:tc>
              <w:tc>
                <w:tcPr>
                  <w:tcW w:w="2231"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eastAsia="zh-CN"/>
                    </w:rPr>
                  </w:pPr>
                  <w:r>
                    <w:rPr>
                      <w:rFonts w:hint="default"/>
                      <w:color w:val="auto"/>
                      <w:lang w:eastAsia="zh-CN"/>
                    </w:rPr>
                    <w:t>第二类用地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39"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r>
                    <w:rPr>
                      <w:rFonts w:hint="default"/>
                      <w:color w:val="auto"/>
                    </w:rPr>
                    <w:t>1</w:t>
                  </w:r>
                </w:p>
              </w:tc>
              <w:tc>
                <w:tcPr>
                  <w:tcW w:w="2287"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r>
                    <w:rPr>
                      <w:rFonts w:hint="default"/>
                      <w:color w:val="auto"/>
                    </w:rPr>
                    <w:t>镉</w:t>
                  </w:r>
                </w:p>
              </w:tc>
              <w:tc>
                <w:tcPr>
                  <w:tcW w:w="2082"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val="en-US" w:eastAsia="zh-CN"/>
                    </w:rPr>
                    <w:t>65</w:t>
                  </w:r>
                </w:p>
              </w:tc>
              <w:tc>
                <w:tcPr>
                  <w:tcW w:w="2231"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val="en-US" w:eastAsia="zh-CN"/>
                    </w:rPr>
                    <w:t>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39"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r>
                    <w:rPr>
                      <w:rFonts w:hint="default"/>
                      <w:color w:val="auto"/>
                    </w:rPr>
                    <w:t>2</w:t>
                  </w:r>
                </w:p>
              </w:tc>
              <w:tc>
                <w:tcPr>
                  <w:tcW w:w="2287"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r>
                    <w:rPr>
                      <w:rFonts w:hint="default"/>
                      <w:color w:val="auto"/>
                    </w:rPr>
                    <w:t>汞</w:t>
                  </w:r>
                </w:p>
              </w:tc>
              <w:tc>
                <w:tcPr>
                  <w:tcW w:w="2082"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val="en-US" w:eastAsia="zh-CN"/>
                    </w:rPr>
                    <w:t>38</w:t>
                  </w:r>
                </w:p>
              </w:tc>
              <w:tc>
                <w:tcPr>
                  <w:tcW w:w="2231"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val="en-US" w:eastAsia="zh-CN"/>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39"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eastAsia="zh-CN"/>
                    </w:rPr>
                  </w:pPr>
                  <w:r>
                    <w:rPr>
                      <w:rFonts w:hint="default"/>
                      <w:color w:val="auto"/>
                      <w:lang w:val="en-US" w:eastAsia="zh-CN"/>
                    </w:rPr>
                    <w:t>3</w:t>
                  </w:r>
                </w:p>
              </w:tc>
              <w:tc>
                <w:tcPr>
                  <w:tcW w:w="2287"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r>
                    <w:rPr>
                      <w:rFonts w:hint="default"/>
                      <w:color w:val="auto"/>
                    </w:rPr>
                    <w:t>铅</w:t>
                  </w:r>
                </w:p>
              </w:tc>
              <w:tc>
                <w:tcPr>
                  <w:tcW w:w="2082"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val="en-US" w:eastAsia="zh-CN"/>
                    </w:rPr>
                    <w:t>800</w:t>
                  </w:r>
                </w:p>
              </w:tc>
              <w:tc>
                <w:tcPr>
                  <w:tcW w:w="2231"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val="en-US" w:eastAsia="zh-CN"/>
                    </w:rPr>
                    <w:t>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39"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val="en-US" w:eastAsia="zh-CN"/>
                    </w:rPr>
                    <w:t>4</w:t>
                  </w:r>
                </w:p>
              </w:tc>
              <w:tc>
                <w:tcPr>
                  <w:tcW w:w="2287"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eastAsia="zh-CN"/>
                    </w:rPr>
                    <w:t>间二甲苯</w:t>
                  </w:r>
                  <w:r>
                    <w:rPr>
                      <w:rFonts w:hint="default"/>
                      <w:color w:val="auto"/>
                      <w:lang w:val="en-US" w:eastAsia="zh-CN"/>
                    </w:rPr>
                    <w:t>+对二甲苯</w:t>
                  </w:r>
                </w:p>
              </w:tc>
              <w:tc>
                <w:tcPr>
                  <w:tcW w:w="2082"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val="en-US" w:eastAsia="zh-CN"/>
                    </w:rPr>
                    <w:t>570</w:t>
                  </w:r>
                </w:p>
              </w:tc>
              <w:tc>
                <w:tcPr>
                  <w:tcW w:w="2231"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val="en-US" w:eastAsia="zh-CN"/>
                    </w:rPr>
                    <w:t>570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39"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val="en-US" w:eastAsia="zh-CN"/>
                    </w:rPr>
                    <w:t>5</w:t>
                  </w:r>
                </w:p>
              </w:tc>
              <w:tc>
                <w:tcPr>
                  <w:tcW w:w="2287"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eastAsia="zh-CN"/>
                    </w:rPr>
                  </w:pPr>
                  <w:r>
                    <w:rPr>
                      <w:rFonts w:hint="default"/>
                      <w:color w:val="auto"/>
                      <w:lang w:eastAsia="zh-CN"/>
                    </w:rPr>
                    <w:t>邻二甲苯</w:t>
                  </w:r>
                </w:p>
              </w:tc>
              <w:tc>
                <w:tcPr>
                  <w:tcW w:w="2082"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val="en-US" w:eastAsia="zh-CN"/>
                    </w:rPr>
                    <w:t>640</w:t>
                  </w:r>
                </w:p>
              </w:tc>
              <w:tc>
                <w:tcPr>
                  <w:tcW w:w="2231"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val="en-US" w:eastAsia="zh-CN"/>
                    </w:rPr>
                    <w:t>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39"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val="en-US" w:eastAsia="zh-CN"/>
                    </w:rPr>
                    <w:t>6</w:t>
                  </w:r>
                </w:p>
              </w:tc>
              <w:tc>
                <w:tcPr>
                  <w:tcW w:w="2287"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eastAsia="zh-CN"/>
                    </w:rPr>
                  </w:pPr>
                  <w:r>
                    <w:rPr>
                      <w:rFonts w:hint="default"/>
                      <w:color w:val="auto"/>
                      <w:lang w:eastAsia="zh-CN"/>
                    </w:rPr>
                    <w:t>甲苯</w:t>
                  </w:r>
                </w:p>
              </w:tc>
              <w:tc>
                <w:tcPr>
                  <w:tcW w:w="2082"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val="en-US" w:eastAsia="zh-CN"/>
                    </w:rPr>
                    <w:t>1200</w:t>
                  </w:r>
                </w:p>
              </w:tc>
              <w:tc>
                <w:tcPr>
                  <w:tcW w:w="2231"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val="en-US" w:eastAsia="zh-CN"/>
                    </w:rPr>
                    <w:t>1200</w:t>
                  </w:r>
                </w:p>
              </w:tc>
            </w:tr>
          </w:tbl>
          <w:p>
            <w:pPr>
              <w:spacing w:line="360" w:lineRule="auto"/>
              <w:rPr>
                <w:rFonts w:hint="default" w:ascii="Times New Roman" w:hAnsi="Times New Roman" w:cs="Times New Roman"/>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 w:hRule="atLeast"/>
          <w:jc w:val="center"/>
        </w:trPr>
        <w:tc>
          <w:tcPr>
            <w:tcW w:w="457" w:type="dxa"/>
            <w:tcBorders>
              <w:left w:val="single" w:color="auto" w:sz="4" w:space="0"/>
              <w:right w:val="single" w:color="auto" w:sz="4" w:space="0"/>
            </w:tcBorders>
            <w:noWrap w:val="0"/>
            <w:vAlign w:val="center"/>
          </w:tcPr>
          <w:p>
            <w:pPr>
              <w:spacing w:line="360" w:lineRule="auto"/>
              <w:ind w:left="0" w:leftChars="0" w:firstLine="0" w:firstLineChars="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污染</w:t>
            </w:r>
          </w:p>
          <w:p>
            <w:pPr>
              <w:spacing w:line="360" w:lineRule="auto"/>
              <w:ind w:left="0" w:leftChars="0" w:firstLine="0" w:firstLineChars="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物排</w:t>
            </w:r>
          </w:p>
          <w:p>
            <w:pPr>
              <w:spacing w:line="360" w:lineRule="auto"/>
              <w:ind w:left="0" w:leftChars="0" w:firstLine="0" w:firstLineChars="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放标</w:t>
            </w:r>
          </w:p>
          <w:p>
            <w:pPr>
              <w:spacing w:line="360" w:lineRule="auto"/>
              <w:ind w:left="0" w:leftChars="0" w:firstLine="0" w:firstLineChars="0"/>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准</w:t>
            </w:r>
          </w:p>
        </w:tc>
        <w:tc>
          <w:tcPr>
            <w:tcW w:w="8065" w:type="dxa"/>
            <w:tcBorders>
              <w:left w:val="single" w:color="auto" w:sz="4" w:space="0"/>
            </w:tcBorders>
            <w:noWrap w:val="0"/>
            <w:vAlign w:val="center"/>
          </w:tcPr>
          <w:p>
            <w:pPr>
              <w:spacing w:line="360" w:lineRule="auto"/>
              <w:ind w:right="119" w:firstLine="482" w:firstLineChars="200"/>
              <w:rPr>
                <w:rFonts w:hint="default" w:ascii="Times New Roman" w:hAnsi="Times New Roman" w:cs="Times New Roman"/>
                <w:b/>
                <w:color w:val="auto"/>
                <w:sz w:val="24"/>
              </w:rPr>
            </w:pPr>
            <w:r>
              <w:rPr>
                <w:rFonts w:hint="default" w:ascii="Times New Roman" w:hAnsi="Times New Roman" w:cs="Times New Roman"/>
                <w:b/>
                <w:color w:val="auto"/>
                <w:sz w:val="24"/>
              </w:rPr>
              <w:t>1、施工期</w:t>
            </w:r>
          </w:p>
          <w:p>
            <w:pPr>
              <w:spacing w:line="360" w:lineRule="auto"/>
              <w:ind w:right="119"/>
              <w:rPr>
                <w:rFonts w:hint="default" w:ascii="Times New Roman" w:hAnsi="Times New Roman" w:cs="Times New Roman"/>
                <w:bCs/>
                <w:color w:val="auto"/>
                <w:sz w:val="24"/>
              </w:rPr>
            </w:pPr>
            <w:r>
              <w:rPr>
                <w:rFonts w:hint="default" w:ascii="Times New Roman" w:hAnsi="Times New Roman" w:cs="Times New Roman"/>
                <w:b/>
                <w:bCs w:val="0"/>
                <w:color w:val="auto"/>
                <w:sz w:val="24"/>
              </w:rPr>
              <w:t>（1）施工扬尘</w:t>
            </w:r>
          </w:p>
          <w:p>
            <w:pPr>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sz w:val="24"/>
                <w:lang w:val="en-US" w:eastAsia="zh-CN"/>
              </w:rPr>
              <w:t>本项目</w:t>
            </w:r>
            <w:r>
              <w:rPr>
                <w:rFonts w:hint="default" w:ascii="Times New Roman" w:hAnsi="Times New Roman" w:cs="Times New Roman"/>
                <w:color w:val="auto"/>
                <w:sz w:val="24"/>
              </w:rPr>
              <w:t>施工扬尘执行《大气污染物综合排放标准》</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GB16297-1996</w:t>
            </w:r>
            <w:r>
              <w:rPr>
                <w:rFonts w:hint="default" w:ascii="Times New Roman" w:hAnsi="Times New Roman" w:cs="Times New Roman"/>
                <w:color w:val="auto"/>
                <w:sz w:val="24"/>
                <w:lang w:eastAsia="zh-CN"/>
              </w:rPr>
              <w:t>）</w:t>
            </w:r>
            <w:r>
              <w:rPr>
                <w:rFonts w:hint="default" w:ascii="Times New Roman" w:hAnsi="Times New Roman" w:cs="Times New Roman"/>
                <w:color w:val="auto"/>
                <w:sz w:val="24"/>
              </w:rPr>
              <w:t>表2中的无组织排放监控浓度限值</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标准值见表</w:t>
            </w:r>
            <w:r>
              <w:rPr>
                <w:rFonts w:hint="default" w:ascii="Times New Roman" w:hAnsi="Times New Roman" w:cs="Times New Roman"/>
                <w:color w:val="auto"/>
                <w:sz w:val="24"/>
                <w:lang w:val="en-US" w:eastAsia="zh-CN"/>
              </w:rPr>
              <w:t>4-</w:t>
            </w:r>
            <w:r>
              <w:rPr>
                <w:rFonts w:hint="eastAsia" w:ascii="Times New Roman" w:hAnsi="Times New Roman" w:cs="Times New Roman"/>
                <w:color w:val="auto"/>
                <w:sz w:val="24"/>
                <w:lang w:val="en-US" w:eastAsia="zh-CN"/>
              </w:rPr>
              <w:t>5</w:t>
            </w:r>
            <w:r>
              <w:rPr>
                <w:rFonts w:hint="default" w:ascii="Times New Roman" w:hAnsi="Times New Roman" w:cs="Times New Roman"/>
                <w:color w:val="auto"/>
                <w:sz w:val="24"/>
              </w:rPr>
              <w:t>。</w:t>
            </w:r>
          </w:p>
          <w:p>
            <w:pPr>
              <w:pStyle w:val="19"/>
              <w:bidi w:val="0"/>
              <w:rPr>
                <w:rFonts w:hint="default" w:ascii="Times New Roman" w:hAnsi="Times New Roman" w:eastAsia="宋体" w:cs="Times New Roman"/>
                <w:b/>
                <w:bCs/>
                <w:color w:val="auto"/>
                <w:sz w:val="21"/>
                <w:szCs w:val="21"/>
                <w:lang w:val="en-US" w:eastAsia="zh-CN"/>
              </w:rPr>
            </w:pPr>
            <w:r>
              <w:rPr>
                <w:rFonts w:hint="default"/>
                <w:color w:val="auto"/>
              </w:rPr>
              <w:t>表</w:t>
            </w:r>
            <w:r>
              <w:rPr>
                <w:rFonts w:hint="default"/>
                <w:color w:val="auto"/>
                <w:lang w:val="en-US" w:eastAsia="zh-CN"/>
              </w:rPr>
              <w:t>4-</w:t>
            </w:r>
            <w:r>
              <w:rPr>
                <w:rFonts w:hint="eastAsia"/>
                <w:color w:val="auto"/>
                <w:lang w:val="en-US" w:eastAsia="zh-CN"/>
              </w:rPr>
              <w:t>5</w:t>
            </w:r>
            <w:r>
              <w:rPr>
                <w:rFonts w:hint="default"/>
                <w:color w:val="auto"/>
              </w:rPr>
              <w:t xml:space="preserve">  大气污染物综合排放标准</w:t>
            </w:r>
            <w:r>
              <w:rPr>
                <w:rFonts w:hint="eastAsia"/>
                <w:color w:val="auto"/>
                <w:lang w:val="en-US" w:eastAsia="zh-CN"/>
              </w:rPr>
              <w:t xml:space="preserve"> 单位：mg/m³  </w:t>
            </w:r>
            <w:r>
              <w:rPr>
                <w:rFonts w:hint="eastAsia" w:ascii="Times New Roman" w:hAnsi="Times New Roman" w:eastAsia="宋体" w:cs="Times New Roman"/>
                <w:b/>
                <w:bCs/>
                <w:color w:val="auto"/>
                <w:sz w:val="21"/>
                <w:szCs w:val="21"/>
                <w:lang w:val="en-US" w:eastAsia="zh-CN"/>
              </w:rPr>
              <w:t xml:space="preserve"> </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18"/>
              <w:gridCol w:w="3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3918" w:type="dxa"/>
                  <w:noWrap w:val="0"/>
                  <w:vAlign w:val="center"/>
                </w:tcPr>
                <w:p>
                  <w:pPr>
                    <w:pStyle w:val="18"/>
                    <w:bidi w:val="0"/>
                    <w:rPr>
                      <w:rFonts w:hint="default"/>
                      <w:color w:val="auto"/>
                    </w:rPr>
                  </w:pPr>
                  <w:r>
                    <w:rPr>
                      <w:rFonts w:hint="default"/>
                      <w:color w:val="auto"/>
                    </w:rPr>
                    <w:t>项目</w:t>
                  </w:r>
                </w:p>
              </w:tc>
              <w:tc>
                <w:tcPr>
                  <w:tcW w:w="3919" w:type="dxa"/>
                  <w:noWrap w:val="0"/>
                  <w:vAlign w:val="center"/>
                </w:tcPr>
                <w:p>
                  <w:pPr>
                    <w:pStyle w:val="18"/>
                    <w:bidi w:val="0"/>
                    <w:rPr>
                      <w:rFonts w:hint="default"/>
                      <w:color w:val="auto"/>
                    </w:rPr>
                  </w:pPr>
                  <w:r>
                    <w:rPr>
                      <w:rFonts w:hint="default"/>
                      <w:color w:val="auto"/>
                    </w:rPr>
                    <w:t>无组织排放监控浓度限值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jc w:val="center"/>
              </w:trPr>
              <w:tc>
                <w:tcPr>
                  <w:tcW w:w="3918" w:type="dxa"/>
                  <w:noWrap w:val="0"/>
                  <w:vAlign w:val="top"/>
                </w:tcPr>
                <w:p>
                  <w:pPr>
                    <w:pStyle w:val="18"/>
                    <w:bidi w:val="0"/>
                    <w:rPr>
                      <w:rFonts w:hint="default"/>
                      <w:color w:val="auto"/>
                    </w:rPr>
                  </w:pPr>
                  <w:r>
                    <w:rPr>
                      <w:rFonts w:hint="default"/>
                      <w:color w:val="auto"/>
                    </w:rPr>
                    <w:t>颗粒物</w:t>
                  </w:r>
                </w:p>
              </w:tc>
              <w:tc>
                <w:tcPr>
                  <w:tcW w:w="3919" w:type="dxa"/>
                  <w:noWrap w:val="0"/>
                  <w:vAlign w:val="top"/>
                </w:tcPr>
                <w:p>
                  <w:pPr>
                    <w:pStyle w:val="18"/>
                    <w:bidi w:val="0"/>
                    <w:rPr>
                      <w:rFonts w:hint="default"/>
                      <w:color w:val="auto"/>
                    </w:rPr>
                  </w:pPr>
                  <w:r>
                    <w:rPr>
                      <w:rFonts w:hint="default"/>
                      <w:color w:val="auto"/>
                    </w:rPr>
                    <w:t>1.0</w:t>
                  </w:r>
                </w:p>
              </w:tc>
            </w:tr>
          </w:tbl>
          <w:p>
            <w:pPr>
              <w:spacing w:line="360" w:lineRule="auto"/>
              <w:ind w:right="119" w:firstLine="482" w:firstLineChars="200"/>
              <w:rPr>
                <w:rFonts w:hint="default" w:ascii="Times New Roman" w:hAnsi="Times New Roman" w:cs="Times New Roman"/>
                <w:bCs/>
                <w:color w:val="auto"/>
                <w:sz w:val="24"/>
              </w:rPr>
            </w:pPr>
            <w:r>
              <w:rPr>
                <w:rFonts w:hint="default" w:ascii="Times New Roman" w:hAnsi="Times New Roman" w:cs="Times New Roman"/>
                <w:b/>
                <w:bCs w:val="0"/>
                <w:color w:val="auto"/>
                <w:sz w:val="24"/>
              </w:rPr>
              <w:t>（2）施工噪声</w:t>
            </w:r>
          </w:p>
          <w:p>
            <w:pPr>
              <w:pStyle w:val="7"/>
              <w:adjustRightInd w:val="0"/>
              <w:spacing w:line="360" w:lineRule="auto"/>
              <w:ind w:firstLine="480"/>
              <w:rPr>
                <w:rFonts w:hint="default"/>
                <w:color w:val="auto"/>
              </w:rPr>
            </w:pPr>
            <w:r>
              <w:rPr>
                <w:rFonts w:hint="default" w:ascii="Times New Roman" w:hAnsi="Times New Roman" w:cs="Times New Roman"/>
                <w:color w:val="auto"/>
                <w:sz w:val="24"/>
              </w:rPr>
              <w:t>施工期噪声执行《建筑施工场界环境噪声排放标准》（GB12523-2011）</w:t>
            </w:r>
            <w:r>
              <w:rPr>
                <w:rFonts w:hint="default" w:ascii="Times New Roman" w:hAnsi="Times New Roman" w:cs="Times New Roman"/>
                <w:bCs/>
                <w:color w:val="auto"/>
                <w:sz w:val="24"/>
              </w:rPr>
              <w:t>中的标准，标准限值见表4-</w:t>
            </w:r>
            <w:r>
              <w:rPr>
                <w:rFonts w:hint="eastAsia" w:hAnsi="Times New Roman" w:cs="Times New Roman"/>
                <w:bCs/>
                <w:color w:val="auto"/>
                <w:sz w:val="24"/>
                <w:lang w:val="en-US" w:eastAsia="zh-CN"/>
              </w:rPr>
              <w:t>6</w:t>
            </w:r>
            <w:r>
              <w:rPr>
                <w:rFonts w:hint="default" w:ascii="Times New Roman" w:hAnsi="Times New Roman" w:cs="Times New Roman"/>
                <w:bCs/>
                <w:color w:val="auto"/>
                <w:sz w:val="24"/>
                <w:lang w:val="en-US" w:eastAsia="zh-CN"/>
              </w:rPr>
              <w:t>。</w:t>
            </w:r>
          </w:p>
          <w:p>
            <w:pPr>
              <w:pStyle w:val="19"/>
              <w:bidi w:val="0"/>
              <w:rPr>
                <w:rFonts w:hint="default"/>
                <w:color w:val="auto"/>
              </w:rPr>
            </w:pPr>
            <w:r>
              <w:rPr>
                <w:rFonts w:hint="default"/>
                <w:color w:val="auto"/>
              </w:rPr>
              <w:t>表4-</w:t>
            </w:r>
            <w:r>
              <w:rPr>
                <w:rFonts w:hint="eastAsia"/>
                <w:color w:val="auto"/>
                <w:lang w:val="en-US" w:eastAsia="zh-CN"/>
              </w:rPr>
              <w:t>6</w:t>
            </w:r>
            <w:r>
              <w:rPr>
                <w:rFonts w:hint="default"/>
                <w:color w:val="auto"/>
              </w:rPr>
              <w:t xml:space="preserve"> 建筑施工场界环境噪声排放限值 [Leq：dB（A）]</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0"/>
              <w:gridCol w:w="3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20"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r>
                    <w:rPr>
                      <w:rFonts w:hint="default"/>
                      <w:color w:val="auto"/>
                    </w:rPr>
                    <w:t>昼 间</w:t>
                  </w:r>
                </w:p>
              </w:tc>
              <w:tc>
                <w:tcPr>
                  <w:tcW w:w="3919"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rPr>
                  </w:pPr>
                  <w:r>
                    <w:rPr>
                      <w:rFonts w:hint="default"/>
                      <w:color w:val="auto"/>
                    </w:rPr>
                    <w:t>夜 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20"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val="en-US" w:eastAsia="zh-CN"/>
                    </w:rPr>
                    <w:t xml:space="preserve">70 </w:t>
                  </w:r>
                </w:p>
              </w:tc>
              <w:tc>
                <w:tcPr>
                  <w:tcW w:w="3919" w:type="dxa"/>
                  <w:tcBorders>
                    <w:top w:val="single" w:color="auto" w:sz="4" w:space="0"/>
                    <w:left w:val="single" w:color="auto" w:sz="4" w:space="0"/>
                    <w:bottom w:val="single" w:color="auto" w:sz="4" w:space="0"/>
                    <w:right w:val="single" w:color="auto" w:sz="4" w:space="0"/>
                  </w:tcBorders>
                  <w:noWrap w:val="0"/>
                  <w:vAlign w:val="center"/>
                </w:tcPr>
                <w:p>
                  <w:pPr>
                    <w:pStyle w:val="18"/>
                    <w:bidi w:val="0"/>
                    <w:rPr>
                      <w:rFonts w:hint="default"/>
                      <w:color w:val="auto"/>
                      <w:lang w:val="en-US" w:eastAsia="zh-CN"/>
                    </w:rPr>
                  </w:pPr>
                  <w:r>
                    <w:rPr>
                      <w:rFonts w:hint="default"/>
                      <w:color w:val="auto"/>
                      <w:lang w:val="en-US" w:eastAsia="zh-CN"/>
                    </w:rPr>
                    <w:t>55</w:t>
                  </w:r>
                </w:p>
              </w:tc>
            </w:tr>
          </w:tbl>
          <w:p>
            <w:pPr>
              <w:spacing w:line="360" w:lineRule="auto"/>
              <w:ind w:firstLine="482" w:firstLineChars="200"/>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rPr>
              <w:t>营运期</w:t>
            </w:r>
          </w:p>
          <w:p>
            <w:pPr>
              <w:bidi w:val="0"/>
              <w:rPr>
                <w:rFonts w:hint="default"/>
                <w:b/>
                <w:bCs/>
                <w:color w:val="auto"/>
              </w:rPr>
            </w:pPr>
            <w:r>
              <w:rPr>
                <w:rFonts w:hint="default"/>
                <w:b/>
                <w:bCs/>
                <w:color w:val="auto"/>
              </w:rPr>
              <w:t>（1）废气</w:t>
            </w:r>
          </w:p>
          <w:p>
            <w:pPr>
              <w:bidi w:val="0"/>
              <w:rPr>
                <w:rFonts w:hint="eastAsia"/>
                <w:color w:val="auto"/>
                <w:lang w:val="en-US" w:eastAsia="zh-CN"/>
              </w:rPr>
            </w:pPr>
            <w:r>
              <w:rPr>
                <w:rFonts w:hint="eastAsia"/>
                <w:color w:val="auto"/>
                <w:lang w:val="en-US" w:eastAsia="zh-CN"/>
              </w:rPr>
              <w:t>①有组织废气</w:t>
            </w:r>
          </w:p>
          <w:p>
            <w:pPr>
              <w:bidi w:val="0"/>
              <w:rPr>
                <w:color w:val="auto"/>
              </w:rPr>
            </w:pPr>
            <w:r>
              <w:rPr>
                <w:rFonts w:hint="eastAsia"/>
                <w:color w:val="auto"/>
                <w:lang w:val="en-US" w:eastAsia="zh-CN"/>
              </w:rPr>
              <w:t>本项目喷漆车间有组织排放漆雾</w:t>
            </w:r>
            <w:r>
              <w:rPr>
                <w:color w:val="auto"/>
              </w:rPr>
              <w:t>执行《大气污染物综合排放标准》（GB16297-1996）表2中</w:t>
            </w:r>
            <w:r>
              <w:rPr>
                <w:rFonts w:hint="eastAsia"/>
                <w:color w:val="auto"/>
                <w:lang w:eastAsia="zh-CN"/>
              </w:rPr>
              <w:t>颗粒物</w:t>
            </w:r>
            <w:r>
              <w:rPr>
                <w:color w:val="auto"/>
              </w:rPr>
              <w:t>控制标准</w:t>
            </w:r>
            <w:r>
              <w:rPr>
                <w:rFonts w:hint="eastAsia"/>
                <w:color w:val="auto"/>
              </w:rPr>
              <w:t>，</w:t>
            </w:r>
            <w:r>
              <w:rPr>
                <w:rFonts w:hint="eastAsia"/>
                <w:color w:val="auto"/>
                <w:lang w:eastAsia="zh-CN"/>
              </w:rPr>
              <w:t>有组织排放挥发性有机物由于暂无国家及地方标准，本次评价参照《大气污染物综合排放标准》</w:t>
            </w:r>
            <w:r>
              <w:rPr>
                <w:color w:val="auto"/>
              </w:rPr>
              <w:t>（GB16297-1996）表2中</w:t>
            </w:r>
            <w:r>
              <w:rPr>
                <w:rFonts w:hint="eastAsia"/>
                <w:color w:val="auto"/>
                <w:lang w:eastAsia="zh-CN"/>
              </w:rPr>
              <w:t>非甲烷总烃标准执行</w:t>
            </w:r>
            <w:r>
              <w:rPr>
                <w:color w:val="auto"/>
              </w:rPr>
              <w:t>。</w:t>
            </w:r>
          </w:p>
          <w:p>
            <w:pPr>
              <w:pStyle w:val="19"/>
              <w:bidi w:val="0"/>
              <w:rPr>
                <w:color w:val="auto"/>
              </w:rPr>
            </w:pPr>
            <w:r>
              <w:rPr>
                <w:color w:val="auto"/>
              </w:rPr>
              <w:t>表4-</w:t>
            </w:r>
            <w:r>
              <w:rPr>
                <w:rFonts w:hint="eastAsia"/>
                <w:color w:val="auto"/>
                <w:lang w:val="en-US" w:eastAsia="zh-CN"/>
              </w:rPr>
              <w:t>7</w:t>
            </w:r>
            <w:r>
              <w:rPr>
                <w:color w:val="auto"/>
              </w:rPr>
              <w:t xml:space="preserve">  大气污染物综合排放标准</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2"/>
              <w:gridCol w:w="1377"/>
              <w:gridCol w:w="1293"/>
              <w:gridCol w:w="1146"/>
              <w:gridCol w:w="1455"/>
              <w:gridCol w:w="1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vMerge w:val="restart"/>
                  <w:noWrap w:val="0"/>
                  <w:vAlign w:val="center"/>
                </w:tcPr>
                <w:p>
                  <w:pPr>
                    <w:pStyle w:val="18"/>
                    <w:bidi w:val="0"/>
                    <w:rPr>
                      <w:color w:val="auto"/>
                    </w:rPr>
                  </w:pPr>
                  <w:r>
                    <w:rPr>
                      <w:color w:val="auto"/>
                    </w:rPr>
                    <w:t>污染物</w:t>
                  </w:r>
                </w:p>
              </w:tc>
              <w:tc>
                <w:tcPr>
                  <w:tcW w:w="1377" w:type="dxa"/>
                  <w:vMerge w:val="restart"/>
                  <w:noWrap w:val="0"/>
                  <w:vAlign w:val="center"/>
                </w:tcPr>
                <w:p>
                  <w:pPr>
                    <w:pStyle w:val="18"/>
                    <w:bidi w:val="0"/>
                    <w:rPr>
                      <w:color w:val="auto"/>
                    </w:rPr>
                  </w:pPr>
                  <w:r>
                    <w:rPr>
                      <w:color w:val="auto"/>
                    </w:rPr>
                    <w:t>最高允许排放浓度（mg/m</w:t>
                  </w:r>
                  <w:r>
                    <w:rPr>
                      <w:color w:val="auto"/>
                      <w:vertAlign w:val="superscript"/>
                    </w:rPr>
                    <w:t>3</w:t>
                  </w:r>
                  <w:r>
                    <w:rPr>
                      <w:color w:val="auto"/>
                    </w:rPr>
                    <w:t>）</w:t>
                  </w:r>
                </w:p>
              </w:tc>
              <w:tc>
                <w:tcPr>
                  <w:tcW w:w="2439" w:type="dxa"/>
                  <w:gridSpan w:val="2"/>
                  <w:noWrap w:val="0"/>
                  <w:vAlign w:val="center"/>
                </w:tcPr>
                <w:p>
                  <w:pPr>
                    <w:pStyle w:val="18"/>
                    <w:bidi w:val="0"/>
                    <w:rPr>
                      <w:color w:val="auto"/>
                    </w:rPr>
                  </w:pPr>
                  <w:r>
                    <w:rPr>
                      <w:color w:val="auto"/>
                    </w:rPr>
                    <w:t>最高排放速率（kg/h）</w:t>
                  </w:r>
                </w:p>
              </w:tc>
              <w:tc>
                <w:tcPr>
                  <w:tcW w:w="2651" w:type="dxa"/>
                  <w:gridSpan w:val="2"/>
                  <w:noWrap w:val="0"/>
                  <w:vAlign w:val="center"/>
                </w:tcPr>
                <w:p>
                  <w:pPr>
                    <w:pStyle w:val="18"/>
                    <w:bidi w:val="0"/>
                    <w:rPr>
                      <w:color w:val="auto"/>
                    </w:rPr>
                  </w:pPr>
                  <w:r>
                    <w:rPr>
                      <w:color w:val="auto"/>
                    </w:rPr>
                    <w:t>无组织排放监控点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372" w:type="dxa"/>
                  <w:vMerge w:val="continue"/>
                  <w:noWrap w:val="0"/>
                  <w:vAlign w:val="center"/>
                </w:tcPr>
                <w:p>
                  <w:pPr>
                    <w:pStyle w:val="18"/>
                    <w:bidi w:val="0"/>
                    <w:rPr>
                      <w:color w:val="auto"/>
                    </w:rPr>
                  </w:pPr>
                </w:p>
              </w:tc>
              <w:tc>
                <w:tcPr>
                  <w:tcW w:w="1377" w:type="dxa"/>
                  <w:vMerge w:val="continue"/>
                  <w:noWrap w:val="0"/>
                  <w:vAlign w:val="center"/>
                </w:tcPr>
                <w:p>
                  <w:pPr>
                    <w:pStyle w:val="18"/>
                    <w:bidi w:val="0"/>
                    <w:rPr>
                      <w:color w:val="auto"/>
                    </w:rPr>
                  </w:pPr>
                </w:p>
              </w:tc>
              <w:tc>
                <w:tcPr>
                  <w:tcW w:w="1293" w:type="dxa"/>
                  <w:noWrap w:val="0"/>
                  <w:vAlign w:val="center"/>
                </w:tcPr>
                <w:p>
                  <w:pPr>
                    <w:pStyle w:val="18"/>
                    <w:bidi w:val="0"/>
                    <w:rPr>
                      <w:color w:val="auto"/>
                    </w:rPr>
                  </w:pPr>
                  <w:r>
                    <w:rPr>
                      <w:color w:val="auto"/>
                    </w:rPr>
                    <w:t>排气筒（m）</w:t>
                  </w:r>
                </w:p>
              </w:tc>
              <w:tc>
                <w:tcPr>
                  <w:tcW w:w="1146" w:type="dxa"/>
                  <w:noWrap w:val="0"/>
                  <w:vAlign w:val="center"/>
                </w:tcPr>
                <w:p>
                  <w:pPr>
                    <w:pStyle w:val="18"/>
                    <w:bidi w:val="0"/>
                    <w:rPr>
                      <w:color w:val="auto"/>
                    </w:rPr>
                  </w:pPr>
                  <w:r>
                    <w:rPr>
                      <w:color w:val="auto"/>
                    </w:rPr>
                    <w:t>二级标准</w:t>
                  </w:r>
                </w:p>
              </w:tc>
              <w:tc>
                <w:tcPr>
                  <w:tcW w:w="1455" w:type="dxa"/>
                  <w:noWrap w:val="0"/>
                  <w:vAlign w:val="center"/>
                </w:tcPr>
                <w:p>
                  <w:pPr>
                    <w:pStyle w:val="18"/>
                    <w:bidi w:val="0"/>
                    <w:rPr>
                      <w:color w:val="auto"/>
                    </w:rPr>
                  </w:pPr>
                  <w:r>
                    <w:rPr>
                      <w:color w:val="auto"/>
                    </w:rPr>
                    <w:t>监控点</w:t>
                  </w:r>
                </w:p>
              </w:tc>
              <w:tc>
                <w:tcPr>
                  <w:tcW w:w="1196" w:type="dxa"/>
                  <w:noWrap w:val="0"/>
                  <w:vAlign w:val="center"/>
                </w:tcPr>
                <w:p>
                  <w:pPr>
                    <w:pStyle w:val="18"/>
                    <w:bidi w:val="0"/>
                    <w:rPr>
                      <w:color w:val="auto"/>
                    </w:rPr>
                  </w:pPr>
                  <w:r>
                    <w:rPr>
                      <w:color w:val="auto"/>
                    </w:rPr>
                    <w:t>浓度（mg/m</w:t>
                  </w:r>
                  <w:r>
                    <w:rPr>
                      <w:color w:val="auto"/>
                      <w:vertAlign w:val="superscript"/>
                    </w:rPr>
                    <w:t>3</w:t>
                  </w:r>
                  <w:r>
                    <w:rPr>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noWrap w:val="0"/>
                  <w:vAlign w:val="center"/>
                </w:tcPr>
                <w:p>
                  <w:pPr>
                    <w:pStyle w:val="18"/>
                    <w:bidi w:val="0"/>
                    <w:rPr>
                      <w:rFonts w:hint="eastAsia" w:eastAsia="宋体"/>
                      <w:color w:val="auto"/>
                      <w:lang w:eastAsia="zh-CN"/>
                    </w:rPr>
                  </w:pPr>
                  <w:r>
                    <w:rPr>
                      <w:rFonts w:hint="eastAsia"/>
                      <w:color w:val="auto"/>
                      <w:lang w:eastAsia="zh-CN"/>
                    </w:rPr>
                    <w:t>挥发性有机物</w:t>
                  </w:r>
                </w:p>
              </w:tc>
              <w:tc>
                <w:tcPr>
                  <w:tcW w:w="1377" w:type="dxa"/>
                  <w:noWrap w:val="0"/>
                  <w:vAlign w:val="center"/>
                </w:tcPr>
                <w:p>
                  <w:pPr>
                    <w:pStyle w:val="18"/>
                    <w:bidi w:val="0"/>
                    <w:rPr>
                      <w:color w:val="auto"/>
                    </w:rPr>
                  </w:pPr>
                  <w:r>
                    <w:rPr>
                      <w:color w:val="auto"/>
                    </w:rPr>
                    <w:t>120</w:t>
                  </w:r>
                </w:p>
              </w:tc>
              <w:tc>
                <w:tcPr>
                  <w:tcW w:w="1293" w:type="dxa"/>
                  <w:noWrap w:val="0"/>
                  <w:vAlign w:val="center"/>
                </w:tcPr>
                <w:p>
                  <w:pPr>
                    <w:pStyle w:val="18"/>
                    <w:bidi w:val="0"/>
                    <w:rPr>
                      <w:color w:val="auto"/>
                    </w:rPr>
                  </w:pPr>
                  <w:r>
                    <w:rPr>
                      <w:color w:val="auto"/>
                    </w:rPr>
                    <w:t>15</w:t>
                  </w:r>
                </w:p>
              </w:tc>
              <w:tc>
                <w:tcPr>
                  <w:tcW w:w="1146" w:type="dxa"/>
                  <w:noWrap w:val="0"/>
                  <w:vAlign w:val="center"/>
                </w:tcPr>
                <w:p>
                  <w:pPr>
                    <w:pStyle w:val="18"/>
                    <w:bidi w:val="0"/>
                    <w:rPr>
                      <w:color w:val="auto"/>
                    </w:rPr>
                  </w:pPr>
                  <w:r>
                    <w:rPr>
                      <w:color w:val="auto"/>
                    </w:rPr>
                    <w:t>10</w:t>
                  </w:r>
                </w:p>
              </w:tc>
              <w:tc>
                <w:tcPr>
                  <w:tcW w:w="1455" w:type="dxa"/>
                  <w:vMerge w:val="restart"/>
                  <w:noWrap w:val="0"/>
                  <w:vAlign w:val="center"/>
                </w:tcPr>
                <w:p>
                  <w:pPr>
                    <w:pStyle w:val="18"/>
                    <w:bidi w:val="0"/>
                    <w:rPr>
                      <w:color w:val="auto"/>
                    </w:rPr>
                  </w:pPr>
                  <w:r>
                    <w:rPr>
                      <w:color w:val="auto"/>
                    </w:rPr>
                    <w:t>周界外浓度最高点</w:t>
                  </w:r>
                </w:p>
              </w:tc>
              <w:tc>
                <w:tcPr>
                  <w:tcW w:w="1196" w:type="dxa"/>
                  <w:noWrap w:val="0"/>
                  <w:vAlign w:val="center"/>
                </w:tcPr>
                <w:p>
                  <w:pPr>
                    <w:pStyle w:val="18"/>
                    <w:bidi w:val="0"/>
                    <w:rPr>
                      <w:color w:val="auto"/>
                    </w:rPr>
                  </w:pPr>
                  <w:r>
                    <w:rPr>
                      <w:color w:val="auto"/>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2" w:type="dxa"/>
                  <w:noWrap w:val="0"/>
                  <w:vAlign w:val="center"/>
                </w:tcPr>
                <w:p>
                  <w:pPr>
                    <w:pStyle w:val="18"/>
                    <w:bidi w:val="0"/>
                    <w:rPr>
                      <w:rFonts w:hint="eastAsia"/>
                      <w:color w:val="auto"/>
                      <w:lang w:eastAsia="zh-CN"/>
                    </w:rPr>
                  </w:pPr>
                  <w:r>
                    <w:rPr>
                      <w:rFonts w:hint="eastAsia"/>
                      <w:color w:val="auto"/>
                      <w:lang w:eastAsia="zh-CN"/>
                    </w:rPr>
                    <w:t>颗粒物</w:t>
                  </w:r>
                </w:p>
              </w:tc>
              <w:tc>
                <w:tcPr>
                  <w:tcW w:w="1377" w:type="dxa"/>
                  <w:noWrap w:val="0"/>
                  <w:vAlign w:val="center"/>
                </w:tcPr>
                <w:p>
                  <w:pPr>
                    <w:pStyle w:val="18"/>
                    <w:bidi w:val="0"/>
                    <w:rPr>
                      <w:rFonts w:hint="default"/>
                      <w:color w:val="auto"/>
                      <w:lang w:val="en-US" w:eastAsia="zh-CN"/>
                    </w:rPr>
                  </w:pPr>
                  <w:r>
                    <w:rPr>
                      <w:rFonts w:hint="eastAsia"/>
                      <w:color w:val="auto"/>
                      <w:lang w:val="en-US" w:eastAsia="zh-CN"/>
                    </w:rPr>
                    <w:t>120</w:t>
                  </w:r>
                </w:p>
              </w:tc>
              <w:tc>
                <w:tcPr>
                  <w:tcW w:w="1293" w:type="dxa"/>
                  <w:noWrap w:val="0"/>
                  <w:vAlign w:val="center"/>
                </w:tcPr>
                <w:p>
                  <w:pPr>
                    <w:pStyle w:val="18"/>
                    <w:bidi w:val="0"/>
                    <w:rPr>
                      <w:rFonts w:hint="default"/>
                      <w:color w:val="auto"/>
                      <w:lang w:val="en-US" w:eastAsia="zh-CN"/>
                    </w:rPr>
                  </w:pPr>
                  <w:r>
                    <w:rPr>
                      <w:rFonts w:hint="eastAsia"/>
                      <w:color w:val="auto"/>
                      <w:lang w:val="en-US" w:eastAsia="zh-CN"/>
                    </w:rPr>
                    <w:t>15</w:t>
                  </w:r>
                </w:p>
              </w:tc>
              <w:tc>
                <w:tcPr>
                  <w:tcW w:w="1146" w:type="dxa"/>
                  <w:noWrap w:val="0"/>
                  <w:vAlign w:val="center"/>
                </w:tcPr>
                <w:p>
                  <w:pPr>
                    <w:pStyle w:val="18"/>
                    <w:bidi w:val="0"/>
                    <w:rPr>
                      <w:rFonts w:hint="default"/>
                      <w:color w:val="auto"/>
                      <w:lang w:val="en-US" w:eastAsia="zh-CN"/>
                    </w:rPr>
                  </w:pPr>
                  <w:r>
                    <w:rPr>
                      <w:rFonts w:hint="eastAsia"/>
                      <w:color w:val="auto"/>
                      <w:lang w:val="en-US" w:eastAsia="zh-CN"/>
                    </w:rPr>
                    <w:t>3.5</w:t>
                  </w:r>
                </w:p>
              </w:tc>
              <w:tc>
                <w:tcPr>
                  <w:tcW w:w="1455" w:type="dxa"/>
                  <w:vMerge w:val="continue"/>
                  <w:noWrap w:val="0"/>
                  <w:vAlign w:val="center"/>
                </w:tcPr>
                <w:p>
                  <w:pPr>
                    <w:pStyle w:val="18"/>
                    <w:bidi w:val="0"/>
                    <w:rPr>
                      <w:color w:val="auto"/>
                    </w:rPr>
                  </w:pPr>
                </w:p>
              </w:tc>
              <w:tc>
                <w:tcPr>
                  <w:tcW w:w="1196" w:type="dxa"/>
                  <w:noWrap w:val="0"/>
                  <w:vAlign w:val="center"/>
                </w:tcPr>
                <w:p>
                  <w:pPr>
                    <w:pStyle w:val="18"/>
                    <w:bidi w:val="0"/>
                    <w:rPr>
                      <w:rFonts w:hint="default"/>
                      <w:color w:val="auto"/>
                      <w:lang w:val="en-US" w:eastAsia="zh-CN"/>
                    </w:rPr>
                  </w:pPr>
                  <w:r>
                    <w:rPr>
                      <w:rFonts w:hint="eastAsia"/>
                      <w:color w:val="auto"/>
                      <w:lang w:val="en-US" w:eastAsia="zh-CN"/>
                    </w:rPr>
                    <w:t>1.0</w:t>
                  </w:r>
                </w:p>
              </w:tc>
            </w:tr>
          </w:tbl>
          <w:p>
            <w:pPr>
              <w:keepNext w:val="0"/>
              <w:keepLines w:val="0"/>
              <w:pageBreakBefore w:val="0"/>
              <w:kinsoku/>
              <w:wordWrap/>
              <w:overflowPunct/>
              <w:topLinePunct w:val="0"/>
              <w:bidi w:val="0"/>
              <w:snapToGrid/>
              <w:ind w:left="0" w:leftChars="0" w:firstLine="480" w:firstLineChars="200"/>
              <w:jc w:val="both"/>
              <w:rPr>
                <w:rFonts w:hint="eastAsia" w:cs="Times New Roman"/>
                <w:b w:val="0"/>
                <w:bCs w:val="0"/>
                <w:color w:val="auto"/>
                <w:sz w:val="24"/>
                <w:szCs w:val="24"/>
                <w:lang w:eastAsia="zh-CN"/>
              </w:rPr>
            </w:pPr>
            <w:r>
              <w:rPr>
                <w:rFonts w:hint="eastAsia" w:cs="Times New Roman"/>
                <w:b w:val="0"/>
                <w:bCs w:val="0"/>
                <w:color w:val="auto"/>
                <w:sz w:val="24"/>
                <w:szCs w:val="24"/>
                <w:lang w:eastAsia="zh-CN"/>
              </w:rPr>
              <w:t>②无组织排放</w:t>
            </w:r>
          </w:p>
          <w:p>
            <w:pPr>
              <w:pStyle w:val="2"/>
              <w:rPr>
                <w:rFonts w:hint="default" w:eastAsia="宋体"/>
                <w:color w:val="auto"/>
                <w:lang w:val="en-US" w:eastAsia="zh-CN"/>
              </w:rPr>
            </w:pPr>
            <w:r>
              <w:rPr>
                <w:rFonts w:hint="eastAsia"/>
                <w:color w:val="auto"/>
                <w:lang w:eastAsia="zh-CN"/>
              </w:rPr>
              <w:t>本项目无组织排放颗粒物执行</w:t>
            </w:r>
            <w:r>
              <w:rPr>
                <w:color w:val="auto"/>
              </w:rPr>
              <w:t>（GB16297-1996）</w:t>
            </w:r>
            <w:r>
              <w:rPr>
                <w:rFonts w:hint="eastAsia"/>
                <w:color w:val="auto"/>
                <w:lang w:eastAsia="zh-CN"/>
              </w:rPr>
              <w:t>《大气污染物综合排放标准》</w:t>
            </w:r>
            <w:r>
              <w:rPr>
                <w:color w:val="auto"/>
              </w:rPr>
              <w:t>表2</w:t>
            </w:r>
            <w:r>
              <w:rPr>
                <w:rFonts w:hint="eastAsia"/>
                <w:color w:val="auto"/>
                <w:lang w:eastAsia="zh-CN"/>
              </w:rPr>
              <w:t>中无组织排放监控浓度限值要求（周界外浓度最高点：</w:t>
            </w:r>
            <w:r>
              <w:rPr>
                <w:rFonts w:hint="eastAsia"/>
                <w:color w:val="auto"/>
                <w:lang w:val="en-US" w:eastAsia="zh-CN"/>
              </w:rPr>
              <w:t>1.0mg/m</w:t>
            </w:r>
            <w:r>
              <w:rPr>
                <w:rFonts w:hint="eastAsia"/>
                <w:color w:val="auto"/>
                <w:vertAlign w:val="superscript"/>
                <w:lang w:val="en-US" w:eastAsia="zh-CN"/>
              </w:rPr>
              <w:t>3</w:t>
            </w:r>
            <w:r>
              <w:rPr>
                <w:rFonts w:hint="eastAsia"/>
                <w:color w:val="auto"/>
                <w:lang w:eastAsia="zh-CN"/>
              </w:rPr>
              <w:t>），无组织排放</w:t>
            </w:r>
            <w:r>
              <w:rPr>
                <w:rFonts w:hint="eastAsia"/>
                <w:color w:val="auto"/>
                <w:lang w:val="en-US" w:eastAsia="zh-CN"/>
              </w:rPr>
              <w:t>VOCs执行《挥发性有机物无组织排放控制标准》（GB37822-2019）附录A表A.1中NMHC特别排放限值（监控点处1h平均浓度值：6 mg/m</w:t>
            </w:r>
            <w:r>
              <w:rPr>
                <w:rFonts w:hint="eastAsia"/>
                <w:color w:val="auto"/>
                <w:vertAlign w:val="superscript"/>
                <w:lang w:val="en-US" w:eastAsia="zh-CN"/>
              </w:rPr>
              <w:t>3</w:t>
            </w:r>
            <w:r>
              <w:rPr>
                <w:rFonts w:hint="eastAsia"/>
                <w:color w:val="auto"/>
                <w:lang w:val="en-US" w:eastAsia="zh-CN"/>
              </w:rPr>
              <w:t>；监控点处任意一次浓度值：20 mg/m</w:t>
            </w:r>
            <w:r>
              <w:rPr>
                <w:rFonts w:hint="eastAsia"/>
                <w:color w:val="auto"/>
                <w:vertAlign w:val="superscript"/>
                <w:lang w:val="en-US" w:eastAsia="zh-CN"/>
              </w:rPr>
              <w:t>3</w:t>
            </w:r>
            <w:r>
              <w:rPr>
                <w:rFonts w:hint="eastAsia"/>
                <w:color w:val="auto"/>
                <w:lang w:val="en-US" w:eastAsia="zh-CN"/>
              </w:rPr>
              <w:t>）要求；</w:t>
            </w:r>
          </w:p>
          <w:p>
            <w:pPr>
              <w:keepNext w:val="0"/>
              <w:keepLines w:val="0"/>
              <w:pageBreakBefore w:val="0"/>
              <w:kinsoku/>
              <w:wordWrap/>
              <w:overflowPunct/>
              <w:topLinePunct w:val="0"/>
              <w:bidi w:val="0"/>
              <w:snapToGrid/>
              <w:ind w:left="0" w:leftChars="0" w:firstLine="482" w:firstLineChars="200"/>
              <w:jc w:val="both"/>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lang w:eastAsia="zh-CN"/>
              </w:rPr>
              <w:t>（</w:t>
            </w:r>
            <w:r>
              <w:rPr>
                <w:rFonts w:hint="default"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lang w:eastAsia="zh-CN"/>
              </w:rPr>
              <w:t>）</w:t>
            </w:r>
            <w:r>
              <w:rPr>
                <w:rFonts w:hint="default" w:ascii="Times New Roman" w:hAnsi="Times New Roman" w:cs="Times New Roman"/>
                <w:b/>
                <w:bCs/>
                <w:color w:val="auto"/>
                <w:sz w:val="24"/>
                <w:szCs w:val="24"/>
              </w:rPr>
              <w:t>废水</w:t>
            </w:r>
          </w:p>
          <w:p>
            <w:pPr>
              <w:spacing w:line="360" w:lineRule="auto"/>
              <w:ind w:right="119" w:firstLine="480" w:firstLineChars="200"/>
              <w:rPr>
                <w:rFonts w:hint="eastAsia" w:ascii="Times New Roman" w:hAnsi="Times New Roman" w:eastAsia="宋体" w:cs="Times New Roman"/>
                <w:b w:val="0"/>
                <w:bCs w:val="0"/>
                <w:color w:val="auto"/>
                <w:sz w:val="24"/>
                <w:szCs w:val="24"/>
                <w:lang w:eastAsia="zh-CN"/>
              </w:rPr>
            </w:pPr>
            <w:r>
              <w:rPr>
                <w:rFonts w:hint="eastAsia" w:cs="Times New Roman"/>
                <w:b w:val="0"/>
                <w:bCs w:val="0"/>
                <w:color w:val="auto"/>
                <w:sz w:val="24"/>
                <w:szCs w:val="24"/>
                <w:lang w:eastAsia="zh-CN"/>
              </w:rPr>
              <w:t>本项目运营过程中无生产废水产生，员工不在项目区食宿，上厕使用园区公共卫生间，无生活污水产生，综上，本项目运营期无废水外排，不设废水排放标准。</w:t>
            </w:r>
          </w:p>
          <w:p>
            <w:pPr>
              <w:spacing w:line="360" w:lineRule="auto"/>
              <w:ind w:right="119" w:firstLine="482" w:firstLineChars="200"/>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w:t>
            </w:r>
            <w:r>
              <w:rPr>
                <w:rFonts w:hint="default" w:ascii="Times New Roman" w:hAnsi="Times New Roman" w:cs="Times New Roman"/>
                <w:b/>
                <w:bCs/>
                <w:color w:val="auto"/>
                <w:sz w:val="24"/>
                <w:szCs w:val="24"/>
                <w:lang w:val="en-US" w:eastAsia="zh-CN"/>
              </w:rPr>
              <w:t>3</w:t>
            </w:r>
            <w:r>
              <w:rPr>
                <w:rFonts w:hint="default" w:ascii="Times New Roman" w:hAnsi="Times New Roman" w:cs="Times New Roman"/>
                <w:b/>
                <w:bCs/>
                <w:color w:val="auto"/>
                <w:sz w:val="24"/>
                <w:szCs w:val="24"/>
              </w:rPr>
              <w:t>）噪声</w:t>
            </w:r>
          </w:p>
          <w:p>
            <w:pPr>
              <w:adjustRightInd w:val="0"/>
              <w:snapToGrid w:val="0"/>
              <w:spacing w:line="360" w:lineRule="auto"/>
              <w:ind w:firstLine="480" w:firstLineChars="200"/>
              <w:rPr>
                <w:rFonts w:hint="default"/>
                <w:color w:val="auto"/>
              </w:rPr>
            </w:pPr>
            <w:r>
              <w:rPr>
                <w:rFonts w:hint="default" w:ascii="Times New Roman" w:hAnsi="Times New Roman" w:cs="Times New Roman"/>
                <w:color w:val="auto"/>
                <w:sz w:val="24"/>
                <w:szCs w:val="24"/>
              </w:rPr>
              <w:t>本项目位于富民工业园区</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rPr>
              <w:t>属于规划工业园区</w:t>
            </w:r>
            <w:r>
              <w:rPr>
                <w:rFonts w:hint="default" w:ascii="Times New Roman" w:hAnsi="Times New Roman" w:cs="Times New Roman"/>
                <w:color w:val="auto"/>
                <w:sz w:val="24"/>
                <w:szCs w:val="24"/>
              </w:rPr>
              <w:t>，项目噪声排放标准执行GB3096-2008《工业企业厂界环境噪声排放标准》3类标准。其具体标准值详见表4-</w:t>
            </w:r>
            <w:r>
              <w:rPr>
                <w:rFonts w:hint="eastAsia" w:cs="Times New Roman"/>
                <w:color w:val="auto"/>
                <w:sz w:val="24"/>
                <w:szCs w:val="24"/>
                <w:lang w:val="en-US" w:eastAsia="zh-CN"/>
              </w:rPr>
              <w:t>8</w:t>
            </w:r>
            <w:r>
              <w:rPr>
                <w:rFonts w:hint="default" w:ascii="Times New Roman" w:hAnsi="Times New Roman" w:cs="Times New Roman"/>
                <w:color w:val="auto"/>
                <w:sz w:val="24"/>
                <w:szCs w:val="24"/>
              </w:rPr>
              <w:t>。</w:t>
            </w:r>
          </w:p>
          <w:p>
            <w:pPr>
              <w:pStyle w:val="19"/>
              <w:bidi w:val="0"/>
              <w:rPr>
                <w:rFonts w:hint="default"/>
                <w:color w:val="auto"/>
              </w:rPr>
            </w:pPr>
            <w:r>
              <w:rPr>
                <w:rFonts w:hint="default"/>
                <w:color w:val="auto"/>
              </w:rPr>
              <w:t>表4-</w:t>
            </w:r>
            <w:r>
              <w:rPr>
                <w:rFonts w:hint="eastAsia"/>
                <w:color w:val="auto"/>
                <w:lang w:val="en-US" w:eastAsia="zh-CN"/>
              </w:rPr>
              <w:t>8</w:t>
            </w:r>
            <w:r>
              <w:rPr>
                <w:rFonts w:hint="default"/>
                <w:color w:val="auto"/>
              </w:rPr>
              <w:t xml:space="preserve">  工业企业厂界环境噪声排放限值   单位：dB(A)</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3261"/>
              <w:gridCol w:w="1552"/>
              <w:gridCol w:w="1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77" w:type="dxa"/>
                  <w:noWrap w:val="0"/>
                  <w:vAlign w:val="center"/>
                </w:tcPr>
                <w:p>
                  <w:pPr>
                    <w:pStyle w:val="18"/>
                    <w:bidi w:val="0"/>
                    <w:rPr>
                      <w:rFonts w:hint="default"/>
                      <w:color w:val="auto"/>
                    </w:rPr>
                  </w:pPr>
                  <w:r>
                    <w:rPr>
                      <w:rFonts w:hint="default"/>
                      <w:color w:val="auto"/>
                    </w:rPr>
                    <w:t>类别</w:t>
                  </w:r>
                </w:p>
              </w:tc>
              <w:tc>
                <w:tcPr>
                  <w:tcW w:w="3261" w:type="dxa"/>
                  <w:noWrap w:val="0"/>
                  <w:vAlign w:val="center"/>
                </w:tcPr>
                <w:p>
                  <w:pPr>
                    <w:pStyle w:val="18"/>
                    <w:bidi w:val="0"/>
                    <w:rPr>
                      <w:rFonts w:hint="default"/>
                      <w:color w:val="auto"/>
                    </w:rPr>
                  </w:pPr>
                  <w:r>
                    <w:rPr>
                      <w:rFonts w:hint="default"/>
                      <w:color w:val="auto"/>
                    </w:rPr>
                    <w:t>适用区域</w:t>
                  </w:r>
                </w:p>
              </w:tc>
              <w:tc>
                <w:tcPr>
                  <w:tcW w:w="1552" w:type="dxa"/>
                  <w:noWrap w:val="0"/>
                  <w:vAlign w:val="center"/>
                </w:tcPr>
                <w:p>
                  <w:pPr>
                    <w:pStyle w:val="18"/>
                    <w:bidi w:val="0"/>
                    <w:rPr>
                      <w:rFonts w:hint="default"/>
                      <w:color w:val="auto"/>
                    </w:rPr>
                  </w:pPr>
                  <w:r>
                    <w:rPr>
                      <w:rFonts w:hint="default"/>
                      <w:color w:val="auto"/>
                    </w:rPr>
                    <w:t>昼间</w:t>
                  </w:r>
                </w:p>
              </w:tc>
              <w:tc>
                <w:tcPr>
                  <w:tcW w:w="1749" w:type="dxa"/>
                  <w:noWrap w:val="0"/>
                  <w:vAlign w:val="center"/>
                </w:tcPr>
                <w:p>
                  <w:pPr>
                    <w:pStyle w:val="18"/>
                    <w:bidi w:val="0"/>
                    <w:rPr>
                      <w:rFonts w:hint="default"/>
                      <w:color w:val="auto"/>
                    </w:rPr>
                  </w:pPr>
                  <w:r>
                    <w:rPr>
                      <w:rFonts w:hint="default"/>
                      <w:color w:val="auto"/>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77" w:type="dxa"/>
                  <w:noWrap w:val="0"/>
                  <w:vAlign w:val="center"/>
                </w:tcPr>
                <w:p>
                  <w:pPr>
                    <w:pStyle w:val="18"/>
                    <w:bidi w:val="0"/>
                    <w:rPr>
                      <w:rFonts w:hint="default"/>
                      <w:color w:val="auto"/>
                    </w:rPr>
                  </w:pPr>
                  <w:r>
                    <w:rPr>
                      <w:rFonts w:hint="default"/>
                      <w:color w:val="auto"/>
                    </w:rPr>
                    <w:t>3类</w:t>
                  </w:r>
                </w:p>
              </w:tc>
              <w:tc>
                <w:tcPr>
                  <w:tcW w:w="3261" w:type="dxa"/>
                  <w:noWrap w:val="0"/>
                  <w:vAlign w:val="center"/>
                </w:tcPr>
                <w:p>
                  <w:pPr>
                    <w:pStyle w:val="18"/>
                    <w:bidi w:val="0"/>
                    <w:rPr>
                      <w:rFonts w:hint="default"/>
                      <w:color w:val="auto"/>
                    </w:rPr>
                  </w:pPr>
                  <w:r>
                    <w:rPr>
                      <w:rFonts w:hint="default"/>
                      <w:color w:val="auto"/>
                    </w:rPr>
                    <w:t>项目区域</w:t>
                  </w:r>
                </w:p>
              </w:tc>
              <w:tc>
                <w:tcPr>
                  <w:tcW w:w="1552" w:type="dxa"/>
                  <w:noWrap w:val="0"/>
                  <w:vAlign w:val="center"/>
                </w:tcPr>
                <w:p>
                  <w:pPr>
                    <w:pStyle w:val="18"/>
                    <w:bidi w:val="0"/>
                    <w:rPr>
                      <w:rFonts w:hint="default"/>
                      <w:color w:val="auto"/>
                    </w:rPr>
                  </w:pPr>
                  <w:r>
                    <w:rPr>
                      <w:rFonts w:hint="default"/>
                      <w:color w:val="auto"/>
                    </w:rPr>
                    <w:t>65</w:t>
                  </w:r>
                </w:p>
              </w:tc>
              <w:tc>
                <w:tcPr>
                  <w:tcW w:w="1749" w:type="dxa"/>
                  <w:noWrap w:val="0"/>
                  <w:vAlign w:val="center"/>
                </w:tcPr>
                <w:p>
                  <w:pPr>
                    <w:pStyle w:val="18"/>
                    <w:bidi w:val="0"/>
                    <w:rPr>
                      <w:rFonts w:hint="default"/>
                      <w:color w:val="auto"/>
                    </w:rPr>
                  </w:pPr>
                  <w:r>
                    <w:rPr>
                      <w:rFonts w:hint="default"/>
                      <w:color w:val="auto"/>
                    </w:rPr>
                    <w:t>55</w:t>
                  </w:r>
                </w:p>
              </w:tc>
            </w:tr>
          </w:tbl>
          <w:p>
            <w:pPr>
              <w:spacing w:line="360" w:lineRule="auto"/>
              <w:ind w:right="119"/>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（4）固体废物</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①一般固废：执行《一般工业固体废物储存、处置场污染控制标准》（GB18599-2001）及其修改单。可回收部分回收利用，不可回收部分统一收集清运至园区垃圾收集处</w:t>
            </w:r>
            <w:r>
              <w:rPr>
                <w:rFonts w:hint="default" w:ascii="Times New Roman" w:hAnsi="Times New Roman" w:cs="Times New Roman"/>
                <w:color w:val="auto"/>
                <w:sz w:val="24"/>
                <w:szCs w:val="24"/>
                <w:lang w:eastAsia="zh-CN"/>
              </w:rPr>
              <w:t>理</w:t>
            </w:r>
            <w:r>
              <w:rPr>
                <w:rFonts w:hint="default" w:ascii="Times New Roman" w:hAnsi="Times New Roman" w:cs="Times New Roman"/>
                <w:color w:val="auto"/>
                <w:sz w:val="24"/>
                <w:szCs w:val="24"/>
              </w:rPr>
              <w:t>后，由环卫部门处置。</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②危险废物处理和处置执行（GB 18597-2001）《危险废物贮存污染控制标准》（2013年修改单）中的有关规定，妥善处理，不得形成二次污染</w:t>
            </w:r>
            <w:r>
              <w:rPr>
                <w:rFonts w:hint="default" w:ascii="Times New Roman" w:hAnsi="Times New Roman" w:cs="Times New Roman"/>
                <w:color w:val="auto"/>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2" w:hRule="atLeast"/>
          <w:jc w:val="center"/>
        </w:trPr>
        <w:tc>
          <w:tcPr>
            <w:tcW w:w="457" w:type="dxa"/>
            <w:tcBorders>
              <w:left w:val="single" w:color="auto" w:sz="4" w:space="0"/>
              <w:bottom w:val="single" w:color="auto" w:sz="4" w:space="0"/>
              <w:right w:val="single" w:color="auto" w:sz="4" w:space="0"/>
            </w:tcBorders>
            <w:noWrap w:val="0"/>
            <w:vAlign w:val="center"/>
          </w:tcPr>
          <w:p>
            <w:pPr>
              <w:spacing w:line="360" w:lineRule="auto"/>
              <w:ind w:left="0" w:leftChars="0" w:firstLine="0" w:firstLineChars="0"/>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总量控制指标</w:t>
            </w:r>
          </w:p>
        </w:tc>
        <w:tc>
          <w:tcPr>
            <w:tcW w:w="8065" w:type="dxa"/>
            <w:tcBorders>
              <w:left w:val="single" w:color="auto" w:sz="4" w:space="0"/>
              <w:bottom w:val="single" w:color="auto" w:sz="4" w:space="0"/>
            </w:tcBorders>
            <w:noWrap w:val="0"/>
            <w:vAlign w:val="top"/>
          </w:tcPr>
          <w:p>
            <w:pPr>
              <w:spacing w:line="360" w:lineRule="auto"/>
              <w:rPr>
                <w:rFonts w:hint="default"/>
                <w:color w:val="auto"/>
              </w:rPr>
            </w:pPr>
            <w:r>
              <w:rPr>
                <w:rFonts w:hint="default"/>
                <w:color w:val="auto"/>
              </w:rPr>
              <w:t>建议的总量控制指标：</w:t>
            </w:r>
          </w:p>
          <w:p>
            <w:pPr>
              <w:bidi w:val="0"/>
              <w:rPr>
                <w:rFonts w:hint="default"/>
                <w:color w:val="auto"/>
              </w:rPr>
            </w:pPr>
            <w:r>
              <w:rPr>
                <w:rFonts w:hint="default"/>
                <w:color w:val="auto"/>
              </w:rPr>
              <w:t>实施污染物排放总量控制，应立足于实施清洁生产、污染物治理达标排</w:t>
            </w:r>
          </w:p>
          <w:p>
            <w:pPr>
              <w:bidi w:val="0"/>
              <w:rPr>
                <w:rFonts w:hint="default"/>
                <w:color w:val="auto"/>
              </w:rPr>
            </w:pPr>
            <w:r>
              <w:rPr>
                <w:rFonts w:hint="default"/>
                <w:color w:val="auto"/>
              </w:rPr>
              <w:t>放及区域污染物总量控制等基本控制原则。经环评分析，本项目污染物总量</w:t>
            </w:r>
          </w:p>
          <w:p>
            <w:pPr>
              <w:bidi w:val="0"/>
              <w:rPr>
                <w:rFonts w:hint="default"/>
                <w:color w:val="auto"/>
              </w:rPr>
            </w:pPr>
            <w:r>
              <w:rPr>
                <w:rFonts w:hint="default"/>
                <w:color w:val="auto"/>
              </w:rPr>
              <w:t>排放控制建议如下：</w:t>
            </w:r>
          </w:p>
          <w:p>
            <w:pPr>
              <w:spacing w:line="360" w:lineRule="auto"/>
              <w:ind w:firstLine="480" w:firstLineChars="200"/>
              <w:rPr>
                <w:rFonts w:hint="default"/>
                <w:color w:val="auto"/>
              </w:rPr>
            </w:pPr>
            <w:r>
              <w:rPr>
                <w:rFonts w:hint="default"/>
                <w:color w:val="auto"/>
              </w:rPr>
              <w:t>废水：</w:t>
            </w:r>
            <w:r>
              <w:rPr>
                <w:rFonts w:hint="eastAsia"/>
                <w:color w:val="auto"/>
                <w:lang w:eastAsia="zh-CN"/>
              </w:rPr>
              <w:t>本项目运营过程中无废水外排，</w:t>
            </w:r>
            <w:r>
              <w:rPr>
                <w:rFonts w:hint="default"/>
                <w:color w:val="auto"/>
              </w:rPr>
              <w:t>因此，项目废水不设总量控制指标。</w:t>
            </w:r>
          </w:p>
          <w:p>
            <w:pPr>
              <w:bidi w:val="0"/>
              <w:rPr>
                <w:rFonts w:hint="default"/>
                <w:color w:val="auto"/>
              </w:rPr>
            </w:pPr>
            <w:r>
              <w:rPr>
                <w:rFonts w:hint="default"/>
                <w:color w:val="auto"/>
              </w:rPr>
              <w:t>废气：项目废气主要为</w:t>
            </w:r>
            <w:r>
              <w:rPr>
                <w:rFonts w:hint="eastAsia"/>
                <w:color w:val="auto"/>
                <w:lang w:val="en-US" w:eastAsia="zh-CN"/>
              </w:rPr>
              <w:t>TSP</w:t>
            </w:r>
            <w:r>
              <w:rPr>
                <w:rFonts w:hint="eastAsia"/>
                <w:color w:val="auto"/>
                <w:lang w:eastAsia="zh-CN"/>
              </w:rPr>
              <w:t>、</w:t>
            </w:r>
            <w:r>
              <w:rPr>
                <w:rFonts w:hint="default"/>
                <w:color w:val="auto"/>
              </w:rPr>
              <w:t>VOC</w:t>
            </w:r>
            <w:r>
              <w:rPr>
                <w:rFonts w:hint="eastAsia"/>
                <w:color w:val="auto"/>
                <w:lang w:val="en-US" w:eastAsia="zh-CN"/>
              </w:rPr>
              <w:t>s</w:t>
            </w:r>
            <w:r>
              <w:rPr>
                <w:rFonts w:hint="default"/>
                <w:color w:val="auto"/>
              </w:rPr>
              <w:t>，不列入总量控制指标。</w:t>
            </w:r>
          </w:p>
          <w:p>
            <w:pPr>
              <w:bidi w:val="0"/>
              <w:rPr>
                <w:rFonts w:hint="default"/>
                <w:color w:val="auto"/>
                <w:lang w:eastAsia="zh-CN"/>
              </w:rPr>
            </w:pPr>
            <w:r>
              <w:rPr>
                <w:rFonts w:hint="default"/>
                <w:color w:val="auto"/>
              </w:rPr>
              <w:t>固体废弃物：项目固废均得到合理处理，处置率100%，不设总量指标</w:t>
            </w:r>
          </w:p>
          <w:p>
            <w:pPr>
              <w:adjustRightInd w:val="0"/>
              <w:snapToGrid w:val="0"/>
              <w:spacing w:line="360" w:lineRule="auto"/>
              <w:ind w:firstLine="480" w:firstLineChars="200"/>
              <w:rPr>
                <w:rFonts w:hint="default"/>
                <w:color w:val="auto"/>
                <w:lang w:eastAsia="zh-CN"/>
              </w:rPr>
            </w:pPr>
          </w:p>
          <w:p>
            <w:pPr>
              <w:adjustRightInd w:val="0"/>
              <w:snapToGrid w:val="0"/>
              <w:spacing w:line="360" w:lineRule="auto"/>
              <w:ind w:firstLine="480" w:firstLineChars="200"/>
              <w:rPr>
                <w:rFonts w:hint="default"/>
                <w:color w:val="auto"/>
                <w:lang w:eastAsia="zh-CN"/>
              </w:rPr>
            </w:pPr>
          </w:p>
          <w:p>
            <w:pPr>
              <w:adjustRightInd w:val="0"/>
              <w:snapToGrid w:val="0"/>
              <w:spacing w:line="360" w:lineRule="auto"/>
              <w:ind w:firstLine="480" w:firstLineChars="200"/>
              <w:rPr>
                <w:rFonts w:hint="default"/>
                <w:color w:val="auto"/>
                <w:lang w:eastAsia="zh-CN"/>
              </w:rPr>
            </w:pPr>
          </w:p>
          <w:p>
            <w:pPr>
              <w:adjustRightInd w:val="0"/>
              <w:snapToGrid w:val="0"/>
              <w:spacing w:line="360" w:lineRule="auto"/>
              <w:ind w:firstLine="480" w:firstLineChars="200"/>
              <w:rPr>
                <w:rFonts w:hint="default"/>
                <w:color w:val="auto"/>
                <w:lang w:eastAsia="zh-CN"/>
              </w:rPr>
            </w:pPr>
          </w:p>
          <w:p>
            <w:pPr>
              <w:adjustRightInd w:val="0"/>
              <w:snapToGrid w:val="0"/>
              <w:spacing w:line="360" w:lineRule="auto"/>
              <w:ind w:firstLine="480" w:firstLineChars="200"/>
              <w:rPr>
                <w:rFonts w:hint="default"/>
                <w:color w:val="auto"/>
                <w:lang w:eastAsia="zh-CN"/>
              </w:rPr>
            </w:pPr>
          </w:p>
          <w:p>
            <w:pPr>
              <w:adjustRightInd w:val="0"/>
              <w:snapToGrid w:val="0"/>
              <w:spacing w:line="360" w:lineRule="auto"/>
              <w:ind w:firstLine="480" w:firstLineChars="200"/>
              <w:rPr>
                <w:rFonts w:hint="default"/>
                <w:color w:val="auto"/>
                <w:lang w:eastAsia="zh-CN"/>
              </w:rPr>
            </w:pPr>
          </w:p>
          <w:p>
            <w:pPr>
              <w:adjustRightInd w:val="0"/>
              <w:snapToGrid w:val="0"/>
              <w:spacing w:line="360" w:lineRule="auto"/>
              <w:ind w:firstLine="480" w:firstLineChars="200"/>
              <w:rPr>
                <w:rFonts w:hint="default"/>
                <w:color w:val="auto"/>
                <w:lang w:eastAsia="zh-CN"/>
              </w:rPr>
            </w:pPr>
          </w:p>
          <w:p>
            <w:pPr>
              <w:adjustRightInd w:val="0"/>
              <w:snapToGrid w:val="0"/>
              <w:spacing w:line="360" w:lineRule="auto"/>
              <w:ind w:firstLine="480" w:firstLineChars="200"/>
              <w:rPr>
                <w:rFonts w:hint="default"/>
                <w:color w:val="auto"/>
                <w:lang w:eastAsia="zh-CN"/>
              </w:rPr>
            </w:pPr>
          </w:p>
          <w:p>
            <w:pPr>
              <w:adjustRightInd w:val="0"/>
              <w:snapToGrid w:val="0"/>
              <w:spacing w:line="360" w:lineRule="auto"/>
              <w:ind w:left="0" w:leftChars="0" w:firstLine="0" w:firstLineChars="0"/>
              <w:rPr>
                <w:rFonts w:hint="default"/>
                <w:color w:val="auto"/>
                <w:lang w:val="en-US" w:eastAsia="zh-CN"/>
              </w:rPr>
            </w:pPr>
          </w:p>
          <w:p>
            <w:pPr>
              <w:adjustRightInd w:val="0"/>
              <w:snapToGrid w:val="0"/>
              <w:spacing w:line="360" w:lineRule="auto"/>
              <w:ind w:left="0" w:leftChars="0" w:firstLine="0" w:firstLineChars="0"/>
              <w:rPr>
                <w:rFonts w:hint="default"/>
                <w:color w:val="auto"/>
                <w:lang w:val="en-US" w:eastAsia="zh-CN"/>
              </w:rPr>
            </w:pPr>
          </w:p>
          <w:p>
            <w:pPr>
              <w:adjustRightInd w:val="0"/>
              <w:snapToGrid w:val="0"/>
              <w:spacing w:line="360" w:lineRule="auto"/>
              <w:ind w:left="0" w:leftChars="0" w:firstLine="0" w:firstLineChars="0"/>
              <w:rPr>
                <w:rFonts w:hint="default"/>
                <w:color w:val="auto"/>
                <w:lang w:val="en-US" w:eastAsia="zh-CN"/>
              </w:rPr>
            </w:pPr>
          </w:p>
          <w:p>
            <w:pPr>
              <w:adjustRightInd w:val="0"/>
              <w:snapToGrid w:val="0"/>
              <w:spacing w:line="360" w:lineRule="auto"/>
              <w:ind w:left="0" w:leftChars="0" w:firstLine="0" w:firstLineChars="0"/>
              <w:rPr>
                <w:rFonts w:hint="default"/>
                <w:color w:val="auto"/>
                <w:lang w:val="en-US" w:eastAsia="zh-CN"/>
              </w:rPr>
            </w:pPr>
          </w:p>
          <w:p>
            <w:pPr>
              <w:adjustRightInd w:val="0"/>
              <w:snapToGrid w:val="0"/>
              <w:spacing w:line="360" w:lineRule="auto"/>
              <w:ind w:left="0" w:leftChars="0" w:firstLine="0" w:firstLineChars="0"/>
              <w:rPr>
                <w:rFonts w:hint="default"/>
                <w:color w:val="auto"/>
                <w:lang w:val="en-US" w:eastAsia="zh-CN"/>
              </w:rPr>
            </w:pPr>
          </w:p>
          <w:p>
            <w:pPr>
              <w:adjustRightInd w:val="0"/>
              <w:snapToGrid w:val="0"/>
              <w:spacing w:line="360" w:lineRule="auto"/>
              <w:ind w:left="0" w:leftChars="0" w:firstLine="0" w:firstLineChars="0"/>
              <w:rPr>
                <w:rFonts w:hint="default"/>
                <w:color w:val="auto"/>
                <w:lang w:val="en-US" w:eastAsia="zh-CN"/>
              </w:rPr>
            </w:pPr>
          </w:p>
          <w:p>
            <w:pPr>
              <w:adjustRightInd w:val="0"/>
              <w:snapToGrid w:val="0"/>
              <w:spacing w:line="360" w:lineRule="auto"/>
              <w:ind w:left="0" w:leftChars="0" w:firstLine="0" w:firstLineChars="0"/>
              <w:rPr>
                <w:rFonts w:hint="default"/>
                <w:color w:val="auto"/>
                <w:lang w:val="en-US" w:eastAsia="zh-CN"/>
              </w:rPr>
            </w:pPr>
          </w:p>
          <w:p>
            <w:pPr>
              <w:pStyle w:val="2"/>
              <w:rPr>
                <w:rFonts w:hint="default"/>
                <w:color w:val="auto"/>
                <w:lang w:val="en-US" w:eastAsia="zh-CN"/>
              </w:rPr>
            </w:pPr>
          </w:p>
          <w:p>
            <w:pPr>
              <w:rPr>
                <w:rFonts w:hint="default"/>
                <w:color w:val="auto"/>
                <w:lang w:val="en-US" w:eastAsia="zh-CN"/>
              </w:rPr>
            </w:pPr>
          </w:p>
          <w:p>
            <w:pPr>
              <w:pStyle w:val="2"/>
              <w:rPr>
                <w:rFonts w:hint="default"/>
                <w:color w:val="auto"/>
                <w:lang w:val="en-US" w:eastAsia="zh-CN"/>
              </w:rPr>
            </w:pPr>
          </w:p>
          <w:p>
            <w:pPr>
              <w:rPr>
                <w:rFonts w:hint="default"/>
                <w:color w:val="auto"/>
                <w:lang w:val="en-US" w:eastAsia="zh-CN"/>
              </w:rPr>
            </w:pPr>
          </w:p>
          <w:p>
            <w:pPr>
              <w:pStyle w:val="2"/>
              <w:rPr>
                <w:rFonts w:hint="default"/>
                <w:color w:val="auto"/>
                <w:lang w:val="en-US" w:eastAsia="zh-CN"/>
              </w:rPr>
            </w:pPr>
          </w:p>
          <w:p>
            <w:pPr>
              <w:rPr>
                <w:rFonts w:hint="default"/>
                <w:color w:val="auto"/>
                <w:lang w:val="en-US" w:eastAsia="zh-CN"/>
              </w:rPr>
            </w:pPr>
          </w:p>
          <w:p>
            <w:pPr>
              <w:pStyle w:val="2"/>
              <w:rPr>
                <w:rFonts w:hint="default"/>
                <w:color w:val="auto"/>
                <w:lang w:val="en-US" w:eastAsia="zh-CN"/>
              </w:rPr>
            </w:pPr>
          </w:p>
        </w:tc>
      </w:tr>
    </w:tbl>
    <w:p>
      <w:pPr>
        <w:pStyle w:val="3"/>
        <w:bidi w:val="0"/>
        <w:rPr>
          <w:rFonts w:hint="default"/>
          <w:color w:val="auto"/>
        </w:rPr>
      </w:pPr>
      <w:bookmarkStart w:id="73" w:name="_Toc29747"/>
      <w:bookmarkStart w:id="74" w:name="_Toc16050"/>
      <w:r>
        <w:rPr>
          <w:rFonts w:hint="default"/>
          <w:color w:val="auto"/>
        </w:rPr>
        <w:t>表五</w:t>
      </w:r>
      <w:r>
        <w:rPr>
          <w:rFonts w:hint="default"/>
          <w:color w:val="auto"/>
          <w:lang w:val="en-US" w:eastAsia="zh-CN"/>
        </w:rPr>
        <w:t xml:space="preserve">  </w:t>
      </w:r>
      <w:r>
        <w:rPr>
          <w:rFonts w:hint="default"/>
          <w:color w:val="auto"/>
        </w:rPr>
        <w:t>建设项目工程分析</w:t>
      </w:r>
      <w:bookmarkEnd w:id="70"/>
      <w:bookmarkEnd w:id="71"/>
      <w:bookmarkEnd w:id="72"/>
      <w:bookmarkEnd w:id="73"/>
      <w:bookmarkEnd w:id="74"/>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noWrap w:val="0"/>
            <w:vAlign w:val="top"/>
          </w:tcPr>
          <w:p>
            <w:pPr>
              <w:spacing w:line="360" w:lineRule="auto"/>
              <w:ind w:left="0" w:leftChars="0" w:firstLine="0" w:firstLineChars="0"/>
              <w:rPr>
                <w:rFonts w:hint="default"/>
                <w:color w:val="auto"/>
                <w:lang w:val="en-US" w:eastAsia="zh-CN"/>
              </w:rPr>
            </w:pPr>
            <w:r>
              <w:rPr>
                <w:rFonts w:hint="default"/>
                <w:color w:val="auto"/>
              </w:rPr>
              <w:t>一、工艺流程及产污节点简述（图示）：</w:t>
            </w:r>
          </w:p>
          <w:p>
            <w:pPr>
              <w:spacing w:line="360" w:lineRule="auto"/>
              <w:rPr>
                <w:rFonts w:hint="default"/>
                <w:color w:val="auto"/>
              </w:rPr>
            </w:pPr>
            <w:r>
              <w:rPr>
                <w:rFonts w:hint="default"/>
                <w:color w:val="auto"/>
              </w:rPr>
              <w:t>1、施工期产污节点</w:t>
            </w:r>
          </w:p>
          <w:p>
            <w:pPr>
              <w:spacing w:line="360" w:lineRule="auto"/>
              <w:ind w:firstLine="520" w:firstLineChars="217"/>
              <w:rPr>
                <w:color w:val="auto"/>
              </w:rPr>
            </w:pPr>
            <w:r>
              <w:rPr>
                <w:color w:val="auto"/>
              </w:rPr>
              <w:t>项目租用</w:t>
            </w:r>
            <w:r>
              <w:rPr>
                <w:rFonts w:hint="eastAsia"/>
                <w:color w:val="auto"/>
                <w:lang w:eastAsia="zh-CN"/>
              </w:rPr>
              <w:t>云南皇派实业有限公司富民分公司标准厂房</w:t>
            </w:r>
            <w:r>
              <w:rPr>
                <w:rFonts w:hint="eastAsia"/>
                <w:color w:val="auto"/>
                <w:lang w:val="en-US" w:eastAsia="zh-CN"/>
              </w:rPr>
              <w:t>2600</w:t>
            </w:r>
            <w:r>
              <w:rPr>
                <w:color w:val="auto"/>
              </w:rPr>
              <w:t>m</w:t>
            </w:r>
            <w:r>
              <w:rPr>
                <w:color w:val="auto"/>
                <w:vertAlign w:val="superscript"/>
              </w:rPr>
              <w:t>2</w:t>
            </w:r>
            <w:r>
              <w:rPr>
                <w:rFonts w:hint="eastAsia"/>
                <w:color w:val="auto"/>
                <w:lang w:val="en-US" w:eastAsia="zh-CN"/>
              </w:rPr>
              <w:t>及云南富邦制冷设备</w:t>
            </w:r>
            <w:r>
              <w:rPr>
                <w:rFonts w:hint="default"/>
                <w:color w:val="auto"/>
                <w:lang w:val="en-US" w:eastAsia="zh-CN"/>
              </w:rPr>
              <w:t>有限公司</w:t>
            </w:r>
            <w:r>
              <w:rPr>
                <w:rFonts w:hint="eastAsia"/>
                <w:color w:val="auto"/>
                <w:lang w:val="en-US" w:eastAsia="zh-CN"/>
              </w:rPr>
              <w:t>标准厂房1500</w:t>
            </w:r>
            <w:r>
              <w:rPr>
                <w:color w:val="auto"/>
              </w:rPr>
              <w:t>m</w:t>
            </w:r>
            <w:r>
              <w:rPr>
                <w:color w:val="auto"/>
                <w:vertAlign w:val="superscript"/>
              </w:rPr>
              <w:t>2</w:t>
            </w:r>
            <w:r>
              <w:rPr>
                <w:color w:val="auto"/>
              </w:rPr>
              <w:t>进行</w:t>
            </w:r>
            <w:r>
              <w:rPr>
                <w:rFonts w:hint="eastAsia"/>
                <w:color w:val="auto"/>
                <w:lang w:val="en-US" w:eastAsia="zh-CN"/>
              </w:rPr>
              <w:t>3000t/a钢结构</w:t>
            </w:r>
            <w:r>
              <w:rPr>
                <w:color w:val="auto"/>
              </w:rPr>
              <w:t>生产线建设，其施工期仅进行生产设备安装、配套环保设施设置，不涉及土建施工。项目施工期对周边环境产生的影响</w:t>
            </w:r>
            <w:r>
              <w:rPr>
                <w:rFonts w:hint="eastAsia"/>
                <w:color w:val="auto"/>
                <w:lang w:eastAsia="zh-CN"/>
              </w:rPr>
              <w:t>不大</w:t>
            </w:r>
            <w:r>
              <w:rPr>
                <w:color w:val="auto"/>
              </w:rPr>
              <w:t>。</w:t>
            </w:r>
          </w:p>
          <w:p>
            <w:pPr>
              <w:spacing w:line="360" w:lineRule="auto"/>
              <w:ind w:left="0" w:leftChars="0" w:firstLine="0" w:firstLineChars="0"/>
              <w:jc w:val="both"/>
              <w:rPr>
                <w:rFonts w:hint="default"/>
                <w:color w:val="auto"/>
              </w:rPr>
            </w:pPr>
            <w:r>
              <w:rPr>
                <w:color w:val="auto"/>
              </w:rPr>
              <w:object>
                <v:shape id="_x0000_i1025" o:spt="75" type="#_x0000_t75" style="height:145.5pt;width:407.3pt;" o:ole="t" filled="f" o:preferrelative="t" stroked="f" coordsize="21600,21600">
                  <v:path/>
                  <v:fill on="f" focussize="0,0"/>
                  <v:stroke on="f"/>
                  <v:imagedata r:id="rId8" o:title=""/>
                  <o:lock v:ext="edit" aspectratio="f"/>
                  <w10:wrap type="none"/>
                  <w10:anchorlock/>
                </v:shape>
                <o:OLEObject Type="Embed" ProgID="Visio.Drawing.11" ShapeID="_x0000_i1025" DrawAspect="Content" ObjectID="_1468075725" r:id="rId7">
                  <o:LockedField>false</o:LockedField>
                </o:OLEObject>
              </w:object>
            </w:r>
          </w:p>
          <w:p>
            <w:pPr>
              <w:pStyle w:val="19"/>
              <w:bidi w:val="0"/>
              <w:rPr>
                <w:rFonts w:hint="default"/>
                <w:color w:val="auto"/>
              </w:rPr>
            </w:pPr>
            <w:r>
              <w:rPr>
                <w:rFonts w:hint="default"/>
                <w:color w:val="auto"/>
              </w:rPr>
              <w:t xml:space="preserve">  图5-1  施工期产污环节示意图</w:t>
            </w:r>
          </w:p>
          <w:p>
            <w:pPr>
              <w:spacing w:line="360" w:lineRule="auto"/>
              <w:rPr>
                <w:rFonts w:hint="default"/>
                <w:color w:val="auto"/>
              </w:rPr>
            </w:pPr>
            <w:r>
              <w:rPr>
                <w:rFonts w:hint="default"/>
                <w:color w:val="auto"/>
              </w:rPr>
              <w:t xml:space="preserve">    2、营运期产污节点</w:t>
            </w:r>
          </w:p>
          <w:p>
            <w:pPr>
              <w:spacing w:line="360" w:lineRule="auto"/>
              <w:ind w:firstLine="480" w:firstLineChars="200"/>
              <w:rPr>
                <w:rFonts w:hint="default"/>
                <w:color w:val="auto"/>
                <w:lang w:val="en-US" w:eastAsia="zh-CN"/>
              </w:rPr>
            </w:pPr>
            <w:r>
              <w:rPr>
                <w:rFonts w:hint="default"/>
                <w:color w:val="auto"/>
                <w:lang w:val="en-US" w:eastAsia="zh-CN"/>
              </w:rPr>
              <w:t>（一）生产工艺流程图及产污环节</w:t>
            </w:r>
          </w:p>
          <w:p>
            <w:pPr>
              <w:spacing w:line="360" w:lineRule="auto"/>
              <w:ind w:firstLine="480" w:firstLineChars="200"/>
              <w:rPr>
                <w:rFonts w:hint="default"/>
                <w:color w:val="auto"/>
                <w:lang w:val="en-US" w:eastAsia="zh-CN"/>
              </w:rPr>
            </w:pPr>
            <w:r>
              <w:rPr>
                <w:rFonts w:hint="default"/>
                <w:color w:val="auto"/>
                <w:lang w:val="en-US" w:eastAsia="zh-CN"/>
              </w:rPr>
              <w:t>根据产品方案和技术方案，本项目产品生产工艺流程分为：原料组织、剪板（切割）、组合、焊接、矫正、钻孔、喷漆等工艺。其中箱型柱（梁）、十字柱、工字钢、H 型钢钢约为</w:t>
            </w:r>
            <w:r>
              <w:rPr>
                <w:rFonts w:hint="eastAsia"/>
                <w:color w:val="auto"/>
                <w:lang w:val="en-US" w:eastAsia="zh-CN"/>
              </w:rPr>
              <w:t>10</w:t>
            </w:r>
            <w:r>
              <w:rPr>
                <w:rFonts w:hint="default"/>
                <w:color w:val="auto"/>
                <w:lang w:val="en-US" w:eastAsia="zh-CN"/>
              </w:rPr>
              <w:t>%需进行喷涂处理。C型钢不需要喷涂。</w:t>
            </w:r>
          </w:p>
          <w:p>
            <w:pPr>
              <w:numPr>
                <w:ilvl w:val="0"/>
                <w:numId w:val="2"/>
              </w:numPr>
              <w:spacing w:line="360" w:lineRule="auto"/>
              <w:ind w:firstLine="480" w:firstLineChars="200"/>
              <w:rPr>
                <w:rFonts w:hint="eastAsia"/>
                <w:color w:val="auto"/>
                <w:lang w:val="en-US" w:eastAsia="zh-CN"/>
              </w:rPr>
            </w:pPr>
            <w:r>
              <w:rPr>
                <w:rFonts w:hint="default"/>
                <w:color w:val="auto"/>
                <w:lang w:val="en-US" w:eastAsia="zh-CN"/>
              </w:rPr>
              <w:t>项目箱型柱（梁）、十字柱、工字钢、H 型钢生产工艺流程及产污环节项目箱型柱（梁）、十字柱、工字钢、H型钢生产工艺流程及产污环节见</w:t>
            </w:r>
            <w:r>
              <w:rPr>
                <w:rFonts w:hint="eastAsia"/>
                <w:color w:val="auto"/>
                <w:lang w:val="en-US" w:eastAsia="zh-CN"/>
              </w:rPr>
              <w:t>下</w:t>
            </w:r>
            <w:r>
              <w:rPr>
                <w:rFonts w:hint="default"/>
                <w:color w:val="auto"/>
                <w:lang w:val="en-US" w:eastAsia="zh-CN"/>
              </w:rPr>
              <w:t>图</w:t>
            </w:r>
            <w:r>
              <w:rPr>
                <w:rFonts w:hint="eastAsia"/>
                <w:color w:val="auto"/>
                <w:lang w:val="en-US" w:eastAsia="zh-CN"/>
              </w:rPr>
              <w:t>。</w:t>
            </w:r>
          </w:p>
          <w:p>
            <w:pPr>
              <w:numPr>
                <w:ilvl w:val="0"/>
                <w:numId w:val="0"/>
              </w:numPr>
              <w:spacing w:line="360" w:lineRule="auto"/>
              <w:rPr>
                <w:rFonts w:hint="default"/>
                <w:color w:val="auto"/>
                <w:lang w:val="en-US" w:eastAsia="zh-CN"/>
              </w:rPr>
            </w:pPr>
          </w:p>
          <w:p>
            <w:pPr>
              <w:numPr>
                <w:ilvl w:val="0"/>
                <w:numId w:val="0"/>
              </w:numPr>
              <w:spacing w:line="360" w:lineRule="auto"/>
              <w:rPr>
                <w:rFonts w:hint="eastAsia"/>
                <w:color w:val="auto"/>
                <w:lang w:val="en-US" w:eastAsia="zh-CN"/>
              </w:rPr>
            </w:pPr>
          </w:p>
          <w:p>
            <w:pPr>
              <w:numPr>
                <w:ilvl w:val="0"/>
                <w:numId w:val="0"/>
              </w:numPr>
              <w:spacing w:line="360" w:lineRule="auto"/>
              <w:rPr>
                <w:rFonts w:hint="eastAsia"/>
                <w:color w:val="auto"/>
                <w:lang w:val="en-US" w:eastAsia="zh-CN"/>
              </w:rPr>
            </w:pPr>
          </w:p>
          <w:p>
            <w:pPr>
              <w:numPr>
                <w:ilvl w:val="0"/>
                <w:numId w:val="0"/>
              </w:numPr>
              <w:spacing w:line="360" w:lineRule="auto"/>
              <w:rPr>
                <w:rFonts w:hint="eastAsia"/>
                <w:color w:val="auto"/>
                <w:lang w:val="en-US" w:eastAsia="zh-CN"/>
              </w:rPr>
            </w:pPr>
          </w:p>
          <w:p>
            <w:pPr>
              <w:numPr>
                <w:ilvl w:val="0"/>
                <w:numId w:val="0"/>
              </w:numPr>
              <w:spacing w:line="360" w:lineRule="auto"/>
              <w:rPr>
                <w:rFonts w:hint="eastAsia"/>
                <w:color w:val="auto"/>
                <w:lang w:val="en-US" w:eastAsia="zh-CN"/>
              </w:rPr>
            </w:pPr>
          </w:p>
          <w:p>
            <w:pPr>
              <w:numPr>
                <w:ilvl w:val="0"/>
                <w:numId w:val="0"/>
              </w:numPr>
              <w:spacing w:line="360" w:lineRule="auto"/>
              <w:rPr>
                <w:rFonts w:hint="default"/>
                <w:color w:val="auto"/>
                <w:lang w:val="en-US" w:eastAsia="zh-CN"/>
              </w:rPr>
            </w:pPr>
          </w:p>
          <w:p>
            <w:pPr>
              <w:spacing w:line="360" w:lineRule="auto"/>
              <w:ind w:left="0" w:leftChars="0" w:firstLine="0" w:firstLineChars="0"/>
              <w:jc w:val="both"/>
              <w:rPr>
                <w:rFonts w:hint="default"/>
                <w:color w:val="auto"/>
              </w:rPr>
            </w:pPr>
            <w:r>
              <w:rPr>
                <w:color w:val="auto"/>
              </w:rPr>
              <w:object>
                <v:shape id="_x0000_i1026" o:spt="75" type="#_x0000_t75" style="height:352.5pt;width:415.05pt;" o:ole="t" filled="f" o:preferrelative="t" stroked="f" coordsize="21600,21600">
                  <v:path/>
                  <v:fill on="f" focussize="0,0"/>
                  <v:stroke on="f"/>
                  <v:imagedata r:id="rId10" o:title=""/>
                  <o:lock v:ext="edit" aspectratio="f"/>
                  <w10:wrap type="none"/>
                  <w10:anchorlock/>
                </v:shape>
                <o:OLEObject Type="Embed" ProgID="Visio.Drawing.15" ShapeID="_x0000_i1026" DrawAspect="Content" ObjectID="_1468075726" r:id="rId9">
                  <o:LockedField>false</o:LockedField>
                </o:OLEObject>
              </w:object>
            </w:r>
          </w:p>
          <w:p>
            <w:pPr>
              <w:pStyle w:val="19"/>
              <w:bidi w:val="0"/>
              <w:rPr>
                <w:rFonts w:hint="default"/>
                <w:color w:val="auto"/>
                <w:lang w:val="en-US" w:eastAsia="zh-CN"/>
              </w:rPr>
            </w:pPr>
            <w:r>
              <w:rPr>
                <w:rFonts w:hint="default"/>
                <w:color w:val="auto"/>
              </w:rPr>
              <w:t xml:space="preserve">图5-2 </w:t>
            </w:r>
            <w:r>
              <w:rPr>
                <w:rFonts w:hint="default"/>
                <w:color w:val="auto"/>
                <w:lang w:eastAsia="zh-CN"/>
              </w:rPr>
              <w:t>生产工艺流程及产污环节图</w:t>
            </w:r>
          </w:p>
          <w:p>
            <w:pPr>
              <w:spacing w:line="360" w:lineRule="auto"/>
              <w:ind w:firstLine="480" w:firstLineChars="200"/>
              <w:rPr>
                <w:rFonts w:hint="default"/>
                <w:color w:val="auto"/>
                <w:lang w:val="en-US" w:eastAsia="zh-CN"/>
              </w:rPr>
            </w:pPr>
            <w:r>
              <w:rPr>
                <w:rFonts w:hint="default"/>
                <w:color w:val="auto"/>
                <w:lang w:val="en-US" w:eastAsia="zh-CN"/>
              </w:rPr>
              <w:t>工艺简介：</w:t>
            </w:r>
          </w:p>
          <w:p>
            <w:pPr>
              <w:spacing w:line="360" w:lineRule="auto"/>
              <w:ind w:firstLine="520" w:firstLineChars="217"/>
              <w:rPr>
                <w:rFonts w:hint="default"/>
                <w:color w:val="auto"/>
                <w:lang w:val="en-US" w:eastAsia="zh-CN"/>
              </w:rPr>
            </w:pPr>
            <w:r>
              <w:rPr>
                <w:rFonts w:hint="default"/>
                <w:color w:val="auto"/>
                <w:lang w:val="en-US" w:eastAsia="zh-CN"/>
              </w:rPr>
              <w:t>①切割下料</w:t>
            </w:r>
          </w:p>
          <w:p>
            <w:pPr>
              <w:spacing w:line="360" w:lineRule="auto"/>
              <w:ind w:firstLine="520" w:firstLineChars="217"/>
              <w:rPr>
                <w:rFonts w:hint="default"/>
                <w:color w:val="auto"/>
                <w:lang w:val="en-US" w:eastAsia="zh-CN"/>
              </w:rPr>
            </w:pPr>
            <w:r>
              <w:rPr>
                <w:rFonts w:hint="default"/>
                <w:color w:val="auto"/>
                <w:lang w:val="en-US" w:eastAsia="zh-CN"/>
              </w:rPr>
              <w:t>开料工序主要是根据客户需求，将外购钢板、型钢、槽钢、角钢等原辅材料裁剪成所需部件。本项目切割开料采取两种方式，一种是机械切割型，一种是火焰切割型。机械切割主要针对较薄的钢板裁剪时使用，而火焰切割型则针对较厚的钢板裁剪时使用。机械切割是使用切割机，通过液压原理，使钢板受剪刀挤压而发生剪切变形并减裂分离的工艺过程。火焰切割是利用</w:t>
            </w:r>
            <w:r>
              <w:rPr>
                <w:rFonts w:hint="eastAsia"/>
                <w:color w:val="auto"/>
                <w:lang w:val="en-US" w:eastAsia="zh-CN"/>
              </w:rPr>
              <w:t>天然气</w:t>
            </w:r>
            <w:r>
              <w:rPr>
                <w:rFonts w:hint="default"/>
                <w:color w:val="auto"/>
                <w:lang w:val="en-US" w:eastAsia="zh-CN"/>
              </w:rPr>
              <w:t>与氧气混合燃烧产生的热量预热钢材，使预热处金属达到燃烧温度（燃点）并使其呈活化状态，然后通过送进高纯度的高速切割氧流，使金属在氧气中剧烈燃烧，同时借助高速氧流的动能把燃烧生成的呈熔融状的氧化渣吹掉，以形成割缝，从而达到切割钢材的目的。</w:t>
            </w:r>
          </w:p>
          <w:p>
            <w:pPr>
              <w:spacing w:line="360" w:lineRule="auto"/>
              <w:ind w:firstLine="520" w:firstLineChars="217"/>
              <w:rPr>
                <w:rFonts w:hint="default"/>
                <w:color w:val="auto"/>
                <w:lang w:val="en-US" w:eastAsia="zh-CN"/>
              </w:rPr>
            </w:pPr>
            <w:r>
              <w:rPr>
                <w:rFonts w:hint="default"/>
                <w:color w:val="auto"/>
                <w:lang w:val="en-US" w:eastAsia="zh-CN"/>
              </w:rPr>
              <w:t>②组立、埋弧焊工序</w:t>
            </w:r>
          </w:p>
          <w:p>
            <w:pPr>
              <w:spacing w:line="360" w:lineRule="auto"/>
              <w:ind w:firstLine="520" w:firstLineChars="217"/>
              <w:rPr>
                <w:rFonts w:hint="default"/>
                <w:color w:val="auto"/>
                <w:lang w:val="en-US" w:eastAsia="zh-CN"/>
              </w:rPr>
            </w:pPr>
            <w:r>
              <w:rPr>
                <w:rFonts w:hint="default"/>
                <w:color w:val="auto"/>
                <w:lang w:val="en-US" w:eastAsia="zh-CN"/>
              </w:rPr>
              <w:t>将下好的钢板较平，用自动组立机组合；将组合好的构件送至门式自动埋弧焊按设计要求焊接，并清除焊渣。组立工序有噪声产生，埋弧焊有焊接烟尘及噪声产生及焊渣、废焊头等固废产生。</w:t>
            </w:r>
          </w:p>
          <w:p>
            <w:pPr>
              <w:spacing w:line="360" w:lineRule="auto"/>
              <w:ind w:firstLine="520" w:firstLineChars="217"/>
              <w:rPr>
                <w:rFonts w:hint="default"/>
                <w:color w:val="auto"/>
                <w:lang w:val="en-US" w:eastAsia="zh-CN"/>
              </w:rPr>
            </w:pPr>
            <w:r>
              <w:rPr>
                <w:rFonts w:hint="default"/>
                <w:color w:val="auto"/>
                <w:lang w:val="en-US" w:eastAsia="zh-CN"/>
              </w:rPr>
              <w:t>③ 矫正、钻孔、拼装</w:t>
            </w:r>
          </w:p>
          <w:p>
            <w:pPr>
              <w:spacing w:line="360" w:lineRule="auto"/>
              <w:ind w:firstLine="520" w:firstLineChars="217"/>
              <w:rPr>
                <w:rFonts w:hint="default"/>
                <w:color w:val="auto"/>
                <w:lang w:val="en-US" w:eastAsia="zh-CN"/>
              </w:rPr>
            </w:pPr>
            <w:r>
              <w:rPr>
                <w:rFonts w:hint="default"/>
                <w:color w:val="auto"/>
                <w:lang w:val="en-US" w:eastAsia="zh-CN"/>
              </w:rPr>
              <w:t>将焊好部件送至矫正机矫正，并检查合格即为钢结构部件；按要求将钢结构部件钻孔并完成拼装，钻孔过程采用切削液进行降温、润滑、抑尘，钻孔工序有噪声和固废产生。</w:t>
            </w:r>
          </w:p>
          <w:p>
            <w:pPr>
              <w:spacing w:line="360" w:lineRule="auto"/>
              <w:ind w:firstLine="520" w:firstLineChars="217"/>
              <w:rPr>
                <w:rFonts w:hint="default"/>
                <w:color w:val="auto"/>
                <w:lang w:val="en-US" w:eastAsia="zh-CN"/>
              </w:rPr>
            </w:pPr>
            <w:r>
              <w:rPr>
                <w:rFonts w:hint="default"/>
                <w:color w:val="auto"/>
                <w:lang w:val="en-US" w:eastAsia="zh-CN"/>
              </w:rPr>
              <w:t>④ 焊接</w:t>
            </w:r>
          </w:p>
          <w:p>
            <w:pPr>
              <w:spacing w:line="360" w:lineRule="auto"/>
              <w:ind w:firstLine="520" w:firstLineChars="217"/>
              <w:rPr>
                <w:rFonts w:hint="default"/>
                <w:color w:val="auto"/>
                <w:lang w:val="en-US" w:eastAsia="zh-CN"/>
              </w:rPr>
            </w:pPr>
            <w:r>
              <w:rPr>
                <w:rFonts w:hint="default"/>
                <w:color w:val="auto"/>
                <w:lang w:val="en-US" w:eastAsia="zh-CN"/>
              </w:rPr>
              <w:t>采用CO</w:t>
            </w:r>
            <w:r>
              <w:rPr>
                <w:rFonts w:hint="default"/>
                <w:color w:val="auto"/>
                <w:vertAlign w:val="subscript"/>
                <w:lang w:val="en-US" w:eastAsia="zh-CN"/>
              </w:rPr>
              <w:t>2</w:t>
            </w:r>
            <w:r>
              <w:rPr>
                <w:rFonts w:hint="default"/>
                <w:color w:val="auto"/>
                <w:lang w:val="en-US" w:eastAsia="zh-CN"/>
              </w:rPr>
              <w:t>气体保护焊对拼装好的部件进行焊接。焊接工段有焊接烟尘及噪声产生以及焊渣、废焊头等固废产生。</w:t>
            </w:r>
          </w:p>
          <w:p>
            <w:pPr>
              <w:spacing w:line="360" w:lineRule="auto"/>
              <w:ind w:firstLine="520" w:firstLineChars="217"/>
              <w:rPr>
                <w:rFonts w:hint="default"/>
                <w:color w:val="auto"/>
                <w:lang w:val="en-US" w:eastAsia="zh-CN"/>
              </w:rPr>
            </w:pPr>
            <w:r>
              <w:rPr>
                <w:rFonts w:hint="default"/>
                <w:color w:val="auto"/>
                <w:lang w:val="en-US" w:eastAsia="zh-CN"/>
              </w:rPr>
              <w:t>⑤喷漆</w:t>
            </w:r>
          </w:p>
          <w:p>
            <w:pPr>
              <w:spacing w:line="360" w:lineRule="auto"/>
              <w:ind w:firstLine="520" w:firstLineChars="217"/>
              <w:rPr>
                <w:rFonts w:hint="default"/>
                <w:color w:val="auto"/>
                <w:lang w:val="en-US" w:eastAsia="zh-CN"/>
              </w:rPr>
            </w:pPr>
            <w:r>
              <w:rPr>
                <w:rFonts w:hint="default"/>
                <w:color w:val="auto"/>
                <w:lang w:val="en-US" w:eastAsia="zh-CN"/>
              </w:rPr>
              <w:t>调漆：本项目底漆和面漆均为为水性丙烯酸漆。底漆和面漆使用前均需要进行调配，按比例加入水进行调漆，本项目调漆工序设置在喷漆室内，即调即用。按比例将水性漆和水混合，搅拌均匀后待用。</w:t>
            </w:r>
          </w:p>
          <w:p>
            <w:pPr>
              <w:spacing w:line="360" w:lineRule="auto"/>
              <w:ind w:firstLine="520" w:firstLineChars="217"/>
              <w:rPr>
                <w:rFonts w:hint="default"/>
                <w:color w:val="auto"/>
                <w:lang w:val="en-US" w:eastAsia="zh-CN"/>
              </w:rPr>
            </w:pPr>
            <w:r>
              <w:rPr>
                <w:rFonts w:hint="default"/>
                <w:color w:val="auto"/>
                <w:lang w:val="en-US" w:eastAsia="zh-CN"/>
              </w:rPr>
              <w:t>喷漆：人工使用喷枪在工件表面均匀喷涂上一层水性底漆料，水性丙烯酸底漆在调漆时底漆：水=</w:t>
            </w:r>
            <w:r>
              <w:rPr>
                <w:rFonts w:hint="eastAsia"/>
                <w:color w:val="auto"/>
                <w:lang w:val="en-US" w:eastAsia="zh-CN"/>
              </w:rPr>
              <w:t>2</w:t>
            </w:r>
            <w:r>
              <w:rPr>
                <w:rFonts w:hint="default"/>
                <w:color w:val="auto"/>
                <w:lang w:val="en-US" w:eastAsia="zh-CN"/>
              </w:rPr>
              <w:t>：</w:t>
            </w:r>
            <w:r>
              <w:rPr>
                <w:rFonts w:hint="eastAsia"/>
                <w:color w:val="auto"/>
                <w:lang w:val="en-US" w:eastAsia="zh-CN"/>
              </w:rPr>
              <w:t>1</w:t>
            </w:r>
            <w:r>
              <w:rPr>
                <w:rFonts w:hint="default"/>
                <w:color w:val="auto"/>
                <w:lang w:val="en-US" w:eastAsia="zh-CN"/>
              </w:rPr>
              <w:t>，本项目喷漆室工作过程中，在风机作用下废气经过</w:t>
            </w:r>
            <w:r>
              <w:rPr>
                <w:rFonts w:hint="eastAsia"/>
                <w:color w:val="auto"/>
                <w:lang w:val="en-US" w:eastAsia="zh-CN"/>
              </w:rPr>
              <w:t>过滤棉+活性炭</w:t>
            </w:r>
            <w:r>
              <w:rPr>
                <w:rFonts w:hint="default"/>
                <w:color w:val="auto"/>
                <w:lang w:val="en-US" w:eastAsia="zh-CN"/>
              </w:rPr>
              <w:t>吸附处理，项目喷漆室喷漆过程中维持负压状态，确保有机废气收集率达到90%。本项目喷漆室每天喷底漆约30min。</w:t>
            </w:r>
          </w:p>
          <w:p>
            <w:pPr>
              <w:spacing w:line="360" w:lineRule="auto"/>
              <w:ind w:firstLine="520" w:firstLineChars="217"/>
              <w:rPr>
                <w:rFonts w:hint="default"/>
                <w:color w:val="auto"/>
                <w:lang w:val="en-US" w:eastAsia="zh-CN"/>
              </w:rPr>
            </w:pPr>
            <w:r>
              <w:rPr>
                <w:rFonts w:hint="default"/>
                <w:color w:val="auto"/>
                <w:lang w:val="en-US" w:eastAsia="zh-CN"/>
              </w:rPr>
              <w:t>晾干：各部件经喷底漆后于喷漆室内各喷漆台原地进行自然表干，晾干时间约为25min，使工件表面底漆干燥、固化成膜。</w:t>
            </w:r>
          </w:p>
          <w:p>
            <w:pPr>
              <w:spacing w:line="360" w:lineRule="auto"/>
              <w:ind w:firstLine="520" w:firstLineChars="217"/>
              <w:rPr>
                <w:rFonts w:hint="default"/>
                <w:color w:val="auto"/>
                <w:lang w:val="en-US" w:eastAsia="zh-CN"/>
              </w:rPr>
            </w:pPr>
            <w:r>
              <w:rPr>
                <w:rFonts w:hint="default"/>
                <w:color w:val="auto"/>
                <w:lang w:val="en-US" w:eastAsia="zh-CN"/>
              </w:rPr>
              <w:t>喷面漆：人工使用喷枪在喷有底漆的工件表面均匀喷涂上一层水性面漆料，水性丙烯酸面漆在调漆时底漆：水=</w:t>
            </w:r>
            <w:r>
              <w:rPr>
                <w:rFonts w:hint="eastAsia"/>
                <w:color w:val="auto"/>
                <w:lang w:val="en-US" w:eastAsia="zh-CN"/>
              </w:rPr>
              <w:t>2</w:t>
            </w:r>
            <w:r>
              <w:rPr>
                <w:rFonts w:hint="default"/>
                <w:color w:val="auto"/>
                <w:lang w:val="en-US" w:eastAsia="zh-CN"/>
              </w:rPr>
              <w:t>：</w:t>
            </w:r>
            <w:r>
              <w:rPr>
                <w:rFonts w:hint="eastAsia"/>
                <w:color w:val="auto"/>
                <w:lang w:val="en-US" w:eastAsia="zh-CN"/>
              </w:rPr>
              <w:t>1</w:t>
            </w:r>
            <w:r>
              <w:rPr>
                <w:rFonts w:hint="default"/>
                <w:color w:val="auto"/>
                <w:lang w:val="en-US" w:eastAsia="zh-CN"/>
              </w:rPr>
              <w:t>，本项目喷漆室工作过程中，在风机作用下废气经过</w:t>
            </w:r>
            <w:r>
              <w:rPr>
                <w:rFonts w:hint="eastAsia"/>
                <w:color w:val="auto"/>
                <w:lang w:val="en-US" w:eastAsia="zh-CN"/>
              </w:rPr>
              <w:t>过滤棉+活性炭</w:t>
            </w:r>
            <w:r>
              <w:rPr>
                <w:rFonts w:hint="default"/>
                <w:color w:val="auto"/>
                <w:lang w:val="en-US" w:eastAsia="zh-CN"/>
              </w:rPr>
              <w:t>吸附处理，项目喷漆室喷漆过程中维持负压状态，确保有机废气收集率达到90%，本项目喷漆室</w:t>
            </w:r>
            <w:r>
              <w:rPr>
                <w:rFonts w:hint="eastAsia"/>
                <w:color w:val="auto"/>
                <w:lang w:val="en-US" w:eastAsia="zh-CN"/>
              </w:rPr>
              <w:t>每天喷面漆</w:t>
            </w:r>
            <w:r>
              <w:rPr>
                <w:rFonts w:hint="default"/>
                <w:color w:val="auto"/>
                <w:lang w:val="en-US" w:eastAsia="zh-CN"/>
              </w:rPr>
              <w:t>约30min。</w:t>
            </w:r>
          </w:p>
          <w:p>
            <w:pPr>
              <w:spacing w:line="360" w:lineRule="auto"/>
              <w:ind w:firstLine="520" w:firstLineChars="217"/>
              <w:rPr>
                <w:rFonts w:hint="eastAsia"/>
                <w:color w:val="auto"/>
                <w:lang w:val="en-US" w:eastAsia="zh-CN"/>
              </w:rPr>
            </w:pPr>
            <w:r>
              <w:rPr>
                <w:rFonts w:hint="default"/>
                <w:color w:val="auto"/>
                <w:lang w:val="en-US" w:eastAsia="zh-CN"/>
              </w:rPr>
              <w:t>晾干：各部件经喷面漆后于喷漆室内各喷漆台原地进行自然表干，晾干时间约为25min，使工件表面底漆干燥、固化成膜。</w:t>
            </w:r>
          </w:p>
          <w:p>
            <w:pPr>
              <w:spacing w:line="360" w:lineRule="auto"/>
              <w:ind w:firstLine="520" w:firstLineChars="217"/>
              <w:rPr>
                <w:rFonts w:hint="default"/>
                <w:color w:val="auto"/>
                <w:lang w:val="en-US" w:eastAsia="zh-CN"/>
              </w:rPr>
            </w:pPr>
            <w:r>
              <w:rPr>
                <w:rFonts w:hint="default"/>
                <w:color w:val="auto"/>
                <w:lang w:val="en-US" w:eastAsia="zh-CN"/>
              </w:rPr>
              <w:t>⑥检验入库</w:t>
            </w:r>
          </w:p>
          <w:p>
            <w:pPr>
              <w:spacing w:line="360" w:lineRule="auto"/>
              <w:ind w:firstLine="520" w:firstLineChars="217"/>
              <w:rPr>
                <w:rFonts w:hint="default"/>
                <w:color w:val="auto"/>
                <w:lang w:val="en-US" w:eastAsia="zh-CN"/>
              </w:rPr>
            </w:pPr>
            <w:r>
              <w:rPr>
                <w:rFonts w:hint="default"/>
                <w:color w:val="auto"/>
                <w:lang w:val="en-US" w:eastAsia="zh-CN"/>
              </w:rPr>
              <w:t>待构件表面自然晾干后，人工检验合格后包装入库。</w:t>
            </w:r>
          </w:p>
          <w:p>
            <w:pPr>
              <w:numPr>
                <w:ilvl w:val="0"/>
                <w:numId w:val="0"/>
              </w:numPr>
              <w:tabs>
                <w:tab w:val="left" w:pos="3255"/>
              </w:tabs>
              <w:spacing w:line="360" w:lineRule="auto"/>
              <w:rPr>
                <w:rFonts w:hint="eastAsia"/>
                <w:color w:val="auto"/>
                <w:lang w:eastAsia="zh-CN"/>
              </w:rPr>
            </w:pPr>
            <w:r>
              <w:rPr>
                <w:rFonts w:hint="eastAsia"/>
                <w:color w:val="auto"/>
                <w:lang w:eastAsia="zh-CN"/>
              </w:rPr>
              <w:t>二、污染工序</w:t>
            </w:r>
          </w:p>
          <w:p>
            <w:pPr>
              <w:adjustRightInd w:val="0"/>
              <w:snapToGrid w:val="0"/>
              <w:spacing w:line="360" w:lineRule="auto"/>
              <w:ind w:firstLine="480"/>
              <w:rPr>
                <w:color w:val="auto"/>
              </w:rPr>
            </w:pPr>
            <w:r>
              <w:rPr>
                <w:color w:val="auto"/>
              </w:rPr>
              <w:t>项目生产过程中产污环节及污染物排放情况见表 5-1。</w:t>
            </w:r>
          </w:p>
          <w:p>
            <w:pPr>
              <w:pStyle w:val="19"/>
              <w:bidi w:val="0"/>
              <w:rPr>
                <w:rFonts w:hint="eastAsia"/>
                <w:color w:val="auto"/>
              </w:rPr>
            </w:pPr>
            <w:r>
              <w:rPr>
                <w:color w:val="auto"/>
              </w:rPr>
              <w:t>表5-1   生产排污节点及污染物排放情况表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622"/>
              <w:gridCol w:w="1492"/>
              <w:gridCol w:w="1323"/>
              <w:gridCol w:w="927"/>
              <w:gridCol w:w="2182"/>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561" w:type="dxa"/>
                  <w:noWrap w:val="0"/>
                  <w:vAlign w:val="center"/>
                </w:tcPr>
                <w:p>
                  <w:pPr>
                    <w:pStyle w:val="18"/>
                    <w:bidi w:val="0"/>
                    <w:spacing w:line="240" w:lineRule="auto"/>
                    <w:rPr>
                      <w:color w:val="auto"/>
                      <w:lang w:val="fr-FR"/>
                    </w:rPr>
                  </w:pPr>
                  <w:r>
                    <w:rPr>
                      <w:color w:val="auto"/>
                      <w:lang w:val="fr-FR"/>
                    </w:rPr>
                    <w:t>时期</w:t>
                  </w:r>
                </w:p>
              </w:tc>
              <w:tc>
                <w:tcPr>
                  <w:tcW w:w="622" w:type="dxa"/>
                  <w:noWrap w:val="0"/>
                  <w:vAlign w:val="center"/>
                </w:tcPr>
                <w:p>
                  <w:pPr>
                    <w:pStyle w:val="18"/>
                    <w:bidi w:val="0"/>
                    <w:spacing w:line="240" w:lineRule="auto"/>
                    <w:rPr>
                      <w:color w:val="auto"/>
                      <w:lang w:val="fr-FR"/>
                    </w:rPr>
                  </w:pPr>
                  <w:r>
                    <w:rPr>
                      <w:color w:val="auto"/>
                      <w:lang w:val="fr-FR"/>
                    </w:rPr>
                    <w:t>类别</w:t>
                  </w:r>
                </w:p>
              </w:tc>
              <w:tc>
                <w:tcPr>
                  <w:tcW w:w="1492" w:type="dxa"/>
                  <w:noWrap w:val="0"/>
                  <w:vAlign w:val="center"/>
                </w:tcPr>
                <w:p>
                  <w:pPr>
                    <w:pStyle w:val="18"/>
                    <w:bidi w:val="0"/>
                    <w:spacing w:line="240" w:lineRule="auto"/>
                    <w:rPr>
                      <w:color w:val="auto"/>
                      <w:lang w:val="fr-FR"/>
                    </w:rPr>
                  </w:pPr>
                  <w:r>
                    <w:rPr>
                      <w:color w:val="auto"/>
                      <w:lang w:val="fr-FR"/>
                    </w:rPr>
                    <w:t>产生环节</w:t>
                  </w:r>
                </w:p>
              </w:tc>
              <w:tc>
                <w:tcPr>
                  <w:tcW w:w="1323" w:type="dxa"/>
                  <w:noWrap w:val="0"/>
                  <w:vAlign w:val="center"/>
                </w:tcPr>
                <w:p>
                  <w:pPr>
                    <w:pStyle w:val="18"/>
                    <w:bidi w:val="0"/>
                    <w:spacing w:line="240" w:lineRule="auto"/>
                    <w:rPr>
                      <w:color w:val="auto"/>
                      <w:lang w:val="fr-FR"/>
                    </w:rPr>
                  </w:pPr>
                  <w:r>
                    <w:rPr>
                      <w:color w:val="auto"/>
                      <w:lang w:val="fr-FR"/>
                    </w:rPr>
                    <w:t>主要污染物</w:t>
                  </w:r>
                </w:p>
              </w:tc>
              <w:tc>
                <w:tcPr>
                  <w:tcW w:w="927" w:type="dxa"/>
                  <w:noWrap w:val="0"/>
                  <w:vAlign w:val="center"/>
                </w:tcPr>
                <w:p>
                  <w:pPr>
                    <w:pStyle w:val="18"/>
                    <w:bidi w:val="0"/>
                    <w:spacing w:line="240" w:lineRule="auto"/>
                    <w:rPr>
                      <w:color w:val="auto"/>
                      <w:lang w:val="fr-FR"/>
                    </w:rPr>
                  </w:pPr>
                  <w:r>
                    <w:rPr>
                      <w:color w:val="auto"/>
                      <w:lang w:val="fr-FR"/>
                    </w:rPr>
                    <w:t>产生特征</w:t>
                  </w:r>
                </w:p>
              </w:tc>
              <w:tc>
                <w:tcPr>
                  <w:tcW w:w="2182" w:type="dxa"/>
                  <w:noWrap w:val="0"/>
                  <w:vAlign w:val="center"/>
                </w:tcPr>
                <w:p>
                  <w:pPr>
                    <w:pStyle w:val="18"/>
                    <w:bidi w:val="0"/>
                    <w:spacing w:line="240" w:lineRule="auto"/>
                    <w:rPr>
                      <w:color w:val="auto"/>
                      <w:lang w:val="fr-FR"/>
                    </w:rPr>
                  </w:pPr>
                  <w:r>
                    <w:rPr>
                      <w:color w:val="auto"/>
                      <w:lang w:val="fr-FR"/>
                    </w:rPr>
                    <w:t>排放去向</w:t>
                  </w:r>
                </w:p>
              </w:tc>
              <w:tc>
                <w:tcPr>
                  <w:tcW w:w="1189" w:type="dxa"/>
                  <w:noWrap w:val="0"/>
                  <w:vAlign w:val="center"/>
                </w:tcPr>
                <w:p>
                  <w:pPr>
                    <w:pStyle w:val="18"/>
                    <w:bidi w:val="0"/>
                    <w:spacing w:line="240" w:lineRule="auto"/>
                    <w:rPr>
                      <w:color w:val="auto"/>
                      <w:lang w:val="fr-FR"/>
                    </w:rPr>
                  </w:pPr>
                  <w:r>
                    <w:rPr>
                      <w:color w:val="auto"/>
                      <w:lang w:val="fr-F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561" w:type="dxa"/>
                  <w:vMerge w:val="restart"/>
                  <w:noWrap w:val="0"/>
                  <w:vAlign w:val="center"/>
                </w:tcPr>
                <w:p>
                  <w:pPr>
                    <w:pStyle w:val="18"/>
                    <w:bidi w:val="0"/>
                    <w:spacing w:line="240" w:lineRule="auto"/>
                    <w:rPr>
                      <w:color w:val="auto"/>
                      <w:lang w:val="fr-FR"/>
                    </w:rPr>
                  </w:pPr>
                  <w:r>
                    <w:rPr>
                      <w:color w:val="auto"/>
                      <w:lang w:val="fr-FR"/>
                    </w:rPr>
                    <w:t>施工期</w:t>
                  </w:r>
                </w:p>
              </w:tc>
              <w:tc>
                <w:tcPr>
                  <w:tcW w:w="622" w:type="dxa"/>
                  <w:noWrap w:val="0"/>
                  <w:vAlign w:val="center"/>
                </w:tcPr>
                <w:p>
                  <w:pPr>
                    <w:pStyle w:val="18"/>
                    <w:bidi w:val="0"/>
                    <w:spacing w:line="240" w:lineRule="auto"/>
                    <w:rPr>
                      <w:color w:val="auto"/>
                      <w:lang w:val="fr-FR"/>
                    </w:rPr>
                  </w:pPr>
                  <w:r>
                    <w:rPr>
                      <w:color w:val="auto"/>
                      <w:lang w:val="fr-FR"/>
                    </w:rPr>
                    <w:t>废气</w:t>
                  </w:r>
                </w:p>
              </w:tc>
              <w:tc>
                <w:tcPr>
                  <w:tcW w:w="1492" w:type="dxa"/>
                  <w:noWrap w:val="0"/>
                  <w:vAlign w:val="center"/>
                </w:tcPr>
                <w:p>
                  <w:pPr>
                    <w:pStyle w:val="18"/>
                    <w:bidi w:val="0"/>
                    <w:spacing w:line="240" w:lineRule="auto"/>
                    <w:rPr>
                      <w:color w:val="auto"/>
                      <w:lang w:val="fr-FR"/>
                    </w:rPr>
                  </w:pPr>
                  <w:r>
                    <w:rPr>
                      <w:color w:val="auto"/>
                      <w:lang w:val="fr-FR"/>
                    </w:rPr>
                    <w:t>设备安装</w:t>
                  </w:r>
                </w:p>
              </w:tc>
              <w:tc>
                <w:tcPr>
                  <w:tcW w:w="1323" w:type="dxa"/>
                  <w:noWrap w:val="0"/>
                  <w:vAlign w:val="center"/>
                </w:tcPr>
                <w:p>
                  <w:pPr>
                    <w:pStyle w:val="18"/>
                    <w:bidi w:val="0"/>
                    <w:spacing w:line="240" w:lineRule="auto"/>
                    <w:rPr>
                      <w:color w:val="auto"/>
                      <w:lang w:val="fr-FR"/>
                    </w:rPr>
                  </w:pPr>
                  <w:r>
                    <w:rPr>
                      <w:rFonts w:hint="eastAsia"/>
                      <w:color w:val="auto"/>
                      <w:lang w:val="fr-FR" w:eastAsia="zh-CN"/>
                    </w:rPr>
                    <w:t>粉</w:t>
                  </w:r>
                  <w:r>
                    <w:rPr>
                      <w:color w:val="auto"/>
                      <w:lang w:val="fr-FR"/>
                    </w:rPr>
                    <w:t>尘</w:t>
                  </w:r>
                </w:p>
              </w:tc>
              <w:tc>
                <w:tcPr>
                  <w:tcW w:w="927" w:type="dxa"/>
                  <w:noWrap w:val="0"/>
                  <w:vAlign w:val="center"/>
                </w:tcPr>
                <w:p>
                  <w:pPr>
                    <w:pStyle w:val="18"/>
                    <w:bidi w:val="0"/>
                    <w:spacing w:line="240" w:lineRule="auto"/>
                    <w:rPr>
                      <w:color w:val="auto"/>
                      <w:lang w:val="fr-FR"/>
                    </w:rPr>
                  </w:pPr>
                  <w:r>
                    <w:rPr>
                      <w:color w:val="auto"/>
                      <w:lang w:val="fr-FR"/>
                    </w:rPr>
                    <w:t>间断</w:t>
                  </w:r>
                </w:p>
              </w:tc>
              <w:tc>
                <w:tcPr>
                  <w:tcW w:w="2182" w:type="dxa"/>
                  <w:noWrap w:val="0"/>
                  <w:vAlign w:val="center"/>
                </w:tcPr>
                <w:p>
                  <w:pPr>
                    <w:pStyle w:val="18"/>
                    <w:bidi w:val="0"/>
                    <w:spacing w:line="240" w:lineRule="auto"/>
                    <w:rPr>
                      <w:color w:val="auto"/>
                      <w:lang w:val="fr-FR"/>
                    </w:rPr>
                  </w:pPr>
                  <w:r>
                    <w:rPr>
                      <w:color w:val="auto"/>
                      <w:lang w:val="fr-FR"/>
                    </w:rPr>
                    <w:t>大气环境</w:t>
                  </w:r>
                </w:p>
              </w:tc>
              <w:tc>
                <w:tcPr>
                  <w:tcW w:w="1189" w:type="dxa"/>
                  <w:noWrap w:val="0"/>
                  <w:vAlign w:val="center"/>
                </w:tcPr>
                <w:p>
                  <w:pPr>
                    <w:pStyle w:val="18"/>
                    <w:bidi w:val="0"/>
                    <w:spacing w:line="240" w:lineRule="auto"/>
                    <w:rPr>
                      <w:color w:val="auto"/>
                      <w:lang w:val="fr-FR"/>
                    </w:rPr>
                  </w:pPr>
                  <w:r>
                    <w:rPr>
                      <w:color w:val="auto"/>
                      <w:lang w:val="fr-FR"/>
                    </w:rPr>
                    <w:t>厂界达标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18"/>
                    <w:bidi w:val="0"/>
                    <w:spacing w:line="240" w:lineRule="auto"/>
                    <w:rPr>
                      <w:color w:val="auto"/>
                      <w:lang w:val="fr-FR"/>
                    </w:rPr>
                  </w:pPr>
                </w:p>
              </w:tc>
              <w:tc>
                <w:tcPr>
                  <w:tcW w:w="622" w:type="dxa"/>
                  <w:noWrap w:val="0"/>
                  <w:vAlign w:val="center"/>
                </w:tcPr>
                <w:p>
                  <w:pPr>
                    <w:pStyle w:val="18"/>
                    <w:bidi w:val="0"/>
                    <w:spacing w:line="240" w:lineRule="auto"/>
                    <w:rPr>
                      <w:color w:val="auto"/>
                      <w:lang w:val="fr-FR"/>
                    </w:rPr>
                  </w:pPr>
                  <w:r>
                    <w:rPr>
                      <w:color w:val="auto"/>
                      <w:lang w:val="fr-FR"/>
                    </w:rPr>
                    <w:t>噪声</w:t>
                  </w:r>
                </w:p>
              </w:tc>
              <w:tc>
                <w:tcPr>
                  <w:tcW w:w="1492" w:type="dxa"/>
                  <w:noWrap w:val="0"/>
                  <w:vAlign w:val="center"/>
                </w:tcPr>
                <w:p>
                  <w:pPr>
                    <w:pStyle w:val="18"/>
                    <w:bidi w:val="0"/>
                    <w:spacing w:line="240" w:lineRule="auto"/>
                    <w:rPr>
                      <w:color w:val="auto"/>
                      <w:lang w:val="fr-FR"/>
                    </w:rPr>
                  </w:pPr>
                  <w:r>
                    <w:rPr>
                      <w:color w:val="auto"/>
                      <w:lang w:val="fr-FR"/>
                    </w:rPr>
                    <w:t>设备安装</w:t>
                  </w:r>
                </w:p>
              </w:tc>
              <w:tc>
                <w:tcPr>
                  <w:tcW w:w="1323" w:type="dxa"/>
                  <w:noWrap w:val="0"/>
                  <w:vAlign w:val="center"/>
                </w:tcPr>
                <w:p>
                  <w:pPr>
                    <w:pStyle w:val="18"/>
                    <w:bidi w:val="0"/>
                    <w:spacing w:line="240" w:lineRule="auto"/>
                    <w:rPr>
                      <w:color w:val="auto"/>
                      <w:lang w:val="fr-FR"/>
                    </w:rPr>
                  </w:pPr>
                  <w:r>
                    <w:rPr>
                      <w:color w:val="auto"/>
                      <w:lang w:val="fr-FR"/>
                    </w:rPr>
                    <w:t>安装噪声</w:t>
                  </w:r>
                </w:p>
              </w:tc>
              <w:tc>
                <w:tcPr>
                  <w:tcW w:w="927" w:type="dxa"/>
                  <w:noWrap w:val="0"/>
                  <w:vAlign w:val="center"/>
                </w:tcPr>
                <w:p>
                  <w:pPr>
                    <w:pStyle w:val="18"/>
                    <w:bidi w:val="0"/>
                    <w:spacing w:line="240" w:lineRule="auto"/>
                    <w:rPr>
                      <w:color w:val="auto"/>
                      <w:lang w:val="fr-FR"/>
                    </w:rPr>
                  </w:pPr>
                  <w:r>
                    <w:rPr>
                      <w:color w:val="auto"/>
                      <w:lang w:val="fr-FR"/>
                    </w:rPr>
                    <w:t>间断</w:t>
                  </w:r>
                </w:p>
              </w:tc>
              <w:tc>
                <w:tcPr>
                  <w:tcW w:w="2182" w:type="dxa"/>
                  <w:noWrap w:val="0"/>
                  <w:vAlign w:val="center"/>
                </w:tcPr>
                <w:p>
                  <w:pPr>
                    <w:pStyle w:val="18"/>
                    <w:bidi w:val="0"/>
                    <w:spacing w:line="240" w:lineRule="auto"/>
                    <w:rPr>
                      <w:color w:val="auto"/>
                      <w:lang w:val="fr-FR"/>
                    </w:rPr>
                  </w:pPr>
                  <w:r>
                    <w:rPr>
                      <w:color w:val="auto"/>
                      <w:lang w:val="fr-FR"/>
                    </w:rPr>
                    <w:t>声环境</w:t>
                  </w:r>
                </w:p>
              </w:tc>
              <w:tc>
                <w:tcPr>
                  <w:tcW w:w="1189" w:type="dxa"/>
                  <w:noWrap w:val="0"/>
                  <w:vAlign w:val="center"/>
                </w:tcPr>
                <w:p>
                  <w:pPr>
                    <w:pStyle w:val="18"/>
                    <w:bidi w:val="0"/>
                    <w:spacing w:line="240" w:lineRule="auto"/>
                    <w:rPr>
                      <w:color w:val="auto"/>
                      <w:lang w:val="fr-FR"/>
                    </w:rPr>
                  </w:pPr>
                  <w:r>
                    <w:rPr>
                      <w:color w:val="auto"/>
                      <w:lang w:val="fr-FR"/>
                    </w:rPr>
                    <w:t>厂界达标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restart"/>
                  <w:noWrap w:val="0"/>
                  <w:vAlign w:val="center"/>
                </w:tcPr>
                <w:p>
                  <w:pPr>
                    <w:pStyle w:val="18"/>
                    <w:bidi w:val="0"/>
                    <w:spacing w:line="240" w:lineRule="auto"/>
                    <w:rPr>
                      <w:color w:val="auto"/>
                      <w:lang w:val="fr-FR"/>
                    </w:rPr>
                  </w:pPr>
                  <w:r>
                    <w:rPr>
                      <w:color w:val="auto"/>
                      <w:lang w:val="fr-FR"/>
                    </w:rPr>
                    <w:t>运营期</w:t>
                  </w:r>
                </w:p>
              </w:tc>
              <w:tc>
                <w:tcPr>
                  <w:tcW w:w="622" w:type="dxa"/>
                  <w:vMerge w:val="restart"/>
                  <w:noWrap w:val="0"/>
                  <w:vAlign w:val="center"/>
                </w:tcPr>
                <w:p>
                  <w:pPr>
                    <w:pStyle w:val="18"/>
                    <w:bidi w:val="0"/>
                    <w:spacing w:line="240" w:lineRule="auto"/>
                    <w:rPr>
                      <w:color w:val="auto"/>
                    </w:rPr>
                  </w:pPr>
                  <w:r>
                    <w:rPr>
                      <w:color w:val="auto"/>
                    </w:rPr>
                    <w:t>废气</w:t>
                  </w:r>
                </w:p>
              </w:tc>
              <w:tc>
                <w:tcPr>
                  <w:tcW w:w="1492" w:type="dxa"/>
                  <w:noWrap w:val="0"/>
                  <w:vAlign w:val="center"/>
                </w:tcPr>
                <w:p>
                  <w:pPr>
                    <w:pStyle w:val="18"/>
                    <w:bidi w:val="0"/>
                    <w:spacing w:line="240" w:lineRule="auto"/>
                    <w:rPr>
                      <w:rFonts w:hint="eastAsia"/>
                      <w:color w:val="auto"/>
                      <w:lang w:val="fr-FR" w:eastAsia="zh-CN"/>
                    </w:rPr>
                  </w:pPr>
                  <w:r>
                    <w:rPr>
                      <w:rFonts w:hint="eastAsia"/>
                      <w:color w:val="auto"/>
                      <w:lang w:val="fr-FR" w:eastAsia="zh-CN"/>
                    </w:rPr>
                    <w:t>喷漆车间</w:t>
                  </w:r>
                </w:p>
              </w:tc>
              <w:tc>
                <w:tcPr>
                  <w:tcW w:w="1323" w:type="dxa"/>
                  <w:noWrap w:val="0"/>
                  <w:vAlign w:val="center"/>
                </w:tcPr>
                <w:p>
                  <w:pPr>
                    <w:pStyle w:val="18"/>
                    <w:bidi w:val="0"/>
                    <w:spacing w:line="240" w:lineRule="auto"/>
                    <w:rPr>
                      <w:rFonts w:hint="default"/>
                      <w:color w:val="auto"/>
                      <w:lang w:val="en-US" w:eastAsia="zh-CN"/>
                    </w:rPr>
                  </w:pPr>
                  <w:r>
                    <w:rPr>
                      <w:rFonts w:hint="eastAsia"/>
                      <w:color w:val="auto"/>
                      <w:lang w:val="en-US" w:eastAsia="zh-CN"/>
                    </w:rPr>
                    <w:t>VOCs、漆雾</w:t>
                  </w:r>
                </w:p>
              </w:tc>
              <w:tc>
                <w:tcPr>
                  <w:tcW w:w="927" w:type="dxa"/>
                  <w:noWrap w:val="0"/>
                  <w:vAlign w:val="center"/>
                </w:tcPr>
                <w:p>
                  <w:pPr>
                    <w:pStyle w:val="18"/>
                    <w:bidi w:val="0"/>
                    <w:spacing w:line="240" w:lineRule="auto"/>
                    <w:rPr>
                      <w:color w:val="auto"/>
                      <w:lang w:val="fr-FR"/>
                    </w:rPr>
                  </w:pPr>
                  <w:r>
                    <w:rPr>
                      <w:color w:val="auto"/>
                      <w:lang w:val="fr-FR"/>
                    </w:rPr>
                    <w:t>间断</w:t>
                  </w:r>
                </w:p>
              </w:tc>
              <w:tc>
                <w:tcPr>
                  <w:tcW w:w="2182" w:type="dxa"/>
                  <w:noWrap w:val="0"/>
                  <w:vAlign w:val="center"/>
                </w:tcPr>
                <w:p>
                  <w:pPr>
                    <w:pStyle w:val="18"/>
                    <w:bidi w:val="0"/>
                    <w:spacing w:line="240" w:lineRule="auto"/>
                    <w:rPr>
                      <w:rFonts w:hint="default"/>
                      <w:color w:val="auto"/>
                      <w:lang w:val="en-US" w:eastAsia="zh-CN"/>
                    </w:rPr>
                  </w:pPr>
                  <w:r>
                    <w:rPr>
                      <w:rFonts w:hint="eastAsia"/>
                      <w:color w:val="auto"/>
                      <w:lang w:val="fr-FR" w:eastAsia="zh-CN"/>
                    </w:rPr>
                    <w:t>过滤棉+活性炭吸附处理后从</w:t>
                  </w:r>
                  <w:r>
                    <w:rPr>
                      <w:rFonts w:hint="eastAsia"/>
                      <w:color w:val="auto"/>
                      <w:lang w:val="en-US" w:eastAsia="zh-CN"/>
                    </w:rPr>
                    <w:t>15米高排气排放</w:t>
                  </w:r>
                </w:p>
              </w:tc>
              <w:tc>
                <w:tcPr>
                  <w:tcW w:w="1189" w:type="dxa"/>
                  <w:noWrap w:val="0"/>
                  <w:vAlign w:val="center"/>
                </w:tcPr>
                <w:p>
                  <w:pPr>
                    <w:pStyle w:val="18"/>
                    <w:bidi w:val="0"/>
                    <w:spacing w:line="240" w:lineRule="auto"/>
                    <w:rPr>
                      <w:rFonts w:hint="eastAsia"/>
                      <w:color w:val="auto"/>
                      <w:lang w:val="fr-FR" w:eastAsia="zh-CN"/>
                    </w:rPr>
                  </w:pPr>
                  <w:r>
                    <w:rPr>
                      <w:rFonts w:hint="eastAsia"/>
                      <w:color w:val="auto"/>
                      <w:lang w:val="fr-FR" w:eastAsia="zh-CN"/>
                    </w:rPr>
                    <w:t>达标排放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18"/>
                    <w:bidi w:val="0"/>
                    <w:spacing w:line="240" w:lineRule="auto"/>
                    <w:rPr>
                      <w:color w:val="auto"/>
                      <w:lang w:val="fr-FR"/>
                    </w:rPr>
                  </w:pPr>
                </w:p>
              </w:tc>
              <w:tc>
                <w:tcPr>
                  <w:tcW w:w="622" w:type="dxa"/>
                  <w:vMerge w:val="continue"/>
                  <w:noWrap w:val="0"/>
                  <w:vAlign w:val="center"/>
                </w:tcPr>
                <w:p>
                  <w:pPr>
                    <w:pStyle w:val="18"/>
                    <w:bidi w:val="0"/>
                    <w:spacing w:line="240" w:lineRule="auto"/>
                    <w:rPr>
                      <w:color w:val="auto"/>
                      <w:lang w:val="fr-FR"/>
                    </w:rPr>
                  </w:pPr>
                </w:p>
              </w:tc>
              <w:tc>
                <w:tcPr>
                  <w:tcW w:w="1492" w:type="dxa"/>
                  <w:noWrap w:val="0"/>
                  <w:vAlign w:val="center"/>
                </w:tcPr>
                <w:p>
                  <w:pPr>
                    <w:pStyle w:val="18"/>
                    <w:bidi w:val="0"/>
                    <w:spacing w:line="240" w:lineRule="auto"/>
                    <w:rPr>
                      <w:rFonts w:hint="eastAsia"/>
                      <w:color w:val="auto"/>
                      <w:lang w:val="fr-FR" w:eastAsia="zh-CN"/>
                    </w:rPr>
                  </w:pPr>
                  <w:r>
                    <w:rPr>
                      <w:rFonts w:hint="eastAsia"/>
                      <w:color w:val="auto"/>
                      <w:lang w:val="fr-FR" w:eastAsia="zh-CN"/>
                    </w:rPr>
                    <w:t>切割、机加工、</w:t>
                  </w:r>
                </w:p>
                <w:p>
                  <w:pPr>
                    <w:pStyle w:val="18"/>
                    <w:bidi w:val="0"/>
                    <w:spacing w:line="240" w:lineRule="auto"/>
                    <w:rPr>
                      <w:rFonts w:hint="eastAsia"/>
                      <w:color w:val="auto"/>
                      <w:lang w:val="fr-FR" w:eastAsia="zh-CN"/>
                    </w:rPr>
                  </w:pPr>
                  <w:r>
                    <w:rPr>
                      <w:rFonts w:hint="eastAsia"/>
                      <w:color w:val="auto"/>
                      <w:lang w:val="fr-FR" w:eastAsia="zh-CN"/>
                    </w:rPr>
                    <w:t>焊接烟尘</w:t>
                  </w:r>
                </w:p>
              </w:tc>
              <w:tc>
                <w:tcPr>
                  <w:tcW w:w="1323" w:type="dxa"/>
                  <w:noWrap w:val="0"/>
                  <w:vAlign w:val="center"/>
                </w:tcPr>
                <w:p>
                  <w:pPr>
                    <w:pStyle w:val="18"/>
                    <w:bidi w:val="0"/>
                    <w:spacing w:line="240" w:lineRule="auto"/>
                    <w:rPr>
                      <w:rFonts w:hint="eastAsia"/>
                      <w:color w:val="auto"/>
                      <w:lang w:val="fr-FR" w:eastAsia="zh-CN"/>
                    </w:rPr>
                  </w:pPr>
                  <w:r>
                    <w:rPr>
                      <w:rFonts w:hint="eastAsia"/>
                      <w:color w:val="auto"/>
                      <w:lang w:val="fr-FR" w:eastAsia="zh-CN"/>
                    </w:rPr>
                    <w:t>烟尘</w:t>
                  </w:r>
                </w:p>
              </w:tc>
              <w:tc>
                <w:tcPr>
                  <w:tcW w:w="927" w:type="dxa"/>
                  <w:noWrap w:val="0"/>
                  <w:vAlign w:val="center"/>
                </w:tcPr>
                <w:p>
                  <w:pPr>
                    <w:pStyle w:val="18"/>
                    <w:bidi w:val="0"/>
                    <w:spacing w:line="240" w:lineRule="auto"/>
                    <w:rPr>
                      <w:color w:val="auto"/>
                      <w:lang w:val="fr-FR"/>
                    </w:rPr>
                  </w:pPr>
                  <w:r>
                    <w:rPr>
                      <w:color w:val="auto"/>
                      <w:lang w:val="fr-FR"/>
                    </w:rPr>
                    <w:t>间断</w:t>
                  </w:r>
                </w:p>
              </w:tc>
              <w:tc>
                <w:tcPr>
                  <w:tcW w:w="2182" w:type="dxa"/>
                  <w:noWrap w:val="0"/>
                  <w:vAlign w:val="center"/>
                </w:tcPr>
                <w:p>
                  <w:pPr>
                    <w:pStyle w:val="18"/>
                    <w:bidi w:val="0"/>
                    <w:spacing w:line="240" w:lineRule="auto"/>
                    <w:rPr>
                      <w:rFonts w:hint="default"/>
                      <w:color w:val="auto"/>
                      <w:lang w:val="en-US" w:eastAsia="zh-CN"/>
                    </w:rPr>
                  </w:pPr>
                  <w:r>
                    <w:rPr>
                      <w:rFonts w:hint="eastAsia"/>
                      <w:color w:val="auto"/>
                      <w:lang w:val="fr-FR" w:eastAsia="zh-CN"/>
                    </w:rPr>
                    <w:t>车间设置一台移动式除尘器进行收集，剩余少量经过车间内自然沉降后从车间门窗以无组织形式排放</w:t>
                  </w:r>
                </w:p>
              </w:tc>
              <w:tc>
                <w:tcPr>
                  <w:tcW w:w="1189" w:type="dxa"/>
                  <w:noWrap w:val="0"/>
                  <w:vAlign w:val="center"/>
                </w:tcPr>
                <w:p>
                  <w:pPr>
                    <w:pStyle w:val="18"/>
                    <w:bidi w:val="0"/>
                    <w:spacing w:line="240" w:lineRule="auto"/>
                    <w:rPr>
                      <w:rFonts w:hint="eastAsia"/>
                      <w:color w:val="auto"/>
                      <w:lang w:val="fr-FR" w:eastAsia="zh-CN"/>
                    </w:rPr>
                  </w:pPr>
                  <w:r>
                    <w:rPr>
                      <w:color w:val="auto"/>
                      <w:lang w:val="fr-FR"/>
                    </w:rPr>
                    <w:t>达标</w:t>
                  </w:r>
                  <w:r>
                    <w:rPr>
                      <w:rFonts w:hint="eastAsia"/>
                      <w:color w:val="auto"/>
                      <w:lang w:val="fr-FR" w:eastAsia="zh-CN"/>
                    </w:rPr>
                    <w:t>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18"/>
                    <w:bidi w:val="0"/>
                    <w:spacing w:line="240" w:lineRule="auto"/>
                    <w:rPr>
                      <w:color w:val="auto"/>
                      <w:lang w:val="fr-FR"/>
                    </w:rPr>
                  </w:pPr>
                </w:p>
              </w:tc>
              <w:tc>
                <w:tcPr>
                  <w:tcW w:w="622" w:type="dxa"/>
                  <w:vMerge w:val="restart"/>
                  <w:noWrap w:val="0"/>
                  <w:vAlign w:val="center"/>
                </w:tcPr>
                <w:p>
                  <w:pPr>
                    <w:pStyle w:val="18"/>
                    <w:bidi w:val="0"/>
                    <w:spacing w:line="240" w:lineRule="auto"/>
                    <w:rPr>
                      <w:color w:val="auto"/>
                      <w:lang w:val="fr-FR"/>
                    </w:rPr>
                  </w:pPr>
                  <w:r>
                    <w:rPr>
                      <w:color w:val="auto"/>
                      <w:lang w:val="fr-FR"/>
                    </w:rPr>
                    <w:t>固体废弃物</w:t>
                  </w:r>
                </w:p>
              </w:tc>
              <w:tc>
                <w:tcPr>
                  <w:tcW w:w="1492" w:type="dxa"/>
                  <w:noWrap w:val="0"/>
                  <w:vAlign w:val="center"/>
                </w:tcPr>
                <w:p>
                  <w:pPr>
                    <w:pStyle w:val="18"/>
                    <w:bidi w:val="0"/>
                    <w:spacing w:line="240" w:lineRule="auto"/>
                    <w:rPr>
                      <w:rFonts w:hint="eastAsia"/>
                      <w:color w:val="auto"/>
                      <w:lang w:val="fr-FR" w:eastAsia="zh-CN"/>
                    </w:rPr>
                  </w:pPr>
                  <w:r>
                    <w:rPr>
                      <w:rFonts w:hint="eastAsia"/>
                      <w:color w:val="auto"/>
                      <w:lang w:val="fr-FR" w:eastAsia="zh-CN"/>
                    </w:rPr>
                    <w:t>切割边角料、焊渣</w:t>
                  </w:r>
                </w:p>
              </w:tc>
              <w:tc>
                <w:tcPr>
                  <w:tcW w:w="1323" w:type="dxa"/>
                  <w:noWrap w:val="0"/>
                  <w:vAlign w:val="center"/>
                </w:tcPr>
                <w:p>
                  <w:pPr>
                    <w:pStyle w:val="18"/>
                    <w:bidi w:val="0"/>
                    <w:spacing w:line="240" w:lineRule="auto"/>
                    <w:rPr>
                      <w:color w:val="auto"/>
                      <w:lang w:val="fr-FR"/>
                    </w:rPr>
                  </w:pPr>
                  <w:r>
                    <w:rPr>
                      <w:rFonts w:hint="eastAsia"/>
                      <w:color w:val="auto"/>
                      <w:lang w:val="fr-FR" w:eastAsia="zh-CN"/>
                    </w:rPr>
                    <w:t>钢材</w:t>
                  </w:r>
                  <w:r>
                    <w:rPr>
                      <w:color w:val="auto"/>
                      <w:lang w:val="fr-FR"/>
                    </w:rPr>
                    <w:t>边角废料</w:t>
                  </w:r>
                </w:p>
              </w:tc>
              <w:tc>
                <w:tcPr>
                  <w:tcW w:w="927" w:type="dxa"/>
                  <w:noWrap w:val="0"/>
                  <w:vAlign w:val="center"/>
                </w:tcPr>
                <w:p>
                  <w:pPr>
                    <w:pStyle w:val="18"/>
                    <w:bidi w:val="0"/>
                    <w:spacing w:line="240" w:lineRule="auto"/>
                    <w:rPr>
                      <w:color w:val="auto"/>
                      <w:lang w:val="fr-FR"/>
                    </w:rPr>
                  </w:pPr>
                  <w:r>
                    <w:rPr>
                      <w:color w:val="auto"/>
                      <w:lang w:val="fr-FR"/>
                    </w:rPr>
                    <w:t>间断</w:t>
                  </w:r>
                </w:p>
              </w:tc>
              <w:tc>
                <w:tcPr>
                  <w:tcW w:w="2182" w:type="dxa"/>
                  <w:noWrap w:val="0"/>
                  <w:vAlign w:val="center"/>
                </w:tcPr>
                <w:p>
                  <w:pPr>
                    <w:pStyle w:val="18"/>
                    <w:bidi w:val="0"/>
                    <w:spacing w:line="240" w:lineRule="auto"/>
                    <w:rPr>
                      <w:rFonts w:hint="eastAsia"/>
                      <w:color w:val="auto"/>
                      <w:lang w:val="fr-FR" w:eastAsia="zh-CN"/>
                    </w:rPr>
                  </w:pPr>
                  <w:r>
                    <w:rPr>
                      <w:color w:val="auto"/>
                      <w:lang w:val="fr-FR"/>
                    </w:rPr>
                    <w:t>固废暂存点暂存，</w:t>
                  </w:r>
                  <w:r>
                    <w:rPr>
                      <w:rFonts w:hint="eastAsia"/>
                      <w:color w:val="auto"/>
                      <w:lang w:val="fr-FR" w:eastAsia="zh-CN"/>
                    </w:rPr>
                    <w:t>收集后外售</w:t>
                  </w:r>
                </w:p>
              </w:tc>
              <w:tc>
                <w:tcPr>
                  <w:tcW w:w="1189" w:type="dxa"/>
                  <w:noWrap w:val="0"/>
                  <w:vAlign w:val="center"/>
                </w:tcPr>
                <w:p>
                  <w:pPr>
                    <w:pStyle w:val="18"/>
                    <w:bidi w:val="0"/>
                    <w:spacing w:line="240" w:lineRule="auto"/>
                    <w:rPr>
                      <w:color w:val="auto"/>
                      <w:lang w:val="fr-FR"/>
                    </w:rPr>
                  </w:pPr>
                  <w:r>
                    <w:rPr>
                      <w:color w:val="auto"/>
                      <w:lang w:val="fr-FR"/>
                    </w:rPr>
                    <w:t>一般固废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18"/>
                    <w:bidi w:val="0"/>
                    <w:spacing w:line="240" w:lineRule="auto"/>
                    <w:rPr>
                      <w:color w:val="auto"/>
                      <w:lang w:val="fr-FR"/>
                    </w:rPr>
                  </w:pPr>
                </w:p>
              </w:tc>
              <w:tc>
                <w:tcPr>
                  <w:tcW w:w="622" w:type="dxa"/>
                  <w:vMerge w:val="continue"/>
                  <w:noWrap w:val="0"/>
                  <w:vAlign w:val="center"/>
                </w:tcPr>
                <w:p>
                  <w:pPr>
                    <w:pStyle w:val="18"/>
                    <w:bidi w:val="0"/>
                    <w:spacing w:line="240" w:lineRule="auto"/>
                    <w:rPr>
                      <w:color w:val="auto"/>
                      <w:lang w:val="fr-FR"/>
                    </w:rPr>
                  </w:pPr>
                </w:p>
              </w:tc>
              <w:tc>
                <w:tcPr>
                  <w:tcW w:w="1492" w:type="dxa"/>
                  <w:noWrap w:val="0"/>
                  <w:vAlign w:val="center"/>
                </w:tcPr>
                <w:p>
                  <w:pPr>
                    <w:pStyle w:val="18"/>
                    <w:bidi w:val="0"/>
                    <w:spacing w:line="240" w:lineRule="auto"/>
                    <w:rPr>
                      <w:rFonts w:hint="eastAsia"/>
                      <w:color w:val="auto"/>
                      <w:lang w:val="fr-FR" w:eastAsia="zh-CN"/>
                    </w:rPr>
                  </w:pPr>
                  <w:r>
                    <w:rPr>
                      <w:rFonts w:hint="eastAsia"/>
                      <w:color w:val="auto"/>
                      <w:lang w:val="fr-FR" w:eastAsia="zh-CN"/>
                    </w:rPr>
                    <w:t>废弃包装材料</w:t>
                  </w:r>
                </w:p>
              </w:tc>
              <w:tc>
                <w:tcPr>
                  <w:tcW w:w="1323" w:type="dxa"/>
                  <w:noWrap w:val="0"/>
                  <w:vAlign w:val="center"/>
                </w:tcPr>
                <w:p>
                  <w:pPr>
                    <w:pStyle w:val="18"/>
                    <w:bidi w:val="0"/>
                    <w:spacing w:line="240" w:lineRule="auto"/>
                    <w:rPr>
                      <w:rFonts w:hint="eastAsia"/>
                      <w:color w:val="auto"/>
                      <w:lang w:val="fr-FR" w:eastAsia="zh-CN"/>
                    </w:rPr>
                  </w:pPr>
                  <w:r>
                    <w:rPr>
                      <w:rFonts w:hint="eastAsia"/>
                      <w:color w:val="auto"/>
                      <w:lang w:val="fr-FR" w:eastAsia="zh-CN"/>
                    </w:rPr>
                    <w:t>废弃包装材料</w:t>
                  </w:r>
                </w:p>
              </w:tc>
              <w:tc>
                <w:tcPr>
                  <w:tcW w:w="927" w:type="dxa"/>
                  <w:noWrap w:val="0"/>
                  <w:vAlign w:val="center"/>
                </w:tcPr>
                <w:p>
                  <w:pPr>
                    <w:pStyle w:val="18"/>
                    <w:bidi w:val="0"/>
                    <w:spacing w:line="240" w:lineRule="auto"/>
                    <w:rPr>
                      <w:color w:val="auto"/>
                      <w:lang w:val="fr-FR"/>
                    </w:rPr>
                  </w:pPr>
                  <w:r>
                    <w:rPr>
                      <w:color w:val="auto"/>
                      <w:lang w:val="fr-FR"/>
                    </w:rPr>
                    <w:t>间断</w:t>
                  </w:r>
                </w:p>
              </w:tc>
              <w:tc>
                <w:tcPr>
                  <w:tcW w:w="2182" w:type="dxa"/>
                  <w:noWrap w:val="0"/>
                  <w:vAlign w:val="center"/>
                </w:tcPr>
                <w:p>
                  <w:pPr>
                    <w:pStyle w:val="18"/>
                    <w:bidi w:val="0"/>
                    <w:spacing w:line="240" w:lineRule="auto"/>
                    <w:rPr>
                      <w:rFonts w:hint="eastAsia"/>
                      <w:color w:val="auto"/>
                      <w:lang w:val="fr-FR" w:eastAsia="zh-CN"/>
                    </w:rPr>
                  </w:pPr>
                  <w:r>
                    <w:rPr>
                      <w:color w:val="auto"/>
                      <w:lang w:val="fr-FR"/>
                    </w:rPr>
                    <w:t>固废暂存点暂存，收集后外</w:t>
                  </w:r>
                  <w:r>
                    <w:rPr>
                      <w:rFonts w:hint="eastAsia"/>
                      <w:color w:val="auto"/>
                      <w:lang w:val="fr-FR" w:eastAsia="zh-CN"/>
                    </w:rPr>
                    <w:t>售</w:t>
                  </w:r>
                </w:p>
              </w:tc>
              <w:tc>
                <w:tcPr>
                  <w:tcW w:w="1189" w:type="dxa"/>
                  <w:noWrap w:val="0"/>
                  <w:vAlign w:val="center"/>
                </w:tcPr>
                <w:p>
                  <w:pPr>
                    <w:pStyle w:val="18"/>
                    <w:bidi w:val="0"/>
                    <w:spacing w:line="240" w:lineRule="auto"/>
                    <w:rPr>
                      <w:color w:val="auto"/>
                      <w:lang w:val="fr-FR"/>
                    </w:rPr>
                  </w:pPr>
                  <w:r>
                    <w:rPr>
                      <w:color w:val="auto"/>
                      <w:lang w:val="fr-FR"/>
                    </w:rPr>
                    <w:t>一般固废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18"/>
                    <w:bidi w:val="0"/>
                    <w:spacing w:line="240" w:lineRule="auto"/>
                    <w:rPr>
                      <w:color w:val="auto"/>
                      <w:lang w:val="fr-FR"/>
                    </w:rPr>
                  </w:pPr>
                </w:p>
              </w:tc>
              <w:tc>
                <w:tcPr>
                  <w:tcW w:w="622" w:type="dxa"/>
                  <w:vMerge w:val="continue"/>
                  <w:noWrap w:val="0"/>
                  <w:vAlign w:val="center"/>
                </w:tcPr>
                <w:p>
                  <w:pPr>
                    <w:pStyle w:val="18"/>
                    <w:bidi w:val="0"/>
                    <w:spacing w:line="240" w:lineRule="auto"/>
                    <w:rPr>
                      <w:color w:val="auto"/>
                      <w:lang w:val="fr-FR"/>
                    </w:rPr>
                  </w:pPr>
                </w:p>
              </w:tc>
              <w:tc>
                <w:tcPr>
                  <w:tcW w:w="1492" w:type="dxa"/>
                  <w:noWrap w:val="0"/>
                  <w:vAlign w:val="center"/>
                </w:tcPr>
                <w:p>
                  <w:pPr>
                    <w:pStyle w:val="18"/>
                    <w:bidi w:val="0"/>
                    <w:spacing w:line="240" w:lineRule="auto"/>
                    <w:rPr>
                      <w:rFonts w:hint="eastAsia"/>
                      <w:color w:val="auto"/>
                      <w:lang w:val="fr-FR" w:eastAsia="zh-CN"/>
                    </w:rPr>
                  </w:pPr>
                  <w:r>
                    <w:rPr>
                      <w:rFonts w:hint="eastAsia"/>
                      <w:color w:val="auto"/>
                      <w:lang w:val="fr-FR" w:eastAsia="zh-CN"/>
                    </w:rPr>
                    <w:t>过滤棉+活性炭吸附装置</w:t>
                  </w:r>
                </w:p>
              </w:tc>
              <w:tc>
                <w:tcPr>
                  <w:tcW w:w="1323" w:type="dxa"/>
                  <w:noWrap w:val="0"/>
                  <w:vAlign w:val="center"/>
                </w:tcPr>
                <w:p>
                  <w:pPr>
                    <w:pStyle w:val="18"/>
                    <w:bidi w:val="0"/>
                    <w:spacing w:line="240" w:lineRule="auto"/>
                    <w:rPr>
                      <w:rFonts w:hint="eastAsia"/>
                      <w:color w:val="auto"/>
                      <w:lang w:val="fr-FR" w:eastAsia="zh-CN"/>
                    </w:rPr>
                  </w:pPr>
                  <w:r>
                    <w:rPr>
                      <w:rFonts w:hint="eastAsia"/>
                      <w:color w:val="auto"/>
                      <w:lang w:val="fr-FR" w:eastAsia="zh-CN"/>
                    </w:rPr>
                    <w:t>废过滤棉、废活性炭</w:t>
                  </w:r>
                </w:p>
              </w:tc>
              <w:tc>
                <w:tcPr>
                  <w:tcW w:w="927" w:type="dxa"/>
                  <w:noWrap w:val="0"/>
                  <w:vAlign w:val="center"/>
                </w:tcPr>
                <w:p>
                  <w:pPr>
                    <w:pStyle w:val="18"/>
                    <w:bidi w:val="0"/>
                    <w:spacing w:line="240" w:lineRule="auto"/>
                    <w:rPr>
                      <w:color w:val="auto"/>
                      <w:lang w:val="fr-FR"/>
                    </w:rPr>
                  </w:pPr>
                  <w:r>
                    <w:rPr>
                      <w:color w:val="auto"/>
                      <w:lang w:val="fr-FR"/>
                    </w:rPr>
                    <w:t>间断</w:t>
                  </w:r>
                </w:p>
              </w:tc>
              <w:tc>
                <w:tcPr>
                  <w:tcW w:w="2182" w:type="dxa"/>
                  <w:noWrap w:val="0"/>
                  <w:vAlign w:val="center"/>
                </w:tcPr>
                <w:p>
                  <w:pPr>
                    <w:pStyle w:val="18"/>
                    <w:bidi w:val="0"/>
                    <w:spacing w:line="240" w:lineRule="auto"/>
                    <w:rPr>
                      <w:rFonts w:hint="eastAsia"/>
                      <w:color w:val="auto"/>
                      <w:lang w:val="fr-FR" w:eastAsia="zh-CN"/>
                    </w:rPr>
                  </w:pPr>
                  <w:r>
                    <w:rPr>
                      <w:rFonts w:hint="eastAsia"/>
                      <w:color w:val="auto"/>
                      <w:lang w:val="fr-FR" w:eastAsia="zh-CN"/>
                    </w:rPr>
                    <w:t>暂存于危废暂存间，</w:t>
                  </w:r>
                  <w:r>
                    <w:rPr>
                      <w:rFonts w:hint="eastAsia"/>
                      <w:color w:val="auto"/>
                      <w:lang w:eastAsia="zh-CN"/>
                    </w:rPr>
                    <w:t>交由有资质的单位进行处理</w:t>
                  </w:r>
                </w:p>
              </w:tc>
              <w:tc>
                <w:tcPr>
                  <w:tcW w:w="1189" w:type="dxa"/>
                  <w:noWrap w:val="0"/>
                  <w:vAlign w:val="center"/>
                </w:tcPr>
                <w:p>
                  <w:pPr>
                    <w:pStyle w:val="18"/>
                    <w:bidi w:val="0"/>
                    <w:spacing w:line="240" w:lineRule="auto"/>
                    <w:rPr>
                      <w:color w:val="auto"/>
                      <w:lang w:val="fr-FR"/>
                    </w:rPr>
                  </w:pPr>
                  <w:r>
                    <w:rPr>
                      <w:rFonts w:hint="eastAsia"/>
                      <w:color w:val="auto"/>
                      <w:lang w:val="fr-FR" w:eastAsia="zh-CN"/>
                    </w:rPr>
                    <w:t>危险</w:t>
                  </w:r>
                  <w:r>
                    <w:rPr>
                      <w:color w:val="auto"/>
                      <w:lang w:val="fr-FR"/>
                    </w:rPr>
                    <w:t>固废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18"/>
                    <w:bidi w:val="0"/>
                    <w:spacing w:line="240" w:lineRule="auto"/>
                    <w:rPr>
                      <w:color w:val="auto"/>
                      <w:lang w:val="fr-FR"/>
                    </w:rPr>
                  </w:pPr>
                </w:p>
              </w:tc>
              <w:tc>
                <w:tcPr>
                  <w:tcW w:w="622" w:type="dxa"/>
                  <w:vMerge w:val="continue"/>
                  <w:noWrap w:val="0"/>
                  <w:vAlign w:val="center"/>
                </w:tcPr>
                <w:p>
                  <w:pPr>
                    <w:pStyle w:val="18"/>
                    <w:bidi w:val="0"/>
                    <w:spacing w:line="240" w:lineRule="auto"/>
                    <w:rPr>
                      <w:color w:val="auto"/>
                      <w:lang w:val="fr-FR"/>
                    </w:rPr>
                  </w:pPr>
                </w:p>
              </w:tc>
              <w:tc>
                <w:tcPr>
                  <w:tcW w:w="1492" w:type="dxa"/>
                  <w:noWrap w:val="0"/>
                  <w:vAlign w:val="center"/>
                </w:tcPr>
                <w:p>
                  <w:pPr>
                    <w:pStyle w:val="18"/>
                    <w:bidi w:val="0"/>
                    <w:spacing w:line="240" w:lineRule="auto"/>
                    <w:rPr>
                      <w:rFonts w:hint="eastAsia"/>
                      <w:color w:val="auto"/>
                      <w:lang w:val="fr-FR" w:eastAsia="zh-CN"/>
                    </w:rPr>
                  </w:pPr>
                  <w:r>
                    <w:rPr>
                      <w:rFonts w:hint="eastAsia"/>
                      <w:color w:val="auto"/>
                      <w:lang w:val="fr-FR" w:eastAsia="zh-CN"/>
                    </w:rPr>
                    <w:t>设备维护</w:t>
                  </w:r>
                </w:p>
              </w:tc>
              <w:tc>
                <w:tcPr>
                  <w:tcW w:w="1323" w:type="dxa"/>
                  <w:noWrap w:val="0"/>
                  <w:vAlign w:val="center"/>
                </w:tcPr>
                <w:p>
                  <w:pPr>
                    <w:pStyle w:val="18"/>
                    <w:bidi w:val="0"/>
                    <w:spacing w:line="240" w:lineRule="auto"/>
                    <w:rPr>
                      <w:rFonts w:hint="eastAsia"/>
                      <w:color w:val="auto"/>
                      <w:lang w:val="fr-FR" w:eastAsia="zh-CN"/>
                    </w:rPr>
                  </w:pPr>
                  <w:r>
                    <w:rPr>
                      <w:rFonts w:hint="eastAsia"/>
                      <w:color w:val="auto"/>
                      <w:lang w:val="fr-FR" w:eastAsia="zh-CN"/>
                    </w:rPr>
                    <w:t>废机油</w:t>
                  </w:r>
                </w:p>
              </w:tc>
              <w:tc>
                <w:tcPr>
                  <w:tcW w:w="927" w:type="dxa"/>
                  <w:noWrap w:val="0"/>
                  <w:vAlign w:val="center"/>
                </w:tcPr>
                <w:p>
                  <w:pPr>
                    <w:pStyle w:val="18"/>
                    <w:bidi w:val="0"/>
                    <w:spacing w:line="240" w:lineRule="auto"/>
                    <w:rPr>
                      <w:color w:val="auto"/>
                      <w:lang w:val="fr-FR"/>
                    </w:rPr>
                  </w:pPr>
                  <w:r>
                    <w:rPr>
                      <w:color w:val="auto"/>
                      <w:lang w:val="fr-FR"/>
                    </w:rPr>
                    <w:t>间断</w:t>
                  </w:r>
                </w:p>
              </w:tc>
              <w:tc>
                <w:tcPr>
                  <w:tcW w:w="2182" w:type="dxa"/>
                  <w:noWrap w:val="0"/>
                  <w:vAlign w:val="center"/>
                </w:tcPr>
                <w:p>
                  <w:pPr>
                    <w:pStyle w:val="18"/>
                    <w:bidi w:val="0"/>
                    <w:spacing w:line="240" w:lineRule="auto"/>
                    <w:rPr>
                      <w:color w:val="auto"/>
                      <w:lang w:val="fr-FR"/>
                    </w:rPr>
                  </w:pPr>
                  <w:r>
                    <w:rPr>
                      <w:color w:val="auto"/>
                      <w:lang w:val="fr-FR"/>
                    </w:rPr>
                    <w:t>危废暂存间暂存，定期交由有资质的单位进行处置</w:t>
                  </w:r>
                </w:p>
              </w:tc>
              <w:tc>
                <w:tcPr>
                  <w:tcW w:w="1189" w:type="dxa"/>
                  <w:noWrap w:val="0"/>
                  <w:vAlign w:val="center"/>
                </w:tcPr>
                <w:p>
                  <w:pPr>
                    <w:pStyle w:val="18"/>
                    <w:bidi w:val="0"/>
                    <w:spacing w:line="240" w:lineRule="auto"/>
                    <w:rPr>
                      <w:color w:val="auto"/>
                      <w:lang w:val="fr-FR"/>
                    </w:rPr>
                  </w:pPr>
                  <w:r>
                    <w:rPr>
                      <w:color w:val="auto"/>
                      <w:lang w:val="fr-FR"/>
                    </w:rPr>
                    <w:t>危险固废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18"/>
                    <w:bidi w:val="0"/>
                    <w:spacing w:line="240" w:lineRule="auto"/>
                    <w:rPr>
                      <w:color w:val="auto"/>
                      <w:lang w:val="fr-FR"/>
                    </w:rPr>
                  </w:pPr>
                </w:p>
              </w:tc>
              <w:tc>
                <w:tcPr>
                  <w:tcW w:w="622" w:type="dxa"/>
                  <w:vMerge w:val="continue"/>
                  <w:noWrap w:val="0"/>
                  <w:vAlign w:val="center"/>
                </w:tcPr>
                <w:p>
                  <w:pPr>
                    <w:pStyle w:val="18"/>
                    <w:bidi w:val="0"/>
                    <w:spacing w:line="240" w:lineRule="auto"/>
                    <w:rPr>
                      <w:color w:val="auto"/>
                      <w:lang w:val="fr-FR"/>
                    </w:rPr>
                  </w:pPr>
                </w:p>
              </w:tc>
              <w:tc>
                <w:tcPr>
                  <w:tcW w:w="1492" w:type="dxa"/>
                  <w:noWrap w:val="0"/>
                  <w:vAlign w:val="center"/>
                </w:tcPr>
                <w:p>
                  <w:pPr>
                    <w:pStyle w:val="18"/>
                    <w:bidi w:val="0"/>
                    <w:spacing w:line="240" w:lineRule="auto"/>
                    <w:rPr>
                      <w:rFonts w:hint="eastAsia"/>
                      <w:color w:val="auto"/>
                      <w:lang w:val="fr-FR" w:eastAsia="zh-CN"/>
                    </w:rPr>
                  </w:pPr>
                  <w:r>
                    <w:rPr>
                      <w:rFonts w:hint="eastAsia"/>
                      <w:color w:val="auto"/>
                      <w:lang w:val="fr-FR" w:eastAsia="zh-CN"/>
                    </w:rPr>
                    <w:t>喷漆车间</w:t>
                  </w:r>
                </w:p>
              </w:tc>
              <w:tc>
                <w:tcPr>
                  <w:tcW w:w="1323" w:type="dxa"/>
                  <w:noWrap w:val="0"/>
                  <w:vAlign w:val="center"/>
                </w:tcPr>
                <w:p>
                  <w:pPr>
                    <w:pStyle w:val="18"/>
                    <w:bidi w:val="0"/>
                    <w:spacing w:line="240" w:lineRule="auto"/>
                    <w:rPr>
                      <w:rFonts w:hint="eastAsia"/>
                      <w:color w:val="auto"/>
                      <w:lang w:val="fr-FR" w:eastAsia="zh-CN"/>
                    </w:rPr>
                  </w:pPr>
                  <w:r>
                    <w:rPr>
                      <w:rFonts w:hint="eastAsia"/>
                      <w:color w:val="auto"/>
                      <w:lang w:val="fr-FR" w:eastAsia="zh-CN"/>
                    </w:rPr>
                    <w:t>废原料桶</w:t>
                  </w:r>
                </w:p>
              </w:tc>
              <w:tc>
                <w:tcPr>
                  <w:tcW w:w="927" w:type="dxa"/>
                  <w:noWrap w:val="0"/>
                  <w:vAlign w:val="center"/>
                </w:tcPr>
                <w:p>
                  <w:pPr>
                    <w:pStyle w:val="18"/>
                    <w:bidi w:val="0"/>
                    <w:spacing w:line="240" w:lineRule="auto"/>
                    <w:rPr>
                      <w:color w:val="auto"/>
                      <w:lang w:val="fr-FR"/>
                    </w:rPr>
                  </w:pPr>
                  <w:r>
                    <w:rPr>
                      <w:color w:val="auto"/>
                      <w:lang w:val="fr-FR"/>
                    </w:rPr>
                    <w:t>间断</w:t>
                  </w:r>
                </w:p>
              </w:tc>
              <w:tc>
                <w:tcPr>
                  <w:tcW w:w="2182" w:type="dxa"/>
                  <w:noWrap w:val="0"/>
                  <w:vAlign w:val="center"/>
                </w:tcPr>
                <w:p>
                  <w:pPr>
                    <w:pStyle w:val="18"/>
                    <w:bidi w:val="0"/>
                    <w:spacing w:line="240" w:lineRule="auto"/>
                    <w:rPr>
                      <w:rFonts w:hint="eastAsia"/>
                      <w:color w:val="auto"/>
                      <w:lang w:val="fr-FR" w:eastAsia="zh-CN"/>
                    </w:rPr>
                  </w:pPr>
                  <w:r>
                    <w:rPr>
                      <w:rFonts w:hint="eastAsia"/>
                      <w:color w:val="auto"/>
                      <w:lang w:val="fr-FR" w:eastAsia="zh-CN"/>
                    </w:rPr>
                    <w:t>收集后暂存于危废暂存间，交由有资质的单位进行处理</w:t>
                  </w:r>
                </w:p>
              </w:tc>
              <w:tc>
                <w:tcPr>
                  <w:tcW w:w="1189" w:type="dxa"/>
                  <w:noWrap w:val="0"/>
                  <w:vAlign w:val="center"/>
                </w:tcPr>
                <w:p>
                  <w:pPr>
                    <w:pStyle w:val="18"/>
                    <w:bidi w:val="0"/>
                    <w:spacing w:line="240" w:lineRule="auto"/>
                    <w:rPr>
                      <w:color w:val="auto"/>
                      <w:lang w:val="fr-FR"/>
                    </w:rPr>
                  </w:pPr>
                  <w:r>
                    <w:rPr>
                      <w:rFonts w:hint="eastAsia"/>
                      <w:color w:val="auto"/>
                      <w:lang w:val="fr-FR" w:eastAsia="zh-CN"/>
                    </w:rPr>
                    <w:t>危险</w:t>
                  </w:r>
                  <w:r>
                    <w:rPr>
                      <w:color w:val="auto"/>
                      <w:lang w:val="fr-FR"/>
                    </w:rPr>
                    <w:t>固废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18"/>
                    <w:bidi w:val="0"/>
                    <w:spacing w:line="240" w:lineRule="auto"/>
                    <w:rPr>
                      <w:color w:val="auto"/>
                      <w:lang w:val="fr-FR"/>
                    </w:rPr>
                  </w:pPr>
                </w:p>
              </w:tc>
              <w:tc>
                <w:tcPr>
                  <w:tcW w:w="622" w:type="dxa"/>
                  <w:vMerge w:val="continue"/>
                  <w:noWrap w:val="0"/>
                  <w:vAlign w:val="center"/>
                </w:tcPr>
                <w:p>
                  <w:pPr>
                    <w:pStyle w:val="18"/>
                    <w:bidi w:val="0"/>
                    <w:spacing w:line="240" w:lineRule="auto"/>
                    <w:rPr>
                      <w:color w:val="auto"/>
                      <w:lang w:val="fr-FR"/>
                    </w:rPr>
                  </w:pPr>
                </w:p>
              </w:tc>
              <w:tc>
                <w:tcPr>
                  <w:tcW w:w="1492" w:type="dxa"/>
                  <w:noWrap w:val="0"/>
                  <w:vAlign w:val="center"/>
                </w:tcPr>
                <w:p>
                  <w:pPr>
                    <w:pStyle w:val="18"/>
                    <w:bidi w:val="0"/>
                    <w:spacing w:line="240" w:lineRule="auto"/>
                    <w:rPr>
                      <w:rFonts w:hint="eastAsia"/>
                      <w:color w:val="auto"/>
                      <w:lang w:val="fr-FR" w:eastAsia="zh-CN"/>
                    </w:rPr>
                  </w:pPr>
                  <w:r>
                    <w:rPr>
                      <w:rFonts w:hint="eastAsia"/>
                      <w:color w:val="auto"/>
                      <w:lang w:val="fr-FR" w:eastAsia="zh-CN"/>
                    </w:rPr>
                    <w:t>职工生活</w:t>
                  </w:r>
                </w:p>
              </w:tc>
              <w:tc>
                <w:tcPr>
                  <w:tcW w:w="1323" w:type="dxa"/>
                  <w:noWrap w:val="0"/>
                  <w:vAlign w:val="center"/>
                </w:tcPr>
                <w:p>
                  <w:pPr>
                    <w:pStyle w:val="18"/>
                    <w:bidi w:val="0"/>
                    <w:spacing w:line="240" w:lineRule="auto"/>
                    <w:rPr>
                      <w:color w:val="auto"/>
                      <w:lang w:val="fr-FR"/>
                    </w:rPr>
                  </w:pPr>
                  <w:r>
                    <w:rPr>
                      <w:color w:val="auto"/>
                      <w:lang w:val="fr-FR"/>
                    </w:rPr>
                    <w:t>生活垃圾</w:t>
                  </w:r>
                </w:p>
              </w:tc>
              <w:tc>
                <w:tcPr>
                  <w:tcW w:w="927" w:type="dxa"/>
                  <w:noWrap w:val="0"/>
                  <w:vAlign w:val="center"/>
                </w:tcPr>
                <w:p>
                  <w:pPr>
                    <w:pStyle w:val="18"/>
                    <w:bidi w:val="0"/>
                    <w:spacing w:line="240" w:lineRule="auto"/>
                    <w:rPr>
                      <w:color w:val="auto"/>
                      <w:lang w:val="fr-FR"/>
                    </w:rPr>
                  </w:pPr>
                  <w:r>
                    <w:rPr>
                      <w:color w:val="auto"/>
                      <w:lang w:val="fr-FR"/>
                    </w:rPr>
                    <w:t>间断</w:t>
                  </w:r>
                </w:p>
              </w:tc>
              <w:tc>
                <w:tcPr>
                  <w:tcW w:w="2182" w:type="dxa"/>
                  <w:noWrap w:val="0"/>
                  <w:vAlign w:val="center"/>
                </w:tcPr>
                <w:p>
                  <w:pPr>
                    <w:pStyle w:val="18"/>
                    <w:bidi w:val="0"/>
                    <w:spacing w:line="240" w:lineRule="auto"/>
                    <w:rPr>
                      <w:rFonts w:hint="eastAsia"/>
                      <w:color w:val="auto"/>
                      <w:lang w:val="fr-FR" w:eastAsia="zh-CN"/>
                    </w:rPr>
                  </w:pPr>
                  <w:r>
                    <w:rPr>
                      <w:rFonts w:hint="eastAsia"/>
                      <w:color w:val="auto"/>
                      <w:lang w:val="fr-FR" w:eastAsia="zh-CN"/>
                    </w:rPr>
                    <w:t>环卫部门处理</w:t>
                  </w:r>
                </w:p>
              </w:tc>
              <w:tc>
                <w:tcPr>
                  <w:tcW w:w="1189" w:type="dxa"/>
                  <w:noWrap w:val="0"/>
                  <w:vAlign w:val="center"/>
                </w:tcPr>
                <w:p>
                  <w:pPr>
                    <w:pStyle w:val="18"/>
                    <w:bidi w:val="0"/>
                    <w:spacing w:line="240" w:lineRule="auto"/>
                    <w:rPr>
                      <w:color w:val="auto"/>
                      <w:lang w:val="fr-FR"/>
                    </w:rPr>
                  </w:pPr>
                  <w:r>
                    <w:rPr>
                      <w:color w:val="auto"/>
                      <w:lang w:val="fr-FR"/>
                    </w:rPr>
                    <w:t>一般固废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1" w:type="dxa"/>
                  <w:vMerge w:val="continue"/>
                  <w:noWrap w:val="0"/>
                  <w:vAlign w:val="center"/>
                </w:tcPr>
                <w:p>
                  <w:pPr>
                    <w:pStyle w:val="18"/>
                    <w:bidi w:val="0"/>
                    <w:spacing w:line="240" w:lineRule="auto"/>
                    <w:rPr>
                      <w:color w:val="auto"/>
                      <w:lang w:val="fr-FR"/>
                    </w:rPr>
                  </w:pPr>
                </w:p>
              </w:tc>
              <w:tc>
                <w:tcPr>
                  <w:tcW w:w="622" w:type="dxa"/>
                  <w:noWrap w:val="0"/>
                  <w:vAlign w:val="center"/>
                </w:tcPr>
                <w:p>
                  <w:pPr>
                    <w:pStyle w:val="18"/>
                    <w:bidi w:val="0"/>
                    <w:spacing w:line="240" w:lineRule="auto"/>
                    <w:rPr>
                      <w:color w:val="auto"/>
                      <w:lang w:val="fr-FR"/>
                    </w:rPr>
                  </w:pPr>
                  <w:r>
                    <w:rPr>
                      <w:color w:val="auto"/>
                      <w:lang w:val="fr-FR"/>
                    </w:rPr>
                    <w:t>噪声</w:t>
                  </w:r>
                </w:p>
              </w:tc>
              <w:tc>
                <w:tcPr>
                  <w:tcW w:w="1492" w:type="dxa"/>
                  <w:noWrap w:val="0"/>
                  <w:vAlign w:val="center"/>
                </w:tcPr>
                <w:p>
                  <w:pPr>
                    <w:pStyle w:val="18"/>
                    <w:bidi w:val="0"/>
                    <w:spacing w:line="240" w:lineRule="auto"/>
                    <w:rPr>
                      <w:color w:val="auto"/>
                      <w:lang w:val="fr-FR"/>
                    </w:rPr>
                  </w:pPr>
                  <w:r>
                    <w:rPr>
                      <w:color w:val="auto"/>
                      <w:lang w:val="fr-FR"/>
                    </w:rPr>
                    <w:t>各类生产设备、风机等</w:t>
                  </w:r>
                </w:p>
              </w:tc>
              <w:tc>
                <w:tcPr>
                  <w:tcW w:w="1323" w:type="dxa"/>
                  <w:noWrap w:val="0"/>
                  <w:vAlign w:val="center"/>
                </w:tcPr>
                <w:p>
                  <w:pPr>
                    <w:pStyle w:val="18"/>
                    <w:bidi w:val="0"/>
                    <w:spacing w:line="240" w:lineRule="auto"/>
                    <w:rPr>
                      <w:color w:val="auto"/>
                      <w:lang w:val="fr-FR"/>
                    </w:rPr>
                  </w:pPr>
                  <w:r>
                    <w:rPr>
                      <w:color w:val="auto"/>
                      <w:lang w:val="fr-FR"/>
                    </w:rPr>
                    <w:t>机械噪声</w:t>
                  </w:r>
                </w:p>
              </w:tc>
              <w:tc>
                <w:tcPr>
                  <w:tcW w:w="927" w:type="dxa"/>
                  <w:noWrap w:val="0"/>
                  <w:vAlign w:val="center"/>
                </w:tcPr>
                <w:p>
                  <w:pPr>
                    <w:pStyle w:val="18"/>
                    <w:bidi w:val="0"/>
                    <w:spacing w:line="240" w:lineRule="auto"/>
                    <w:rPr>
                      <w:color w:val="auto"/>
                      <w:lang w:val="fr-FR"/>
                    </w:rPr>
                  </w:pPr>
                  <w:r>
                    <w:rPr>
                      <w:color w:val="auto"/>
                      <w:lang w:val="fr-FR"/>
                    </w:rPr>
                    <w:t>间断</w:t>
                  </w:r>
                </w:p>
              </w:tc>
              <w:tc>
                <w:tcPr>
                  <w:tcW w:w="2182" w:type="dxa"/>
                  <w:noWrap w:val="0"/>
                  <w:vAlign w:val="center"/>
                </w:tcPr>
                <w:p>
                  <w:pPr>
                    <w:pStyle w:val="18"/>
                    <w:bidi w:val="0"/>
                    <w:spacing w:line="240" w:lineRule="auto"/>
                    <w:rPr>
                      <w:color w:val="auto"/>
                      <w:lang w:val="fr-FR"/>
                    </w:rPr>
                  </w:pPr>
                  <w:r>
                    <w:rPr>
                      <w:color w:val="auto"/>
                      <w:lang w:val="fr-FR"/>
                    </w:rPr>
                    <w:t>声环境</w:t>
                  </w:r>
                </w:p>
              </w:tc>
              <w:tc>
                <w:tcPr>
                  <w:tcW w:w="1189" w:type="dxa"/>
                  <w:noWrap w:val="0"/>
                  <w:vAlign w:val="center"/>
                </w:tcPr>
                <w:p>
                  <w:pPr>
                    <w:pStyle w:val="18"/>
                    <w:bidi w:val="0"/>
                    <w:spacing w:line="240" w:lineRule="auto"/>
                    <w:rPr>
                      <w:color w:val="auto"/>
                      <w:lang w:val="fr-FR"/>
                    </w:rPr>
                  </w:pPr>
                  <w:r>
                    <w:rPr>
                      <w:color w:val="auto"/>
                      <w:lang w:val="fr-FR"/>
                    </w:rPr>
                    <w:t>厂界达标</w:t>
                  </w:r>
                </w:p>
              </w:tc>
            </w:tr>
          </w:tbl>
          <w:p>
            <w:pPr>
              <w:tabs>
                <w:tab w:val="left" w:pos="3255"/>
              </w:tabs>
              <w:spacing w:line="360" w:lineRule="auto"/>
              <w:ind w:left="0" w:leftChars="0" w:firstLine="0" w:firstLineChars="0"/>
              <w:rPr>
                <w:rFonts w:hint="default"/>
                <w:color w:val="auto"/>
              </w:rPr>
            </w:pPr>
            <w:r>
              <w:rPr>
                <w:rFonts w:hint="eastAsia"/>
                <w:color w:val="auto"/>
                <w:lang w:eastAsia="zh-CN"/>
              </w:rPr>
              <w:t>三</w:t>
            </w:r>
            <w:r>
              <w:rPr>
                <w:rFonts w:hint="default"/>
                <w:color w:val="auto"/>
              </w:rPr>
              <w:t>、项目污染物排放情况</w:t>
            </w:r>
          </w:p>
          <w:p>
            <w:pPr>
              <w:spacing w:line="360" w:lineRule="auto"/>
              <w:ind w:firstLine="470" w:firstLineChars="196"/>
              <w:rPr>
                <w:rFonts w:hint="default"/>
                <w:color w:val="auto"/>
              </w:rPr>
            </w:pPr>
            <w:r>
              <w:rPr>
                <w:rFonts w:hint="eastAsia"/>
                <w:color w:val="auto"/>
                <w:lang w:eastAsia="zh-CN"/>
              </w:rPr>
              <w:t>（一）</w:t>
            </w:r>
            <w:r>
              <w:rPr>
                <w:rFonts w:hint="default"/>
                <w:color w:val="auto"/>
              </w:rPr>
              <w:t>施工期</w:t>
            </w:r>
          </w:p>
          <w:p>
            <w:pPr>
              <w:spacing w:line="360" w:lineRule="auto"/>
              <w:ind w:firstLine="470" w:firstLineChars="196"/>
              <w:rPr>
                <w:rFonts w:hint="default"/>
                <w:color w:val="auto"/>
              </w:rPr>
            </w:pPr>
            <w:r>
              <w:rPr>
                <w:rFonts w:hint="default"/>
                <w:color w:val="auto"/>
                <w:lang w:val="en-US" w:eastAsia="zh-CN"/>
              </w:rPr>
              <w:t>项目租用</w:t>
            </w:r>
            <w:r>
              <w:rPr>
                <w:rFonts w:hint="eastAsia"/>
                <w:color w:val="auto"/>
                <w:lang w:eastAsia="zh-CN"/>
              </w:rPr>
              <w:t>云南皇派实业有限公司富民分公司标准厂房</w:t>
            </w:r>
            <w:r>
              <w:rPr>
                <w:rFonts w:hint="eastAsia"/>
                <w:color w:val="auto"/>
                <w:lang w:val="en-US" w:eastAsia="zh-CN"/>
              </w:rPr>
              <w:t>及云南富邦制冷设备</w:t>
            </w:r>
            <w:r>
              <w:rPr>
                <w:rFonts w:hint="default"/>
                <w:color w:val="auto"/>
                <w:lang w:val="en-US" w:eastAsia="zh-CN"/>
              </w:rPr>
              <w:t>有限公司</w:t>
            </w:r>
            <w:r>
              <w:rPr>
                <w:rFonts w:hint="eastAsia"/>
                <w:color w:val="auto"/>
                <w:lang w:val="en-US" w:eastAsia="zh-CN"/>
              </w:rPr>
              <w:t>标准厂房</w:t>
            </w:r>
            <w:r>
              <w:rPr>
                <w:rFonts w:hint="default"/>
                <w:color w:val="auto"/>
                <w:lang w:val="en-US" w:eastAsia="zh-CN"/>
              </w:rPr>
              <w:t>进行生产，</w:t>
            </w:r>
            <w:r>
              <w:rPr>
                <w:rFonts w:hint="default"/>
                <w:color w:val="auto"/>
              </w:rPr>
              <w:t>施工期主要进行</w:t>
            </w:r>
            <w:r>
              <w:rPr>
                <w:rFonts w:hint="default"/>
                <w:color w:val="auto"/>
                <w:lang w:eastAsia="zh-CN"/>
              </w:rPr>
              <w:t>室内外装修和</w:t>
            </w:r>
            <w:r>
              <w:rPr>
                <w:rFonts w:hint="default"/>
                <w:color w:val="auto"/>
              </w:rPr>
              <w:t>设备安装。</w:t>
            </w:r>
          </w:p>
          <w:p>
            <w:pPr>
              <w:spacing w:line="360" w:lineRule="auto"/>
              <w:ind w:firstLine="470" w:firstLineChars="196"/>
              <w:rPr>
                <w:rFonts w:hint="default"/>
                <w:color w:val="auto"/>
              </w:rPr>
            </w:pPr>
            <w:r>
              <w:rPr>
                <w:rFonts w:hint="default"/>
                <w:color w:val="auto"/>
              </w:rPr>
              <w:t>1、废气</w:t>
            </w:r>
          </w:p>
          <w:p>
            <w:pPr>
              <w:spacing w:line="360" w:lineRule="auto"/>
              <w:ind w:firstLine="480" w:firstLineChars="200"/>
              <w:rPr>
                <w:rFonts w:hint="default"/>
                <w:color w:val="auto"/>
              </w:rPr>
            </w:pPr>
            <w:r>
              <w:rPr>
                <w:rFonts w:hint="default"/>
                <w:color w:val="auto"/>
              </w:rPr>
              <w:t>施工过程中的产生的废气主要为设备安装过程中产生的</w:t>
            </w:r>
            <w:r>
              <w:rPr>
                <w:rFonts w:hint="default"/>
                <w:color w:val="auto"/>
                <w:lang w:eastAsia="zh-CN"/>
              </w:rPr>
              <w:t>扬</w:t>
            </w:r>
            <w:r>
              <w:rPr>
                <w:rFonts w:hint="default"/>
                <w:color w:val="auto"/>
              </w:rPr>
              <w:t>尘、</w:t>
            </w:r>
            <w:r>
              <w:rPr>
                <w:rFonts w:hint="default"/>
                <w:color w:val="auto"/>
                <w:lang w:eastAsia="zh-CN"/>
              </w:rPr>
              <w:t>室内外装修产生的废气</w:t>
            </w:r>
            <w:r>
              <w:rPr>
                <w:rFonts w:hint="default"/>
                <w:color w:val="auto"/>
              </w:rPr>
              <w:t>以及设备运输车辆产生的尾气，</w:t>
            </w:r>
            <w:r>
              <w:rPr>
                <w:rFonts w:hint="default"/>
                <w:color w:val="auto"/>
                <w:lang w:eastAsia="zh-CN"/>
              </w:rPr>
              <w:t>项目设备安装产生的扬尘和室内外装修产生的废气，通过洒水降尘后扬尘可以得到有效减少，并且影响时间短，污染源强小，对环境影响较小。</w:t>
            </w:r>
            <w:r>
              <w:rPr>
                <w:rFonts w:hint="default"/>
                <w:color w:val="auto"/>
              </w:rPr>
              <w:t>项目运输车</w:t>
            </w:r>
            <w:r>
              <w:rPr>
                <w:rFonts w:hint="default"/>
                <w:color w:val="auto"/>
                <w:lang w:eastAsia="zh-CN"/>
              </w:rPr>
              <w:t>量只有拉设备车辆，数量较少，所以排放的尾气</w:t>
            </w:r>
            <w:r>
              <w:rPr>
                <w:rFonts w:hint="default"/>
                <w:color w:val="auto"/>
              </w:rPr>
              <w:t>对环境</w:t>
            </w:r>
            <w:r>
              <w:rPr>
                <w:rFonts w:hint="default"/>
                <w:color w:val="auto"/>
                <w:lang w:eastAsia="zh-CN"/>
              </w:rPr>
              <w:t>也</w:t>
            </w:r>
            <w:r>
              <w:rPr>
                <w:rFonts w:hint="default"/>
                <w:color w:val="auto"/>
              </w:rPr>
              <w:t>影响小。</w:t>
            </w:r>
          </w:p>
          <w:p>
            <w:pPr>
              <w:spacing w:line="360" w:lineRule="auto"/>
              <w:ind w:firstLine="470" w:firstLineChars="196"/>
              <w:rPr>
                <w:rFonts w:hint="default"/>
                <w:color w:val="auto"/>
              </w:rPr>
            </w:pPr>
            <w:r>
              <w:rPr>
                <w:rFonts w:hint="default"/>
                <w:color w:val="auto"/>
              </w:rPr>
              <w:t>2、废水</w:t>
            </w:r>
          </w:p>
          <w:p>
            <w:pPr>
              <w:spacing w:line="360" w:lineRule="auto"/>
              <w:ind w:firstLine="480" w:firstLineChars="200"/>
              <w:rPr>
                <w:rFonts w:hint="default"/>
                <w:color w:val="auto"/>
              </w:rPr>
            </w:pPr>
            <w:r>
              <w:rPr>
                <w:rFonts w:hint="default"/>
                <w:color w:val="auto"/>
                <w:lang w:val="en-US" w:eastAsia="zh-CN"/>
              </w:rPr>
              <w:t>项目施工期</w:t>
            </w:r>
            <w:r>
              <w:rPr>
                <w:rFonts w:hint="default"/>
                <w:color w:val="auto"/>
                <w:lang w:eastAsia="zh-CN"/>
              </w:rPr>
              <w:t>施工人员不在项目内食宿，无生活废水产生，只有少量的室内外装修产生的废水，废水</w:t>
            </w:r>
            <w:r>
              <w:rPr>
                <w:rFonts w:hint="eastAsia"/>
                <w:color w:val="auto"/>
                <w:lang w:val="en-US" w:eastAsia="zh-CN"/>
              </w:rPr>
              <w:t>经</w:t>
            </w:r>
            <w:r>
              <w:rPr>
                <w:rFonts w:hint="default"/>
                <w:color w:val="auto"/>
                <w:lang w:val="en-US" w:eastAsia="zh-CN"/>
              </w:rPr>
              <w:t>收集后用于洒水降尘，不外排。</w:t>
            </w:r>
          </w:p>
          <w:p>
            <w:pPr>
              <w:spacing w:line="360" w:lineRule="auto"/>
              <w:ind w:firstLine="480" w:firstLineChars="200"/>
              <w:rPr>
                <w:rFonts w:hint="default"/>
                <w:color w:val="auto"/>
              </w:rPr>
            </w:pPr>
            <w:r>
              <w:rPr>
                <w:rFonts w:hint="default"/>
                <w:color w:val="auto"/>
              </w:rPr>
              <w:t>3、噪声</w:t>
            </w:r>
          </w:p>
          <w:p>
            <w:pPr>
              <w:spacing w:line="360" w:lineRule="auto"/>
              <w:ind w:firstLine="480"/>
              <w:rPr>
                <w:rFonts w:hint="default"/>
                <w:color w:val="auto"/>
                <w:lang w:eastAsia="zh-CN"/>
              </w:rPr>
            </w:pPr>
            <w:r>
              <w:rPr>
                <w:rFonts w:hint="default"/>
                <w:color w:val="auto"/>
                <w:lang w:eastAsia="zh-CN"/>
              </w:rPr>
              <w:t>施工期</w:t>
            </w:r>
            <w:r>
              <w:rPr>
                <w:rFonts w:hint="default"/>
                <w:color w:val="auto"/>
              </w:rPr>
              <w:t>设备安装过程中产生的噪声主要源于电钻和电焊机，</w:t>
            </w:r>
            <w:r>
              <w:rPr>
                <w:rFonts w:hint="default"/>
                <w:color w:val="auto"/>
                <w:lang w:eastAsia="zh-CN"/>
              </w:rPr>
              <w:t>源强约为</w:t>
            </w:r>
            <w:r>
              <w:rPr>
                <w:rFonts w:hint="default"/>
                <w:color w:val="auto"/>
                <w:lang w:val="en-US" w:eastAsia="zh-CN"/>
              </w:rPr>
              <w:t>70</w:t>
            </w:r>
            <w:r>
              <w:rPr>
                <w:rFonts w:hint="default"/>
                <w:color w:val="auto"/>
              </w:rPr>
              <w:t>~</w:t>
            </w:r>
            <w:r>
              <w:rPr>
                <w:rFonts w:hint="default"/>
                <w:color w:val="auto"/>
                <w:lang w:val="en-US" w:eastAsia="zh-CN"/>
              </w:rPr>
              <w:t>85</w:t>
            </w:r>
            <w:r>
              <w:rPr>
                <w:rFonts w:hint="default"/>
                <w:color w:val="auto"/>
              </w:rPr>
              <w:t>dB(A)</w:t>
            </w:r>
            <w:r>
              <w:rPr>
                <w:rFonts w:hint="default"/>
                <w:color w:val="auto"/>
                <w:lang w:eastAsia="zh-CN"/>
              </w:rPr>
              <w:t>，无大型机械，施工期噪声经过距离衰减和遮挡衰减后对周围环境影响较小。且</w:t>
            </w:r>
            <w:r>
              <w:rPr>
                <w:rFonts w:hint="default"/>
                <w:color w:val="auto"/>
              </w:rPr>
              <w:t>项目</w:t>
            </w:r>
            <w:r>
              <w:rPr>
                <w:rFonts w:hint="default"/>
                <w:color w:val="auto"/>
                <w:lang w:eastAsia="zh-CN"/>
              </w:rPr>
              <w:t>施工周期</w:t>
            </w:r>
            <w:r>
              <w:rPr>
                <w:rFonts w:hint="default"/>
                <w:color w:val="auto"/>
              </w:rPr>
              <w:t>短</w:t>
            </w:r>
            <w:r>
              <w:rPr>
                <w:rFonts w:hint="default"/>
                <w:color w:val="auto"/>
                <w:lang w:eastAsia="zh-CN"/>
              </w:rPr>
              <w:t>，随着施工结束后也会消失。</w:t>
            </w:r>
          </w:p>
          <w:p>
            <w:pPr>
              <w:numPr>
                <w:ilvl w:val="0"/>
                <w:numId w:val="0"/>
              </w:numPr>
              <w:spacing w:line="360" w:lineRule="auto"/>
              <w:ind w:firstLine="480" w:firstLineChars="200"/>
              <w:rPr>
                <w:rFonts w:hint="default"/>
                <w:color w:val="auto"/>
                <w:lang w:val="en-US" w:eastAsia="zh-CN"/>
              </w:rPr>
            </w:pPr>
            <w:r>
              <w:rPr>
                <w:rFonts w:hint="default"/>
                <w:color w:val="auto"/>
                <w:lang w:val="en-US" w:eastAsia="zh-CN"/>
              </w:rPr>
              <w:t>4、固废</w:t>
            </w:r>
          </w:p>
          <w:p>
            <w:pPr>
              <w:spacing w:line="360" w:lineRule="auto"/>
              <w:ind w:firstLine="480" w:firstLineChars="200"/>
              <w:rPr>
                <w:rFonts w:hint="default"/>
                <w:color w:val="auto"/>
              </w:rPr>
            </w:pPr>
            <w:r>
              <w:rPr>
                <w:rFonts w:hint="default"/>
                <w:color w:val="auto"/>
                <w:lang w:val="en-US" w:eastAsia="zh-CN"/>
              </w:rPr>
              <w:t>项目施工期产生的固废主要是施工人员产生的生活垃圾、设备安装及室内外装修产生的固废。施工人员不在项目内食宿，产生的生活垃圾按0.</w:t>
            </w:r>
            <w:r>
              <w:rPr>
                <w:rFonts w:hint="eastAsia"/>
                <w:color w:val="auto"/>
                <w:lang w:val="en-US" w:eastAsia="zh-CN"/>
              </w:rPr>
              <w:t>5</w:t>
            </w:r>
            <w:r>
              <w:rPr>
                <w:rFonts w:hint="default"/>
                <w:color w:val="auto"/>
                <w:lang w:val="en-US" w:eastAsia="zh-CN"/>
              </w:rPr>
              <w:t>kg/(人·d)计算，</w:t>
            </w:r>
            <w:r>
              <w:rPr>
                <w:rFonts w:hint="default"/>
                <w:color w:val="auto"/>
                <w:lang w:eastAsia="zh-CN"/>
              </w:rPr>
              <w:t>根据业主资料，施工人员约</w:t>
            </w:r>
            <w:r>
              <w:rPr>
                <w:rFonts w:hint="default"/>
                <w:color w:val="auto"/>
                <w:lang w:val="en-US" w:eastAsia="zh-CN"/>
              </w:rPr>
              <w:t>5人，则每天产生垃圾量为</w:t>
            </w:r>
            <w:r>
              <w:rPr>
                <w:rFonts w:hint="eastAsia"/>
                <w:color w:val="auto"/>
                <w:lang w:val="en-US" w:eastAsia="zh-CN"/>
              </w:rPr>
              <w:t>2.5</w:t>
            </w:r>
            <w:r>
              <w:rPr>
                <w:rFonts w:hint="default"/>
                <w:color w:val="auto"/>
                <w:lang w:val="en-US" w:eastAsia="zh-CN"/>
              </w:rPr>
              <w:t>kg/d，项目施工期1个月，则施工期产生垃圾量为</w:t>
            </w:r>
            <w:r>
              <w:rPr>
                <w:rFonts w:hint="eastAsia"/>
                <w:color w:val="auto"/>
                <w:lang w:val="en-US" w:eastAsia="zh-CN"/>
              </w:rPr>
              <w:t>0.075</w:t>
            </w:r>
            <w:r>
              <w:rPr>
                <w:rFonts w:hint="default"/>
                <w:color w:val="auto"/>
                <w:lang w:val="en-US" w:eastAsia="zh-CN"/>
              </w:rPr>
              <w:t>t/a，生活垃圾统一收集清运至园区垃圾收集处，由环卫部门处理。设备安装和室内外装修产生的的固废主要为设备和材料包装，收集后出售给废物回收站，不可回收的建筑垃圾同生活垃圾一起收集清运至园区垃圾收集处，由环卫部门处理。</w:t>
            </w:r>
          </w:p>
          <w:p>
            <w:pPr>
              <w:spacing w:line="360" w:lineRule="auto"/>
              <w:ind w:firstLine="470" w:firstLineChars="196"/>
              <w:rPr>
                <w:rFonts w:hint="eastAsia"/>
                <w:color w:val="auto"/>
                <w:lang w:eastAsia="zh-CN"/>
              </w:rPr>
            </w:pPr>
            <w:r>
              <w:rPr>
                <w:rFonts w:hint="eastAsia"/>
                <w:color w:val="auto"/>
                <w:lang w:eastAsia="zh-CN"/>
              </w:rPr>
              <w:t>（二）运营期</w:t>
            </w:r>
          </w:p>
          <w:p>
            <w:pPr>
              <w:spacing w:line="360" w:lineRule="auto"/>
              <w:ind w:firstLine="470" w:firstLineChars="196"/>
              <w:rPr>
                <w:rFonts w:hint="default"/>
                <w:color w:val="auto"/>
              </w:rPr>
            </w:pPr>
            <w:r>
              <w:rPr>
                <w:rFonts w:hint="default"/>
                <w:color w:val="auto"/>
              </w:rPr>
              <w:t>项目营运期的环境影响因素从废气、废水、噪声</w:t>
            </w:r>
            <w:r>
              <w:rPr>
                <w:rFonts w:hint="default"/>
                <w:color w:val="auto"/>
                <w:lang w:eastAsia="zh-CN"/>
              </w:rPr>
              <w:t>、</w:t>
            </w:r>
            <w:r>
              <w:rPr>
                <w:rFonts w:hint="eastAsia"/>
                <w:color w:val="auto"/>
                <w:lang w:eastAsia="zh-CN"/>
              </w:rPr>
              <w:t>固体废物</w:t>
            </w:r>
            <w:r>
              <w:rPr>
                <w:rFonts w:hint="default"/>
                <w:color w:val="auto"/>
              </w:rPr>
              <w:t>等方面展开分析。</w:t>
            </w:r>
          </w:p>
          <w:p>
            <w:pPr>
              <w:spacing w:line="360" w:lineRule="auto"/>
              <w:ind w:firstLine="470" w:firstLineChars="196"/>
              <w:rPr>
                <w:rFonts w:hint="default"/>
                <w:color w:val="auto"/>
              </w:rPr>
            </w:pPr>
            <w:r>
              <w:rPr>
                <w:rFonts w:hint="default"/>
                <w:color w:val="auto"/>
              </w:rPr>
              <w:t>1、废气</w:t>
            </w:r>
          </w:p>
          <w:p>
            <w:pPr>
              <w:spacing w:line="360" w:lineRule="auto"/>
              <w:ind w:firstLine="480" w:firstLineChars="200"/>
              <w:rPr>
                <w:rFonts w:hint="default"/>
                <w:color w:val="auto"/>
              </w:rPr>
            </w:pPr>
            <w:r>
              <w:rPr>
                <w:rFonts w:hint="default"/>
                <w:color w:val="auto"/>
              </w:rPr>
              <w:t>项目运营期产生的废气污染物主要为喷漆工序产生的有机废气和颗粒物（漆雾）、焊接工序产生焊接烟尘、机加工过程产生的金属粉尘以及食堂油烟。</w:t>
            </w:r>
          </w:p>
          <w:p>
            <w:pPr>
              <w:spacing w:line="360" w:lineRule="auto"/>
              <w:ind w:firstLine="480" w:firstLineChars="200"/>
              <w:rPr>
                <w:rFonts w:hint="default"/>
                <w:color w:val="auto"/>
              </w:rPr>
            </w:pPr>
            <w:r>
              <w:rPr>
                <w:rFonts w:hint="default"/>
                <w:color w:val="auto"/>
              </w:rPr>
              <w:t>（1）烟尘</w:t>
            </w:r>
          </w:p>
          <w:p>
            <w:pPr>
              <w:pStyle w:val="2"/>
              <w:rPr>
                <w:rFonts w:hint="eastAsia"/>
                <w:color w:val="auto"/>
                <w:lang w:eastAsia="zh-CN"/>
              </w:rPr>
            </w:pPr>
            <w:r>
              <w:rPr>
                <w:rFonts w:hint="eastAsia"/>
                <w:color w:val="auto"/>
                <w:lang w:eastAsia="zh-CN"/>
              </w:rPr>
              <w:t>① 切割烟尘</w:t>
            </w:r>
          </w:p>
          <w:p>
            <w:pPr>
              <w:pStyle w:val="2"/>
              <w:rPr>
                <w:rFonts w:hint="eastAsia"/>
                <w:color w:val="auto"/>
                <w:lang w:eastAsia="zh-CN"/>
              </w:rPr>
            </w:pPr>
            <w:r>
              <w:rPr>
                <w:rFonts w:hint="eastAsia"/>
                <w:color w:val="auto"/>
                <w:lang w:eastAsia="zh-CN"/>
              </w:rPr>
              <w:t>项目火焰切割以天然气燃烧、氧气助燃火焰为热源进行切割，天然气燃烧产污为CO</w:t>
            </w:r>
            <w:r>
              <w:rPr>
                <w:rFonts w:hint="eastAsia"/>
                <w:color w:val="auto"/>
                <w:vertAlign w:val="subscript"/>
                <w:lang w:val="en-US" w:eastAsia="zh-CN"/>
              </w:rPr>
              <w:t>2</w:t>
            </w:r>
            <w:r>
              <w:rPr>
                <w:rFonts w:hint="eastAsia"/>
                <w:color w:val="auto"/>
                <w:lang w:eastAsia="zh-CN"/>
              </w:rPr>
              <w:t>和H</w:t>
            </w:r>
            <w:r>
              <w:rPr>
                <w:rFonts w:hint="eastAsia"/>
                <w:color w:val="auto"/>
                <w:vertAlign w:val="subscript"/>
                <w:lang w:val="en-US" w:eastAsia="zh-CN"/>
              </w:rPr>
              <w:t>2</w:t>
            </w:r>
            <w:r>
              <w:rPr>
                <w:rFonts w:hint="eastAsia"/>
                <w:color w:val="auto"/>
                <w:lang w:eastAsia="zh-CN"/>
              </w:rPr>
              <w:t>O，不会产生有毒有害气体；火焰接触钢材时，由于钢材中可能含有微量的杂质，切割时会产生少量烟尘，根据《机加工行业环境影响评价中常见污染物源强估算及污染治理》（许海萍等）中推荐的计算公式，切割烟尘产生量以原材料用量的0.1%计，项目需进行火焰切割下料的钢材、板材约</w:t>
            </w:r>
            <w:r>
              <w:rPr>
                <w:rFonts w:hint="eastAsia"/>
                <w:color w:val="auto"/>
                <w:lang w:val="en-US" w:eastAsia="zh-CN"/>
              </w:rPr>
              <w:t>10</w:t>
            </w:r>
            <w:r>
              <w:rPr>
                <w:rFonts w:hint="eastAsia"/>
                <w:color w:val="auto"/>
                <w:lang w:eastAsia="zh-CN"/>
              </w:rPr>
              <w:t>00t/a，则切割烟尘产生量为</w:t>
            </w:r>
            <w:r>
              <w:rPr>
                <w:rFonts w:hint="eastAsia"/>
                <w:color w:val="auto"/>
                <w:lang w:val="en-US" w:eastAsia="zh-CN"/>
              </w:rPr>
              <w:t>1</w:t>
            </w:r>
            <w:r>
              <w:rPr>
                <w:rFonts w:hint="eastAsia"/>
                <w:color w:val="auto"/>
                <w:lang w:eastAsia="zh-CN"/>
              </w:rPr>
              <w:t>t/a。年工作</w:t>
            </w:r>
            <w:r>
              <w:rPr>
                <w:rFonts w:hint="eastAsia"/>
                <w:color w:val="auto"/>
                <w:lang w:val="en-US" w:eastAsia="zh-CN"/>
              </w:rPr>
              <w:t>10</w:t>
            </w:r>
            <w:r>
              <w:rPr>
                <w:rFonts w:hint="eastAsia"/>
                <w:color w:val="auto"/>
                <w:lang w:eastAsia="zh-CN"/>
              </w:rPr>
              <w:t>00h。</w:t>
            </w:r>
          </w:p>
          <w:p>
            <w:pPr>
              <w:spacing w:line="360" w:lineRule="auto"/>
              <w:ind w:firstLine="480" w:firstLineChars="200"/>
              <w:rPr>
                <w:rFonts w:hint="eastAsia"/>
                <w:color w:val="auto"/>
                <w:lang w:eastAsia="zh-CN"/>
              </w:rPr>
            </w:pPr>
            <w:r>
              <w:rPr>
                <w:rFonts w:hint="eastAsia"/>
                <w:color w:val="auto"/>
                <w:lang w:val="en-US" w:eastAsia="zh-CN"/>
              </w:rPr>
              <w:t>由于项目切割机、焊机的使用具有无固定时间，因烟尘废气的产生具有间断不连续性，为有效收集间断不连续的焊接烟尘，本项目拟在生产车间内设置1套移动式除尘器处理焊接烟尘，移动式除尘器自带集气罩和袋式除尘器，移动式除尘器自带集气罩和袋式除尘器，除尘后的气体在车间内自然沉降后少量经过车间门窗呈无组织外逸。另外，通过在厂房顶设置换气扇的方式加强厂房通风。移动式除尘器</w:t>
            </w:r>
            <w:r>
              <w:rPr>
                <w:rFonts w:hint="eastAsia"/>
                <w:color w:val="auto"/>
                <w:lang w:eastAsia="zh-CN"/>
              </w:rPr>
              <w:t>（收集效率≥90%，处理效率≥90%）处理后通过车间机械排风和自然补风的通风装置及时排至室外，颗粒物排放量为</w:t>
            </w:r>
            <w:r>
              <w:rPr>
                <w:rFonts w:hint="eastAsia"/>
                <w:color w:val="auto"/>
                <w:lang w:val="en-US" w:eastAsia="zh-CN"/>
              </w:rPr>
              <w:t>0.19</w:t>
            </w:r>
            <w:r>
              <w:rPr>
                <w:rFonts w:hint="eastAsia"/>
                <w:color w:val="auto"/>
                <w:lang w:eastAsia="zh-CN"/>
              </w:rPr>
              <w:t>t/a，排放速率为</w:t>
            </w:r>
            <w:r>
              <w:rPr>
                <w:rFonts w:hint="eastAsia"/>
                <w:color w:val="auto"/>
                <w:lang w:val="en-US" w:eastAsia="zh-CN"/>
              </w:rPr>
              <w:t>0.079</w:t>
            </w:r>
            <w:r>
              <w:rPr>
                <w:rFonts w:hint="eastAsia"/>
                <w:color w:val="auto"/>
                <w:lang w:eastAsia="zh-CN"/>
              </w:rPr>
              <w:t>kg/h。</w:t>
            </w:r>
          </w:p>
          <w:p>
            <w:pPr>
              <w:spacing w:line="360" w:lineRule="auto"/>
              <w:ind w:firstLine="480" w:firstLineChars="200"/>
              <w:rPr>
                <w:rFonts w:hint="eastAsia"/>
                <w:color w:val="auto"/>
                <w:lang w:eastAsia="zh-CN"/>
              </w:rPr>
            </w:pPr>
            <w:r>
              <w:rPr>
                <w:rFonts w:hint="eastAsia"/>
                <w:color w:val="auto"/>
                <w:lang w:eastAsia="zh-CN"/>
              </w:rPr>
              <w:t>②焊接烟尘</w:t>
            </w:r>
          </w:p>
          <w:p>
            <w:pPr>
              <w:spacing w:line="360" w:lineRule="auto"/>
              <w:ind w:firstLine="480" w:firstLineChars="200"/>
              <w:rPr>
                <w:rFonts w:hint="eastAsia"/>
                <w:color w:val="auto"/>
                <w:lang w:eastAsia="zh-CN"/>
              </w:rPr>
            </w:pPr>
            <w:r>
              <w:rPr>
                <w:rFonts w:hint="default"/>
                <w:color w:val="auto"/>
              </w:rPr>
              <w:t>本项目共使用</w:t>
            </w:r>
            <w:r>
              <w:rPr>
                <w:rFonts w:hint="eastAsia"/>
                <w:color w:val="auto"/>
                <w:lang w:val="en-US" w:eastAsia="zh-CN"/>
              </w:rPr>
              <w:t>2</w:t>
            </w:r>
            <w:r>
              <w:rPr>
                <w:rFonts w:hint="default"/>
                <w:color w:val="auto"/>
              </w:rPr>
              <w:t>种焊接方法，分别是：埋弧焊及CO</w:t>
            </w:r>
            <w:r>
              <w:rPr>
                <w:rFonts w:hint="default"/>
                <w:color w:val="auto"/>
                <w:vertAlign w:val="subscript"/>
              </w:rPr>
              <w:t>2</w:t>
            </w:r>
            <w:r>
              <w:rPr>
                <w:rFonts w:hint="default"/>
                <w:color w:val="auto"/>
              </w:rPr>
              <w:t>气体保护焊，均会产生焊接烟尘</w:t>
            </w:r>
            <w:r>
              <w:rPr>
                <w:rFonts w:hint="eastAsia"/>
                <w:color w:val="auto"/>
                <w:lang w:eastAsia="zh-CN"/>
              </w:rPr>
              <w:t>，根据《焊接技术手册》（王文翰主编），焊接烟尘量=焊材量×0.6%，建设项目焊材的使用量为5t/a，则焊接烟尘量为0.03t/a。年工作600h。</w:t>
            </w:r>
          </w:p>
          <w:p>
            <w:pPr>
              <w:spacing w:line="360" w:lineRule="auto"/>
              <w:ind w:firstLine="480" w:firstLineChars="200"/>
              <w:rPr>
                <w:rFonts w:hint="default"/>
                <w:color w:val="auto"/>
              </w:rPr>
            </w:pPr>
            <w:r>
              <w:rPr>
                <w:rFonts w:hint="eastAsia"/>
                <w:color w:val="auto"/>
                <w:lang w:val="en-US" w:eastAsia="zh-CN"/>
              </w:rPr>
              <w:t>由于项目切割机、焊机的使用具有无固定时间，因烟尘废气的产生具有间断不连续性，为有效收集间断不连续的焊接烟尘，本项目拟在生产车间内设置1套移动式除尘器处理焊接烟尘，移动式除尘器自带集气罩和袋式除尘器，移动式除尘器自带集气罩和袋式除尘器，除尘后的气体在车间内自然沉降后少量经过车间门窗呈无组织外逸。另外，通过在厂房顶设置换气扇的方式加强厂房通风。移动式除尘器</w:t>
            </w:r>
            <w:r>
              <w:rPr>
                <w:rFonts w:hint="eastAsia"/>
                <w:color w:val="auto"/>
                <w:lang w:eastAsia="zh-CN"/>
              </w:rPr>
              <w:t>（收集效率≥90%，处理效率≥90%）处理后通过车间机械排风和自然补风的通风装置及时排至室外，颗粒物排放量为0.006t/a，排放速率为0.01kg/h。</w:t>
            </w:r>
          </w:p>
          <w:p>
            <w:pPr>
              <w:spacing w:line="360" w:lineRule="auto"/>
              <w:ind w:firstLine="480" w:firstLineChars="200"/>
              <w:rPr>
                <w:rFonts w:hint="default"/>
                <w:color w:val="auto"/>
              </w:rPr>
            </w:pPr>
            <w:r>
              <w:rPr>
                <w:rFonts w:hint="default"/>
                <w:color w:val="auto"/>
              </w:rPr>
              <w:t>则烟尘产生情况见表 5-2。</w:t>
            </w:r>
          </w:p>
          <w:p>
            <w:pPr>
              <w:pStyle w:val="19"/>
              <w:bidi w:val="0"/>
              <w:rPr>
                <w:rFonts w:hint="default"/>
                <w:color w:val="auto"/>
              </w:rPr>
            </w:pPr>
            <w:r>
              <w:rPr>
                <w:rFonts w:hint="default"/>
                <w:color w:val="auto"/>
              </w:rPr>
              <w:t xml:space="preserve"> 表5-2 烟尘产生情况表</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1"/>
              <w:gridCol w:w="1364"/>
              <w:gridCol w:w="2499"/>
              <w:gridCol w:w="2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pct"/>
                  <w:noWrap w:val="0"/>
                  <w:vAlign w:val="top"/>
                </w:tcPr>
                <w:p>
                  <w:pPr>
                    <w:pStyle w:val="18"/>
                    <w:bidi w:val="0"/>
                    <w:spacing w:line="240" w:lineRule="auto"/>
                    <w:rPr>
                      <w:rFonts w:hint="eastAsia"/>
                      <w:color w:val="auto"/>
                      <w:lang w:eastAsia="zh-CN"/>
                    </w:rPr>
                  </w:pPr>
                  <w:r>
                    <w:rPr>
                      <w:rFonts w:hint="eastAsia"/>
                      <w:color w:val="auto"/>
                      <w:lang w:eastAsia="zh-CN"/>
                    </w:rPr>
                    <w:t>焊接类型</w:t>
                  </w:r>
                </w:p>
              </w:tc>
              <w:tc>
                <w:tcPr>
                  <w:tcW w:w="822" w:type="pct"/>
                  <w:noWrap w:val="0"/>
                  <w:vAlign w:val="top"/>
                </w:tcPr>
                <w:p>
                  <w:pPr>
                    <w:pStyle w:val="18"/>
                    <w:bidi w:val="0"/>
                    <w:spacing w:line="240" w:lineRule="auto"/>
                    <w:rPr>
                      <w:rFonts w:hint="eastAsia"/>
                      <w:color w:val="auto"/>
                      <w:lang w:eastAsia="zh-CN"/>
                    </w:rPr>
                  </w:pPr>
                  <w:r>
                    <w:rPr>
                      <w:rFonts w:hint="eastAsia"/>
                      <w:color w:val="auto"/>
                      <w:lang w:eastAsia="zh-CN"/>
                    </w:rPr>
                    <w:t>烟尘产生量</w:t>
                  </w:r>
                </w:p>
              </w:tc>
              <w:tc>
                <w:tcPr>
                  <w:tcW w:w="1506" w:type="pct"/>
                  <w:noWrap w:val="0"/>
                  <w:vAlign w:val="top"/>
                </w:tcPr>
                <w:p>
                  <w:pPr>
                    <w:pStyle w:val="18"/>
                    <w:bidi w:val="0"/>
                    <w:spacing w:line="240" w:lineRule="auto"/>
                    <w:rPr>
                      <w:rFonts w:hint="eastAsia"/>
                      <w:color w:val="auto"/>
                      <w:lang w:eastAsia="zh-CN"/>
                    </w:rPr>
                  </w:pPr>
                  <w:r>
                    <w:rPr>
                      <w:rFonts w:hint="eastAsia"/>
                      <w:color w:val="auto"/>
                      <w:lang w:eastAsia="zh-CN"/>
                    </w:rPr>
                    <w:t>烟尘排放量</w:t>
                  </w:r>
                </w:p>
              </w:tc>
              <w:tc>
                <w:tcPr>
                  <w:tcW w:w="1506" w:type="pct"/>
                  <w:noWrap w:val="0"/>
                  <w:vAlign w:val="top"/>
                </w:tcPr>
                <w:p>
                  <w:pPr>
                    <w:pStyle w:val="18"/>
                    <w:bidi w:val="0"/>
                    <w:spacing w:line="240" w:lineRule="auto"/>
                    <w:rPr>
                      <w:rFonts w:hint="eastAsia"/>
                      <w:color w:val="auto"/>
                      <w:lang w:eastAsia="zh-CN"/>
                    </w:rPr>
                  </w:pPr>
                  <w:r>
                    <w:rPr>
                      <w:rFonts w:hint="eastAsia"/>
                      <w:color w:val="auto"/>
                      <w:lang w:eastAsia="zh-CN"/>
                    </w:rPr>
                    <w:t>排放速率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pct"/>
                  <w:noWrap w:val="0"/>
                  <w:vAlign w:val="top"/>
                </w:tcPr>
                <w:p>
                  <w:pPr>
                    <w:pStyle w:val="18"/>
                    <w:bidi w:val="0"/>
                    <w:spacing w:line="240" w:lineRule="auto"/>
                    <w:rPr>
                      <w:rFonts w:hint="eastAsia"/>
                      <w:color w:val="auto"/>
                      <w:lang w:eastAsia="zh-CN"/>
                    </w:rPr>
                  </w:pPr>
                  <w:r>
                    <w:rPr>
                      <w:rFonts w:hint="eastAsia"/>
                      <w:color w:val="auto"/>
                      <w:lang w:eastAsia="zh-CN"/>
                    </w:rPr>
                    <w:t>切割烟尘</w:t>
                  </w:r>
                </w:p>
              </w:tc>
              <w:tc>
                <w:tcPr>
                  <w:tcW w:w="822" w:type="pct"/>
                  <w:noWrap w:val="0"/>
                  <w:vAlign w:val="top"/>
                </w:tcPr>
                <w:p>
                  <w:pPr>
                    <w:pStyle w:val="18"/>
                    <w:bidi w:val="0"/>
                    <w:spacing w:line="240" w:lineRule="auto"/>
                    <w:rPr>
                      <w:rFonts w:hint="default"/>
                      <w:color w:val="auto"/>
                      <w:lang w:val="en-US" w:eastAsia="zh-CN"/>
                    </w:rPr>
                  </w:pPr>
                  <w:r>
                    <w:rPr>
                      <w:rFonts w:hint="eastAsia"/>
                      <w:color w:val="auto"/>
                      <w:lang w:val="en-US" w:eastAsia="zh-CN"/>
                    </w:rPr>
                    <w:t>1t/a</w:t>
                  </w:r>
                </w:p>
              </w:tc>
              <w:tc>
                <w:tcPr>
                  <w:tcW w:w="1506" w:type="pct"/>
                  <w:noWrap w:val="0"/>
                  <w:vAlign w:val="top"/>
                </w:tcPr>
                <w:p>
                  <w:pPr>
                    <w:pStyle w:val="18"/>
                    <w:bidi w:val="0"/>
                    <w:spacing w:line="240" w:lineRule="auto"/>
                    <w:rPr>
                      <w:rFonts w:hint="default"/>
                      <w:color w:val="auto"/>
                      <w:lang w:val="en-US" w:eastAsia="zh-CN"/>
                    </w:rPr>
                  </w:pPr>
                  <w:r>
                    <w:rPr>
                      <w:rFonts w:hint="eastAsia"/>
                      <w:color w:val="auto"/>
                      <w:lang w:val="en-US" w:eastAsia="zh-CN"/>
                    </w:rPr>
                    <w:t>0.19t/a</w:t>
                  </w:r>
                </w:p>
              </w:tc>
              <w:tc>
                <w:tcPr>
                  <w:tcW w:w="1506" w:type="pct"/>
                  <w:noWrap w:val="0"/>
                  <w:vAlign w:val="top"/>
                </w:tcPr>
                <w:p>
                  <w:pPr>
                    <w:pStyle w:val="18"/>
                    <w:bidi w:val="0"/>
                    <w:spacing w:line="240" w:lineRule="auto"/>
                    <w:rPr>
                      <w:rFonts w:hint="default"/>
                      <w:color w:val="auto"/>
                      <w:lang w:val="en-US" w:eastAsia="zh-CN"/>
                    </w:rPr>
                  </w:pPr>
                  <w:r>
                    <w:rPr>
                      <w:rFonts w:hint="eastAsia"/>
                      <w:color w:val="auto"/>
                      <w:lang w:val="en-US" w:eastAsia="zh-CN"/>
                    </w:rPr>
                    <w:t>0.079</w:t>
                  </w:r>
                  <w:r>
                    <w:rPr>
                      <w:rFonts w:hint="eastAsia"/>
                      <w:color w:val="auto"/>
                      <w:lang w:eastAsia="zh-CN"/>
                    </w:rPr>
                    <w:t>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pct"/>
                  <w:noWrap w:val="0"/>
                  <w:vAlign w:val="top"/>
                </w:tcPr>
                <w:p>
                  <w:pPr>
                    <w:pStyle w:val="18"/>
                    <w:bidi w:val="0"/>
                    <w:spacing w:line="240" w:lineRule="auto"/>
                    <w:rPr>
                      <w:rFonts w:hint="eastAsia"/>
                      <w:color w:val="auto"/>
                      <w:lang w:eastAsia="zh-CN"/>
                    </w:rPr>
                  </w:pPr>
                  <w:r>
                    <w:rPr>
                      <w:rFonts w:hint="eastAsia"/>
                      <w:color w:val="auto"/>
                      <w:lang w:eastAsia="zh-CN"/>
                    </w:rPr>
                    <w:t>焊接烟尘</w:t>
                  </w:r>
                </w:p>
              </w:tc>
              <w:tc>
                <w:tcPr>
                  <w:tcW w:w="822" w:type="pct"/>
                  <w:noWrap w:val="0"/>
                  <w:vAlign w:val="top"/>
                </w:tcPr>
                <w:p>
                  <w:pPr>
                    <w:pStyle w:val="18"/>
                    <w:bidi w:val="0"/>
                    <w:spacing w:line="240" w:lineRule="auto"/>
                    <w:rPr>
                      <w:rFonts w:hint="default"/>
                      <w:color w:val="auto"/>
                      <w:lang w:val="en-US" w:eastAsia="zh-CN"/>
                    </w:rPr>
                  </w:pPr>
                  <w:r>
                    <w:rPr>
                      <w:rFonts w:hint="eastAsia"/>
                      <w:color w:val="auto"/>
                      <w:lang w:val="en-US" w:eastAsia="zh-CN"/>
                    </w:rPr>
                    <w:t>0.03t/a</w:t>
                  </w:r>
                </w:p>
              </w:tc>
              <w:tc>
                <w:tcPr>
                  <w:tcW w:w="1506" w:type="pct"/>
                  <w:noWrap w:val="0"/>
                  <w:vAlign w:val="top"/>
                </w:tcPr>
                <w:p>
                  <w:pPr>
                    <w:pStyle w:val="18"/>
                    <w:bidi w:val="0"/>
                    <w:spacing w:line="240" w:lineRule="auto"/>
                    <w:rPr>
                      <w:rFonts w:hint="default"/>
                      <w:color w:val="auto"/>
                      <w:lang w:val="en-US" w:eastAsia="zh-CN"/>
                    </w:rPr>
                  </w:pPr>
                  <w:r>
                    <w:rPr>
                      <w:rFonts w:hint="eastAsia"/>
                      <w:color w:val="auto"/>
                      <w:lang w:val="en-US" w:eastAsia="zh-CN"/>
                    </w:rPr>
                    <w:t>0.006t/a</w:t>
                  </w:r>
                </w:p>
              </w:tc>
              <w:tc>
                <w:tcPr>
                  <w:tcW w:w="1506" w:type="pct"/>
                  <w:noWrap w:val="0"/>
                  <w:vAlign w:val="top"/>
                </w:tcPr>
                <w:p>
                  <w:pPr>
                    <w:pStyle w:val="18"/>
                    <w:bidi w:val="0"/>
                    <w:spacing w:line="240" w:lineRule="auto"/>
                    <w:rPr>
                      <w:rFonts w:hint="default"/>
                      <w:color w:val="auto"/>
                      <w:lang w:val="en-US" w:eastAsia="zh-CN"/>
                    </w:rPr>
                  </w:pPr>
                  <w:r>
                    <w:rPr>
                      <w:rFonts w:hint="eastAsia"/>
                      <w:color w:val="auto"/>
                      <w:lang w:val="en-US" w:eastAsia="zh-CN"/>
                    </w:rPr>
                    <w:t>0.01</w:t>
                  </w:r>
                  <w:r>
                    <w:rPr>
                      <w:rFonts w:hint="eastAsia"/>
                      <w:color w:val="auto"/>
                      <w:lang w:eastAsia="zh-CN"/>
                    </w:rPr>
                    <w:t>kg/h</w:t>
                  </w:r>
                </w:p>
              </w:tc>
            </w:tr>
          </w:tbl>
          <w:p>
            <w:pPr>
              <w:spacing w:line="360" w:lineRule="auto"/>
              <w:ind w:firstLine="480" w:firstLineChars="200"/>
              <w:rPr>
                <w:rFonts w:hint="eastAsia"/>
                <w:color w:val="auto"/>
                <w:lang w:val="en-US" w:eastAsia="zh-CN"/>
              </w:rPr>
            </w:pPr>
            <w:r>
              <w:rPr>
                <w:rFonts w:hint="eastAsia"/>
                <w:color w:val="auto"/>
                <w:lang w:val="en-US" w:eastAsia="zh-CN"/>
              </w:rPr>
              <w:t xml:space="preserve">（2）喷涂废气 </w:t>
            </w:r>
          </w:p>
          <w:p>
            <w:pPr>
              <w:spacing w:line="360" w:lineRule="auto"/>
              <w:ind w:firstLine="480" w:firstLineChars="200"/>
              <w:rPr>
                <w:rFonts w:hint="eastAsia"/>
                <w:color w:val="auto"/>
                <w:lang w:val="en-US" w:eastAsia="zh-CN"/>
              </w:rPr>
            </w:pPr>
            <w:r>
              <w:rPr>
                <w:rFonts w:hint="eastAsia"/>
                <w:color w:val="auto"/>
                <w:lang w:val="en-US" w:eastAsia="zh-CN"/>
              </w:rPr>
              <w:t xml:space="preserve">本项目调漆、喷漆、自然晾干工序均产生有机废气（本次环评以VOCs计）。 </w:t>
            </w:r>
          </w:p>
          <w:p>
            <w:pPr>
              <w:spacing w:line="360" w:lineRule="auto"/>
              <w:ind w:firstLine="480" w:firstLineChars="200"/>
              <w:rPr>
                <w:rFonts w:hint="eastAsia"/>
                <w:color w:val="auto"/>
                <w:lang w:val="en-US" w:eastAsia="zh-CN"/>
              </w:rPr>
            </w:pPr>
            <w:r>
              <w:rPr>
                <w:rFonts w:hint="eastAsia"/>
                <w:color w:val="auto"/>
                <w:lang w:val="en-US" w:eastAsia="zh-CN"/>
              </w:rPr>
              <w:t>本项目喷漆区单独设置于车间东南角，喷涂车间与生产车间之间以密闭门隔开。其中喷漆室占地面积为10</w:t>
            </w:r>
            <w:r>
              <w:rPr>
                <w:rFonts w:hint="default"/>
                <w:color w:val="auto"/>
                <w:lang w:val="en-US" w:eastAsia="zh-CN"/>
              </w:rPr>
              <w:t>0</w:t>
            </w:r>
            <w:r>
              <w:rPr>
                <w:color w:val="auto"/>
              </w:rPr>
              <w:t>m</w:t>
            </w:r>
            <w:r>
              <w:rPr>
                <w:color w:val="auto"/>
                <w:vertAlign w:val="superscript"/>
              </w:rPr>
              <w:t>2</w:t>
            </w:r>
            <w:r>
              <w:rPr>
                <w:rFonts w:hint="eastAsia"/>
                <w:color w:val="auto"/>
                <w:lang w:val="en-US" w:eastAsia="zh-CN"/>
              </w:rPr>
              <w:t>、高9.6</w:t>
            </w:r>
            <w:r>
              <w:rPr>
                <w:rFonts w:hint="default"/>
                <w:color w:val="auto"/>
                <w:lang w:val="en-US" w:eastAsia="zh-CN"/>
              </w:rPr>
              <w:t>m</w:t>
            </w:r>
            <w:r>
              <w:rPr>
                <w:rFonts w:hint="eastAsia"/>
                <w:color w:val="auto"/>
                <w:lang w:val="en-US" w:eastAsia="zh-CN"/>
              </w:rPr>
              <w:t xml:space="preserve">，本项目调漆、喷漆、自然晾干均在负压密闭的喷漆室内进行。 </w:t>
            </w:r>
          </w:p>
          <w:p>
            <w:pPr>
              <w:spacing w:line="360" w:lineRule="auto"/>
              <w:ind w:firstLine="480" w:firstLineChars="200"/>
              <w:rPr>
                <w:rFonts w:hint="eastAsia"/>
                <w:color w:val="auto"/>
                <w:lang w:val="en-US" w:eastAsia="zh-CN"/>
              </w:rPr>
            </w:pPr>
            <w:r>
              <w:rPr>
                <w:rFonts w:hint="eastAsia"/>
                <w:color w:val="auto"/>
                <w:lang w:val="en-US" w:eastAsia="zh-CN"/>
              </w:rPr>
              <w:t xml:space="preserve">I各涂装工序作业时间 </w:t>
            </w:r>
          </w:p>
          <w:p>
            <w:pPr>
              <w:spacing w:line="360" w:lineRule="auto"/>
              <w:ind w:firstLine="480" w:firstLineChars="200"/>
              <w:rPr>
                <w:rFonts w:hint="eastAsia"/>
                <w:color w:val="auto"/>
                <w:lang w:val="en-US" w:eastAsia="zh-CN"/>
              </w:rPr>
            </w:pPr>
            <w:r>
              <w:rPr>
                <w:rFonts w:hint="eastAsia"/>
                <w:color w:val="auto"/>
                <w:lang w:val="en-US" w:eastAsia="zh-CN"/>
              </w:rPr>
              <w:t>①调漆：每天工作1次，每次约30</w:t>
            </w:r>
            <w:r>
              <w:rPr>
                <w:rFonts w:hint="default"/>
                <w:color w:val="auto"/>
                <w:lang w:val="en-US" w:eastAsia="zh-CN"/>
              </w:rPr>
              <w:t>min</w:t>
            </w:r>
            <w:r>
              <w:rPr>
                <w:rFonts w:hint="eastAsia"/>
                <w:color w:val="auto"/>
                <w:lang w:val="en-US" w:eastAsia="zh-CN"/>
              </w:rPr>
              <w:t>，即3</w:t>
            </w:r>
            <w:r>
              <w:rPr>
                <w:rFonts w:hint="default"/>
                <w:color w:val="auto"/>
                <w:lang w:val="en-US" w:eastAsia="zh-CN"/>
              </w:rPr>
              <w:t>0min/d</w:t>
            </w:r>
            <w:r>
              <w:rPr>
                <w:rFonts w:hint="eastAsia"/>
                <w:color w:val="auto"/>
                <w:lang w:val="en-US" w:eastAsia="zh-CN"/>
              </w:rPr>
              <w:t>，每年工作</w:t>
            </w:r>
            <w:r>
              <w:rPr>
                <w:rFonts w:hint="default"/>
                <w:color w:val="auto"/>
                <w:lang w:val="en-US" w:eastAsia="zh-CN"/>
              </w:rPr>
              <w:t>300</w:t>
            </w:r>
            <w:r>
              <w:rPr>
                <w:rFonts w:hint="eastAsia"/>
                <w:color w:val="auto"/>
                <w:lang w:val="en-US" w:eastAsia="zh-CN"/>
              </w:rPr>
              <w:t xml:space="preserve">天； </w:t>
            </w:r>
          </w:p>
          <w:p>
            <w:pPr>
              <w:spacing w:line="360" w:lineRule="auto"/>
              <w:ind w:firstLine="480" w:firstLineChars="200"/>
              <w:rPr>
                <w:rFonts w:hint="eastAsia"/>
                <w:color w:val="auto"/>
                <w:lang w:val="en-US" w:eastAsia="zh-CN"/>
              </w:rPr>
            </w:pPr>
            <w:r>
              <w:rPr>
                <w:rFonts w:hint="eastAsia"/>
                <w:color w:val="auto"/>
                <w:lang w:val="en-US" w:eastAsia="zh-CN"/>
              </w:rPr>
              <w:t>②喷底漆：每天工作1次，每次约6</w:t>
            </w:r>
            <w:r>
              <w:rPr>
                <w:rFonts w:hint="default"/>
                <w:color w:val="auto"/>
                <w:lang w:val="en-US" w:eastAsia="zh-CN"/>
              </w:rPr>
              <w:t>0min</w:t>
            </w:r>
            <w:r>
              <w:rPr>
                <w:rFonts w:hint="eastAsia"/>
                <w:color w:val="auto"/>
                <w:lang w:val="en-US" w:eastAsia="zh-CN"/>
              </w:rPr>
              <w:t>，即6</w:t>
            </w:r>
            <w:r>
              <w:rPr>
                <w:rFonts w:hint="default"/>
                <w:color w:val="auto"/>
                <w:lang w:val="en-US" w:eastAsia="zh-CN"/>
              </w:rPr>
              <w:t>0min/d</w:t>
            </w:r>
            <w:r>
              <w:rPr>
                <w:rFonts w:hint="eastAsia"/>
                <w:color w:val="auto"/>
                <w:lang w:val="en-US" w:eastAsia="zh-CN"/>
              </w:rPr>
              <w:t>，每年工作</w:t>
            </w:r>
            <w:r>
              <w:rPr>
                <w:rFonts w:hint="default"/>
                <w:color w:val="auto"/>
                <w:lang w:val="en-US" w:eastAsia="zh-CN"/>
              </w:rPr>
              <w:t>300</w:t>
            </w:r>
            <w:r>
              <w:rPr>
                <w:rFonts w:hint="eastAsia"/>
                <w:color w:val="auto"/>
                <w:lang w:val="en-US" w:eastAsia="zh-CN"/>
              </w:rPr>
              <w:t xml:space="preserve">天； </w:t>
            </w:r>
          </w:p>
          <w:p>
            <w:pPr>
              <w:spacing w:line="360" w:lineRule="auto"/>
              <w:ind w:firstLine="480" w:firstLineChars="200"/>
              <w:rPr>
                <w:rFonts w:hint="eastAsia"/>
                <w:color w:val="auto"/>
                <w:lang w:val="en-US" w:eastAsia="zh-CN"/>
              </w:rPr>
            </w:pPr>
            <w:r>
              <w:rPr>
                <w:rFonts w:hint="eastAsia"/>
                <w:color w:val="auto"/>
                <w:lang w:val="en-US" w:eastAsia="zh-CN"/>
              </w:rPr>
              <w:t>③喷面漆：每天工作1次，每次约6</w:t>
            </w:r>
            <w:r>
              <w:rPr>
                <w:rFonts w:hint="default"/>
                <w:color w:val="auto"/>
                <w:lang w:val="en-US" w:eastAsia="zh-CN"/>
              </w:rPr>
              <w:t>0min</w:t>
            </w:r>
            <w:r>
              <w:rPr>
                <w:rFonts w:hint="eastAsia"/>
                <w:color w:val="auto"/>
                <w:lang w:val="en-US" w:eastAsia="zh-CN"/>
              </w:rPr>
              <w:t>，即6</w:t>
            </w:r>
            <w:r>
              <w:rPr>
                <w:rFonts w:hint="default"/>
                <w:color w:val="auto"/>
                <w:lang w:val="en-US" w:eastAsia="zh-CN"/>
              </w:rPr>
              <w:t>0min/d</w:t>
            </w:r>
            <w:r>
              <w:rPr>
                <w:rFonts w:hint="eastAsia"/>
                <w:color w:val="auto"/>
                <w:lang w:val="en-US" w:eastAsia="zh-CN"/>
              </w:rPr>
              <w:t>，每年工作</w:t>
            </w:r>
            <w:r>
              <w:rPr>
                <w:rFonts w:hint="default"/>
                <w:color w:val="auto"/>
                <w:lang w:val="en-US" w:eastAsia="zh-CN"/>
              </w:rPr>
              <w:t>300</w:t>
            </w:r>
            <w:r>
              <w:rPr>
                <w:rFonts w:hint="eastAsia"/>
                <w:color w:val="auto"/>
                <w:lang w:val="en-US" w:eastAsia="zh-CN"/>
              </w:rPr>
              <w:t xml:space="preserve">天； </w:t>
            </w:r>
          </w:p>
          <w:p>
            <w:pPr>
              <w:spacing w:line="360" w:lineRule="auto"/>
              <w:ind w:firstLine="480" w:firstLineChars="200"/>
              <w:rPr>
                <w:rFonts w:hint="eastAsia"/>
                <w:color w:val="auto"/>
                <w:lang w:val="en-US" w:eastAsia="zh-CN"/>
              </w:rPr>
            </w:pPr>
            <w:r>
              <w:rPr>
                <w:rFonts w:hint="eastAsia"/>
                <w:color w:val="auto"/>
                <w:lang w:val="en-US" w:eastAsia="zh-CN"/>
              </w:rPr>
              <w:t>④晾干：每天工作1次，每次约6</w:t>
            </w:r>
            <w:r>
              <w:rPr>
                <w:rFonts w:hint="default"/>
                <w:color w:val="auto"/>
                <w:lang w:val="en-US" w:eastAsia="zh-CN"/>
              </w:rPr>
              <w:t>0min</w:t>
            </w:r>
            <w:r>
              <w:rPr>
                <w:rFonts w:hint="eastAsia"/>
                <w:color w:val="auto"/>
                <w:lang w:val="en-US" w:eastAsia="zh-CN"/>
              </w:rPr>
              <w:t>，即120min</w:t>
            </w:r>
            <w:r>
              <w:rPr>
                <w:rFonts w:hint="default"/>
                <w:color w:val="auto"/>
                <w:lang w:val="en-US" w:eastAsia="zh-CN"/>
              </w:rPr>
              <w:t>/d</w:t>
            </w:r>
            <w:r>
              <w:rPr>
                <w:rFonts w:hint="eastAsia"/>
                <w:color w:val="auto"/>
                <w:lang w:val="en-US" w:eastAsia="zh-CN"/>
              </w:rPr>
              <w:t>，每年工作</w:t>
            </w:r>
            <w:r>
              <w:rPr>
                <w:rFonts w:hint="default"/>
                <w:color w:val="auto"/>
                <w:lang w:val="en-US" w:eastAsia="zh-CN"/>
              </w:rPr>
              <w:t>300</w:t>
            </w:r>
            <w:r>
              <w:rPr>
                <w:rFonts w:hint="eastAsia"/>
                <w:color w:val="auto"/>
                <w:lang w:val="en-US" w:eastAsia="zh-CN"/>
              </w:rPr>
              <w:t xml:space="preserve">天。 </w:t>
            </w:r>
          </w:p>
          <w:p>
            <w:pPr>
              <w:spacing w:line="360" w:lineRule="auto"/>
              <w:ind w:firstLine="480" w:firstLineChars="200"/>
              <w:rPr>
                <w:rFonts w:hint="eastAsia"/>
                <w:color w:val="auto"/>
                <w:lang w:val="en-US" w:eastAsia="zh-CN"/>
              </w:rPr>
            </w:pPr>
            <w:r>
              <w:rPr>
                <w:rFonts w:hint="eastAsia"/>
                <w:color w:val="auto"/>
                <w:lang w:val="en-US" w:eastAsia="zh-CN"/>
              </w:rPr>
              <w:t>调漆、喷漆、晾干工作时间共计4.5</w:t>
            </w:r>
            <w:r>
              <w:rPr>
                <w:rFonts w:hint="default"/>
                <w:color w:val="auto"/>
                <w:lang w:val="en-US" w:eastAsia="zh-CN"/>
              </w:rPr>
              <w:t>h/d</w:t>
            </w:r>
            <w:r>
              <w:rPr>
                <w:rFonts w:hint="eastAsia"/>
                <w:color w:val="auto"/>
                <w:lang w:val="en-US" w:eastAsia="zh-CN"/>
              </w:rPr>
              <w:t>、1350</w:t>
            </w:r>
            <w:r>
              <w:rPr>
                <w:rFonts w:hint="default"/>
                <w:color w:val="auto"/>
                <w:lang w:val="en-US" w:eastAsia="zh-CN"/>
              </w:rPr>
              <w:t>h/a</w:t>
            </w:r>
            <w:r>
              <w:rPr>
                <w:rFonts w:hint="eastAsia"/>
                <w:color w:val="auto"/>
                <w:lang w:val="en-US" w:eastAsia="zh-CN"/>
              </w:rPr>
              <w:t xml:space="preserve">。 </w:t>
            </w:r>
          </w:p>
          <w:p>
            <w:pPr>
              <w:spacing w:line="360" w:lineRule="auto"/>
              <w:ind w:firstLine="480" w:firstLineChars="200"/>
              <w:rPr>
                <w:rFonts w:hint="eastAsia"/>
                <w:color w:val="auto"/>
                <w:lang w:val="en-US" w:eastAsia="zh-CN"/>
              </w:rPr>
            </w:pPr>
            <w:r>
              <w:rPr>
                <w:rFonts w:hint="eastAsia"/>
                <w:color w:val="auto"/>
                <w:lang w:val="en-US" w:eastAsia="zh-CN"/>
              </w:rPr>
              <w:t xml:space="preserve">Ⅱ有机废气产生量 </w:t>
            </w:r>
          </w:p>
          <w:p>
            <w:pPr>
              <w:spacing w:line="360" w:lineRule="auto"/>
              <w:ind w:firstLine="480" w:firstLineChars="200"/>
              <w:rPr>
                <w:rFonts w:hint="eastAsia"/>
                <w:color w:val="auto"/>
                <w:lang w:val="en-US" w:eastAsia="zh-CN"/>
              </w:rPr>
            </w:pPr>
            <w:r>
              <w:rPr>
                <w:rFonts w:hint="eastAsia"/>
                <w:color w:val="auto"/>
                <w:lang w:val="en-US" w:eastAsia="zh-CN"/>
              </w:rPr>
              <w:t>本项目使用的涂料含底漆、面漆，有机废气产生量按涂料挥发性物 质全挥发计算。本项目底漆及面漆均为水性丙烯酸漆，涂料不需使用有机溶剂，以水为溶剂，不含三苯，本次环评以挥发性有机物（VOCs）挥发量少。根据《环境标志产品技术要求一水性涂料》（</w:t>
            </w:r>
            <w:r>
              <w:rPr>
                <w:rFonts w:hint="default"/>
                <w:color w:val="auto"/>
                <w:lang w:val="en-US" w:eastAsia="zh-CN"/>
              </w:rPr>
              <w:t>HJ2537-2014</w:t>
            </w:r>
            <w:r>
              <w:rPr>
                <w:rFonts w:hint="eastAsia"/>
                <w:color w:val="auto"/>
                <w:lang w:val="en-US" w:eastAsia="zh-CN"/>
              </w:rPr>
              <w:t>）表</w:t>
            </w:r>
            <w:r>
              <w:rPr>
                <w:rFonts w:hint="default"/>
                <w:color w:val="auto"/>
                <w:lang w:val="en-US" w:eastAsia="zh-CN"/>
              </w:rPr>
              <w:t>2</w:t>
            </w:r>
            <w:r>
              <w:rPr>
                <w:rFonts w:hint="eastAsia"/>
                <w:color w:val="auto"/>
                <w:lang w:val="en-US" w:eastAsia="zh-CN"/>
              </w:rPr>
              <w:t xml:space="preserve">工业涂料中有害物质值，具体见下表。 </w:t>
            </w:r>
          </w:p>
          <w:p>
            <w:pPr>
              <w:pStyle w:val="19"/>
              <w:bidi w:val="0"/>
              <w:rPr>
                <w:rFonts w:hint="eastAsia"/>
                <w:color w:val="auto"/>
                <w:lang w:val="en-US" w:eastAsia="zh-CN"/>
              </w:rPr>
            </w:pPr>
            <w:r>
              <w:rPr>
                <w:rFonts w:hint="eastAsia"/>
                <w:color w:val="auto"/>
                <w:lang w:val="en-US" w:eastAsia="zh-CN"/>
              </w:rPr>
              <w:t xml:space="preserve">表5-3 工业涂料中有害物质限值 </w:t>
            </w:r>
          </w:p>
          <w:tbl>
            <w:tblPr>
              <w:tblStyle w:val="14"/>
              <w:tblW w:w="83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3" w:type="dxa"/>
                  <w:noWrap w:val="0"/>
                  <w:vAlign w:val="top"/>
                </w:tcPr>
                <w:p>
                  <w:pPr>
                    <w:pStyle w:val="18"/>
                    <w:bidi w:val="0"/>
                    <w:spacing w:line="240" w:lineRule="auto"/>
                    <w:rPr>
                      <w:rFonts w:hint="default"/>
                      <w:color w:val="auto"/>
                      <w:lang w:val="en-US" w:eastAsia="zh-CN"/>
                    </w:rPr>
                  </w:pPr>
                  <w:r>
                    <w:rPr>
                      <w:rFonts w:hint="eastAsia"/>
                      <w:color w:val="auto"/>
                      <w:lang w:val="en-US" w:eastAsia="zh-CN"/>
                    </w:rPr>
                    <w:t>项目/产品种类</w:t>
                  </w:r>
                </w:p>
              </w:tc>
              <w:tc>
                <w:tcPr>
                  <w:tcW w:w="4153" w:type="dxa"/>
                  <w:noWrap w:val="0"/>
                  <w:vAlign w:val="top"/>
                </w:tcPr>
                <w:p>
                  <w:pPr>
                    <w:pStyle w:val="18"/>
                    <w:bidi w:val="0"/>
                    <w:spacing w:line="240" w:lineRule="auto"/>
                    <w:rPr>
                      <w:rFonts w:hint="eastAsia"/>
                      <w:color w:val="auto"/>
                      <w:lang w:val="en-US" w:eastAsia="zh-CN"/>
                    </w:rPr>
                  </w:pPr>
                  <w:r>
                    <w:rPr>
                      <w:rFonts w:hint="eastAsia"/>
                      <w:color w:val="auto"/>
                      <w:lang w:val="en-US" w:eastAsia="zh-CN"/>
                    </w:rPr>
                    <w:t>防腐涂料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3" w:type="dxa"/>
                  <w:noWrap w:val="0"/>
                  <w:vAlign w:val="top"/>
                </w:tcPr>
                <w:p>
                  <w:pPr>
                    <w:pStyle w:val="18"/>
                    <w:bidi w:val="0"/>
                    <w:spacing w:line="240" w:lineRule="auto"/>
                    <w:rPr>
                      <w:rFonts w:hint="eastAsia"/>
                      <w:color w:val="auto"/>
                      <w:lang w:val="en-US" w:eastAsia="zh-CN"/>
                    </w:rPr>
                  </w:pPr>
                  <w:r>
                    <w:rPr>
                      <w:rFonts w:hint="eastAsia"/>
                      <w:color w:val="auto"/>
                      <w:lang w:val="en-US" w:eastAsia="zh-CN"/>
                    </w:rPr>
                    <w:t>挥发性有机物</w:t>
                  </w:r>
                </w:p>
              </w:tc>
              <w:tc>
                <w:tcPr>
                  <w:tcW w:w="4153" w:type="dxa"/>
                  <w:noWrap w:val="0"/>
                  <w:vAlign w:val="top"/>
                </w:tcPr>
                <w:p>
                  <w:pPr>
                    <w:pStyle w:val="18"/>
                    <w:bidi w:val="0"/>
                    <w:spacing w:line="240" w:lineRule="auto"/>
                    <w:rPr>
                      <w:rFonts w:hint="default"/>
                      <w:color w:val="auto"/>
                      <w:lang w:val="en-US" w:eastAsia="zh-CN"/>
                    </w:rPr>
                  </w:pPr>
                  <w:r>
                    <w:rPr>
                      <w:rFonts w:hint="eastAsia"/>
                      <w:color w:val="auto"/>
                      <w:lang w:val="en-US" w:eastAsia="zh-CN"/>
                    </w:rPr>
                    <w:t>≤250g/L</w:t>
                  </w:r>
                </w:p>
              </w:tc>
            </w:tr>
          </w:tbl>
          <w:p>
            <w:pPr>
              <w:spacing w:line="360" w:lineRule="auto"/>
              <w:ind w:firstLine="480"/>
              <w:rPr>
                <w:rFonts w:hint="eastAsia"/>
                <w:color w:val="auto"/>
                <w:lang w:val="en-US" w:eastAsia="zh-CN"/>
              </w:rPr>
            </w:pPr>
            <w:r>
              <w:rPr>
                <w:rFonts w:hint="eastAsia"/>
                <w:color w:val="auto"/>
                <w:lang w:val="en-US" w:eastAsia="zh-CN"/>
              </w:rPr>
              <w:t>根据建设单位提供的资料，本项目水性涂料由衡水新光新材料科技有限公司提供。根据该公司委托重庆市计量质量检测研究院对水性漆检验报告（见附件），项目所用水性涂料中VOCs限值为90</w:t>
            </w:r>
            <w:r>
              <w:rPr>
                <w:rFonts w:hint="default"/>
                <w:color w:val="auto"/>
                <w:lang w:val="en-US" w:eastAsia="zh-CN"/>
              </w:rPr>
              <w:t>g/L</w:t>
            </w:r>
            <w:r>
              <w:rPr>
                <w:rFonts w:hint="eastAsia"/>
                <w:color w:val="auto"/>
                <w:lang w:val="en-US" w:eastAsia="zh-CN"/>
              </w:rPr>
              <w:t>，满足《环境标志产品技术要求一水性涂料》（</w:t>
            </w:r>
            <w:r>
              <w:rPr>
                <w:rFonts w:hint="default"/>
                <w:color w:val="auto"/>
                <w:lang w:val="en-US" w:eastAsia="zh-CN"/>
              </w:rPr>
              <w:t>HJ2537-2014</w:t>
            </w:r>
            <w:r>
              <w:rPr>
                <w:rFonts w:hint="eastAsia"/>
                <w:color w:val="auto"/>
                <w:lang w:val="en-US" w:eastAsia="zh-CN"/>
              </w:rPr>
              <w:t>）表</w:t>
            </w:r>
            <w:r>
              <w:rPr>
                <w:rFonts w:hint="default"/>
                <w:color w:val="auto"/>
                <w:lang w:val="en-US" w:eastAsia="zh-CN"/>
              </w:rPr>
              <w:t>2</w:t>
            </w:r>
            <w:r>
              <w:rPr>
                <w:rFonts w:hint="eastAsia"/>
                <w:color w:val="auto"/>
                <w:lang w:val="en-US" w:eastAsia="zh-CN"/>
              </w:rPr>
              <w:t xml:space="preserve">工业涂料中有害物质值。 </w:t>
            </w:r>
          </w:p>
          <w:p>
            <w:pPr>
              <w:spacing w:line="360" w:lineRule="auto"/>
              <w:ind w:firstLine="480" w:firstLineChars="200"/>
              <w:rPr>
                <w:rFonts w:hint="eastAsia"/>
                <w:color w:val="auto"/>
                <w:lang w:val="en-US" w:eastAsia="zh-CN"/>
              </w:rPr>
            </w:pPr>
            <w:r>
              <w:rPr>
                <w:rFonts w:hint="eastAsia"/>
                <w:color w:val="auto"/>
                <w:lang w:val="en-US" w:eastAsia="zh-CN"/>
              </w:rPr>
              <w:t>项目喷漆过程中，VOCs，固体分部分附着于工件表面，形成漆层，剩余部分形成漆渣、漆雾。</w:t>
            </w:r>
          </w:p>
          <w:p>
            <w:pPr>
              <w:spacing w:line="360" w:lineRule="auto"/>
              <w:ind w:firstLine="480" w:firstLineChars="200"/>
              <w:rPr>
                <w:rFonts w:hint="eastAsia"/>
                <w:color w:val="auto"/>
                <w:lang w:val="en-US" w:eastAsia="zh-CN"/>
              </w:rPr>
            </w:pPr>
            <w:r>
              <w:rPr>
                <w:rFonts w:hint="eastAsia"/>
                <w:color w:val="auto"/>
                <w:lang w:val="en-US" w:eastAsia="zh-CN"/>
              </w:rPr>
              <w:t>①有机废气</w:t>
            </w:r>
          </w:p>
          <w:p>
            <w:pPr>
              <w:spacing w:line="360" w:lineRule="auto"/>
              <w:ind w:firstLine="480" w:firstLineChars="200"/>
              <w:rPr>
                <w:rFonts w:hint="eastAsia"/>
                <w:color w:val="auto"/>
                <w:lang w:val="en-US" w:eastAsia="zh-CN"/>
              </w:rPr>
            </w:pPr>
            <w:r>
              <w:rPr>
                <w:rFonts w:hint="eastAsia"/>
                <w:color w:val="auto"/>
                <w:lang w:val="en-US" w:eastAsia="zh-CN"/>
              </w:rPr>
              <w:t>项目水性漆料用量共为3.6t/a，根据建设单位提供的资料，本项目使用的水性漆密度为1.2g/cm</w:t>
            </w:r>
            <w:r>
              <w:rPr>
                <w:rFonts w:hint="eastAsia"/>
                <w:color w:val="auto"/>
                <w:vertAlign w:val="superscript"/>
                <w:lang w:val="en-US" w:eastAsia="zh-CN"/>
              </w:rPr>
              <w:t>3</w:t>
            </w:r>
            <w:r>
              <w:rPr>
                <w:rFonts w:hint="eastAsia"/>
                <w:color w:val="auto"/>
                <w:lang w:val="en-US" w:eastAsia="zh-CN"/>
              </w:rPr>
              <w:t xml:space="preserve">，则本项目水性漆用量为3000L/a。VOCs产生量0.27t/a。 </w:t>
            </w:r>
          </w:p>
          <w:p>
            <w:pPr>
              <w:spacing w:line="360" w:lineRule="auto"/>
              <w:ind w:firstLine="480"/>
              <w:rPr>
                <w:rFonts w:hint="eastAsia"/>
                <w:color w:val="auto"/>
                <w:lang w:val="en-US" w:eastAsia="zh-CN"/>
              </w:rPr>
            </w:pPr>
            <w:r>
              <w:rPr>
                <w:rFonts w:hint="eastAsia"/>
                <w:color w:val="auto"/>
                <w:lang w:val="en-US" w:eastAsia="zh-CN"/>
              </w:rPr>
              <w:t>本项目调漆、喷漆、晾干工作均在喷漆车间进行，喷漆车间处于均负压密闭状态，仅在进料与出料开门时有少量有机废气溢出。喷漆车间设置负压抽送风装置，日常需加强管理与修护确保喷漆车间墙体处于密封不漏风，（有机废气收集效率80%，处理效率90%）。</w:t>
            </w:r>
          </w:p>
          <w:p>
            <w:pPr>
              <w:spacing w:line="360" w:lineRule="auto"/>
              <w:ind w:firstLine="480" w:firstLineChars="200"/>
              <w:rPr>
                <w:rFonts w:hint="eastAsia"/>
                <w:color w:val="auto"/>
                <w:lang w:val="en-US" w:eastAsia="zh-CN"/>
              </w:rPr>
            </w:pPr>
            <w:r>
              <w:rPr>
                <w:rFonts w:hint="eastAsia"/>
                <w:color w:val="auto"/>
                <w:lang w:val="en-US" w:eastAsia="zh-CN"/>
              </w:rPr>
              <w:t>喷漆室占地面积为100</w:t>
            </w:r>
            <w:r>
              <w:rPr>
                <w:color w:val="auto"/>
              </w:rPr>
              <w:t>m</w:t>
            </w:r>
            <w:r>
              <w:rPr>
                <w:color w:val="auto"/>
                <w:vertAlign w:val="superscript"/>
              </w:rPr>
              <w:t>2</w:t>
            </w:r>
            <w:r>
              <w:rPr>
                <w:rFonts w:hint="eastAsia"/>
                <w:color w:val="auto"/>
                <w:lang w:val="en-US" w:eastAsia="zh-CN"/>
              </w:rPr>
              <w:t>、高9.6</w:t>
            </w:r>
            <w:r>
              <w:rPr>
                <w:rFonts w:hint="default"/>
                <w:color w:val="auto"/>
                <w:lang w:val="en-US" w:eastAsia="zh-CN"/>
              </w:rPr>
              <w:t>m</w:t>
            </w:r>
            <w:r>
              <w:rPr>
                <w:rFonts w:hint="eastAsia"/>
                <w:color w:val="auto"/>
                <w:lang w:val="en-US" w:eastAsia="zh-CN"/>
              </w:rPr>
              <w:t>，本项目调漆、喷漆、晾干均在负压密闭的喷漆车间进行，本项目最大风量为6</w:t>
            </w:r>
            <w:r>
              <w:rPr>
                <w:rFonts w:hint="default"/>
                <w:color w:val="auto"/>
                <w:lang w:val="en-US" w:eastAsia="zh-CN"/>
              </w:rPr>
              <w:t>000</w:t>
            </w:r>
            <w:r>
              <w:rPr>
                <w:rFonts w:hint="eastAsia"/>
                <w:color w:val="auto"/>
                <w:lang w:val="en-US" w:eastAsia="zh-CN"/>
              </w:rPr>
              <w:t>m</w:t>
            </w:r>
            <w:r>
              <w:rPr>
                <w:rFonts w:hint="eastAsia"/>
                <w:color w:val="auto"/>
                <w:vertAlign w:val="superscript"/>
                <w:lang w:val="en-US" w:eastAsia="zh-CN"/>
              </w:rPr>
              <w:t>3</w:t>
            </w:r>
            <w:r>
              <w:rPr>
                <w:rFonts w:hint="default"/>
                <w:color w:val="auto"/>
                <w:lang w:val="en-US" w:eastAsia="zh-CN"/>
              </w:rPr>
              <w:t>/h</w:t>
            </w:r>
            <w:r>
              <w:rPr>
                <w:rFonts w:hint="eastAsia"/>
                <w:color w:val="auto"/>
                <w:lang w:val="en-US" w:eastAsia="zh-CN"/>
              </w:rPr>
              <w:t>，喷漆车间工作时长为1350</w:t>
            </w:r>
            <w:r>
              <w:rPr>
                <w:rFonts w:hint="default"/>
                <w:color w:val="auto"/>
                <w:lang w:val="en-US" w:eastAsia="zh-CN"/>
              </w:rPr>
              <w:t>h</w:t>
            </w:r>
            <w:r>
              <w:rPr>
                <w:rFonts w:hint="eastAsia"/>
                <w:color w:val="auto"/>
                <w:lang w:val="en-US" w:eastAsia="zh-CN"/>
              </w:rPr>
              <w:t>（每天运作4.5</w:t>
            </w:r>
            <w:r>
              <w:rPr>
                <w:rFonts w:hint="default"/>
                <w:color w:val="auto"/>
                <w:lang w:val="en-US" w:eastAsia="zh-CN"/>
              </w:rPr>
              <w:t>h</w:t>
            </w:r>
            <w:r>
              <w:rPr>
                <w:rFonts w:hint="eastAsia"/>
                <w:color w:val="auto"/>
                <w:lang w:val="en-US" w:eastAsia="zh-CN"/>
              </w:rPr>
              <w:t>，年运作</w:t>
            </w:r>
            <w:r>
              <w:rPr>
                <w:rFonts w:hint="default"/>
                <w:color w:val="auto"/>
                <w:lang w:val="en-US" w:eastAsia="zh-CN"/>
              </w:rPr>
              <w:t>300</w:t>
            </w:r>
            <w:r>
              <w:rPr>
                <w:rFonts w:hint="eastAsia"/>
                <w:color w:val="auto"/>
                <w:lang w:val="en-US" w:eastAsia="zh-CN"/>
              </w:rPr>
              <w:t>天）算。本项目喷漆车间废气经收集后通过过滤棉+活性炭吸附处理装置处理VOCs总效率按</w:t>
            </w:r>
            <w:r>
              <w:rPr>
                <w:rFonts w:hint="default"/>
                <w:color w:val="auto"/>
                <w:lang w:val="en-US" w:eastAsia="zh-CN"/>
              </w:rPr>
              <w:t>90%</w:t>
            </w:r>
            <w:r>
              <w:rPr>
                <w:rFonts w:hint="eastAsia"/>
                <w:color w:val="auto"/>
                <w:lang w:val="en-US" w:eastAsia="zh-CN"/>
              </w:rPr>
              <w:t>计）后由1根</w:t>
            </w:r>
            <w:r>
              <w:rPr>
                <w:rFonts w:hint="default"/>
                <w:color w:val="auto"/>
                <w:lang w:val="en-US" w:eastAsia="zh-CN"/>
              </w:rPr>
              <w:t>15m</w:t>
            </w:r>
            <w:r>
              <w:rPr>
                <w:rFonts w:hint="eastAsia"/>
                <w:color w:val="auto"/>
                <w:lang w:val="en-US" w:eastAsia="zh-CN"/>
              </w:rPr>
              <w:t>高排气筒排放。</w:t>
            </w:r>
          </w:p>
          <w:p>
            <w:pPr>
              <w:spacing w:line="360" w:lineRule="auto"/>
              <w:ind w:firstLine="480" w:firstLineChars="200"/>
              <w:rPr>
                <w:rFonts w:hint="eastAsia"/>
                <w:color w:val="auto"/>
                <w:lang w:val="en-US" w:eastAsia="zh-CN"/>
              </w:rPr>
            </w:pPr>
            <w:r>
              <w:rPr>
                <w:rFonts w:hint="eastAsia"/>
                <w:color w:val="auto"/>
                <w:lang w:val="en-US" w:eastAsia="zh-CN"/>
              </w:rPr>
              <w:t xml:space="preserve"> 废气经收集处理后，漆雾被过滤棉全部去除，VOCs有组织排放量为0.022t/a，排放浓度为2.72mg/m</w:t>
            </w:r>
            <w:r>
              <w:rPr>
                <w:rFonts w:hint="eastAsia"/>
                <w:color w:val="auto"/>
                <w:vertAlign w:val="superscript"/>
                <w:lang w:val="en-US" w:eastAsia="zh-CN"/>
              </w:rPr>
              <w:t>3</w:t>
            </w:r>
            <w:r>
              <w:rPr>
                <w:rFonts w:hint="eastAsia"/>
                <w:color w:val="auto"/>
                <w:lang w:val="en-US" w:eastAsia="zh-CN"/>
              </w:rPr>
              <w:t>，排放速率为0.016kg/h。未被收集的VOCs量为0.054t/a，在车间内全部以无组织形式排放。</w:t>
            </w:r>
          </w:p>
          <w:p>
            <w:pPr>
              <w:spacing w:line="360" w:lineRule="auto"/>
              <w:ind w:firstLine="480"/>
              <w:rPr>
                <w:rFonts w:hint="eastAsia"/>
                <w:color w:val="auto"/>
                <w:lang w:val="en-US" w:eastAsia="zh-CN"/>
              </w:rPr>
            </w:pPr>
            <w:r>
              <w:rPr>
                <w:rFonts w:hint="eastAsia"/>
                <w:color w:val="auto"/>
                <w:lang w:val="en-US" w:eastAsia="zh-CN"/>
              </w:rPr>
              <w:t xml:space="preserve">本项目涂装工序有机废气产排情况见下表。 </w:t>
            </w:r>
          </w:p>
          <w:p>
            <w:pPr>
              <w:pStyle w:val="19"/>
              <w:bidi w:val="0"/>
              <w:rPr>
                <w:rFonts w:hint="eastAsia"/>
                <w:color w:val="auto"/>
                <w:lang w:val="en-US" w:eastAsia="zh-CN"/>
              </w:rPr>
            </w:pPr>
            <w:r>
              <w:rPr>
                <w:rFonts w:hint="eastAsia"/>
                <w:color w:val="auto"/>
                <w:lang w:val="en-US" w:eastAsia="zh-CN"/>
              </w:rPr>
              <w:t>表5-4 喷涂个各项有机废气产排情况一览表</w:t>
            </w:r>
          </w:p>
          <w:tbl>
            <w:tblPr>
              <w:tblStyle w:val="14"/>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795"/>
              <w:gridCol w:w="660"/>
              <w:gridCol w:w="764"/>
              <w:gridCol w:w="804"/>
              <w:gridCol w:w="778"/>
              <w:gridCol w:w="777"/>
              <w:gridCol w:w="722"/>
              <w:gridCol w:w="696"/>
              <w:gridCol w:w="832"/>
              <w:gridCol w:w="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center"/>
                </w:tcPr>
                <w:p>
                  <w:pPr>
                    <w:pStyle w:val="18"/>
                    <w:bidi w:val="0"/>
                    <w:spacing w:line="240" w:lineRule="auto"/>
                    <w:rPr>
                      <w:rFonts w:hint="eastAsia"/>
                      <w:color w:val="auto"/>
                      <w:lang w:val="en-US" w:eastAsia="zh-CN"/>
                    </w:rPr>
                  </w:pPr>
                  <w:r>
                    <w:rPr>
                      <w:rFonts w:hint="eastAsia"/>
                      <w:color w:val="auto"/>
                      <w:lang w:val="en-US" w:eastAsia="zh-CN"/>
                    </w:rPr>
                    <w:t>排放形式</w:t>
                  </w:r>
                </w:p>
              </w:tc>
              <w:tc>
                <w:tcPr>
                  <w:tcW w:w="795" w:type="dxa"/>
                  <w:noWrap w:val="0"/>
                  <w:vAlign w:val="center"/>
                </w:tcPr>
                <w:p>
                  <w:pPr>
                    <w:pStyle w:val="18"/>
                    <w:bidi w:val="0"/>
                    <w:spacing w:line="240" w:lineRule="auto"/>
                    <w:rPr>
                      <w:rFonts w:hint="eastAsia"/>
                      <w:color w:val="auto"/>
                      <w:lang w:val="en-US" w:eastAsia="zh-CN"/>
                    </w:rPr>
                  </w:pPr>
                  <w:r>
                    <w:rPr>
                      <w:rFonts w:hint="eastAsia"/>
                      <w:color w:val="auto"/>
                      <w:lang w:val="en-US" w:eastAsia="zh-CN"/>
                    </w:rPr>
                    <w:t>污染物</w:t>
                  </w:r>
                </w:p>
              </w:tc>
              <w:tc>
                <w:tcPr>
                  <w:tcW w:w="660" w:type="dxa"/>
                  <w:noWrap w:val="0"/>
                  <w:vAlign w:val="center"/>
                </w:tcPr>
                <w:p>
                  <w:pPr>
                    <w:pStyle w:val="18"/>
                    <w:bidi w:val="0"/>
                    <w:spacing w:line="240" w:lineRule="auto"/>
                    <w:rPr>
                      <w:rFonts w:hint="eastAsia"/>
                      <w:color w:val="auto"/>
                      <w:lang w:val="en-US" w:eastAsia="zh-CN"/>
                    </w:rPr>
                  </w:pPr>
                  <w:r>
                    <w:rPr>
                      <w:rFonts w:hint="eastAsia"/>
                      <w:color w:val="auto"/>
                      <w:lang w:val="en-US" w:eastAsia="zh-CN"/>
                    </w:rPr>
                    <w:t>风量m</w:t>
                  </w:r>
                  <w:r>
                    <w:rPr>
                      <w:rFonts w:hint="eastAsia"/>
                      <w:color w:val="auto"/>
                      <w:vertAlign w:val="superscript"/>
                      <w:lang w:val="en-US" w:eastAsia="zh-CN"/>
                    </w:rPr>
                    <w:t>3</w:t>
                  </w:r>
                  <w:r>
                    <w:rPr>
                      <w:rFonts w:hint="eastAsia"/>
                      <w:color w:val="auto"/>
                      <w:lang w:val="en-US" w:eastAsia="zh-CN"/>
                    </w:rPr>
                    <w:t>/h</w:t>
                  </w:r>
                </w:p>
              </w:tc>
              <w:tc>
                <w:tcPr>
                  <w:tcW w:w="764" w:type="dxa"/>
                  <w:noWrap w:val="0"/>
                  <w:vAlign w:val="center"/>
                </w:tcPr>
                <w:p>
                  <w:pPr>
                    <w:pStyle w:val="18"/>
                    <w:bidi w:val="0"/>
                    <w:spacing w:line="240" w:lineRule="auto"/>
                    <w:rPr>
                      <w:rFonts w:hint="eastAsia"/>
                      <w:color w:val="auto"/>
                      <w:lang w:val="en-US" w:eastAsia="zh-CN"/>
                    </w:rPr>
                  </w:pPr>
                  <w:r>
                    <w:rPr>
                      <w:rFonts w:hint="eastAsia"/>
                      <w:color w:val="auto"/>
                      <w:lang w:val="en-US" w:eastAsia="zh-CN"/>
                    </w:rPr>
                    <w:t>产生量t/a</w:t>
                  </w:r>
                </w:p>
              </w:tc>
              <w:tc>
                <w:tcPr>
                  <w:tcW w:w="804" w:type="dxa"/>
                  <w:noWrap w:val="0"/>
                  <w:vAlign w:val="center"/>
                </w:tcPr>
                <w:p>
                  <w:pPr>
                    <w:pStyle w:val="18"/>
                    <w:bidi w:val="0"/>
                    <w:spacing w:line="240" w:lineRule="auto"/>
                    <w:rPr>
                      <w:rFonts w:hint="eastAsia"/>
                      <w:color w:val="auto"/>
                      <w:lang w:val="en-US" w:eastAsia="zh-CN"/>
                    </w:rPr>
                  </w:pPr>
                  <w:r>
                    <w:rPr>
                      <w:rFonts w:hint="eastAsia"/>
                      <w:color w:val="auto"/>
                      <w:lang w:val="en-US" w:eastAsia="zh-CN"/>
                    </w:rPr>
                    <w:t>产生速率</w:t>
                  </w:r>
                </w:p>
                <w:p>
                  <w:pPr>
                    <w:pStyle w:val="18"/>
                    <w:bidi w:val="0"/>
                    <w:spacing w:line="240" w:lineRule="auto"/>
                    <w:rPr>
                      <w:rFonts w:hint="default"/>
                      <w:color w:val="auto"/>
                      <w:lang w:val="en-US" w:eastAsia="zh-CN"/>
                    </w:rPr>
                  </w:pPr>
                  <w:r>
                    <w:rPr>
                      <w:rFonts w:hint="eastAsia"/>
                      <w:color w:val="auto"/>
                      <w:lang w:val="en-US" w:eastAsia="zh-CN"/>
                    </w:rPr>
                    <w:t>kg/h</w:t>
                  </w:r>
                </w:p>
              </w:tc>
              <w:tc>
                <w:tcPr>
                  <w:tcW w:w="778" w:type="dxa"/>
                  <w:noWrap w:val="0"/>
                  <w:vAlign w:val="center"/>
                </w:tcPr>
                <w:p>
                  <w:pPr>
                    <w:pStyle w:val="18"/>
                    <w:bidi w:val="0"/>
                    <w:spacing w:line="240" w:lineRule="auto"/>
                    <w:rPr>
                      <w:rFonts w:hint="eastAsia"/>
                      <w:color w:val="auto"/>
                      <w:lang w:val="en-US" w:eastAsia="zh-CN"/>
                    </w:rPr>
                  </w:pPr>
                  <w:r>
                    <w:rPr>
                      <w:rFonts w:hint="eastAsia"/>
                      <w:color w:val="auto"/>
                      <w:lang w:val="en-US" w:eastAsia="zh-CN"/>
                    </w:rPr>
                    <w:t>产生浓度mg/m</w:t>
                  </w:r>
                  <w:r>
                    <w:rPr>
                      <w:rFonts w:hint="eastAsia"/>
                      <w:color w:val="auto"/>
                      <w:vertAlign w:val="superscript"/>
                      <w:lang w:val="en-US" w:eastAsia="zh-CN"/>
                    </w:rPr>
                    <w:t>3</w:t>
                  </w:r>
                </w:p>
              </w:tc>
              <w:tc>
                <w:tcPr>
                  <w:tcW w:w="777" w:type="dxa"/>
                  <w:noWrap w:val="0"/>
                  <w:vAlign w:val="center"/>
                </w:tcPr>
                <w:p>
                  <w:pPr>
                    <w:pStyle w:val="18"/>
                    <w:bidi w:val="0"/>
                    <w:spacing w:line="240" w:lineRule="auto"/>
                    <w:rPr>
                      <w:rFonts w:hint="eastAsia"/>
                      <w:color w:val="auto"/>
                      <w:lang w:val="en-US" w:eastAsia="zh-CN"/>
                    </w:rPr>
                  </w:pPr>
                  <w:r>
                    <w:rPr>
                      <w:rFonts w:hint="eastAsia"/>
                      <w:color w:val="auto"/>
                      <w:lang w:val="en-US" w:eastAsia="zh-CN"/>
                    </w:rPr>
                    <w:t>去除量t/a</w:t>
                  </w:r>
                </w:p>
              </w:tc>
              <w:tc>
                <w:tcPr>
                  <w:tcW w:w="722" w:type="dxa"/>
                  <w:noWrap w:val="0"/>
                  <w:vAlign w:val="center"/>
                </w:tcPr>
                <w:p>
                  <w:pPr>
                    <w:pStyle w:val="18"/>
                    <w:bidi w:val="0"/>
                    <w:spacing w:line="240" w:lineRule="auto"/>
                    <w:rPr>
                      <w:rFonts w:hint="default"/>
                      <w:color w:val="auto"/>
                      <w:lang w:val="en-US" w:eastAsia="zh-CN"/>
                    </w:rPr>
                  </w:pPr>
                  <w:r>
                    <w:rPr>
                      <w:rFonts w:hint="eastAsia"/>
                      <w:color w:val="auto"/>
                      <w:lang w:val="en-US" w:eastAsia="zh-CN"/>
                    </w:rPr>
                    <w:t>排放量t/a</w:t>
                  </w:r>
                </w:p>
              </w:tc>
              <w:tc>
                <w:tcPr>
                  <w:tcW w:w="696" w:type="dxa"/>
                  <w:noWrap w:val="0"/>
                  <w:vAlign w:val="center"/>
                </w:tcPr>
                <w:p>
                  <w:pPr>
                    <w:pStyle w:val="18"/>
                    <w:bidi w:val="0"/>
                    <w:spacing w:line="240" w:lineRule="auto"/>
                    <w:rPr>
                      <w:rFonts w:hint="eastAsia"/>
                      <w:color w:val="auto"/>
                      <w:lang w:val="en-US" w:eastAsia="zh-CN"/>
                    </w:rPr>
                  </w:pPr>
                  <w:r>
                    <w:rPr>
                      <w:rFonts w:hint="eastAsia"/>
                      <w:color w:val="auto"/>
                      <w:lang w:val="en-US" w:eastAsia="zh-CN"/>
                    </w:rPr>
                    <w:t>排放速率kg/h</w:t>
                  </w:r>
                </w:p>
              </w:tc>
              <w:tc>
                <w:tcPr>
                  <w:tcW w:w="832" w:type="dxa"/>
                  <w:noWrap w:val="0"/>
                  <w:vAlign w:val="center"/>
                </w:tcPr>
                <w:p>
                  <w:pPr>
                    <w:pStyle w:val="18"/>
                    <w:bidi w:val="0"/>
                    <w:spacing w:line="240" w:lineRule="auto"/>
                    <w:rPr>
                      <w:rFonts w:hint="eastAsia"/>
                      <w:color w:val="auto"/>
                      <w:lang w:val="en-US" w:eastAsia="zh-CN"/>
                    </w:rPr>
                  </w:pPr>
                  <w:r>
                    <w:rPr>
                      <w:rFonts w:hint="eastAsia"/>
                      <w:color w:val="auto"/>
                      <w:lang w:val="en-US" w:eastAsia="zh-CN"/>
                    </w:rPr>
                    <w:t>排放浓度mg/m</w:t>
                  </w:r>
                  <w:r>
                    <w:rPr>
                      <w:rFonts w:hint="eastAsia"/>
                      <w:color w:val="auto"/>
                      <w:vertAlign w:val="superscript"/>
                      <w:lang w:val="en-US" w:eastAsia="zh-CN"/>
                    </w:rPr>
                    <w:t>3</w:t>
                  </w:r>
                </w:p>
              </w:tc>
              <w:tc>
                <w:tcPr>
                  <w:tcW w:w="725" w:type="dxa"/>
                  <w:noWrap w:val="0"/>
                  <w:vAlign w:val="center"/>
                </w:tcPr>
                <w:p>
                  <w:pPr>
                    <w:pStyle w:val="18"/>
                    <w:bidi w:val="0"/>
                    <w:spacing w:line="240" w:lineRule="auto"/>
                    <w:rPr>
                      <w:rFonts w:hint="eastAsia"/>
                      <w:color w:val="auto"/>
                      <w:lang w:val="en-US" w:eastAsia="zh-CN"/>
                    </w:rPr>
                  </w:pPr>
                  <w:r>
                    <w:rPr>
                      <w:rFonts w:hint="eastAsia"/>
                      <w:color w:val="auto"/>
                      <w:lang w:val="en-US" w:eastAsia="zh-CN"/>
                    </w:rPr>
                    <w:t>排气筒高度m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center"/>
                </w:tcPr>
                <w:p>
                  <w:pPr>
                    <w:pStyle w:val="18"/>
                    <w:bidi w:val="0"/>
                    <w:spacing w:line="240" w:lineRule="auto"/>
                    <w:rPr>
                      <w:rFonts w:hint="eastAsia"/>
                      <w:color w:val="auto"/>
                      <w:lang w:val="en-US" w:eastAsia="zh-CN"/>
                    </w:rPr>
                  </w:pPr>
                  <w:r>
                    <w:rPr>
                      <w:rFonts w:hint="eastAsia"/>
                      <w:color w:val="auto"/>
                      <w:lang w:val="en-US" w:eastAsia="zh-CN"/>
                    </w:rPr>
                    <w:t>有组织</w:t>
                  </w:r>
                </w:p>
              </w:tc>
              <w:tc>
                <w:tcPr>
                  <w:tcW w:w="795" w:type="dxa"/>
                  <w:vMerge w:val="restart"/>
                  <w:noWrap w:val="0"/>
                  <w:vAlign w:val="center"/>
                </w:tcPr>
                <w:p>
                  <w:pPr>
                    <w:pStyle w:val="18"/>
                    <w:bidi w:val="0"/>
                    <w:spacing w:line="240" w:lineRule="auto"/>
                    <w:rPr>
                      <w:rFonts w:hint="eastAsia"/>
                      <w:color w:val="auto"/>
                      <w:lang w:val="en-US" w:eastAsia="zh-CN"/>
                    </w:rPr>
                  </w:pPr>
                  <w:r>
                    <w:rPr>
                      <w:rFonts w:hint="eastAsia"/>
                      <w:color w:val="auto"/>
                      <w:lang w:val="en-US" w:eastAsia="zh-CN"/>
                    </w:rPr>
                    <w:t>挥发性有机物</w:t>
                  </w:r>
                </w:p>
              </w:tc>
              <w:tc>
                <w:tcPr>
                  <w:tcW w:w="660" w:type="dxa"/>
                  <w:noWrap w:val="0"/>
                  <w:vAlign w:val="center"/>
                </w:tcPr>
                <w:p>
                  <w:pPr>
                    <w:pStyle w:val="18"/>
                    <w:bidi w:val="0"/>
                    <w:spacing w:line="240" w:lineRule="auto"/>
                    <w:rPr>
                      <w:rFonts w:hint="default"/>
                      <w:color w:val="auto"/>
                      <w:lang w:val="en-US" w:eastAsia="zh-CN"/>
                    </w:rPr>
                  </w:pPr>
                  <w:r>
                    <w:rPr>
                      <w:rFonts w:hint="eastAsia"/>
                      <w:color w:val="auto"/>
                      <w:lang w:val="en-US" w:eastAsia="zh-CN"/>
                    </w:rPr>
                    <w:t>6000</w:t>
                  </w:r>
                </w:p>
              </w:tc>
              <w:tc>
                <w:tcPr>
                  <w:tcW w:w="764" w:type="dxa"/>
                  <w:noWrap w:val="0"/>
                  <w:vAlign w:val="center"/>
                </w:tcPr>
                <w:p>
                  <w:pPr>
                    <w:pStyle w:val="18"/>
                    <w:bidi w:val="0"/>
                    <w:spacing w:line="240" w:lineRule="auto"/>
                    <w:rPr>
                      <w:rFonts w:hint="default"/>
                      <w:color w:val="auto"/>
                      <w:lang w:val="en-US" w:eastAsia="zh-CN"/>
                    </w:rPr>
                  </w:pPr>
                  <w:r>
                    <w:rPr>
                      <w:rFonts w:hint="eastAsia"/>
                      <w:color w:val="auto"/>
                      <w:lang w:val="en-US" w:eastAsia="zh-CN"/>
                    </w:rPr>
                    <w:t>0.216</w:t>
                  </w:r>
                </w:p>
              </w:tc>
              <w:tc>
                <w:tcPr>
                  <w:tcW w:w="804" w:type="dxa"/>
                  <w:noWrap w:val="0"/>
                  <w:vAlign w:val="center"/>
                </w:tcPr>
                <w:p>
                  <w:pPr>
                    <w:pStyle w:val="18"/>
                    <w:bidi w:val="0"/>
                    <w:spacing w:line="240" w:lineRule="auto"/>
                    <w:rPr>
                      <w:rFonts w:hint="default"/>
                      <w:color w:val="auto"/>
                      <w:lang w:val="en-US" w:eastAsia="zh-CN"/>
                    </w:rPr>
                  </w:pPr>
                  <w:r>
                    <w:rPr>
                      <w:rFonts w:hint="eastAsia"/>
                      <w:color w:val="auto"/>
                      <w:lang w:val="en-US" w:eastAsia="zh-CN"/>
                    </w:rPr>
                    <w:t>0.16</w:t>
                  </w:r>
                </w:p>
              </w:tc>
              <w:tc>
                <w:tcPr>
                  <w:tcW w:w="778" w:type="dxa"/>
                  <w:noWrap w:val="0"/>
                  <w:vAlign w:val="center"/>
                </w:tcPr>
                <w:p>
                  <w:pPr>
                    <w:pStyle w:val="18"/>
                    <w:bidi w:val="0"/>
                    <w:spacing w:line="240" w:lineRule="auto"/>
                    <w:rPr>
                      <w:rFonts w:hint="default"/>
                      <w:color w:val="auto"/>
                      <w:lang w:val="en-US" w:eastAsia="zh-CN"/>
                    </w:rPr>
                  </w:pPr>
                  <w:r>
                    <w:rPr>
                      <w:rFonts w:hint="eastAsia"/>
                      <w:color w:val="auto"/>
                      <w:lang w:val="en-US" w:eastAsia="zh-CN"/>
                    </w:rPr>
                    <w:t>26.67</w:t>
                  </w:r>
                </w:p>
              </w:tc>
              <w:tc>
                <w:tcPr>
                  <w:tcW w:w="777" w:type="dxa"/>
                  <w:noWrap w:val="0"/>
                  <w:vAlign w:val="center"/>
                </w:tcPr>
                <w:p>
                  <w:pPr>
                    <w:pStyle w:val="18"/>
                    <w:bidi w:val="0"/>
                    <w:spacing w:line="240" w:lineRule="auto"/>
                    <w:rPr>
                      <w:rFonts w:hint="default"/>
                      <w:color w:val="auto"/>
                      <w:lang w:val="en-US" w:eastAsia="zh-CN"/>
                    </w:rPr>
                  </w:pPr>
                  <w:r>
                    <w:rPr>
                      <w:rFonts w:hint="eastAsia"/>
                      <w:color w:val="auto"/>
                      <w:lang w:val="en-US" w:eastAsia="zh-CN"/>
                    </w:rPr>
                    <w:t>0.194</w:t>
                  </w:r>
                </w:p>
              </w:tc>
              <w:tc>
                <w:tcPr>
                  <w:tcW w:w="722" w:type="dxa"/>
                  <w:noWrap w:val="0"/>
                  <w:vAlign w:val="center"/>
                </w:tcPr>
                <w:p>
                  <w:pPr>
                    <w:pStyle w:val="18"/>
                    <w:bidi w:val="0"/>
                    <w:spacing w:line="240" w:lineRule="auto"/>
                    <w:rPr>
                      <w:rFonts w:hint="default"/>
                      <w:color w:val="auto"/>
                      <w:lang w:val="en-US" w:eastAsia="zh-CN"/>
                    </w:rPr>
                  </w:pPr>
                  <w:r>
                    <w:rPr>
                      <w:rFonts w:hint="eastAsia"/>
                      <w:color w:val="auto"/>
                      <w:lang w:val="en-US" w:eastAsia="zh-CN"/>
                    </w:rPr>
                    <w:t>0.022</w:t>
                  </w:r>
                </w:p>
              </w:tc>
              <w:tc>
                <w:tcPr>
                  <w:tcW w:w="696" w:type="dxa"/>
                  <w:noWrap w:val="0"/>
                  <w:vAlign w:val="center"/>
                </w:tcPr>
                <w:p>
                  <w:pPr>
                    <w:pStyle w:val="18"/>
                    <w:bidi w:val="0"/>
                    <w:spacing w:line="240" w:lineRule="auto"/>
                    <w:rPr>
                      <w:rFonts w:hint="default"/>
                      <w:color w:val="auto"/>
                      <w:lang w:val="en-US" w:eastAsia="zh-CN"/>
                    </w:rPr>
                  </w:pPr>
                  <w:r>
                    <w:rPr>
                      <w:rFonts w:hint="eastAsia"/>
                      <w:color w:val="auto"/>
                      <w:lang w:val="en-US" w:eastAsia="zh-CN"/>
                    </w:rPr>
                    <w:t>0.016</w:t>
                  </w:r>
                </w:p>
              </w:tc>
              <w:tc>
                <w:tcPr>
                  <w:tcW w:w="832" w:type="dxa"/>
                  <w:noWrap w:val="0"/>
                  <w:vAlign w:val="center"/>
                </w:tcPr>
                <w:p>
                  <w:pPr>
                    <w:pStyle w:val="18"/>
                    <w:bidi w:val="0"/>
                    <w:spacing w:line="240" w:lineRule="auto"/>
                    <w:rPr>
                      <w:rFonts w:hint="default"/>
                      <w:color w:val="auto"/>
                      <w:lang w:val="en-US" w:eastAsia="zh-CN"/>
                    </w:rPr>
                  </w:pPr>
                  <w:r>
                    <w:rPr>
                      <w:rFonts w:hint="eastAsia"/>
                      <w:color w:val="auto"/>
                      <w:lang w:val="en-US" w:eastAsia="zh-CN"/>
                    </w:rPr>
                    <w:t>2.72</w:t>
                  </w:r>
                </w:p>
              </w:tc>
              <w:tc>
                <w:tcPr>
                  <w:tcW w:w="725" w:type="dxa"/>
                  <w:noWrap w:val="0"/>
                  <w:vAlign w:val="center"/>
                </w:tcPr>
                <w:p>
                  <w:pPr>
                    <w:pStyle w:val="18"/>
                    <w:bidi w:val="0"/>
                    <w:spacing w:line="240" w:lineRule="auto"/>
                    <w:rPr>
                      <w:rFonts w:hint="default"/>
                      <w:color w:val="auto"/>
                      <w:lang w:val="en-US" w:eastAsia="zh-CN"/>
                    </w:rPr>
                  </w:pPr>
                  <w:r>
                    <w:rPr>
                      <w:rFonts w:hint="eastAsia"/>
                      <w:color w:val="auto"/>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center"/>
                </w:tcPr>
                <w:p>
                  <w:pPr>
                    <w:pStyle w:val="18"/>
                    <w:bidi w:val="0"/>
                    <w:spacing w:line="240" w:lineRule="auto"/>
                    <w:rPr>
                      <w:rFonts w:hint="eastAsia"/>
                      <w:color w:val="auto"/>
                      <w:lang w:val="en-US" w:eastAsia="zh-CN"/>
                    </w:rPr>
                  </w:pPr>
                  <w:r>
                    <w:rPr>
                      <w:rFonts w:hint="eastAsia"/>
                      <w:color w:val="auto"/>
                      <w:lang w:val="en-US" w:eastAsia="zh-CN"/>
                    </w:rPr>
                    <w:t>无组织</w:t>
                  </w:r>
                </w:p>
              </w:tc>
              <w:tc>
                <w:tcPr>
                  <w:tcW w:w="795" w:type="dxa"/>
                  <w:vMerge w:val="continue"/>
                  <w:noWrap w:val="0"/>
                  <w:vAlign w:val="center"/>
                </w:tcPr>
                <w:p>
                  <w:pPr>
                    <w:pStyle w:val="18"/>
                    <w:bidi w:val="0"/>
                    <w:spacing w:line="240" w:lineRule="auto"/>
                    <w:rPr>
                      <w:rFonts w:hint="eastAsia"/>
                      <w:color w:val="auto"/>
                      <w:lang w:val="en-US" w:eastAsia="zh-CN"/>
                    </w:rPr>
                  </w:pPr>
                </w:p>
              </w:tc>
              <w:tc>
                <w:tcPr>
                  <w:tcW w:w="660" w:type="dxa"/>
                  <w:noWrap w:val="0"/>
                  <w:vAlign w:val="center"/>
                </w:tcPr>
                <w:p>
                  <w:pPr>
                    <w:pStyle w:val="18"/>
                    <w:bidi w:val="0"/>
                    <w:spacing w:line="240" w:lineRule="auto"/>
                    <w:rPr>
                      <w:rFonts w:hint="default"/>
                      <w:color w:val="auto"/>
                      <w:lang w:val="en-US" w:eastAsia="zh-CN"/>
                    </w:rPr>
                  </w:pPr>
                  <w:r>
                    <w:rPr>
                      <w:rFonts w:hint="eastAsia"/>
                      <w:color w:val="auto"/>
                      <w:lang w:val="en-US" w:eastAsia="zh-CN"/>
                    </w:rPr>
                    <w:t>/</w:t>
                  </w:r>
                </w:p>
              </w:tc>
              <w:tc>
                <w:tcPr>
                  <w:tcW w:w="764" w:type="dxa"/>
                  <w:noWrap w:val="0"/>
                  <w:vAlign w:val="center"/>
                </w:tcPr>
                <w:p>
                  <w:pPr>
                    <w:pStyle w:val="18"/>
                    <w:bidi w:val="0"/>
                    <w:spacing w:line="240" w:lineRule="auto"/>
                    <w:rPr>
                      <w:rFonts w:hint="default"/>
                      <w:color w:val="auto"/>
                      <w:lang w:val="en-US" w:eastAsia="zh-CN"/>
                    </w:rPr>
                  </w:pPr>
                  <w:r>
                    <w:rPr>
                      <w:rFonts w:hint="eastAsia"/>
                      <w:color w:val="auto"/>
                      <w:lang w:val="en-US" w:eastAsia="zh-CN"/>
                    </w:rPr>
                    <w:t>0.054</w:t>
                  </w:r>
                </w:p>
              </w:tc>
              <w:tc>
                <w:tcPr>
                  <w:tcW w:w="804" w:type="dxa"/>
                  <w:noWrap w:val="0"/>
                  <w:vAlign w:val="center"/>
                </w:tcPr>
                <w:p>
                  <w:pPr>
                    <w:pStyle w:val="18"/>
                    <w:bidi w:val="0"/>
                    <w:spacing w:line="240" w:lineRule="auto"/>
                    <w:rPr>
                      <w:rFonts w:hint="default"/>
                      <w:color w:val="auto"/>
                      <w:lang w:val="en-US" w:eastAsia="zh-CN"/>
                    </w:rPr>
                  </w:pPr>
                  <w:r>
                    <w:rPr>
                      <w:rFonts w:hint="eastAsia"/>
                      <w:color w:val="auto"/>
                      <w:lang w:val="en-US" w:eastAsia="zh-CN"/>
                    </w:rPr>
                    <w:t>0.04</w:t>
                  </w:r>
                </w:p>
              </w:tc>
              <w:tc>
                <w:tcPr>
                  <w:tcW w:w="778" w:type="dxa"/>
                  <w:noWrap w:val="0"/>
                  <w:vAlign w:val="center"/>
                </w:tcPr>
                <w:p>
                  <w:pPr>
                    <w:pStyle w:val="18"/>
                    <w:bidi w:val="0"/>
                    <w:spacing w:line="240" w:lineRule="auto"/>
                    <w:rPr>
                      <w:rFonts w:hint="default"/>
                      <w:color w:val="auto"/>
                      <w:lang w:val="en-US" w:eastAsia="zh-CN"/>
                    </w:rPr>
                  </w:pPr>
                  <w:r>
                    <w:rPr>
                      <w:rFonts w:hint="eastAsia"/>
                      <w:color w:val="auto"/>
                      <w:lang w:val="en-US" w:eastAsia="zh-CN"/>
                    </w:rPr>
                    <w:t>/</w:t>
                  </w:r>
                </w:p>
              </w:tc>
              <w:tc>
                <w:tcPr>
                  <w:tcW w:w="777" w:type="dxa"/>
                  <w:noWrap w:val="0"/>
                  <w:vAlign w:val="center"/>
                </w:tcPr>
                <w:p>
                  <w:pPr>
                    <w:pStyle w:val="18"/>
                    <w:bidi w:val="0"/>
                    <w:spacing w:line="240" w:lineRule="auto"/>
                    <w:rPr>
                      <w:rFonts w:hint="default"/>
                      <w:color w:val="auto"/>
                      <w:lang w:val="en-US" w:eastAsia="zh-CN"/>
                    </w:rPr>
                  </w:pPr>
                  <w:r>
                    <w:rPr>
                      <w:rFonts w:hint="eastAsia"/>
                      <w:color w:val="auto"/>
                      <w:lang w:val="en-US" w:eastAsia="zh-CN"/>
                    </w:rPr>
                    <w:t>0</w:t>
                  </w:r>
                </w:p>
              </w:tc>
              <w:tc>
                <w:tcPr>
                  <w:tcW w:w="722" w:type="dxa"/>
                  <w:noWrap w:val="0"/>
                  <w:vAlign w:val="center"/>
                </w:tcPr>
                <w:p>
                  <w:pPr>
                    <w:pStyle w:val="18"/>
                    <w:bidi w:val="0"/>
                    <w:spacing w:line="240" w:lineRule="auto"/>
                    <w:rPr>
                      <w:rFonts w:hint="default"/>
                      <w:color w:val="auto"/>
                      <w:lang w:val="en-US" w:eastAsia="zh-CN"/>
                    </w:rPr>
                  </w:pPr>
                  <w:r>
                    <w:rPr>
                      <w:rFonts w:hint="eastAsia"/>
                      <w:color w:val="auto"/>
                      <w:lang w:val="en-US" w:eastAsia="zh-CN"/>
                    </w:rPr>
                    <w:t>0.054</w:t>
                  </w:r>
                </w:p>
              </w:tc>
              <w:tc>
                <w:tcPr>
                  <w:tcW w:w="696" w:type="dxa"/>
                  <w:noWrap w:val="0"/>
                  <w:vAlign w:val="center"/>
                </w:tcPr>
                <w:p>
                  <w:pPr>
                    <w:pStyle w:val="18"/>
                    <w:bidi w:val="0"/>
                    <w:spacing w:line="240" w:lineRule="auto"/>
                    <w:rPr>
                      <w:rFonts w:hint="default"/>
                      <w:color w:val="auto"/>
                      <w:lang w:val="en-US" w:eastAsia="zh-CN"/>
                    </w:rPr>
                  </w:pPr>
                  <w:r>
                    <w:rPr>
                      <w:rFonts w:hint="eastAsia"/>
                      <w:color w:val="auto"/>
                      <w:lang w:val="en-US" w:eastAsia="zh-CN"/>
                    </w:rPr>
                    <w:t>0.054</w:t>
                  </w:r>
                </w:p>
              </w:tc>
              <w:tc>
                <w:tcPr>
                  <w:tcW w:w="832" w:type="dxa"/>
                  <w:noWrap w:val="0"/>
                  <w:vAlign w:val="center"/>
                </w:tcPr>
                <w:p>
                  <w:pPr>
                    <w:pStyle w:val="18"/>
                    <w:bidi w:val="0"/>
                    <w:spacing w:line="240" w:lineRule="auto"/>
                    <w:rPr>
                      <w:rFonts w:hint="default"/>
                      <w:color w:val="auto"/>
                      <w:lang w:val="en-US" w:eastAsia="zh-CN"/>
                    </w:rPr>
                  </w:pPr>
                  <w:r>
                    <w:rPr>
                      <w:rFonts w:hint="eastAsia"/>
                      <w:color w:val="auto"/>
                      <w:lang w:val="en-US" w:eastAsia="zh-CN"/>
                    </w:rPr>
                    <w:t>/</w:t>
                  </w:r>
                </w:p>
              </w:tc>
              <w:tc>
                <w:tcPr>
                  <w:tcW w:w="725" w:type="dxa"/>
                  <w:noWrap w:val="0"/>
                  <w:vAlign w:val="center"/>
                </w:tcPr>
                <w:p>
                  <w:pPr>
                    <w:pStyle w:val="18"/>
                    <w:bidi w:val="0"/>
                    <w:spacing w:line="240" w:lineRule="auto"/>
                    <w:rPr>
                      <w:rFonts w:hint="default"/>
                      <w:color w:val="auto"/>
                      <w:lang w:val="en-US" w:eastAsia="zh-CN"/>
                    </w:rPr>
                  </w:pPr>
                  <w:r>
                    <w:rPr>
                      <w:rFonts w:hint="eastAsia"/>
                      <w:color w:val="auto"/>
                      <w:lang w:val="en-US" w:eastAsia="zh-CN"/>
                    </w:rPr>
                    <w:t>/</w:t>
                  </w:r>
                </w:p>
              </w:tc>
            </w:tr>
          </w:tbl>
          <w:p>
            <w:pPr>
              <w:spacing w:line="360" w:lineRule="auto"/>
              <w:ind w:firstLine="480"/>
              <w:rPr>
                <w:rFonts w:hint="default"/>
                <w:color w:val="auto"/>
                <w:lang w:val="en-US" w:eastAsia="zh-CN"/>
              </w:rPr>
            </w:pPr>
            <w:r>
              <w:rPr>
                <w:rFonts w:hint="default"/>
                <w:color w:val="auto"/>
                <w:lang w:val="en-US" w:eastAsia="zh-CN"/>
              </w:rPr>
              <w:t>由上表分析可知，本项目喷漆车间产生的</w:t>
            </w:r>
            <w:r>
              <w:rPr>
                <w:rFonts w:hint="eastAsia"/>
                <w:color w:val="auto"/>
                <w:lang w:val="en-US" w:eastAsia="zh-CN"/>
              </w:rPr>
              <w:t>VOCs</w:t>
            </w:r>
            <w:r>
              <w:rPr>
                <w:rFonts w:hint="default"/>
                <w:color w:val="auto"/>
                <w:lang w:val="en-US" w:eastAsia="zh-CN"/>
              </w:rPr>
              <w:t>经过</w:t>
            </w:r>
            <w:r>
              <w:rPr>
                <w:rFonts w:hint="eastAsia"/>
                <w:color w:val="auto"/>
                <w:lang w:val="en-US" w:eastAsia="zh-CN"/>
              </w:rPr>
              <w:t>过滤棉+活性炭</w:t>
            </w:r>
            <w:r>
              <w:rPr>
                <w:rFonts w:hint="default"/>
                <w:color w:val="auto"/>
                <w:lang w:val="en-US" w:eastAsia="zh-CN"/>
              </w:rPr>
              <w:t>吸附处理装置处理后，</w:t>
            </w:r>
            <w:r>
              <w:rPr>
                <w:rFonts w:hint="eastAsia"/>
                <w:color w:val="auto"/>
                <w:lang w:val="en-US" w:eastAsia="zh-CN"/>
              </w:rPr>
              <w:t>VOCs</w:t>
            </w:r>
            <w:r>
              <w:rPr>
                <w:rFonts w:hint="default"/>
                <w:color w:val="auto"/>
                <w:lang w:val="en-US" w:eastAsia="zh-CN"/>
              </w:rPr>
              <w:t>的排放速率和排放浓度均能达到《大气污染物综合排放标准》（GB16297-1996）二级标准限值要求。</w:t>
            </w:r>
          </w:p>
          <w:p>
            <w:pPr>
              <w:spacing w:line="360" w:lineRule="auto"/>
              <w:ind w:firstLine="480"/>
              <w:rPr>
                <w:rFonts w:hint="eastAsia"/>
                <w:color w:val="auto"/>
                <w:lang w:val="en-US" w:eastAsia="zh-CN"/>
              </w:rPr>
            </w:pPr>
            <w:r>
              <w:rPr>
                <w:rFonts w:hint="eastAsia"/>
                <w:color w:val="auto"/>
                <w:lang w:val="en-US" w:eastAsia="zh-CN"/>
              </w:rPr>
              <w:t>②漆雾</w:t>
            </w:r>
          </w:p>
          <w:p>
            <w:pPr>
              <w:spacing w:line="360" w:lineRule="auto"/>
              <w:ind w:firstLine="480"/>
              <w:rPr>
                <w:rFonts w:hint="eastAsia"/>
                <w:color w:val="auto"/>
                <w:lang w:val="en-US" w:eastAsia="zh-CN"/>
              </w:rPr>
            </w:pPr>
            <w:r>
              <w:rPr>
                <w:rFonts w:hint="eastAsia"/>
                <w:color w:val="auto"/>
                <w:lang w:val="en-US" w:eastAsia="zh-CN"/>
              </w:rPr>
              <w:t>喷漆过程中，涂料在高压作用下雾化成颗粒，均匀喷涂在工件表面。由于喷</w:t>
            </w:r>
          </w:p>
          <w:p>
            <w:pPr>
              <w:spacing w:line="360" w:lineRule="auto"/>
              <w:ind w:left="0" w:leftChars="0" w:firstLine="0" w:firstLineChars="0"/>
              <w:rPr>
                <w:rFonts w:hint="eastAsia"/>
                <w:color w:val="auto"/>
                <w:lang w:val="en-US" w:eastAsia="zh-CN"/>
              </w:rPr>
            </w:pPr>
            <w:r>
              <w:rPr>
                <w:rFonts w:hint="eastAsia"/>
                <w:color w:val="auto"/>
                <w:lang w:val="en-US" w:eastAsia="zh-CN"/>
              </w:rPr>
              <w:t>涂时，涂料未能完全附着，部分未能附着到工件表面的涂料逸散到空气中，其中，</w:t>
            </w:r>
          </w:p>
          <w:p>
            <w:pPr>
              <w:spacing w:line="360" w:lineRule="auto"/>
              <w:ind w:left="0" w:leftChars="0" w:firstLine="0" w:firstLineChars="0"/>
              <w:rPr>
                <w:rFonts w:hint="eastAsia"/>
                <w:color w:val="auto"/>
                <w:lang w:val="en-US" w:eastAsia="zh-CN"/>
              </w:rPr>
            </w:pPr>
            <w:r>
              <w:rPr>
                <w:rFonts w:hint="eastAsia"/>
                <w:color w:val="auto"/>
                <w:lang w:val="en-US" w:eastAsia="zh-CN"/>
              </w:rPr>
              <w:t>有机挥发成分成有机废气，而涂料固分则在空气中形成漆雾。</w:t>
            </w:r>
          </w:p>
          <w:p>
            <w:pPr>
              <w:spacing w:line="360" w:lineRule="auto"/>
              <w:ind w:firstLine="480"/>
              <w:rPr>
                <w:rFonts w:hint="eastAsia"/>
                <w:color w:val="auto"/>
                <w:lang w:val="en-US" w:eastAsia="zh-CN"/>
              </w:rPr>
            </w:pPr>
            <w:r>
              <w:rPr>
                <w:rFonts w:hint="eastAsia"/>
                <w:color w:val="auto"/>
                <w:lang w:val="en-US" w:eastAsia="zh-CN"/>
              </w:rPr>
              <w:t>本项目喷漆附着率为90%，水性涂料固分约80%，本项目水性涂料用量为</w:t>
            </w:r>
          </w:p>
          <w:p>
            <w:pPr>
              <w:spacing w:line="360" w:lineRule="auto"/>
              <w:ind w:left="0" w:leftChars="0" w:firstLine="0" w:firstLineChars="0"/>
              <w:rPr>
                <w:rFonts w:hint="eastAsia"/>
                <w:color w:val="auto"/>
                <w:lang w:val="en-US" w:eastAsia="zh-CN"/>
              </w:rPr>
            </w:pPr>
            <w:r>
              <w:rPr>
                <w:rFonts w:hint="eastAsia"/>
                <w:color w:val="auto"/>
                <w:lang w:val="en-US" w:eastAsia="zh-CN"/>
              </w:rPr>
              <w:t>3.6t/a。则本项目漆雾产生量为0.29t/a。漆雾颗粒粒径较大，质量较重，且具有黏附性，扩散范围小，经喷漆车间抽风进入过滤棉+活性炭吸附处理，捕集率按 80%算，经处理后的漆雾由15m 高排气筒（2#排气筒）排放。这一过程过滤棉+活性炭对漆雾去除率可达95%，本项目漆雾产生情况见下表：</w:t>
            </w:r>
          </w:p>
          <w:p>
            <w:pPr>
              <w:pStyle w:val="19"/>
              <w:bidi w:val="0"/>
              <w:rPr>
                <w:rFonts w:hint="eastAsia"/>
                <w:color w:val="auto"/>
                <w:lang w:val="en-US" w:eastAsia="zh-CN"/>
              </w:rPr>
            </w:pPr>
            <w:r>
              <w:rPr>
                <w:rFonts w:hint="eastAsia"/>
                <w:color w:val="auto"/>
                <w:lang w:val="en-US" w:eastAsia="zh-CN"/>
              </w:rPr>
              <w:t>表5-5 喷漆工序漆雾产排情况一览表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720"/>
              <w:gridCol w:w="750"/>
              <w:gridCol w:w="735"/>
              <w:gridCol w:w="720"/>
              <w:gridCol w:w="810"/>
              <w:gridCol w:w="795"/>
              <w:gridCol w:w="705"/>
              <w:gridCol w:w="780"/>
              <w:gridCol w:w="806"/>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pct"/>
                  <w:vAlign w:val="center"/>
                </w:tcPr>
                <w:p>
                  <w:pPr>
                    <w:pStyle w:val="18"/>
                    <w:bidi w:val="0"/>
                    <w:rPr>
                      <w:rFonts w:hint="eastAsia"/>
                      <w:color w:val="auto"/>
                      <w:lang w:val="en-US" w:eastAsia="zh-CN"/>
                    </w:rPr>
                  </w:pPr>
                  <w:r>
                    <w:rPr>
                      <w:rFonts w:hint="eastAsia"/>
                      <w:color w:val="auto"/>
                      <w:lang w:val="en-US" w:eastAsia="zh-CN"/>
                    </w:rPr>
                    <w:t>排放形式</w:t>
                  </w:r>
                </w:p>
              </w:tc>
              <w:tc>
                <w:tcPr>
                  <w:tcW w:w="433" w:type="pct"/>
                  <w:vAlign w:val="center"/>
                </w:tcPr>
                <w:p>
                  <w:pPr>
                    <w:pStyle w:val="18"/>
                    <w:bidi w:val="0"/>
                    <w:rPr>
                      <w:rFonts w:hint="eastAsia"/>
                      <w:color w:val="auto"/>
                      <w:lang w:val="en-US" w:eastAsia="zh-CN"/>
                    </w:rPr>
                  </w:pPr>
                  <w:r>
                    <w:rPr>
                      <w:rFonts w:hint="eastAsia"/>
                      <w:color w:val="auto"/>
                      <w:lang w:val="en-US" w:eastAsia="zh-CN"/>
                    </w:rPr>
                    <w:t>污染物</w:t>
                  </w:r>
                </w:p>
              </w:tc>
              <w:tc>
                <w:tcPr>
                  <w:tcW w:w="452" w:type="pct"/>
                  <w:vAlign w:val="center"/>
                </w:tcPr>
                <w:p>
                  <w:pPr>
                    <w:pStyle w:val="18"/>
                    <w:bidi w:val="0"/>
                    <w:rPr>
                      <w:rFonts w:hint="default"/>
                      <w:color w:val="auto"/>
                      <w:lang w:val="en-US" w:eastAsia="zh-CN"/>
                    </w:rPr>
                  </w:pPr>
                  <w:r>
                    <w:rPr>
                      <w:rFonts w:hint="eastAsia"/>
                      <w:color w:val="auto"/>
                      <w:lang w:val="en-US" w:eastAsia="zh-CN"/>
                    </w:rPr>
                    <w:t>风量m</w:t>
                  </w:r>
                  <w:r>
                    <w:rPr>
                      <w:rFonts w:hint="eastAsia"/>
                      <w:color w:val="auto"/>
                      <w:vertAlign w:val="superscript"/>
                      <w:lang w:val="en-US" w:eastAsia="zh-CN"/>
                    </w:rPr>
                    <w:t>3</w:t>
                  </w:r>
                  <w:r>
                    <w:rPr>
                      <w:rFonts w:hint="eastAsia"/>
                      <w:color w:val="auto"/>
                      <w:lang w:val="en-US" w:eastAsia="zh-CN"/>
                    </w:rPr>
                    <w:t>/h</w:t>
                  </w:r>
                </w:p>
              </w:tc>
              <w:tc>
                <w:tcPr>
                  <w:tcW w:w="442" w:type="pct"/>
                  <w:vAlign w:val="center"/>
                </w:tcPr>
                <w:p>
                  <w:pPr>
                    <w:pStyle w:val="18"/>
                    <w:bidi w:val="0"/>
                    <w:rPr>
                      <w:rFonts w:hint="eastAsia"/>
                      <w:color w:val="auto"/>
                      <w:lang w:val="en-US" w:eastAsia="zh-CN"/>
                    </w:rPr>
                  </w:pPr>
                  <w:r>
                    <w:rPr>
                      <w:rFonts w:hint="eastAsia"/>
                      <w:color w:val="auto"/>
                      <w:lang w:val="en-US" w:eastAsia="zh-CN"/>
                    </w:rPr>
                    <w:t>产生量t/a</w:t>
                  </w:r>
                </w:p>
              </w:tc>
              <w:tc>
                <w:tcPr>
                  <w:tcW w:w="433" w:type="pct"/>
                  <w:vAlign w:val="center"/>
                </w:tcPr>
                <w:p>
                  <w:pPr>
                    <w:pStyle w:val="18"/>
                    <w:bidi w:val="0"/>
                    <w:rPr>
                      <w:rFonts w:hint="default"/>
                      <w:color w:val="auto"/>
                      <w:lang w:val="en-US" w:eastAsia="zh-CN"/>
                    </w:rPr>
                  </w:pPr>
                  <w:r>
                    <w:rPr>
                      <w:rFonts w:hint="eastAsia"/>
                      <w:color w:val="auto"/>
                      <w:lang w:val="en-US" w:eastAsia="zh-CN"/>
                    </w:rPr>
                    <w:t>产生速率kg/h</w:t>
                  </w:r>
                </w:p>
              </w:tc>
              <w:tc>
                <w:tcPr>
                  <w:tcW w:w="488" w:type="pct"/>
                  <w:vAlign w:val="center"/>
                </w:tcPr>
                <w:p>
                  <w:pPr>
                    <w:pStyle w:val="18"/>
                    <w:bidi w:val="0"/>
                    <w:rPr>
                      <w:rFonts w:hint="eastAsia"/>
                      <w:color w:val="auto"/>
                      <w:lang w:val="en-US" w:eastAsia="zh-CN"/>
                    </w:rPr>
                  </w:pPr>
                  <w:r>
                    <w:rPr>
                      <w:rFonts w:hint="eastAsia"/>
                      <w:color w:val="auto"/>
                      <w:lang w:val="en-US" w:eastAsia="zh-CN"/>
                    </w:rPr>
                    <w:t>产生浓度mg/m</w:t>
                  </w:r>
                  <w:r>
                    <w:rPr>
                      <w:rFonts w:hint="eastAsia"/>
                      <w:color w:val="auto"/>
                      <w:vertAlign w:val="superscript"/>
                      <w:lang w:val="en-US" w:eastAsia="zh-CN"/>
                    </w:rPr>
                    <w:t>3</w:t>
                  </w:r>
                </w:p>
              </w:tc>
              <w:tc>
                <w:tcPr>
                  <w:tcW w:w="479" w:type="pct"/>
                  <w:vAlign w:val="center"/>
                </w:tcPr>
                <w:p>
                  <w:pPr>
                    <w:pStyle w:val="18"/>
                    <w:bidi w:val="0"/>
                    <w:rPr>
                      <w:rFonts w:hint="eastAsia"/>
                      <w:color w:val="auto"/>
                      <w:lang w:val="en-US" w:eastAsia="zh-CN"/>
                    </w:rPr>
                  </w:pPr>
                  <w:r>
                    <w:rPr>
                      <w:rFonts w:hint="eastAsia"/>
                      <w:color w:val="auto"/>
                      <w:lang w:val="en-US" w:eastAsia="zh-CN"/>
                    </w:rPr>
                    <w:t>去除量t/a</w:t>
                  </w:r>
                </w:p>
              </w:tc>
              <w:tc>
                <w:tcPr>
                  <w:tcW w:w="424" w:type="pct"/>
                  <w:vAlign w:val="center"/>
                </w:tcPr>
                <w:p>
                  <w:pPr>
                    <w:pStyle w:val="18"/>
                    <w:bidi w:val="0"/>
                    <w:rPr>
                      <w:rFonts w:hint="default"/>
                      <w:color w:val="auto"/>
                      <w:lang w:val="en-US" w:eastAsia="zh-CN"/>
                    </w:rPr>
                  </w:pPr>
                  <w:r>
                    <w:rPr>
                      <w:rFonts w:hint="eastAsia"/>
                      <w:color w:val="auto"/>
                      <w:lang w:val="en-US" w:eastAsia="zh-CN"/>
                    </w:rPr>
                    <w:t>排放量t/a</w:t>
                  </w:r>
                </w:p>
              </w:tc>
              <w:tc>
                <w:tcPr>
                  <w:tcW w:w="470" w:type="pct"/>
                  <w:vAlign w:val="center"/>
                </w:tcPr>
                <w:p>
                  <w:pPr>
                    <w:pStyle w:val="18"/>
                    <w:bidi w:val="0"/>
                    <w:rPr>
                      <w:rFonts w:hint="eastAsia"/>
                      <w:color w:val="auto"/>
                      <w:lang w:val="en-US" w:eastAsia="zh-CN"/>
                    </w:rPr>
                  </w:pPr>
                  <w:r>
                    <w:rPr>
                      <w:rFonts w:hint="eastAsia"/>
                      <w:color w:val="auto"/>
                      <w:lang w:val="en-US" w:eastAsia="zh-CN"/>
                    </w:rPr>
                    <w:t>排放速率kg/h</w:t>
                  </w:r>
                </w:p>
              </w:tc>
              <w:tc>
                <w:tcPr>
                  <w:tcW w:w="485" w:type="pct"/>
                  <w:vAlign w:val="center"/>
                </w:tcPr>
                <w:p>
                  <w:pPr>
                    <w:pStyle w:val="18"/>
                    <w:bidi w:val="0"/>
                    <w:rPr>
                      <w:rFonts w:hint="eastAsia"/>
                      <w:color w:val="auto"/>
                      <w:lang w:val="en-US" w:eastAsia="zh-CN"/>
                    </w:rPr>
                  </w:pPr>
                  <w:r>
                    <w:rPr>
                      <w:rFonts w:hint="eastAsia"/>
                      <w:color w:val="auto"/>
                      <w:lang w:val="en-US" w:eastAsia="zh-CN"/>
                    </w:rPr>
                    <w:t>排放浓度mg/m</w:t>
                  </w:r>
                  <w:r>
                    <w:rPr>
                      <w:rFonts w:hint="eastAsia"/>
                      <w:color w:val="auto"/>
                      <w:vertAlign w:val="superscript"/>
                      <w:lang w:val="en-US" w:eastAsia="zh-CN"/>
                    </w:rPr>
                    <w:t>3</w:t>
                  </w:r>
                </w:p>
              </w:tc>
              <w:tc>
                <w:tcPr>
                  <w:tcW w:w="429" w:type="pct"/>
                  <w:vAlign w:val="center"/>
                </w:tcPr>
                <w:p>
                  <w:pPr>
                    <w:pStyle w:val="18"/>
                    <w:bidi w:val="0"/>
                    <w:rPr>
                      <w:rFonts w:hint="eastAsia"/>
                      <w:color w:val="auto"/>
                      <w:lang w:val="en-US" w:eastAsia="zh-CN"/>
                    </w:rPr>
                  </w:pPr>
                  <w:r>
                    <w:rPr>
                      <w:rFonts w:hint="eastAsia"/>
                      <w:color w:val="auto"/>
                      <w:lang w:val="en-US" w:eastAsia="zh-CN"/>
                    </w:rPr>
                    <w:t>排气筒高度m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pct"/>
                  <w:vAlign w:val="center"/>
                </w:tcPr>
                <w:p>
                  <w:pPr>
                    <w:pStyle w:val="18"/>
                    <w:bidi w:val="0"/>
                    <w:rPr>
                      <w:rFonts w:hint="eastAsia"/>
                      <w:color w:val="auto"/>
                      <w:lang w:val="en-US" w:eastAsia="zh-CN"/>
                    </w:rPr>
                  </w:pPr>
                  <w:r>
                    <w:rPr>
                      <w:rFonts w:hint="eastAsia"/>
                      <w:color w:val="auto"/>
                      <w:lang w:val="en-US" w:eastAsia="zh-CN"/>
                    </w:rPr>
                    <w:t>有组织</w:t>
                  </w:r>
                </w:p>
              </w:tc>
              <w:tc>
                <w:tcPr>
                  <w:tcW w:w="433" w:type="pct"/>
                  <w:vMerge w:val="restart"/>
                  <w:vAlign w:val="center"/>
                </w:tcPr>
                <w:p>
                  <w:pPr>
                    <w:pStyle w:val="18"/>
                    <w:bidi w:val="0"/>
                    <w:rPr>
                      <w:rFonts w:hint="eastAsia"/>
                      <w:color w:val="auto"/>
                      <w:lang w:val="en-US" w:eastAsia="zh-CN"/>
                    </w:rPr>
                  </w:pPr>
                  <w:r>
                    <w:rPr>
                      <w:rFonts w:hint="eastAsia"/>
                      <w:color w:val="auto"/>
                      <w:lang w:val="en-US" w:eastAsia="zh-CN"/>
                    </w:rPr>
                    <w:t>漆雾</w:t>
                  </w:r>
                </w:p>
              </w:tc>
              <w:tc>
                <w:tcPr>
                  <w:tcW w:w="452" w:type="pct"/>
                  <w:vMerge w:val="restart"/>
                  <w:vAlign w:val="center"/>
                </w:tcPr>
                <w:p>
                  <w:pPr>
                    <w:pStyle w:val="18"/>
                    <w:bidi w:val="0"/>
                    <w:rPr>
                      <w:rFonts w:hint="default"/>
                      <w:color w:val="auto"/>
                      <w:lang w:val="en-US" w:eastAsia="zh-CN"/>
                    </w:rPr>
                  </w:pPr>
                  <w:r>
                    <w:rPr>
                      <w:rFonts w:hint="eastAsia"/>
                      <w:color w:val="auto"/>
                      <w:lang w:val="en-US" w:eastAsia="zh-CN"/>
                    </w:rPr>
                    <w:t>6000</w:t>
                  </w:r>
                </w:p>
              </w:tc>
              <w:tc>
                <w:tcPr>
                  <w:tcW w:w="442" w:type="pct"/>
                  <w:vAlign w:val="center"/>
                </w:tcPr>
                <w:p>
                  <w:pPr>
                    <w:pStyle w:val="18"/>
                    <w:bidi w:val="0"/>
                    <w:rPr>
                      <w:rFonts w:hint="default"/>
                      <w:color w:val="auto"/>
                      <w:lang w:val="en-US" w:eastAsia="zh-CN"/>
                    </w:rPr>
                  </w:pPr>
                  <w:r>
                    <w:rPr>
                      <w:rFonts w:hint="eastAsia"/>
                      <w:color w:val="auto"/>
                      <w:lang w:val="en-US" w:eastAsia="zh-CN"/>
                    </w:rPr>
                    <w:t>0.232</w:t>
                  </w:r>
                </w:p>
              </w:tc>
              <w:tc>
                <w:tcPr>
                  <w:tcW w:w="433" w:type="pct"/>
                  <w:vAlign w:val="center"/>
                </w:tcPr>
                <w:p>
                  <w:pPr>
                    <w:pStyle w:val="18"/>
                    <w:bidi w:val="0"/>
                    <w:rPr>
                      <w:rFonts w:hint="default"/>
                      <w:color w:val="auto"/>
                      <w:lang w:val="en-US" w:eastAsia="zh-CN"/>
                    </w:rPr>
                  </w:pPr>
                  <w:r>
                    <w:rPr>
                      <w:rFonts w:hint="eastAsia"/>
                      <w:color w:val="auto"/>
                      <w:lang w:val="en-US" w:eastAsia="zh-CN"/>
                    </w:rPr>
                    <w:t>0.17</w:t>
                  </w:r>
                </w:p>
              </w:tc>
              <w:tc>
                <w:tcPr>
                  <w:tcW w:w="488" w:type="pct"/>
                  <w:vAlign w:val="center"/>
                </w:tcPr>
                <w:p>
                  <w:pPr>
                    <w:pStyle w:val="18"/>
                    <w:bidi w:val="0"/>
                    <w:rPr>
                      <w:rFonts w:hint="default"/>
                      <w:color w:val="auto"/>
                      <w:lang w:val="en-US" w:eastAsia="zh-CN"/>
                    </w:rPr>
                  </w:pPr>
                  <w:r>
                    <w:rPr>
                      <w:rFonts w:hint="eastAsia"/>
                      <w:color w:val="auto"/>
                      <w:lang w:val="en-US" w:eastAsia="zh-CN"/>
                    </w:rPr>
                    <w:t>28.64</w:t>
                  </w:r>
                </w:p>
              </w:tc>
              <w:tc>
                <w:tcPr>
                  <w:tcW w:w="479" w:type="pct"/>
                  <w:vAlign w:val="center"/>
                </w:tcPr>
                <w:p>
                  <w:pPr>
                    <w:pStyle w:val="18"/>
                    <w:bidi w:val="0"/>
                    <w:rPr>
                      <w:rFonts w:hint="default"/>
                      <w:color w:val="auto"/>
                      <w:lang w:val="en-US" w:eastAsia="zh-CN"/>
                    </w:rPr>
                  </w:pPr>
                  <w:r>
                    <w:rPr>
                      <w:rFonts w:hint="eastAsia"/>
                      <w:color w:val="auto"/>
                      <w:lang w:val="en-US" w:eastAsia="zh-CN"/>
                    </w:rPr>
                    <w:t>0.22</w:t>
                  </w:r>
                </w:p>
              </w:tc>
              <w:tc>
                <w:tcPr>
                  <w:tcW w:w="424" w:type="pct"/>
                  <w:vAlign w:val="center"/>
                </w:tcPr>
                <w:p>
                  <w:pPr>
                    <w:pStyle w:val="18"/>
                    <w:bidi w:val="0"/>
                    <w:rPr>
                      <w:rFonts w:hint="default"/>
                      <w:color w:val="auto"/>
                      <w:lang w:val="en-US" w:eastAsia="zh-CN"/>
                    </w:rPr>
                  </w:pPr>
                  <w:r>
                    <w:rPr>
                      <w:rFonts w:hint="eastAsia"/>
                      <w:color w:val="auto"/>
                      <w:lang w:val="en-US" w:eastAsia="zh-CN"/>
                    </w:rPr>
                    <w:t>0.012</w:t>
                  </w:r>
                </w:p>
              </w:tc>
              <w:tc>
                <w:tcPr>
                  <w:tcW w:w="470" w:type="pct"/>
                  <w:vAlign w:val="center"/>
                </w:tcPr>
                <w:p>
                  <w:pPr>
                    <w:pStyle w:val="18"/>
                    <w:bidi w:val="0"/>
                    <w:rPr>
                      <w:rFonts w:hint="default"/>
                      <w:color w:val="auto"/>
                      <w:lang w:val="en-US" w:eastAsia="zh-CN"/>
                    </w:rPr>
                  </w:pPr>
                  <w:r>
                    <w:rPr>
                      <w:rFonts w:hint="eastAsia"/>
                      <w:color w:val="auto"/>
                      <w:lang w:val="en-US" w:eastAsia="zh-CN"/>
                    </w:rPr>
                    <w:t>0.009</w:t>
                  </w:r>
                </w:p>
              </w:tc>
              <w:tc>
                <w:tcPr>
                  <w:tcW w:w="485" w:type="pct"/>
                  <w:vAlign w:val="center"/>
                </w:tcPr>
                <w:p>
                  <w:pPr>
                    <w:pStyle w:val="18"/>
                    <w:bidi w:val="0"/>
                    <w:rPr>
                      <w:rFonts w:hint="default"/>
                      <w:color w:val="auto"/>
                      <w:lang w:val="en-US" w:eastAsia="zh-CN"/>
                    </w:rPr>
                  </w:pPr>
                  <w:r>
                    <w:rPr>
                      <w:rFonts w:hint="eastAsia"/>
                      <w:color w:val="auto"/>
                      <w:lang w:val="en-US" w:eastAsia="zh-CN"/>
                    </w:rPr>
                    <w:t>1.48</w:t>
                  </w:r>
                </w:p>
              </w:tc>
              <w:tc>
                <w:tcPr>
                  <w:tcW w:w="429" w:type="pct"/>
                  <w:vAlign w:val="center"/>
                </w:tcPr>
                <w:p>
                  <w:pPr>
                    <w:pStyle w:val="18"/>
                    <w:bidi w:val="0"/>
                    <w:rPr>
                      <w:rFonts w:hint="default"/>
                      <w:color w:val="auto"/>
                      <w:lang w:val="en-US" w:eastAsia="zh-CN"/>
                    </w:rPr>
                  </w:pPr>
                  <w:r>
                    <w:rPr>
                      <w:rFonts w:hint="eastAsia"/>
                      <w:color w:val="auto"/>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pct"/>
                  <w:vAlign w:val="center"/>
                </w:tcPr>
                <w:p>
                  <w:pPr>
                    <w:pStyle w:val="18"/>
                    <w:bidi w:val="0"/>
                    <w:rPr>
                      <w:rFonts w:hint="eastAsia"/>
                      <w:color w:val="auto"/>
                      <w:lang w:val="en-US" w:eastAsia="zh-CN"/>
                    </w:rPr>
                  </w:pPr>
                  <w:r>
                    <w:rPr>
                      <w:rFonts w:hint="eastAsia"/>
                      <w:color w:val="auto"/>
                      <w:lang w:val="en-US" w:eastAsia="zh-CN"/>
                    </w:rPr>
                    <w:t>无组织</w:t>
                  </w:r>
                </w:p>
              </w:tc>
              <w:tc>
                <w:tcPr>
                  <w:tcW w:w="433" w:type="pct"/>
                  <w:vMerge w:val="continue"/>
                  <w:vAlign w:val="center"/>
                </w:tcPr>
                <w:p>
                  <w:pPr>
                    <w:pStyle w:val="18"/>
                    <w:bidi w:val="0"/>
                    <w:rPr>
                      <w:rFonts w:hint="eastAsia"/>
                      <w:color w:val="auto"/>
                      <w:lang w:val="en-US" w:eastAsia="zh-CN"/>
                    </w:rPr>
                  </w:pPr>
                </w:p>
              </w:tc>
              <w:tc>
                <w:tcPr>
                  <w:tcW w:w="452" w:type="pct"/>
                  <w:vMerge w:val="continue"/>
                  <w:vAlign w:val="center"/>
                </w:tcPr>
                <w:p>
                  <w:pPr>
                    <w:pStyle w:val="18"/>
                    <w:bidi w:val="0"/>
                    <w:rPr>
                      <w:rFonts w:hint="eastAsia"/>
                      <w:color w:val="auto"/>
                      <w:lang w:val="en-US" w:eastAsia="zh-CN"/>
                    </w:rPr>
                  </w:pPr>
                </w:p>
              </w:tc>
              <w:tc>
                <w:tcPr>
                  <w:tcW w:w="442" w:type="pct"/>
                  <w:vAlign w:val="center"/>
                </w:tcPr>
                <w:p>
                  <w:pPr>
                    <w:pStyle w:val="18"/>
                    <w:bidi w:val="0"/>
                    <w:rPr>
                      <w:rFonts w:hint="default"/>
                      <w:color w:val="auto"/>
                      <w:lang w:val="en-US" w:eastAsia="zh-CN"/>
                    </w:rPr>
                  </w:pPr>
                  <w:r>
                    <w:rPr>
                      <w:rFonts w:hint="eastAsia"/>
                      <w:color w:val="auto"/>
                      <w:lang w:val="en-US" w:eastAsia="zh-CN"/>
                    </w:rPr>
                    <w:t>0.058</w:t>
                  </w:r>
                </w:p>
              </w:tc>
              <w:tc>
                <w:tcPr>
                  <w:tcW w:w="433" w:type="pct"/>
                  <w:vAlign w:val="center"/>
                </w:tcPr>
                <w:p>
                  <w:pPr>
                    <w:pStyle w:val="18"/>
                    <w:bidi w:val="0"/>
                    <w:rPr>
                      <w:rFonts w:hint="default"/>
                      <w:color w:val="auto"/>
                      <w:lang w:val="en-US" w:eastAsia="zh-CN"/>
                    </w:rPr>
                  </w:pPr>
                  <w:r>
                    <w:rPr>
                      <w:rFonts w:hint="eastAsia"/>
                      <w:color w:val="auto"/>
                      <w:lang w:val="en-US" w:eastAsia="zh-CN"/>
                    </w:rPr>
                    <w:t>0.04</w:t>
                  </w:r>
                </w:p>
              </w:tc>
              <w:tc>
                <w:tcPr>
                  <w:tcW w:w="488" w:type="pct"/>
                  <w:vAlign w:val="center"/>
                </w:tcPr>
                <w:p>
                  <w:pPr>
                    <w:pStyle w:val="18"/>
                    <w:bidi w:val="0"/>
                    <w:rPr>
                      <w:rFonts w:hint="default"/>
                      <w:color w:val="auto"/>
                      <w:lang w:val="en-US" w:eastAsia="zh-CN"/>
                    </w:rPr>
                  </w:pPr>
                  <w:r>
                    <w:rPr>
                      <w:rFonts w:hint="eastAsia"/>
                      <w:color w:val="auto"/>
                      <w:lang w:val="en-US" w:eastAsia="zh-CN"/>
                    </w:rPr>
                    <w:t>/</w:t>
                  </w:r>
                </w:p>
              </w:tc>
              <w:tc>
                <w:tcPr>
                  <w:tcW w:w="479" w:type="pct"/>
                  <w:vAlign w:val="center"/>
                </w:tcPr>
                <w:p>
                  <w:pPr>
                    <w:pStyle w:val="18"/>
                    <w:bidi w:val="0"/>
                    <w:rPr>
                      <w:rFonts w:hint="default"/>
                      <w:color w:val="auto"/>
                      <w:lang w:val="en-US" w:eastAsia="zh-CN"/>
                    </w:rPr>
                  </w:pPr>
                  <w:r>
                    <w:rPr>
                      <w:rFonts w:hint="eastAsia"/>
                      <w:color w:val="auto"/>
                      <w:lang w:val="en-US" w:eastAsia="zh-CN"/>
                    </w:rPr>
                    <w:t>0</w:t>
                  </w:r>
                </w:p>
              </w:tc>
              <w:tc>
                <w:tcPr>
                  <w:tcW w:w="424" w:type="pct"/>
                  <w:vAlign w:val="center"/>
                </w:tcPr>
                <w:p>
                  <w:pPr>
                    <w:pStyle w:val="18"/>
                    <w:bidi w:val="0"/>
                    <w:rPr>
                      <w:rFonts w:hint="default"/>
                      <w:color w:val="auto"/>
                      <w:lang w:val="en-US" w:eastAsia="zh-CN"/>
                    </w:rPr>
                  </w:pPr>
                  <w:r>
                    <w:rPr>
                      <w:rFonts w:hint="eastAsia"/>
                      <w:color w:val="auto"/>
                      <w:lang w:val="en-US" w:eastAsia="zh-CN"/>
                    </w:rPr>
                    <w:t>0.058</w:t>
                  </w:r>
                </w:p>
              </w:tc>
              <w:tc>
                <w:tcPr>
                  <w:tcW w:w="470" w:type="pct"/>
                  <w:vAlign w:val="center"/>
                </w:tcPr>
                <w:p>
                  <w:pPr>
                    <w:pStyle w:val="18"/>
                    <w:bidi w:val="0"/>
                    <w:rPr>
                      <w:rFonts w:hint="default"/>
                      <w:color w:val="auto"/>
                      <w:lang w:val="en-US" w:eastAsia="zh-CN"/>
                    </w:rPr>
                  </w:pPr>
                  <w:r>
                    <w:rPr>
                      <w:rFonts w:hint="eastAsia"/>
                      <w:color w:val="auto"/>
                      <w:lang w:val="en-US" w:eastAsia="zh-CN"/>
                    </w:rPr>
                    <w:t>0.043</w:t>
                  </w:r>
                </w:p>
              </w:tc>
              <w:tc>
                <w:tcPr>
                  <w:tcW w:w="485" w:type="pct"/>
                  <w:vAlign w:val="center"/>
                </w:tcPr>
                <w:p>
                  <w:pPr>
                    <w:pStyle w:val="18"/>
                    <w:bidi w:val="0"/>
                    <w:rPr>
                      <w:rFonts w:hint="default"/>
                      <w:color w:val="auto"/>
                      <w:lang w:val="en-US" w:eastAsia="zh-CN"/>
                    </w:rPr>
                  </w:pPr>
                  <w:r>
                    <w:rPr>
                      <w:rFonts w:hint="eastAsia"/>
                      <w:color w:val="auto"/>
                      <w:lang w:val="en-US" w:eastAsia="zh-CN"/>
                    </w:rPr>
                    <w:t>/</w:t>
                  </w:r>
                </w:p>
              </w:tc>
              <w:tc>
                <w:tcPr>
                  <w:tcW w:w="429" w:type="pct"/>
                  <w:vAlign w:val="center"/>
                </w:tcPr>
                <w:p>
                  <w:pPr>
                    <w:pStyle w:val="18"/>
                    <w:bidi w:val="0"/>
                    <w:rPr>
                      <w:rFonts w:hint="default"/>
                      <w:color w:val="auto"/>
                      <w:lang w:val="en-US" w:eastAsia="zh-CN"/>
                    </w:rPr>
                  </w:pPr>
                  <w:r>
                    <w:rPr>
                      <w:rFonts w:hint="eastAsia"/>
                      <w:color w:val="auto"/>
                      <w:lang w:val="en-US" w:eastAsia="zh-CN"/>
                    </w:rPr>
                    <w:t>/</w:t>
                  </w:r>
                </w:p>
              </w:tc>
            </w:tr>
          </w:tbl>
          <w:p>
            <w:pPr>
              <w:pStyle w:val="2"/>
              <w:rPr>
                <w:rFonts w:hint="eastAsia"/>
                <w:color w:val="auto"/>
                <w:lang w:val="en-US" w:eastAsia="zh-CN"/>
              </w:rPr>
            </w:pPr>
            <w:r>
              <w:rPr>
                <w:rFonts w:hint="default"/>
                <w:color w:val="auto"/>
                <w:lang w:val="en-US" w:eastAsia="zh-CN"/>
              </w:rPr>
              <w:t>由上表分析可知，本项目喷漆车间产生的</w:t>
            </w:r>
            <w:r>
              <w:rPr>
                <w:rFonts w:hint="eastAsia"/>
                <w:color w:val="auto"/>
                <w:lang w:val="en-US" w:eastAsia="zh-CN"/>
              </w:rPr>
              <w:t>漆雾</w:t>
            </w:r>
            <w:r>
              <w:rPr>
                <w:rFonts w:hint="default"/>
                <w:color w:val="auto"/>
                <w:lang w:val="en-US" w:eastAsia="zh-CN"/>
              </w:rPr>
              <w:t>经过</w:t>
            </w:r>
            <w:r>
              <w:rPr>
                <w:rFonts w:hint="eastAsia"/>
                <w:color w:val="auto"/>
                <w:lang w:val="en-US" w:eastAsia="zh-CN"/>
              </w:rPr>
              <w:t>过滤棉+活性炭</w:t>
            </w:r>
            <w:r>
              <w:rPr>
                <w:rFonts w:hint="default"/>
                <w:color w:val="auto"/>
                <w:lang w:val="en-US" w:eastAsia="zh-CN"/>
              </w:rPr>
              <w:t>吸附处理装置处理后，</w:t>
            </w:r>
            <w:r>
              <w:rPr>
                <w:rFonts w:hint="eastAsia"/>
                <w:color w:val="auto"/>
                <w:lang w:val="en-US" w:eastAsia="zh-CN"/>
              </w:rPr>
              <w:t>漆雾</w:t>
            </w:r>
            <w:r>
              <w:rPr>
                <w:rFonts w:hint="default"/>
                <w:color w:val="auto"/>
                <w:lang w:val="en-US" w:eastAsia="zh-CN"/>
              </w:rPr>
              <w:t>的排放速率和排放浓度均能达到《大气污染物综合排放标准》（GB16297-1996）二级标准限值要求。</w:t>
            </w:r>
          </w:p>
          <w:p>
            <w:pPr>
              <w:spacing w:line="360" w:lineRule="auto"/>
              <w:ind w:firstLine="480"/>
              <w:rPr>
                <w:rFonts w:hint="default"/>
                <w:color w:val="auto"/>
                <w:lang w:val="en-US" w:eastAsia="zh-CN"/>
              </w:rPr>
            </w:pPr>
            <w:r>
              <w:rPr>
                <w:rFonts w:hint="eastAsia"/>
                <w:color w:val="auto"/>
                <w:lang w:val="en-US" w:eastAsia="zh-CN"/>
              </w:rPr>
              <w:t>（3）加工粉尘</w:t>
            </w:r>
          </w:p>
          <w:p>
            <w:pPr>
              <w:spacing w:line="360" w:lineRule="auto"/>
              <w:ind w:firstLine="470" w:firstLineChars="196"/>
              <w:rPr>
                <w:rFonts w:hint="default"/>
                <w:color w:val="auto"/>
                <w:lang w:val="en-US" w:eastAsia="zh-CN"/>
              </w:rPr>
            </w:pPr>
            <w:r>
              <w:rPr>
                <w:rFonts w:hint="default"/>
                <w:color w:val="auto"/>
                <w:lang w:val="en-US" w:eastAsia="zh-CN"/>
              </w:rPr>
              <w:t>钢件钻孔过程会产生金属粉尘，钻孔过程由于高速摩擦会产生高温，通过使用切血液对工作面进行降温，同时可及时对产生的金属粉尘进行有效去除，因此</w:t>
            </w:r>
          </w:p>
          <w:p>
            <w:pPr>
              <w:spacing w:line="360" w:lineRule="auto"/>
              <w:rPr>
                <w:rFonts w:hint="default"/>
                <w:color w:val="auto"/>
                <w:lang w:val="en-US" w:eastAsia="zh-CN"/>
              </w:rPr>
            </w:pPr>
            <w:r>
              <w:rPr>
                <w:rFonts w:hint="default"/>
                <w:color w:val="auto"/>
                <w:lang w:val="en-US" w:eastAsia="zh-CN"/>
              </w:rPr>
              <w:t>钻孔过程基本无金属粉尘排放。</w:t>
            </w:r>
          </w:p>
          <w:p>
            <w:pPr>
              <w:spacing w:line="360" w:lineRule="auto"/>
              <w:ind w:firstLine="470" w:firstLineChars="196"/>
              <w:rPr>
                <w:rFonts w:hint="default"/>
                <w:color w:val="auto"/>
                <w:lang w:val="en-US" w:eastAsia="zh-CN"/>
              </w:rPr>
            </w:pPr>
            <w:r>
              <w:rPr>
                <w:rFonts w:hint="default"/>
                <w:color w:val="auto"/>
                <w:lang w:val="en-US" w:eastAsia="zh-CN"/>
              </w:rPr>
              <w:t>钢构件进行切割过程中会产生细小的颗粒物，这些颗粒物的主要成分为金属。一方面因为其质量较大，沉降较快；另一方面，会有一少部分较细小的颗粒物随着机械的运动而可能会在空气中停留暂短时间后沉降于地面。</w:t>
            </w:r>
          </w:p>
          <w:p>
            <w:pPr>
              <w:spacing w:line="360" w:lineRule="auto"/>
              <w:ind w:firstLine="470" w:firstLineChars="196"/>
              <w:rPr>
                <w:rFonts w:hint="default"/>
                <w:color w:val="auto"/>
                <w:lang w:val="en-US" w:eastAsia="zh-CN"/>
              </w:rPr>
            </w:pPr>
            <w:r>
              <w:rPr>
                <w:rFonts w:hint="default"/>
                <w:color w:val="auto"/>
                <w:lang w:val="en-US" w:eastAsia="zh-CN"/>
              </w:rPr>
              <w:t>钢材机加工过程粉尘产生量按</w:t>
            </w:r>
            <w:r>
              <w:rPr>
                <w:rFonts w:hint="eastAsia"/>
                <w:color w:val="auto"/>
                <w:lang w:val="en-US" w:eastAsia="zh-CN"/>
              </w:rPr>
              <w:t>2</w:t>
            </w:r>
            <w:r>
              <w:rPr>
                <w:rFonts w:hint="default"/>
                <w:color w:val="auto"/>
                <w:lang w:val="en-US" w:eastAsia="zh-CN"/>
              </w:rPr>
              <w:t>0g/t钢材计，则本项目各类钢材加工过程中粉尘产生量约</w:t>
            </w:r>
            <w:r>
              <w:rPr>
                <w:rFonts w:hint="eastAsia"/>
                <w:color w:val="auto"/>
                <w:lang w:val="en-US" w:eastAsia="zh-CN"/>
              </w:rPr>
              <w:t>0.06</w:t>
            </w:r>
            <w:r>
              <w:rPr>
                <w:rFonts w:hint="default"/>
                <w:color w:val="auto"/>
                <w:lang w:val="en-US" w:eastAsia="zh-CN"/>
              </w:rPr>
              <w:t>t/a。由于金属颗粒物质量较重，且有车间厂房阻拦，颗粒物散落范围很小，多在5m以内，飘逸至车间外环境的金属颗粒物极少，根据对《大气污染物排放标准》（GB16297-1996）复核调研和国家环保总局《大气污染物排放达标技术指南》课题调查资料表明，调研的国内</w:t>
            </w:r>
            <w:r>
              <w:rPr>
                <w:rFonts w:hint="eastAsia"/>
                <w:color w:val="auto"/>
                <w:lang w:val="en-US" w:eastAsia="zh-CN"/>
              </w:rPr>
              <w:t>6</w:t>
            </w:r>
            <w:r>
              <w:rPr>
                <w:rFonts w:hint="default"/>
                <w:color w:val="auto"/>
                <w:lang w:val="en-US" w:eastAsia="zh-CN"/>
              </w:rPr>
              <w:t>个机加工企业，各种机加工车床周围5m处，金属颗粒物浓度在0.3~0.95mg/</w:t>
            </w:r>
            <w:r>
              <w:rPr>
                <w:rFonts w:hint="eastAsia"/>
                <w:color w:val="auto"/>
                <w:lang w:val="en-US" w:eastAsia="zh-CN"/>
              </w:rPr>
              <w:t>m</w:t>
            </w:r>
            <w:r>
              <w:rPr>
                <w:rFonts w:hint="eastAsia"/>
                <w:color w:val="auto"/>
                <w:vertAlign w:val="superscript"/>
                <w:lang w:val="en-US" w:eastAsia="zh-CN"/>
              </w:rPr>
              <w:t>3</w:t>
            </w:r>
            <w:r>
              <w:rPr>
                <w:rFonts w:hint="default"/>
                <w:color w:val="auto"/>
                <w:lang w:val="en-US" w:eastAsia="zh-CN"/>
              </w:rPr>
              <w:t>，平均浓度为0.61mg/</w:t>
            </w:r>
            <w:r>
              <w:rPr>
                <w:rFonts w:hint="eastAsia"/>
                <w:color w:val="auto"/>
                <w:lang w:val="en-US" w:eastAsia="zh-CN"/>
              </w:rPr>
              <w:t>m</w:t>
            </w:r>
            <w:r>
              <w:rPr>
                <w:rFonts w:hint="eastAsia"/>
                <w:color w:val="auto"/>
                <w:vertAlign w:val="superscript"/>
                <w:lang w:val="en-US" w:eastAsia="zh-CN"/>
              </w:rPr>
              <w:t>3</w:t>
            </w:r>
            <w:r>
              <w:rPr>
                <w:rFonts w:hint="default"/>
                <w:color w:val="auto"/>
                <w:lang w:val="en-US" w:eastAsia="zh-CN"/>
              </w:rPr>
              <w:t>。故颗粒物经</w:t>
            </w:r>
            <w:r>
              <w:rPr>
                <w:rFonts w:hint="eastAsia"/>
                <w:color w:val="auto"/>
                <w:lang w:val="en-US" w:eastAsia="zh-CN"/>
              </w:rPr>
              <w:t>移动式除尘设备处理后，再经过</w:t>
            </w:r>
            <w:r>
              <w:rPr>
                <w:rFonts w:hint="default"/>
                <w:color w:val="auto"/>
                <w:lang w:val="en-US" w:eastAsia="zh-CN"/>
              </w:rPr>
              <w:t>车间厂房阻拦后，厂界颗粒物无组织排放监控点达标，即排放浓度&lt;1.0mg/</w:t>
            </w:r>
            <w:r>
              <w:rPr>
                <w:rFonts w:hint="eastAsia"/>
                <w:color w:val="auto"/>
                <w:lang w:val="en-US" w:eastAsia="zh-CN"/>
              </w:rPr>
              <w:t>m</w:t>
            </w:r>
            <w:r>
              <w:rPr>
                <w:rFonts w:hint="eastAsia"/>
                <w:color w:val="auto"/>
                <w:vertAlign w:val="superscript"/>
                <w:lang w:val="en-US" w:eastAsia="zh-CN"/>
              </w:rPr>
              <w:t>3</w:t>
            </w:r>
            <w:r>
              <w:rPr>
                <w:rFonts w:hint="default"/>
                <w:color w:val="auto"/>
                <w:lang w:val="en-US" w:eastAsia="zh-CN"/>
              </w:rPr>
              <w:t>标准限值。</w:t>
            </w:r>
            <w:r>
              <w:rPr>
                <w:rFonts w:hint="eastAsia"/>
                <w:color w:val="auto"/>
                <w:lang w:val="en-US" w:eastAsia="zh-CN"/>
              </w:rPr>
              <w:t>本项目机加工设备设置于生产车间内，产生的机加工粉尘约60%被移动式除尘设备收集，剩余50%在车间阻隔自然沉降于车间内，剩余部分粉尘经过车间门窗外逸，以无组织形式外排，则外排机加工粉尘量为0.012t/a</w:t>
            </w:r>
            <w:r>
              <w:rPr>
                <w:rFonts w:hint="default"/>
                <w:color w:val="auto"/>
                <w:lang w:val="en-US" w:eastAsia="zh-CN"/>
              </w:rPr>
              <w:t>。</w:t>
            </w:r>
          </w:p>
          <w:p>
            <w:pPr>
              <w:spacing w:line="360" w:lineRule="auto"/>
              <w:ind w:firstLine="470" w:firstLineChars="196"/>
              <w:rPr>
                <w:rFonts w:hint="default"/>
                <w:color w:val="auto"/>
              </w:rPr>
            </w:pPr>
            <w:r>
              <w:rPr>
                <w:rFonts w:hint="default"/>
                <w:color w:val="auto"/>
              </w:rPr>
              <w:t>2、废水</w:t>
            </w:r>
          </w:p>
          <w:p>
            <w:pPr>
              <w:spacing w:line="360" w:lineRule="auto"/>
              <w:ind w:firstLine="470" w:firstLineChars="196"/>
              <w:rPr>
                <w:rFonts w:hint="default"/>
                <w:color w:val="auto"/>
                <w:lang w:val="en-US" w:eastAsia="zh-CN"/>
              </w:rPr>
            </w:pPr>
            <w:r>
              <w:rPr>
                <w:rFonts w:hint="default"/>
                <w:color w:val="auto"/>
                <w:lang w:val="en-US" w:eastAsia="zh-CN"/>
              </w:rPr>
              <w:t>项目运营期用水主要为生产用水、生活用水，</w:t>
            </w:r>
            <w:r>
              <w:rPr>
                <w:rFonts w:hint="eastAsia"/>
                <w:color w:val="auto"/>
                <w:lang w:val="en-US" w:eastAsia="zh-CN"/>
              </w:rPr>
              <w:t>生产永久全部自然蒸发，不外排，项目区不设食宿，生活用水主要为生产人员饮用水，上厕使用园区公共卫生间，本项目无生活污水产生及排放</w:t>
            </w:r>
            <w:r>
              <w:rPr>
                <w:rFonts w:hint="default"/>
                <w:color w:val="auto"/>
                <w:lang w:val="en-US" w:eastAsia="zh-CN"/>
              </w:rPr>
              <w:t>。</w:t>
            </w:r>
          </w:p>
          <w:p>
            <w:pPr>
              <w:spacing w:line="360" w:lineRule="auto"/>
              <w:ind w:firstLine="470" w:firstLineChars="196"/>
              <w:rPr>
                <w:rFonts w:hint="default"/>
                <w:color w:val="auto"/>
                <w:lang w:val="en-US" w:eastAsia="zh-CN"/>
              </w:rPr>
            </w:pPr>
            <w:r>
              <w:rPr>
                <w:rFonts w:hint="default"/>
                <w:color w:val="auto"/>
                <w:lang w:val="en-US" w:eastAsia="zh-CN"/>
              </w:rPr>
              <w:t>（1）生产用水</w:t>
            </w:r>
          </w:p>
          <w:p>
            <w:pPr>
              <w:spacing w:line="360" w:lineRule="auto"/>
              <w:ind w:firstLine="470" w:firstLineChars="196"/>
              <w:rPr>
                <w:rFonts w:hint="default"/>
                <w:color w:val="auto"/>
                <w:lang w:val="en-US" w:eastAsia="zh-CN"/>
              </w:rPr>
            </w:pPr>
            <w:r>
              <w:rPr>
                <w:rFonts w:hint="default"/>
                <w:color w:val="auto"/>
                <w:lang w:val="en-US" w:eastAsia="zh-CN"/>
              </w:rPr>
              <w:t>本项目为钢材生产，生产过程中水性丙烯酸涂料在生产过程中需要用自来水进行调漆。根据工程分析，项目丙烯酸涂料和自来水的调和比例为</w:t>
            </w:r>
            <w:r>
              <w:rPr>
                <w:rFonts w:hint="eastAsia"/>
                <w:color w:val="auto"/>
                <w:lang w:val="en-US" w:eastAsia="zh-CN"/>
              </w:rPr>
              <w:t>2</w:t>
            </w:r>
            <w:r>
              <w:rPr>
                <w:rFonts w:hint="default"/>
                <w:color w:val="auto"/>
                <w:lang w:val="en-US" w:eastAsia="zh-CN"/>
              </w:rPr>
              <w:t>：1，项目年使用水性漆量为</w:t>
            </w:r>
            <w:r>
              <w:rPr>
                <w:rFonts w:hint="eastAsia"/>
                <w:color w:val="auto"/>
                <w:lang w:val="en-US" w:eastAsia="zh-CN"/>
              </w:rPr>
              <w:t>3.6</w:t>
            </w:r>
            <w:r>
              <w:rPr>
                <w:rFonts w:hint="default"/>
                <w:color w:val="auto"/>
                <w:lang w:val="en-US" w:eastAsia="zh-CN"/>
              </w:rPr>
              <w:t>t，则调漆用水量为</w:t>
            </w:r>
            <w:r>
              <w:rPr>
                <w:rFonts w:hint="eastAsia"/>
                <w:color w:val="auto"/>
                <w:lang w:val="en-US" w:eastAsia="zh-CN"/>
              </w:rPr>
              <w:t>1.8t</w:t>
            </w:r>
            <w:r>
              <w:rPr>
                <w:rFonts w:hint="default"/>
                <w:color w:val="auto"/>
                <w:lang w:val="en-US" w:eastAsia="zh-CN"/>
              </w:rPr>
              <w:t>/a，日均用水量约为</w:t>
            </w:r>
            <w:r>
              <w:rPr>
                <w:rFonts w:hint="eastAsia"/>
                <w:color w:val="auto"/>
                <w:lang w:val="en-US" w:eastAsia="zh-CN"/>
              </w:rPr>
              <w:t>6L</w:t>
            </w:r>
            <w:r>
              <w:rPr>
                <w:rFonts w:hint="default"/>
                <w:color w:val="auto"/>
                <w:lang w:val="en-US" w:eastAsia="zh-CN"/>
              </w:rPr>
              <w:t>，本项目调漆用水全部挥发或进入产品，因此生产过程中无生产废水产生。</w:t>
            </w:r>
          </w:p>
          <w:p>
            <w:pPr>
              <w:spacing w:line="360" w:lineRule="auto"/>
              <w:ind w:firstLine="470" w:firstLineChars="196"/>
              <w:rPr>
                <w:rFonts w:hint="default"/>
                <w:color w:val="auto"/>
                <w:lang w:val="en-US" w:eastAsia="zh-CN"/>
              </w:rPr>
            </w:pPr>
            <w:r>
              <w:rPr>
                <w:rFonts w:hint="default"/>
                <w:color w:val="auto"/>
                <w:lang w:val="en-US" w:eastAsia="zh-CN"/>
              </w:rPr>
              <w:t>（2）生活用水</w:t>
            </w:r>
          </w:p>
          <w:p>
            <w:pPr>
              <w:adjustRightInd w:val="0"/>
              <w:snapToGrid w:val="0"/>
              <w:spacing w:line="360" w:lineRule="auto"/>
              <w:ind w:firstLine="480"/>
              <w:rPr>
                <w:rFonts w:hint="eastAsia"/>
                <w:color w:val="auto"/>
              </w:rPr>
            </w:pPr>
            <w:r>
              <w:rPr>
                <w:rFonts w:hint="default"/>
                <w:color w:val="auto"/>
                <w:lang w:val="en-US" w:eastAsia="zh-CN"/>
              </w:rPr>
              <w:t>项目厂内工作人员</w:t>
            </w:r>
            <w:r>
              <w:rPr>
                <w:rFonts w:hint="eastAsia"/>
                <w:color w:val="auto"/>
                <w:lang w:val="en-US" w:eastAsia="zh-CN"/>
              </w:rPr>
              <w:t>20</w:t>
            </w:r>
            <w:r>
              <w:rPr>
                <w:rFonts w:hint="default"/>
                <w:color w:val="auto"/>
                <w:lang w:val="en-US" w:eastAsia="zh-CN"/>
              </w:rPr>
              <w:t>人，</w:t>
            </w:r>
            <w:r>
              <w:rPr>
                <w:rFonts w:hint="eastAsia"/>
                <w:color w:val="auto"/>
                <w:lang w:val="en-US" w:eastAsia="zh-CN"/>
              </w:rPr>
              <w:t>项目区不设宿舍，生活用水主要为员工饮用水，由桶装水供给，每天用水量按每人每天4L计算，则本项目饮用水用水量为80L/d，上厕使用园区公共卫生间，本项目无生活污水产生及排放</w:t>
            </w:r>
            <w:r>
              <w:rPr>
                <w:rFonts w:hint="eastAsia"/>
                <w:color w:val="auto"/>
              </w:rPr>
              <w:t>。</w:t>
            </w:r>
          </w:p>
          <w:p>
            <w:pPr>
              <w:adjustRightInd w:val="0"/>
              <w:snapToGrid w:val="0"/>
              <w:spacing w:line="360" w:lineRule="auto"/>
              <w:ind w:firstLine="480"/>
              <w:rPr>
                <w:color w:val="auto"/>
              </w:rPr>
            </w:pPr>
            <w:r>
              <w:rPr>
                <w:color w:val="auto"/>
              </w:rPr>
              <w:t>（4）水量平衡</w:t>
            </w:r>
          </w:p>
          <w:p>
            <w:pPr>
              <w:adjustRightInd w:val="0"/>
              <w:snapToGrid w:val="0"/>
              <w:spacing w:line="360" w:lineRule="auto"/>
              <w:ind w:firstLine="480"/>
              <w:rPr>
                <w:color w:val="auto"/>
              </w:rPr>
            </w:pPr>
            <w:r>
              <w:rPr>
                <w:color w:val="auto"/>
              </w:rPr>
              <w:t>本项目给排水情况见表5-</w:t>
            </w:r>
            <w:r>
              <w:rPr>
                <w:rFonts w:hint="eastAsia"/>
                <w:color w:val="auto"/>
              </w:rPr>
              <w:t>4</w:t>
            </w:r>
            <w:r>
              <w:rPr>
                <w:color w:val="auto"/>
              </w:rPr>
              <w:t>。本项目水量平衡图详见图5-5所示。</w:t>
            </w:r>
          </w:p>
          <w:p>
            <w:pPr>
              <w:pStyle w:val="19"/>
              <w:bidi w:val="0"/>
              <w:rPr>
                <w:color w:val="auto"/>
              </w:rPr>
            </w:pPr>
            <w:r>
              <w:rPr>
                <w:color w:val="auto"/>
              </w:rPr>
              <w:t>表5-</w:t>
            </w:r>
            <w:r>
              <w:rPr>
                <w:rFonts w:hint="eastAsia"/>
                <w:color w:val="auto"/>
              </w:rPr>
              <w:t>4</w:t>
            </w:r>
            <w:r>
              <w:rPr>
                <w:color w:val="auto"/>
              </w:rPr>
              <w:t xml:space="preserve">   项目区给排水情况一览表</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1381"/>
              <w:gridCol w:w="1383"/>
              <w:gridCol w:w="1383"/>
              <w:gridCol w:w="1383"/>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noWrap w:val="0"/>
                  <w:vAlign w:val="top"/>
                </w:tcPr>
                <w:p>
                  <w:pPr>
                    <w:pStyle w:val="18"/>
                    <w:bidi w:val="0"/>
                    <w:spacing w:line="240" w:lineRule="auto"/>
                    <w:rPr>
                      <w:rFonts w:hint="eastAsia"/>
                      <w:color w:val="auto"/>
                      <w:lang w:eastAsia="zh-CN"/>
                    </w:rPr>
                  </w:pPr>
                  <w:r>
                    <w:rPr>
                      <w:rFonts w:hint="eastAsia"/>
                      <w:color w:val="auto"/>
                      <w:lang w:eastAsia="zh-CN"/>
                    </w:rPr>
                    <w:t>用水环节</w:t>
                  </w:r>
                </w:p>
              </w:tc>
              <w:tc>
                <w:tcPr>
                  <w:tcW w:w="832" w:type="pct"/>
                  <w:noWrap w:val="0"/>
                  <w:vAlign w:val="top"/>
                </w:tcPr>
                <w:p>
                  <w:pPr>
                    <w:pStyle w:val="18"/>
                    <w:bidi w:val="0"/>
                    <w:spacing w:line="240" w:lineRule="auto"/>
                    <w:rPr>
                      <w:rFonts w:hint="eastAsia"/>
                      <w:color w:val="auto"/>
                      <w:lang w:eastAsia="zh-CN"/>
                    </w:rPr>
                  </w:pPr>
                  <w:r>
                    <w:rPr>
                      <w:rFonts w:hint="eastAsia"/>
                      <w:color w:val="auto"/>
                      <w:lang w:eastAsia="zh-CN"/>
                    </w:rPr>
                    <w:t>用水标准</w:t>
                  </w:r>
                </w:p>
              </w:tc>
              <w:tc>
                <w:tcPr>
                  <w:tcW w:w="833" w:type="pct"/>
                  <w:noWrap w:val="0"/>
                  <w:vAlign w:val="top"/>
                </w:tcPr>
                <w:p>
                  <w:pPr>
                    <w:pStyle w:val="18"/>
                    <w:bidi w:val="0"/>
                    <w:spacing w:line="240" w:lineRule="auto"/>
                    <w:rPr>
                      <w:rFonts w:hint="eastAsia"/>
                      <w:color w:val="auto"/>
                      <w:lang w:eastAsia="zh-CN"/>
                    </w:rPr>
                  </w:pPr>
                  <w:r>
                    <w:rPr>
                      <w:rFonts w:hint="eastAsia"/>
                      <w:color w:val="auto"/>
                      <w:lang w:eastAsia="zh-CN"/>
                    </w:rPr>
                    <w:t>日用水量</w:t>
                  </w:r>
                </w:p>
              </w:tc>
              <w:tc>
                <w:tcPr>
                  <w:tcW w:w="833" w:type="pct"/>
                  <w:noWrap w:val="0"/>
                  <w:vAlign w:val="top"/>
                </w:tcPr>
                <w:p>
                  <w:pPr>
                    <w:pStyle w:val="18"/>
                    <w:bidi w:val="0"/>
                    <w:spacing w:line="240" w:lineRule="auto"/>
                    <w:rPr>
                      <w:rFonts w:hint="eastAsia"/>
                      <w:color w:val="auto"/>
                      <w:lang w:eastAsia="zh-CN"/>
                    </w:rPr>
                  </w:pPr>
                  <w:r>
                    <w:rPr>
                      <w:rFonts w:hint="eastAsia"/>
                      <w:color w:val="auto"/>
                      <w:lang w:eastAsia="zh-CN"/>
                    </w:rPr>
                    <w:t>年用水量</w:t>
                  </w:r>
                </w:p>
              </w:tc>
              <w:tc>
                <w:tcPr>
                  <w:tcW w:w="833" w:type="pct"/>
                  <w:noWrap w:val="0"/>
                  <w:vAlign w:val="top"/>
                </w:tcPr>
                <w:p>
                  <w:pPr>
                    <w:pStyle w:val="18"/>
                    <w:bidi w:val="0"/>
                    <w:spacing w:line="240" w:lineRule="auto"/>
                    <w:rPr>
                      <w:rFonts w:hint="eastAsia"/>
                      <w:color w:val="auto"/>
                      <w:lang w:eastAsia="zh-CN"/>
                    </w:rPr>
                  </w:pPr>
                  <w:r>
                    <w:rPr>
                      <w:rFonts w:hint="eastAsia"/>
                      <w:color w:val="auto"/>
                      <w:lang w:eastAsia="zh-CN"/>
                    </w:rPr>
                    <w:t>日废水量</w:t>
                  </w:r>
                </w:p>
              </w:tc>
              <w:tc>
                <w:tcPr>
                  <w:tcW w:w="833" w:type="pct"/>
                  <w:noWrap w:val="0"/>
                  <w:vAlign w:val="top"/>
                </w:tcPr>
                <w:p>
                  <w:pPr>
                    <w:pStyle w:val="18"/>
                    <w:bidi w:val="0"/>
                    <w:spacing w:line="240" w:lineRule="auto"/>
                    <w:rPr>
                      <w:rFonts w:hint="eastAsia"/>
                      <w:color w:val="auto"/>
                      <w:lang w:eastAsia="zh-CN"/>
                    </w:rPr>
                  </w:pPr>
                  <w:r>
                    <w:rPr>
                      <w:rFonts w:hint="eastAsia"/>
                      <w:color w:val="auto"/>
                      <w:lang w:eastAsia="zh-CN"/>
                    </w:rPr>
                    <w:t>年废水量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noWrap w:val="0"/>
                  <w:vAlign w:val="top"/>
                </w:tcPr>
                <w:p>
                  <w:pPr>
                    <w:pStyle w:val="18"/>
                    <w:bidi w:val="0"/>
                    <w:spacing w:line="240" w:lineRule="auto"/>
                    <w:rPr>
                      <w:rFonts w:hint="eastAsia"/>
                      <w:color w:val="auto"/>
                      <w:lang w:eastAsia="zh-CN"/>
                    </w:rPr>
                  </w:pPr>
                  <w:r>
                    <w:rPr>
                      <w:rFonts w:hint="eastAsia"/>
                      <w:color w:val="auto"/>
                      <w:lang w:eastAsia="zh-CN"/>
                    </w:rPr>
                    <w:t>调漆用水</w:t>
                  </w:r>
                </w:p>
              </w:tc>
              <w:tc>
                <w:tcPr>
                  <w:tcW w:w="832" w:type="pct"/>
                  <w:noWrap w:val="0"/>
                  <w:vAlign w:val="top"/>
                </w:tcPr>
                <w:p>
                  <w:pPr>
                    <w:pStyle w:val="18"/>
                    <w:bidi w:val="0"/>
                    <w:spacing w:line="240" w:lineRule="auto"/>
                    <w:rPr>
                      <w:rFonts w:hint="eastAsia"/>
                      <w:color w:val="auto"/>
                      <w:lang w:val="en-US" w:eastAsia="zh-CN"/>
                    </w:rPr>
                  </w:pPr>
                  <w:r>
                    <w:rPr>
                      <w:rFonts w:hint="eastAsia"/>
                      <w:color w:val="auto"/>
                      <w:lang w:val="en-US" w:eastAsia="zh-CN"/>
                    </w:rPr>
                    <w:t>/</w:t>
                  </w:r>
                </w:p>
              </w:tc>
              <w:tc>
                <w:tcPr>
                  <w:tcW w:w="833" w:type="pct"/>
                  <w:noWrap w:val="0"/>
                  <w:vAlign w:val="top"/>
                </w:tcPr>
                <w:p>
                  <w:pPr>
                    <w:pStyle w:val="18"/>
                    <w:bidi w:val="0"/>
                    <w:spacing w:line="240" w:lineRule="auto"/>
                    <w:rPr>
                      <w:rFonts w:hint="default"/>
                      <w:color w:val="auto"/>
                      <w:lang w:val="en-US" w:eastAsia="zh-CN"/>
                    </w:rPr>
                  </w:pPr>
                  <w:r>
                    <w:rPr>
                      <w:rFonts w:hint="eastAsia"/>
                      <w:color w:val="auto"/>
                      <w:lang w:val="en-US" w:eastAsia="zh-CN"/>
                    </w:rPr>
                    <w:t>0.006</w:t>
                  </w:r>
                </w:p>
              </w:tc>
              <w:tc>
                <w:tcPr>
                  <w:tcW w:w="833" w:type="pct"/>
                  <w:noWrap w:val="0"/>
                  <w:vAlign w:val="top"/>
                </w:tcPr>
                <w:p>
                  <w:pPr>
                    <w:pStyle w:val="18"/>
                    <w:bidi w:val="0"/>
                    <w:spacing w:line="240" w:lineRule="auto"/>
                    <w:rPr>
                      <w:rFonts w:hint="default"/>
                      <w:color w:val="auto"/>
                      <w:lang w:val="en-US" w:eastAsia="zh-CN"/>
                    </w:rPr>
                  </w:pPr>
                  <w:r>
                    <w:rPr>
                      <w:rFonts w:hint="eastAsia"/>
                      <w:color w:val="auto"/>
                      <w:lang w:val="en-US" w:eastAsia="zh-CN"/>
                    </w:rPr>
                    <w:t>1.8</w:t>
                  </w:r>
                </w:p>
              </w:tc>
              <w:tc>
                <w:tcPr>
                  <w:tcW w:w="833" w:type="pct"/>
                  <w:noWrap w:val="0"/>
                  <w:vAlign w:val="top"/>
                </w:tcPr>
                <w:p>
                  <w:pPr>
                    <w:pStyle w:val="18"/>
                    <w:bidi w:val="0"/>
                    <w:spacing w:line="240" w:lineRule="auto"/>
                    <w:rPr>
                      <w:rFonts w:hint="eastAsia"/>
                      <w:color w:val="auto"/>
                      <w:lang w:val="en-US" w:eastAsia="zh-CN"/>
                    </w:rPr>
                  </w:pPr>
                  <w:r>
                    <w:rPr>
                      <w:rFonts w:hint="eastAsia"/>
                      <w:color w:val="auto"/>
                      <w:lang w:val="en-US" w:eastAsia="zh-CN"/>
                    </w:rPr>
                    <w:t>0</w:t>
                  </w:r>
                </w:p>
              </w:tc>
              <w:tc>
                <w:tcPr>
                  <w:tcW w:w="833" w:type="pct"/>
                  <w:noWrap w:val="0"/>
                  <w:vAlign w:val="top"/>
                </w:tcPr>
                <w:p>
                  <w:pPr>
                    <w:pStyle w:val="18"/>
                    <w:bidi w:val="0"/>
                    <w:spacing w:line="240" w:lineRule="auto"/>
                    <w:rPr>
                      <w:rFonts w:hint="eastAsia"/>
                      <w:color w:val="auto"/>
                      <w:lang w:val="en-US" w:eastAsia="zh-CN"/>
                    </w:rPr>
                  </w:pPr>
                  <w:r>
                    <w:rPr>
                      <w:rFonts w:hint="eastAsia"/>
                      <w:color w:val="auto"/>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pct"/>
                  <w:noWrap w:val="0"/>
                  <w:vAlign w:val="top"/>
                </w:tcPr>
                <w:p>
                  <w:pPr>
                    <w:pStyle w:val="18"/>
                    <w:bidi w:val="0"/>
                    <w:spacing w:line="240" w:lineRule="auto"/>
                    <w:rPr>
                      <w:rFonts w:hint="eastAsia"/>
                      <w:color w:val="auto"/>
                      <w:lang w:eastAsia="zh-CN"/>
                    </w:rPr>
                  </w:pPr>
                  <w:r>
                    <w:rPr>
                      <w:rFonts w:hint="eastAsia"/>
                      <w:color w:val="auto"/>
                      <w:lang w:eastAsia="zh-CN"/>
                    </w:rPr>
                    <w:t>生活用水</w:t>
                  </w:r>
                </w:p>
              </w:tc>
              <w:tc>
                <w:tcPr>
                  <w:tcW w:w="832" w:type="pct"/>
                  <w:noWrap w:val="0"/>
                  <w:vAlign w:val="top"/>
                </w:tcPr>
                <w:p>
                  <w:pPr>
                    <w:pStyle w:val="18"/>
                    <w:bidi w:val="0"/>
                    <w:spacing w:line="240" w:lineRule="auto"/>
                    <w:rPr>
                      <w:rFonts w:hint="default"/>
                      <w:color w:val="auto"/>
                      <w:lang w:val="en-US" w:eastAsia="zh-CN"/>
                    </w:rPr>
                  </w:pPr>
                  <w:r>
                    <w:rPr>
                      <w:rFonts w:hint="eastAsia"/>
                      <w:color w:val="auto"/>
                      <w:lang w:val="en-US" w:eastAsia="zh-CN"/>
                    </w:rPr>
                    <w:t>4L/（人·d）</w:t>
                  </w:r>
                </w:p>
              </w:tc>
              <w:tc>
                <w:tcPr>
                  <w:tcW w:w="833" w:type="pct"/>
                  <w:noWrap w:val="0"/>
                  <w:vAlign w:val="top"/>
                </w:tcPr>
                <w:p>
                  <w:pPr>
                    <w:pStyle w:val="18"/>
                    <w:bidi w:val="0"/>
                    <w:spacing w:line="240" w:lineRule="auto"/>
                    <w:rPr>
                      <w:rFonts w:hint="default"/>
                      <w:color w:val="auto"/>
                      <w:lang w:val="en-US" w:eastAsia="zh-CN"/>
                    </w:rPr>
                  </w:pPr>
                  <w:r>
                    <w:rPr>
                      <w:rFonts w:hint="eastAsia"/>
                      <w:color w:val="auto"/>
                      <w:lang w:val="en-US" w:eastAsia="zh-CN"/>
                    </w:rPr>
                    <w:t>0.08</w:t>
                  </w:r>
                </w:p>
              </w:tc>
              <w:tc>
                <w:tcPr>
                  <w:tcW w:w="833" w:type="pct"/>
                  <w:noWrap w:val="0"/>
                  <w:vAlign w:val="top"/>
                </w:tcPr>
                <w:p>
                  <w:pPr>
                    <w:pStyle w:val="18"/>
                    <w:bidi w:val="0"/>
                    <w:spacing w:line="240" w:lineRule="auto"/>
                    <w:rPr>
                      <w:rFonts w:hint="default"/>
                      <w:color w:val="auto"/>
                      <w:lang w:val="en-US" w:eastAsia="zh-CN"/>
                    </w:rPr>
                  </w:pPr>
                  <w:r>
                    <w:rPr>
                      <w:rFonts w:hint="eastAsia"/>
                      <w:color w:val="auto"/>
                      <w:lang w:val="en-US" w:eastAsia="zh-CN"/>
                    </w:rPr>
                    <w:t>2.4</w:t>
                  </w:r>
                </w:p>
              </w:tc>
              <w:tc>
                <w:tcPr>
                  <w:tcW w:w="833" w:type="pct"/>
                  <w:noWrap w:val="0"/>
                  <w:vAlign w:val="top"/>
                </w:tcPr>
                <w:p>
                  <w:pPr>
                    <w:pStyle w:val="18"/>
                    <w:bidi w:val="0"/>
                    <w:spacing w:line="240" w:lineRule="auto"/>
                    <w:rPr>
                      <w:rFonts w:hint="default"/>
                      <w:color w:val="auto"/>
                      <w:lang w:val="en-US" w:eastAsia="zh-CN"/>
                    </w:rPr>
                  </w:pPr>
                  <w:r>
                    <w:rPr>
                      <w:rFonts w:hint="eastAsia"/>
                      <w:color w:val="auto"/>
                      <w:lang w:val="en-US" w:eastAsia="zh-CN"/>
                    </w:rPr>
                    <w:t>0</w:t>
                  </w:r>
                </w:p>
              </w:tc>
              <w:tc>
                <w:tcPr>
                  <w:tcW w:w="833" w:type="pct"/>
                  <w:noWrap w:val="0"/>
                  <w:vAlign w:val="top"/>
                </w:tcPr>
                <w:p>
                  <w:pPr>
                    <w:pStyle w:val="18"/>
                    <w:bidi w:val="0"/>
                    <w:spacing w:line="240" w:lineRule="auto"/>
                    <w:rPr>
                      <w:rFonts w:hint="default"/>
                      <w:color w:val="auto"/>
                      <w:lang w:val="en-US" w:eastAsia="zh-CN"/>
                    </w:rPr>
                  </w:pPr>
                  <w:r>
                    <w:rPr>
                      <w:rFonts w:hint="eastAsia"/>
                      <w:color w:val="auto"/>
                      <w:lang w:val="en-US" w:eastAsia="zh-CN"/>
                    </w:rPr>
                    <w:t>0</w:t>
                  </w:r>
                </w:p>
              </w:tc>
            </w:tr>
          </w:tbl>
          <w:p>
            <w:pPr>
              <w:bidi w:val="0"/>
              <w:ind w:left="0" w:leftChars="0" w:firstLine="0" w:firstLineChars="0"/>
              <w:jc w:val="center"/>
              <w:rPr>
                <w:color w:val="auto"/>
              </w:rPr>
            </w:pPr>
            <w:r>
              <w:rPr>
                <w:color w:val="auto"/>
              </w:rPr>
              <w:object>
                <v:shape id="_x0000_i1027" o:spt="75" type="#_x0000_t75" style="height:121.95pt;width:369.1pt;" o:ole="t" filled="f" o:preferrelative="t" stroked="f" coordsize="21600,21600">
                  <v:path/>
                  <v:fill on="f" focussize="0,0"/>
                  <v:stroke on="f"/>
                  <v:imagedata r:id="rId12" o:title=""/>
                  <o:lock v:ext="edit" aspectratio="f"/>
                  <w10:wrap type="none"/>
                  <w10:anchorlock/>
                </v:shape>
                <o:OLEObject Type="Embed" ProgID="Visio.Drawing.15" ShapeID="_x0000_i1027" DrawAspect="Content" ObjectID="_1468075727" r:id="rId11">
                  <o:LockedField>false</o:LockedField>
                </o:OLEObject>
              </w:object>
            </w:r>
          </w:p>
          <w:p>
            <w:pPr>
              <w:pStyle w:val="19"/>
              <w:bidi w:val="0"/>
              <w:rPr>
                <w:rFonts w:hint="default"/>
                <w:color w:val="auto"/>
                <w:lang w:val="en-US" w:eastAsia="zh-CN"/>
              </w:rPr>
            </w:pPr>
            <w:r>
              <w:rPr>
                <w:rFonts w:hint="eastAsia"/>
                <w:color w:val="auto"/>
                <w:lang w:eastAsia="zh-CN"/>
              </w:rPr>
              <w:t>图</w:t>
            </w:r>
            <w:r>
              <w:rPr>
                <w:rFonts w:hint="eastAsia"/>
                <w:color w:val="auto"/>
                <w:lang w:val="en-US" w:eastAsia="zh-CN"/>
              </w:rPr>
              <w:t>5-3  项目水平衡图  单位m</w:t>
            </w:r>
            <w:r>
              <w:rPr>
                <w:rFonts w:hint="eastAsia"/>
                <w:color w:val="auto"/>
                <w:vertAlign w:val="superscript"/>
                <w:lang w:val="en-US" w:eastAsia="zh-CN"/>
              </w:rPr>
              <w:t>3</w:t>
            </w:r>
            <w:r>
              <w:rPr>
                <w:rFonts w:hint="eastAsia"/>
                <w:color w:val="auto"/>
                <w:lang w:val="en-US" w:eastAsia="zh-CN"/>
              </w:rPr>
              <w:t>/d</w:t>
            </w:r>
          </w:p>
          <w:p>
            <w:pPr>
              <w:spacing w:line="360" w:lineRule="auto"/>
              <w:ind w:firstLine="480" w:firstLineChars="200"/>
              <w:jc w:val="both"/>
              <w:rPr>
                <w:rFonts w:hint="default"/>
                <w:color w:val="auto"/>
              </w:rPr>
            </w:pPr>
            <w:r>
              <w:rPr>
                <w:rFonts w:hint="default"/>
                <w:color w:val="auto"/>
              </w:rPr>
              <w:t>3、噪声</w:t>
            </w:r>
          </w:p>
          <w:p>
            <w:pPr>
              <w:spacing w:line="360" w:lineRule="auto"/>
              <w:rPr>
                <w:rFonts w:hint="default"/>
                <w:color w:val="auto"/>
              </w:rPr>
            </w:pPr>
            <w:r>
              <w:rPr>
                <w:rFonts w:hint="default"/>
                <w:color w:val="auto"/>
              </w:rPr>
              <w:t>项目营运期噪声主要为设备噪声，其中设备噪声源为</w:t>
            </w:r>
            <w:r>
              <w:rPr>
                <w:rFonts w:hint="eastAsia"/>
                <w:color w:val="auto"/>
                <w:lang w:eastAsia="zh-CN"/>
              </w:rPr>
              <w:t>剪板机、折弯机、液压机、卷板机等</w:t>
            </w:r>
            <w:r>
              <w:rPr>
                <w:rFonts w:hint="default"/>
                <w:color w:val="auto"/>
              </w:rPr>
              <w:t>，其主要噪声源强见表5-</w:t>
            </w:r>
            <w:r>
              <w:rPr>
                <w:rFonts w:hint="default"/>
                <w:color w:val="auto"/>
                <w:lang w:val="en-US" w:eastAsia="zh-CN"/>
              </w:rPr>
              <w:t>10。</w:t>
            </w:r>
          </w:p>
          <w:p>
            <w:pPr>
              <w:pStyle w:val="19"/>
              <w:bidi w:val="0"/>
              <w:rPr>
                <w:rFonts w:hint="default"/>
                <w:color w:val="auto"/>
              </w:rPr>
            </w:pPr>
            <w:r>
              <w:rPr>
                <w:rFonts w:hint="default"/>
                <w:color w:val="auto"/>
              </w:rPr>
              <w:t>表5-</w:t>
            </w:r>
            <w:r>
              <w:rPr>
                <w:rFonts w:hint="default"/>
                <w:color w:val="auto"/>
                <w:lang w:val="en-US" w:eastAsia="zh-CN"/>
              </w:rPr>
              <w:t>10</w:t>
            </w:r>
            <w:r>
              <w:rPr>
                <w:rFonts w:hint="default"/>
                <w:color w:val="auto"/>
              </w:rPr>
              <w:t xml:space="preserve">  运营期各类噪声源强及治理措施</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222"/>
              <w:gridCol w:w="1100"/>
              <w:gridCol w:w="1913"/>
              <w:gridCol w:w="2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spacing w:line="240" w:lineRule="auto"/>
                    <w:rPr>
                      <w:rFonts w:hint="eastAsia"/>
                      <w:color w:val="auto"/>
                      <w:lang w:val="en-US" w:eastAsia="zh-CN"/>
                    </w:rPr>
                  </w:pPr>
                  <w:r>
                    <w:rPr>
                      <w:rFonts w:hint="eastAsia"/>
                      <w:color w:val="auto"/>
                      <w:lang w:val="en-US" w:eastAsia="zh-CN"/>
                    </w:rPr>
                    <w:t>序号</w:t>
                  </w:r>
                </w:p>
              </w:tc>
              <w:tc>
                <w:tcPr>
                  <w:tcW w:w="1339" w:type="pct"/>
                  <w:noWrap w:val="0"/>
                  <w:vAlign w:val="center"/>
                </w:tcPr>
                <w:p>
                  <w:pPr>
                    <w:pStyle w:val="18"/>
                    <w:bidi w:val="0"/>
                    <w:spacing w:line="240" w:lineRule="auto"/>
                    <w:rPr>
                      <w:rFonts w:hint="eastAsia"/>
                      <w:color w:val="auto"/>
                      <w:lang w:val="en-US" w:eastAsia="zh-CN"/>
                    </w:rPr>
                  </w:pPr>
                  <w:r>
                    <w:rPr>
                      <w:rFonts w:hint="eastAsia"/>
                      <w:color w:val="auto"/>
                      <w:lang w:val="en-US" w:eastAsia="zh-CN"/>
                    </w:rPr>
                    <w:t>设备名称</w:t>
                  </w:r>
                </w:p>
              </w:tc>
              <w:tc>
                <w:tcPr>
                  <w:tcW w:w="663" w:type="pct"/>
                  <w:noWrap w:val="0"/>
                  <w:vAlign w:val="center"/>
                </w:tcPr>
                <w:p>
                  <w:pPr>
                    <w:pStyle w:val="18"/>
                    <w:bidi w:val="0"/>
                    <w:spacing w:line="240" w:lineRule="auto"/>
                    <w:rPr>
                      <w:rFonts w:hint="eastAsia"/>
                      <w:color w:val="auto"/>
                      <w:lang w:val="en-US" w:eastAsia="zh-CN"/>
                    </w:rPr>
                  </w:pPr>
                  <w:r>
                    <w:rPr>
                      <w:rFonts w:hint="eastAsia"/>
                      <w:color w:val="auto"/>
                      <w:lang w:val="en-US" w:eastAsia="zh-CN"/>
                    </w:rPr>
                    <w:t>数量</w:t>
                  </w:r>
                </w:p>
              </w:tc>
              <w:tc>
                <w:tcPr>
                  <w:tcW w:w="1153" w:type="pct"/>
                  <w:noWrap w:val="0"/>
                  <w:vAlign w:val="center"/>
                </w:tcPr>
                <w:p>
                  <w:pPr>
                    <w:pStyle w:val="18"/>
                    <w:bidi w:val="0"/>
                    <w:spacing w:line="240" w:lineRule="auto"/>
                    <w:rPr>
                      <w:rFonts w:hint="eastAsia"/>
                      <w:color w:val="auto"/>
                      <w:lang w:val="en-US" w:eastAsia="zh-CN"/>
                    </w:rPr>
                  </w:pPr>
                  <w:r>
                    <w:rPr>
                      <w:rFonts w:hint="eastAsia"/>
                      <w:color w:val="auto"/>
                      <w:lang w:val="en-US" w:eastAsia="zh-CN"/>
                    </w:rPr>
                    <w:t>源强</w:t>
                  </w:r>
                </w:p>
              </w:tc>
              <w:tc>
                <w:tcPr>
                  <w:tcW w:w="1415" w:type="pct"/>
                  <w:noWrap w:val="0"/>
                  <w:vAlign w:val="center"/>
                </w:tcPr>
                <w:p>
                  <w:pPr>
                    <w:pStyle w:val="18"/>
                    <w:bidi w:val="0"/>
                    <w:spacing w:line="240" w:lineRule="auto"/>
                    <w:rPr>
                      <w:rFonts w:hint="eastAsia"/>
                      <w:color w:val="auto"/>
                      <w:lang w:val="en-US" w:eastAsia="zh-CN"/>
                    </w:rPr>
                  </w:pPr>
                  <w:r>
                    <w:rPr>
                      <w:rFonts w:hint="eastAsia"/>
                      <w:color w:val="auto"/>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spacing w:line="240" w:lineRule="auto"/>
                    <w:rPr>
                      <w:rFonts w:hint="default"/>
                      <w:color w:val="auto"/>
                      <w:lang w:val="en-US" w:eastAsia="zh-CN"/>
                    </w:rPr>
                  </w:pPr>
                  <w:r>
                    <w:rPr>
                      <w:rFonts w:hint="eastAsia"/>
                      <w:color w:val="auto"/>
                      <w:lang w:val="en-US" w:eastAsia="zh-CN"/>
                    </w:rPr>
                    <w:t>1</w:t>
                  </w:r>
                </w:p>
              </w:tc>
              <w:tc>
                <w:tcPr>
                  <w:tcW w:w="1339" w:type="pct"/>
                  <w:noWrap w:val="0"/>
                  <w:vAlign w:val="center"/>
                </w:tcPr>
                <w:p>
                  <w:pPr>
                    <w:pStyle w:val="18"/>
                    <w:bidi w:val="0"/>
                    <w:spacing w:line="240" w:lineRule="auto"/>
                    <w:rPr>
                      <w:rFonts w:hint="eastAsia"/>
                      <w:color w:val="auto"/>
                      <w:lang w:val="en-US" w:eastAsia="zh-CN"/>
                    </w:rPr>
                  </w:pPr>
                  <w:r>
                    <w:rPr>
                      <w:rFonts w:hint="eastAsia"/>
                      <w:color w:val="auto"/>
                      <w:lang w:val="en-US" w:eastAsia="zh-CN"/>
                    </w:rPr>
                    <w:t>液压闸式剪板机</w:t>
                  </w:r>
                </w:p>
              </w:tc>
              <w:tc>
                <w:tcPr>
                  <w:tcW w:w="66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1台</w:t>
                  </w:r>
                </w:p>
              </w:tc>
              <w:tc>
                <w:tcPr>
                  <w:tcW w:w="115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85</w:t>
                  </w:r>
                </w:p>
              </w:tc>
              <w:tc>
                <w:tcPr>
                  <w:tcW w:w="1415" w:type="pct"/>
                  <w:vMerge w:val="restart"/>
                  <w:noWrap w:val="0"/>
                  <w:vAlign w:val="center"/>
                </w:tcPr>
                <w:p>
                  <w:pPr>
                    <w:pStyle w:val="18"/>
                    <w:bidi w:val="0"/>
                    <w:spacing w:line="240" w:lineRule="auto"/>
                    <w:rPr>
                      <w:rFonts w:hint="eastAsia"/>
                      <w:color w:val="auto"/>
                      <w:lang w:val="en-US" w:eastAsia="zh-CN"/>
                    </w:rPr>
                  </w:pPr>
                  <w:r>
                    <w:rPr>
                      <w:rFonts w:hint="eastAsia"/>
                      <w:color w:val="auto"/>
                      <w:lang w:val="en-US" w:eastAsia="zh-CN"/>
                    </w:rPr>
                    <w:t>低噪声设备、基础减震、车间隔声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spacing w:line="240" w:lineRule="auto"/>
                    <w:rPr>
                      <w:rFonts w:hint="default"/>
                      <w:color w:val="auto"/>
                      <w:lang w:val="en-US" w:eastAsia="zh-CN"/>
                    </w:rPr>
                  </w:pPr>
                  <w:r>
                    <w:rPr>
                      <w:rFonts w:hint="eastAsia"/>
                      <w:color w:val="auto"/>
                      <w:lang w:val="en-US" w:eastAsia="zh-CN"/>
                    </w:rPr>
                    <w:t>2</w:t>
                  </w:r>
                </w:p>
              </w:tc>
              <w:tc>
                <w:tcPr>
                  <w:tcW w:w="1339" w:type="pct"/>
                  <w:noWrap w:val="0"/>
                  <w:vAlign w:val="center"/>
                </w:tcPr>
                <w:p>
                  <w:pPr>
                    <w:pStyle w:val="18"/>
                    <w:bidi w:val="0"/>
                    <w:spacing w:line="240" w:lineRule="auto"/>
                    <w:rPr>
                      <w:rFonts w:hint="eastAsia"/>
                      <w:color w:val="auto"/>
                      <w:lang w:val="en-US" w:eastAsia="zh-CN"/>
                    </w:rPr>
                  </w:pPr>
                  <w:r>
                    <w:rPr>
                      <w:rFonts w:hint="eastAsia"/>
                      <w:color w:val="auto"/>
                      <w:lang w:val="en-US" w:eastAsia="zh-CN"/>
                    </w:rPr>
                    <w:t>液压板料折弯机</w:t>
                  </w:r>
                </w:p>
              </w:tc>
              <w:tc>
                <w:tcPr>
                  <w:tcW w:w="66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1台</w:t>
                  </w:r>
                </w:p>
              </w:tc>
              <w:tc>
                <w:tcPr>
                  <w:tcW w:w="115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90</w:t>
                  </w:r>
                </w:p>
              </w:tc>
              <w:tc>
                <w:tcPr>
                  <w:tcW w:w="1415" w:type="pct"/>
                  <w:vMerge w:val="continue"/>
                  <w:noWrap w:val="0"/>
                  <w:vAlign w:val="center"/>
                </w:tcPr>
                <w:p>
                  <w:pPr>
                    <w:pStyle w:val="18"/>
                    <w:bidi w:val="0"/>
                    <w:spacing w:line="240" w:lineRule="auto"/>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spacing w:line="240" w:lineRule="auto"/>
                    <w:rPr>
                      <w:rFonts w:hint="default"/>
                      <w:color w:val="auto"/>
                      <w:lang w:val="en-US" w:eastAsia="zh-CN"/>
                    </w:rPr>
                  </w:pPr>
                  <w:r>
                    <w:rPr>
                      <w:rFonts w:hint="eastAsia"/>
                      <w:color w:val="auto"/>
                      <w:lang w:val="en-US" w:eastAsia="zh-CN"/>
                    </w:rPr>
                    <w:t>3</w:t>
                  </w:r>
                </w:p>
              </w:tc>
              <w:tc>
                <w:tcPr>
                  <w:tcW w:w="1339" w:type="pct"/>
                  <w:noWrap w:val="0"/>
                  <w:vAlign w:val="center"/>
                </w:tcPr>
                <w:p>
                  <w:pPr>
                    <w:pStyle w:val="18"/>
                    <w:bidi w:val="0"/>
                    <w:spacing w:line="240" w:lineRule="auto"/>
                    <w:rPr>
                      <w:rFonts w:hint="eastAsia"/>
                      <w:color w:val="auto"/>
                      <w:lang w:val="en-US" w:eastAsia="zh-CN"/>
                    </w:rPr>
                  </w:pPr>
                  <w:r>
                    <w:rPr>
                      <w:rFonts w:hint="eastAsia"/>
                      <w:color w:val="auto"/>
                      <w:lang w:val="en-US" w:eastAsia="zh-CN"/>
                    </w:rPr>
                    <w:t>开式固定压力机</w:t>
                  </w:r>
                </w:p>
              </w:tc>
              <w:tc>
                <w:tcPr>
                  <w:tcW w:w="66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3台</w:t>
                  </w:r>
                </w:p>
              </w:tc>
              <w:tc>
                <w:tcPr>
                  <w:tcW w:w="115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90</w:t>
                  </w:r>
                </w:p>
              </w:tc>
              <w:tc>
                <w:tcPr>
                  <w:tcW w:w="1415" w:type="pct"/>
                  <w:vMerge w:val="continue"/>
                  <w:noWrap w:val="0"/>
                  <w:vAlign w:val="center"/>
                </w:tcPr>
                <w:p>
                  <w:pPr>
                    <w:pStyle w:val="18"/>
                    <w:bidi w:val="0"/>
                    <w:spacing w:line="240" w:lineRule="auto"/>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spacing w:line="240" w:lineRule="auto"/>
                    <w:rPr>
                      <w:rFonts w:hint="default"/>
                      <w:color w:val="auto"/>
                      <w:lang w:val="en-US" w:eastAsia="zh-CN"/>
                    </w:rPr>
                  </w:pPr>
                  <w:r>
                    <w:rPr>
                      <w:rFonts w:hint="eastAsia"/>
                      <w:color w:val="auto"/>
                      <w:lang w:val="en-US" w:eastAsia="zh-CN"/>
                    </w:rPr>
                    <w:t>4</w:t>
                  </w:r>
                </w:p>
              </w:tc>
              <w:tc>
                <w:tcPr>
                  <w:tcW w:w="1339" w:type="pct"/>
                  <w:noWrap w:val="0"/>
                  <w:vAlign w:val="center"/>
                </w:tcPr>
                <w:p>
                  <w:pPr>
                    <w:pStyle w:val="18"/>
                    <w:bidi w:val="0"/>
                    <w:spacing w:line="240" w:lineRule="auto"/>
                    <w:rPr>
                      <w:rFonts w:hint="eastAsia"/>
                      <w:color w:val="auto"/>
                      <w:lang w:val="en-US" w:eastAsia="zh-CN"/>
                    </w:rPr>
                  </w:pPr>
                  <w:r>
                    <w:rPr>
                      <w:rFonts w:hint="eastAsia"/>
                      <w:color w:val="auto"/>
                      <w:lang w:val="en-US" w:eastAsia="zh-CN"/>
                    </w:rPr>
                    <w:t>液压矫正机</w:t>
                  </w:r>
                </w:p>
              </w:tc>
              <w:tc>
                <w:tcPr>
                  <w:tcW w:w="66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1台</w:t>
                  </w:r>
                </w:p>
              </w:tc>
              <w:tc>
                <w:tcPr>
                  <w:tcW w:w="115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80</w:t>
                  </w:r>
                </w:p>
              </w:tc>
              <w:tc>
                <w:tcPr>
                  <w:tcW w:w="1415" w:type="pct"/>
                  <w:vMerge w:val="continue"/>
                  <w:noWrap w:val="0"/>
                  <w:vAlign w:val="center"/>
                </w:tcPr>
                <w:p>
                  <w:pPr>
                    <w:pStyle w:val="18"/>
                    <w:bidi w:val="0"/>
                    <w:spacing w:line="240" w:lineRule="auto"/>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spacing w:line="240" w:lineRule="auto"/>
                    <w:rPr>
                      <w:rFonts w:hint="default"/>
                      <w:color w:val="auto"/>
                      <w:lang w:val="en-US" w:eastAsia="zh-CN"/>
                    </w:rPr>
                  </w:pPr>
                  <w:r>
                    <w:rPr>
                      <w:rFonts w:hint="eastAsia"/>
                      <w:color w:val="auto"/>
                      <w:lang w:val="en-US" w:eastAsia="zh-CN"/>
                    </w:rPr>
                    <w:t>5</w:t>
                  </w:r>
                </w:p>
              </w:tc>
              <w:tc>
                <w:tcPr>
                  <w:tcW w:w="1339" w:type="pct"/>
                  <w:noWrap w:val="0"/>
                  <w:vAlign w:val="center"/>
                </w:tcPr>
                <w:p>
                  <w:pPr>
                    <w:pStyle w:val="18"/>
                    <w:bidi w:val="0"/>
                    <w:spacing w:line="240" w:lineRule="auto"/>
                    <w:rPr>
                      <w:rFonts w:hint="eastAsia"/>
                      <w:color w:val="auto"/>
                      <w:lang w:val="en-US" w:eastAsia="zh-CN"/>
                    </w:rPr>
                  </w:pPr>
                  <w:r>
                    <w:rPr>
                      <w:rFonts w:hint="eastAsia"/>
                      <w:color w:val="auto"/>
                      <w:lang w:val="en-US" w:eastAsia="zh-CN"/>
                    </w:rPr>
                    <w:t>摇臂钻床</w:t>
                  </w:r>
                </w:p>
              </w:tc>
              <w:tc>
                <w:tcPr>
                  <w:tcW w:w="66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1台</w:t>
                  </w:r>
                </w:p>
              </w:tc>
              <w:tc>
                <w:tcPr>
                  <w:tcW w:w="115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80</w:t>
                  </w:r>
                </w:p>
              </w:tc>
              <w:tc>
                <w:tcPr>
                  <w:tcW w:w="1415" w:type="pct"/>
                  <w:vMerge w:val="continue"/>
                  <w:noWrap w:val="0"/>
                  <w:vAlign w:val="center"/>
                </w:tcPr>
                <w:p>
                  <w:pPr>
                    <w:pStyle w:val="18"/>
                    <w:bidi w:val="0"/>
                    <w:spacing w:line="240" w:lineRule="auto"/>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spacing w:line="240" w:lineRule="auto"/>
                    <w:rPr>
                      <w:rFonts w:hint="default"/>
                      <w:color w:val="auto"/>
                      <w:lang w:val="en-US" w:eastAsia="zh-CN"/>
                    </w:rPr>
                  </w:pPr>
                  <w:r>
                    <w:rPr>
                      <w:rFonts w:hint="eastAsia"/>
                      <w:color w:val="auto"/>
                      <w:lang w:val="en-US" w:eastAsia="zh-CN"/>
                    </w:rPr>
                    <w:t>6</w:t>
                  </w:r>
                </w:p>
              </w:tc>
              <w:tc>
                <w:tcPr>
                  <w:tcW w:w="1339" w:type="pct"/>
                  <w:noWrap w:val="0"/>
                  <w:vAlign w:val="center"/>
                </w:tcPr>
                <w:p>
                  <w:pPr>
                    <w:pStyle w:val="18"/>
                    <w:bidi w:val="0"/>
                    <w:spacing w:line="240" w:lineRule="auto"/>
                    <w:rPr>
                      <w:rFonts w:hint="eastAsia"/>
                      <w:color w:val="auto"/>
                      <w:lang w:val="en-US" w:eastAsia="zh-CN"/>
                    </w:rPr>
                  </w:pPr>
                  <w:r>
                    <w:rPr>
                      <w:rFonts w:hint="eastAsia"/>
                      <w:color w:val="auto"/>
                      <w:lang w:val="en-US" w:eastAsia="zh-CN"/>
                    </w:rPr>
                    <w:t>卷板机</w:t>
                  </w:r>
                </w:p>
              </w:tc>
              <w:tc>
                <w:tcPr>
                  <w:tcW w:w="66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1台</w:t>
                  </w:r>
                </w:p>
              </w:tc>
              <w:tc>
                <w:tcPr>
                  <w:tcW w:w="115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85</w:t>
                  </w:r>
                </w:p>
              </w:tc>
              <w:tc>
                <w:tcPr>
                  <w:tcW w:w="1415" w:type="pct"/>
                  <w:vMerge w:val="continue"/>
                  <w:noWrap w:val="0"/>
                  <w:vAlign w:val="center"/>
                </w:tcPr>
                <w:p>
                  <w:pPr>
                    <w:pStyle w:val="18"/>
                    <w:bidi w:val="0"/>
                    <w:spacing w:line="240" w:lineRule="auto"/>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spacing w:line="240" w:lineRule="auto"/>
                    <w:rPr>
                      <w:rFonts w:hint="default"/>
                      <w:color w:val="auto"/>
                      <w:lang w:val="en-US" w:eastAsia="zh-CN"/>
                    </w:rPr>
                  </w:pPr>
                  <w:r>
                    <w:rPr>
                      <w:rFonts w:hint="eastAsia"/>
                      <w:color w:val="auto"/>
                      <w:lang w:val="en-US" w:eastAsia="zh-CN"/>
                    </w:rPr>
                    <w:t>7</w:t>
                  </w:r>
                </w:p>
              </w:tc>
              <w:tc>
                <w:tcPr>
                  <w:tcW w:w="1339" w:type="pct"/>
                  <w:noWrap w:val="0"/>
                  <w:vAlign w:val="center"/>
                </w:tcPr>
                <w:p>
                  <w:pPr>
                    <w:pStyle w:val="18"/>
                    <w:bidi w:val="0"/>
                    <w:spacing w:line="240" w:lineRule="auto"/>
                    <w:rPr>
                      <w:rFonts w:hint="eastAsia"/>
                      <w:color w:val="auto"/>
                      <w:lang w:val="en-US" w:eastAsia="zh-CN"/>
                    </w:rPr>
                  </w:pPr>
                  <w:r>
                    <w:rPr>
                      <w:rFonts w:hint="eastAsia"/>
                      <w:color w:val="auto"/>
                      <w:lang w:val="en-US" w:eastAsia="zh-CN"/>
                    </w:rPr>
                    <w:t>四柱液压机</w:t>
                  </w:r>
                </w:p>
              </w:tc>
              <w:tc>
                <w:tcPr>
                  <w:tcW w:w="66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1台</w:t>
                  </w:r>
                </w:p>
              </w:tc>
              <w:tc>
                <w:tcPr>
                  <w:tcW w:w="115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85</w:t>
                  </w:r>
                </w:p>
              </w:tc>
              <w:tc>
                <w:tcPr>
                  <w:tcW w:w="1415" w:type="pct"/>
                  <w:vMerge w:val="continue"/>
                  <w:noWrap w:val="0"/>
                  <w:vAlign w:val="center"/>
                </w:tcPr>
                <w:p>
                  <w:pPr>
                    <w:pStyle w:val="18"/>
                    <w:bidi w:val="0"/>
                    <w:spacing w:line="240" w:lineRule="auto"/>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spacing w:line="240" w:lineRule="auto"/>
                    <w:rPr>
                      <w:rFonts w:hint="default"/>
                      <w:color w:val="auto"/>
                      <w:lang w:val="en-US" w:eastAsia="zh-CN"/>
                    </w:rPr>
                  </w:pPr>
                  <w:r>
                    <w:rPr>
                      <w:rFonts w:hint="eastAsia"/>
                      <w:color w:val="auto"/>
                      <w:lang w:val="en-US" w:eastAsia="zh-CN"/>
                    </w:rPr>
                    <w:t>8</w:t>
                  </w:r>
                </w:p>
              </w:tc>
              <w:tc>
                <w:tcPr>
                  <w:tcW w:w="1339" w:type="pct"/>
                  <w:noWrap w:val="0"/>
                  <w:vAlign w:val="center"/>
                </w:tcPr>
                <w:p>
                  <w:pPr>
                    <w:pStyle w:val="18"/>
                    <w:bidi w:val="0"/>
                    <w:spacing w:line="240" w:lineRule="auto"/>
                    <w:rPr>
                      <w:rFonts w:hint="eastAsia"/>
                      <w:color w:val="auto"/>
                      <w:lang w:val="en-US" w:eastAsia="zh-CN"/>
                    </w:rPr>
                  </w:pPr>
                  <w:r>
                    <w:rPr>
                      <w:rFonts w:hint="eastAsia"/>
                      <w:color w:val="auto"/>
                      <w:lang w:val="en-US" w:eastAsia="zh-CN"/>
                    </w:rPr>
                    <w:t>数控自动化切割机</w:t>
                  </w:r>
                </w:p>
              </w:tc>
              <w:tc>
                <w:tcPr>
                  <w:tcW w:w="66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1套</w:t>
                  </w:r>
                </w:p>
              </w:tc>
              <w:tc>
                <w:tcPr>
                  <w:tcW w:w="115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90</w:t>
                  </w:r>
                </w:p>
              </w:tc>
              <w:tc>
                <w:tcPr>
                  <w:tcW w:w="1415" w:type="pct"/>
                  <w:vMerge w:val="continue"/>
                  <w:noWrap w:val="0"/>
                  <w:vAlign w:val="center"/>
                </w:tcPr>
                <w:p>
                  <w:pPr>
                    <w:pStyle w:val="18"/>
                    <w:bidi w:val="0"/>
                    <w:spacing w:line="240" w:lineRule="auto"/>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spacing w:line="240" w:lineRule="auto"/>
                    <w:rPr>
                      <w:rFonts w:hint="default"/>
                      <w:color w:val="auto"/>
                      <w:lang w:val="en-US" w:eastAsia="zh-CN"/>
                    </w:rPr>
                  </w:pPr>
                  <w:r>
                    <w:rPr>
                      <w:rFonts w:hint="eastAsia"/>
                      <w:color w:val="auto"/>
                      <w:lang w:val="en-US" w:eastAsia="zh-CN"/>
                    </w:rPr>
                    <w:t>9</w:t>
                  </w:r>
                </w:p>
              </w:tc>
              <w:tc>
                <w:tcPr>
                  <w:tcW w:w="1339" w:type="pct"/>
                  <w:noWrap w:val="0"/>
                  <w:vAlign w:val="center"/>
                </w:tcPr>
                <w:p>
                  <w:pPr>
                    <w:pStyle w:val="18"/>
                    <w:bidi w:val="0"/>
                    <w:spacing w:line="240" w:lineRule="auto"/>
                    <w:rPr>
                      <w:rFonts w:hint="default"/>
                      <w:color w:val="auto"/>
                      <w:lang w:val="en-US" w:eastAsia="zh-CN"/>
                    </w:rPr>
                  </w:pPr>
                  <w:r>
                    <w:rPr>
                      <w:rFonts w:hint="eastAsia"/>
                      <w:color w:val="auto"/>
                      <w:lang w:val="en-US" w:eastAsia="zh-CN"/>
                    </w:rPr>
                    <w:t>焊机</w:t>
                  </w:r>
                </w:p>
              </w:tc>
              <w:tc>
                <w:tcPr>
                  <w:tcW w:w="66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20套</w:t>
                  </w:r>
                </w:p>
              </w:tc>
              <w:tc>
                <w:tcPr>
                  <w:tcW w:w="115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75</w:t>
                  </w:r>
                </w:p>
              </w:tc>
              <w:tc>
                <w:tcPr>
                  <w:tcW w:w="1415" w:type="pct"/>
                  <w:vMerge w:val="continue"/>
                  <w:noWrap w:val="0"/>
                  <w:vAlign w:val="center"/>
                </w:tcPr>
                <w:p>
                  <w:pPr>
                    <w:pStyle w:val="18"/>
                    <w:bidi w:val="0"/>
                    <w:spacing w:line="240" w:lineRule="auto"/>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spacing w:line="240" w:lineRule="auto"/>
                    <w:rPr>
                      <w:rFonts w:hint="default"/>
                      <w:color w:val="auto"/>
                      <w:lang w:val="en-US" w:eastAsia="zh-CN"/>
                    </w:rPr>
                  </w:pPr>
                  <w:r>
                    <w:rPr>
                      <w:rFonts w:hint="eastAsia"/>
                      <w:color w:val="auto"/>
                      <w:lang w:val="en-US" w:eastAsia="zh-CN"/>
                    </w:rPr>
                    <w:t>10</w:t>
                  </w:r>
                </w:p>
              </w:tc>
              <w:tc>
                <w:tcPr>
                  <w:tcW w:w="1339" w:type="pct"/>
                  <w:noWrap w:val="0"/>
                  <w:vAlign w:val="center"/>
                </w:tcPr>
                <w:p>
                  <w:pPr>
                    <w:pStyle w:val="18"/>
                    <w:bidi w:val="0"/>
                    <w:spacing w:line="240" w:lineRule="auto"/>
                    <w:rPr>
                      <w:rFonts w:hint="eastAsia"/>
                      <w:color w:val="auto"/>
                      <w:lang w:val="en-US" w:eastAsia="zh-CN"/>
                    </w:rPr>
                  </w:pPr>
                  <w:r>
                    <w:rPr>
                      <w:rFonts w:hint="eastAsia"/>
                      <w:color w:val="auto"/>
                      <w:lang w:val="en-US" w:eastAsia="zh-CN"/>
                    </w:rPr>
                    <w:t>手持切割机</w:t>
                  </w:r>
                </w:p>
              </w:tc>
              <w:tc>
                <w:tcPr>
                  <w:tcW w:w="66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10套</w:t>
                  </w:r>
                </w:p>
              </w:tc>
              <w:tc>
                <w:tcPr>
                  <w:tcW w:w="1153" w:type="pct"/>
                  <w:noWrap w:val="0"/>
                  <w:vAlign w:val="center"/>
                </w:tcPr>
                <w:p>
                  <w:pPr>
                    <w:pStyle w:val="18"/>
                    <w:bidi w:val="0"/>
                    <w:spacing w:line="240" w:lineRule="auto"/>
                    <w:rPr>
                      <w:rFonts w:hint="default"/>
                      <w:color w:val="auto"/>
                      <w:lang w:val="en-US" w:eastAsia="zh-CN"/>
                    </w:rPr>
                  </w:pPr>
                  <w:r>
                    <w:rPr>
                      <w:rFonts w:hint="eastAsia"/>
                      <w:color w:val="auto"/>
                      <w:lang w:val="en-US" w:eastAsia="zh-CN"/>
                    </w:rPr>
                    <w:t>85</w:t>
                  </w:r>
                </w:p>
              </w:tc>
              <w:tc>
                <w:tcPr>
                  <w:tcW w:w="1415" w:type="pct"/>
                  <w:vMerge w:val="continue"/>
                  <w:noWrap w:val="0"/>
                  <w:vAlign w:val="center"/>
                </w:tcPr>
                <w:p>
                  <w:pPr>
                    <w:pStyle w:val="18"/>
                    <w:bidi w:val="0"/>
                    <w:spacing w:line="240" w:lineRule="auto"/>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spacing w:line="240" w:lineRule="auto"/>
                    <w:ind w:right="0" w:rightChars="0"/>
                    <w:rPr>
                      <w:rFonts w:hint="default"/>
                      <w:color w:val="auto"/>
                      <w:lang w:val="en-US" w:eastAsia="zh-CN"/>
                    </w:rPr>
                  </w:pPr>
                  <w:r>
                    <w:rPr>
                      <w:rFonts w:hint="eastAsia"/>
                      <w:color w:val="auto"/>
                      <w:lang w:val="en-US" w:eastAsia="zh-CN"/>
                    </w:rPr>
                    <w:t>11</w:t>
                  </w:r>
                </w:p>
              </w:tc>
              <w:tc>
                <w:tcPr>
                  <w:tcW w:w="1339" w:type="pct"/>
                  <w:noWrap w:val="0"/>
                  <w:vAlign w:val="center"/>
                </w:tcPr>
                <w:p>
                  <w:pPr>
                    <w:pStyle w:val="18"/>
                    <w:bidi w:val="0"/>
                    <w:spacing w:line="240" w:lineRule="auto"/>
                    <w:ind w:right="0" w:rightChars="0"/>
                    <w:rPr>
                      <w:rFonts w:hint="eastAsia"/>
                      <w:color w:val="auto"/>
                      <w:lang w:val="en-US" w:eastAsia="zh-CN"/>
                    </w:rPr>
                  </w:pPr>
                  <w:r>
                    <w:rPr>
                      <w:rFonts w:hint="eastAsia"/>
                      <w:color w:val="auto"/>
                      <w:lang w:val="en-US" w:eastAsia="zh-CN"/>
                    </w:rPr>
                    <w:t>行吊</w:t>
                  </w:r>
                </w:p>
              </w:tc>
              <w:tc>
                <w:tcPr>
                  <w:tcW w:w="663" w:type="pct"/>
                  <w:noWrap w:val="0"/>
                  <w:vAlign w:val="center"/>
                </w:tcPr>
                <w:p>
                  <w:pPr>
                    <w:pStyle w:val="18"/>
                    <w:bidi w:val="0"/>
                    <w:spacing w:line="240" w:lineRule="auto"/>
                    <w:ind w:right="0" w:rightChars="0"/>
                    <w:rPr>
                      <w:rFonts w:hint="eastAsia"/>
                      <w:color w:val="auto"/>
                      <w:lang w:val="en-US" w:eastAsia="zh-CN"/>
                    </w:rPr>
                  </w:pPr>
                  <w:r>
                    <w:rPr>
                      <w:rFonts w:hint="eastAsia"/>
                      <w:color w:val="auto"/>
                      <w:lang w:val="en-US" w:eastAsia="zh-CN"/>
                    </w:rPr>
                    <w:t>6台</w:t>
                  </w:r>
                </w:p>
              </w:tc>
              <w:tc>
                <w:tcPr>
                  <w:tcW w:w="1153" w:type="pct"/>
                  <w:noWrap w:val="0"/>
                  <w:vAlign w:val="center"/>
                </w:tcPr>
                <w:p>
                  <w:pPr>
                    <w:pStyle w:val="18"/>
                    <w:bidi w:val="0"/>
                    <w:spacing w:line="240" w:lineRule="auto"/>
                    <w:ind w:right="0" w:rightChars="0"/>
                    <w:rPr>
                      <w:rFonts w:hint="default"/>
                      <w:color w:val="auto"/>
                      <w:lang w:val="en-US" w:eastAsia="zh-CN"/>
                    </w:rPr>
                  </w:pPr>
                  <w:r>
                    <w:rPr>
                      <w:rFonts w:hint="eastAsia"/>
                      <w:color w:val="auto"/>
                      <w:lang w:val="en-US" w:eastAsia="zh-CN"/>
                    </w:rPr>
                    <w:t>80</w:t>
                  </w:r>
                </w:p>
              </w:tc>
              <w:tc>
                <w:tcPr>
                  <w:tcW w:w="1415" w:type="pct"/>
                  <w:vMerge w:val="continue"/>
                  <w:noWrap w:val="0"/>
                  <w:vAlign w:val="center"/>
                </w:tcPr>
                <w:p>
                  <w:pPr>
                    <w:pStyle w:val="18"/>
                    <w:bidi w:val="0"/>
                    <w:spacing w:line="240" w:lineRule="auto"/>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spacing w:line="240" w:lineRule="auto"/>
                    <w:ind w:right="0" w:rightChars="0"/>
                    <w:rPr>
                      <w:rFonts w:hint="default"/>
                      <w:color w:val="auto"/>
                      <w:lang w:val="en-US" w:eastAsia="zh-CN"/>
                    </w:rPr>
                  </w:pPr>
                  <w:r>
                    <w:rPr>
                      <w:rFonts w:hint="eastAsia"/>
                      <w:color w:val="auto"/>
                      <w:lang w:val="en-US" w:eastAsia="zh-CN"/>
                    </w:rPr>
                    <w:t>12</w:t>
                  </w:r>
                </w:p>
              </w:tc>
              <w:tc>
                <w:tcPr>
                  <w:tcW w:w="1339" w:type="pct"/>
                  <w:noWrap w:val="0"/>
                  <w:vAlign w:val="center"/>
                </w:tcPr>
                <w:p>
                  <w:pPr>
                    <w:pStyle w:val="18"/>
                    <w:bidi w:val="0"/>
                    <w:spacing w:line="240" w:lineRule="auto"/>
                    <w:ind w:right="0" w:rightChars="0"/>
                    <w:rPr>
                      <w:rFonts w:hint="eastAsia"/>
                      <w:color w:val="auto"/>
                      <w:lang w:val="en-US" w:eastAsia="zh-CN"/>
                    </w:rPr>
                  </w:pPr>
                  <w:r>
                    <w:rPr>
                      <w:rFonts w:hint="eastAsia"/>
                      <w:color w:val="auto"/>
                      <w:lang w:val="en-US" w:eastAsia="zh-CN"/>
                    </w:rPr>
                    <w:t>空压机</w:t>
                  </w:r>
                </w:p>
              </w:tc>
              <w:tc>
                <w:tcPr>
                  <w:tcW w:w="663" w:type="pct"/>
                  <w:noWrap w:val="0"/>
                  <w:vAlign w:val="center"/>
                </w:tcPr>
                <w:p>
                  <w:pPr>
                    <w:pStyle w:val="18"/>
                    <w:bidi w:val="0"/>
                    <w:spacing w:line="240" w:lineRule="auto"/>
                    <w:ind w:right="0" w:rightChars="0"/>
                    <w:rPr>
                      <w:rFonts w:hint="eastAsia"/>
                      <w:color w:val="auto"/>
                      <w:lang w:val="en-US" w:eastAsia="zh-CN"/>
                    </w:rPr>
                  </w:pPr>
                  <w:r>
                    <w:rPr>
                      <w:rFonts w:hint="eastAsia"/>
                      <w:color w:val="auto"/>
                      <w:lang w:val="en-US" w:eastAsia="zh-CN"/>
                    </w:rPr>
                    <w:t>1台</w:t>
                  </w:r>
                </w:p>
              </w:tc>
              <w:tc>
                <w:tcPr>
                  <w:tcW w:w="1153" w:type="pct"/>
                  <w:noWrap w:val="0"/>
                  <w:vAlign w:val="center"/>
                </w:tcPr>
                <w:p>
                  <w:pPr>
                    <w:pStyle w:val="18"/>
                    <w:bidi w:val="0"/>
                    <w:spacing w:line="240" w:lineRule="auto"/>
                    <w:ind w:right="0" w:rightChars="0"/>
                    <w:rPr>
                      <w:rFonts w:hint="default"/>
                      <w:color w:val="auto"/>
                      <w:lang w:val="en-US" w:eastAsia="zh-CN"/>
                    </w:rPr>
                  </w:pPr>
                  <w:r>
                    <w:rPr>
                      <w:rFonts w:hint="eastAsia"/>
                      <w:color w:val="auto"/>
                      <w:lang w:val="en-US" w:eastAsia="zh-CN"/>
                    </w:rPr>
                    <w:t>90</w:t>
                  </w:r>
                </w:p>
              </w:tc>
              <w:tc>
                <w:tcPr>
                  <w:tcW w:w="1415" w:type="pct"/>
                  <w:vMerge w:val="continue"/>
                  <w:noWrap w:val="0"/>
                  <w:vAlign w:val="center"/>
                </w:tcPr>
                <w:p>
                  <w:pPr>
                    <w:pStyle w:val="18"/>
                    <w:bidi w:val="0"/>
                    <w:spacing w:line="240" w:lineRule="auto"/>
                    <w:rPr>
                      <w:rFonts w:hint="eastAsia"/>
                      <w:color w:val="auto"/>
                      <w:lang w:val="en-US" w:eastAsia="zh-CN"/>
                    </w:rPr>
                  </w:pPr>
                </w:p>
              </w:tc>
            </w:tr>
          </w:tbl>
          <w:p>
            <w:pPr>
              <w:rPr>
                <w:rFonts w:hint="default"/>
                <w:color w:val="auto"/>
              </w:rPr>
            </w:pPr>
            <w:r>
              <w:rPr>
                <w:rFonts w:hint="default"/>
                <w:color w:val="auto"/>
              </w:rPr>
              <w:t>4、固体废物</w:t>
            </w:r>
          </w:p>
          <w:p>
            <w:pPr>
              <w:spacing w:line="360" w:lineRule="auto"/>
              <w:ind w:firstLine="480" w:firstLineChars="200"/>
              <w:contextualSpacing/>
              <w:rPr>
                <w:rFonts w:hint="default"/>
                <w:color w:val="auto"/>
              </w:rPr>
            </w:pPr>
            <w:r>
              <w:rPr>
                <w:rFonts w:hint="default"/>
                <w:color w:val="auto"/>
              </w:rPr>
              <w:t>项目运营期产生的固废主要有边角废料、收集的机加工粉尘、焊渣、废包装材料、废</w:t>
            </w:r>
            <w:r>
              <w:rPr>
                <w:rFonts w:hint="eastAsia"/>
                <w:color w:val="auto"/>
                <w:lang w:eastAsia="zh-CN"/>
              </w:rPr>
              <w:t>机</w:t>
            </w:r>
            <w:r>
              <w:rPr>
                <w:rFonts w:hint="default"/>
                <w:color w:val="auto"/>
              </w:rPr>
              <w:t>油、废</w:t>
            </w:r>
            <w:r>
              <w:rPr>
                <w:rFonts w:hint="eastAsia"/>
                <w:color w:val="auto"/>
                <w:lang w:eastAsia="zh-CN"/>
              </w:rPr>
              <w:t>过滤棉、废活性炭</w:t>
            </w:r>
            <w:r>
              <w:rPr>
                <w:rFonts w:hint="default"/>
                <w:color w:val="auto"/>
              </w:rPr>
              <w:t>、废原料桶、生活垃圾。</w:t>
            </w:r>
          </w:p>
          <w:p>
            <w:pPr>
              <w:spacing w:line="360" w:lineRule="auto"/>
              <w:ind w:firstLine="480" w:firstLineChars="200"/>
              <w:contextualSpacing/>
              <w:rPr>
                <w:rFonts w:hint="default"/>
                <w:color w:val="auto"/>
                <w:lang w:eastAsia="zh-CN"/>
              </w:rPr>
            </w:pPr>
            <w:r>
              <w:rPr>
                <w:rFonts w:hint="default"/>
                <w:color w:val="auto"/>
                <w:lang w:eastAsia="zh-CN"/>
              </w:rPr>
              <w:t>（</w:t>
            </w:r>
            <w:r>
              <w:rPr>
                <w:rFonts w:hint="default"/>
                <w:color w:val="auto"/>
                <w:lang w:val="en-US" w:eastAsia="zh-CN"/>
              </w:rPr>
              <w:t>1）</w:t>
            </w:r>
            <w:r>
              <w:rPr>
                <w:rFonts w:hint="default"/>
                <w:color w:val="auto"/>
                <w:lang w:eastAsia="zh-CN"/>
              </w:rPr>
              <w:t>生活垃圾</w:t>
            </w:r>
          </w:p>
          <w:p>
            <w:pPr>
              <w:spacing w:line="360" w:lineRule="auto"/>
              <w:ind w:firstLine="480" w:firstLineChars="200"/>
              <w:rPr>
                <w:rFonts w:hint="default"/>
                <w:color w:val="auto"/>
              </w:rPr>
            </w:pPr>
            <w:r>
              <w:rPr>
                <w:rFonts w:hint="default"/>
                <w:color w:val="auto"/>
              </w:rPr>
              <w:t>项目</w:t>
            </w:r>
            <w:r>
              <w:rPr>
                <w:rFonts w:hint="default"/>
                <w:color w:val="auto"/>
                <w:lang w:val="en-US" w:eastAsia="zh-CN"/>
              </w:rPr>
              <w:t>年工作300天，项目定员</w:t>
            </w:r>
            <w:r>
              <w:rPr>
                <w:rFonts w:hint="eastAsia"/>
                <w:color w:val="auto"/>
                <w:lang w:val="en-US" w:eastAsia="zh-CN"/>
              </w:rPr>
              <w:t>20</w:t>
            </w:r>
            <w:r>
              <w:rPr>
                <w:rFonts w:hint="default"/>
                <w:color w:val="auto"/>
                <w:lang w:val="en-US" w:eastAsia="zh-CN"/>
              </w:rPr>
              <w:t>人，</w:t>
            </w:r>
            <w:r>
              <w:rPr>
                <w:rFonts w:hint="default"/>
                <w:color w:val="auto"/>
              </w:rPr>
              <w:t>生活垃圾产生量按</w:t>
            </w:r>
            <w:r>
              <w:rPr>
                <w:rFonts w:hint="default"/>
                <w:color w:val="auto"/>
                <w:lang w:val="en-US" w:eastAsia="zh-CN"/>
              </w:rPr>
              <w:t>0.5kg/(人·d)</w:t>
            </w:r>
            <w:r>
              <w:rPr>
                <w:rFonts w:hint="default"/>
                <w:color w:val="auto"/>
              </w:rPr>
              <w:t>计</w:t>
            </w:r>
            <w:r>
              <w:rPr>
                <w:rFonts w:hint="default"/>
                <w:color w:val="auto"/>
                <w:lang w:eastAsia="zh-CN"/>
              </w:rPr>
              <w:t>，则项目生活垃圾产生量为</w:t>
            </w:r>
            <w:r>
              <w:rPr>
                <w:rFonts w:hint="eastAsia"/>
                <w:color w:val="auto"/>
                <w:lang w:val="en-US" w:eastAsia="zh-CN"/>
              </w:rPr>
              <w:t>10</w:t>
            </w:r>
            <w:r>
              <w:rPr>
                <w:rFonts w:hint="default"/>
                <w:color w:val="auto"/>
                <w:lang w:val="en-US" w:eastAsia="zh-CN"/>
              </w:rPr>
              <w:t>kg/d，年产生垃圾量为</w:t>
            </w:r>
            <w:r>
              <w:rPr>
                <w:rFonts w:hint="eastAsia"/>
                <w:color w:val="auto"/>
                <w:lang w:val="en-US" w:eastAsia="zh-CN"/>
              </w:rPr>
              <w:t>3</w:t>
            </w:r>
            <w:r>
              <w:rPr>
                <w:rFonts w:hint="default"/>
                <w:color w:val="auto"/>
                <w:lang w:val="en-US" w:eastAsia="zh-CN"/>
              </w:rPr>
              <w:t>t/a。生活垃圾集中收集清运至园区垃圾收集处后，由环卫部门处理。</w:t>
            </w:r>
          </w:p>
          <w:p>
            <w:pPr>
              <w:spacing w:line="360" w:lineRule="auto"/>
              <w:ind w:firstLine="480" w:firstLineChars="200"/>
              <w:contextualSpacing/>
              <w:rPr>
                <w:rFonts w:hint="default"/>
                <w:color w:val="auto"/>
                <w:lang w:eastAsia="zh-CN"/>
              </w:rPr>
            </w:pPr>
            <w:r>
              <w:rPr>
                <w:rFonts w:hint="default"/>
                <w:color w:val="auto"/>
                <w:lang w:eastAsia="zh-CN"/>
              </w:rPr>
              <w:t>（</w:t>
            </w:r>
            <w:r>
              <w:rPr>
                <w:rFonts w:hint="default"/>
                <w:color w:val="auto"/>
                <w:lang w:val="en-US" w:eastAsia="zh-CN"/>
              </w:rPr>
              <w:t>2）</w:t>
            </w:r>
            <w:r>
              <w:rPr>
                <w:rFonts w:hint="eastAsia"/>
                <w:color w:val="auto"/>
                <w:lang w:eastAsia="zh-CN"/>
              </w:rPr>
              <w:t>一般工业固废</w:t>
            </w:r>
          </w:p>
          <w:p>
            <w:pPr>
              <w:spacing w:line="360" w:lineRule="auto"/>
              <w:ind w:firstLine="480" w:firstLineChars="200"/>
              <w:contextualSpacing/>
              <w:rPr>
                <w:rFonts w:hint="eastAsia"/>
                <w:color w:val="auto"/>
                <w:lang w:eastAsia="zh-CN"/>
              </w:rPr>
            </w:pPr>
            <w:r>
              <w:rPr>
                <w:rFonts w:hint="default"/>
                <w:color w:val="auto"/>
                <w:lang w:eastAsia="zh-CN"/>
              </w:rPr>
              <w:t>①</w:t>
            </w:r>
            <w:r>
              <w:rPr>
                <w:rFonts w:hint="eastAsia"/>
                <w:color w:val="auto"/>
                <w:lang w:eastAsia="zh-CN"/>
              </w:rPr>
              <w:t>边角废料</w:t>
            </w:r>
          </w:p>
          <w:p>
            <w:pPr>
              <w:spacing w:line="360" w:lineRule="auto"/>
              <w:ind w:firstLine="480" w:firstLineChars="200"/>
              <w:contextualSpacing/>
              <w:rPr>
                <w:rFonts w:hint="default"/>
                <w:color w:val="auto"/>
                <w:lang w:eastAsia="zh-CN"/>
              </w:rPr>
            </w:pPr>
            <w:r>
              <w:rPr>
                <w:rFonts w:hint="eastAsia"/>
                <w:color w:val="auto"/>
                <w:lang w:eastAsia="zh-CN"/>
              </w:rPr>
              <w:t>本项目产品在生产加工过程中，开料、剪板等工序会产生废钢板等边角料，边角料产量约为原料钢材用量的</w:t>
            </w:r>
            <w:r>
              <w:rPr>
                <w:rFonts w:hint="eastAsia"/>
                <w:color w:val="auto"/>
                <w:lang w:val="en-US" w:eastAsia="zh-CN"/>
              </w:rPr>
              <w:t>1</w:t>
            </w:r>
            <w:r>
              <w:rPr>
                <w:rFonts w:hint="eastAsia"/>
                <w:color w:val="auto"/>
                <w:lang w:eastAsia="zh-CN"/>
              </w:rPr>
              <w:t>%，原料钢材用量约</w:t>
            </w:r>
            <w:r>
              <w:rPr>
                <w:rFonts w:hint="eastAsia"/>
                <w:color w:val="auto"/>
                <w:lang w:val="en-US" w:eastAsia="zh-CN"/>
              </w:rPr>
              <w:t>3000</w:t>
            </w:r>
            <w:r>
              <w:rPr>
                <w:rFonts w:hint="eastAsia"/>
                <w:color w:val="auto"/>
                <w:lang w:eastAsia="zh-CN"/>
              </w:rPr>
              <w:t>t/a，则本项目边角余料产生量为</w:t>
            </w:r>
            <w:r>
              <w:rPr>
                <w:rFonts w:hint="eastAsia"/>
                <w:color w:val="auto"/>
                <w:lang w:val="en-US" w:eastAsia="zh-CN"/>
              </w:rPr>
              <w:t>30</w:t>
            </w:r>
            <w:r>
              <w:rPr>
                <w:rFonts w:hint="eastAsia"/>
                <w:color w:val="auto"/>
                <w:lang w:eastAsia="zh-CN"/>
              </w:rPr>
              <w:t>t/a，集中收集后外售。</w:t>
            </w:r>
          </w:p>
          <w:p>
            <w:pPr>
              <w:spacing w:line="360" w:lineRule="auto"/>
              <w:ind w:firstLine="480" w:firstLineChars="200"/>
              <w:contextualSpacing/>
              <w:rPr>
                <w:rFonts w:hint="default"/>
                <w:color w:val="auto"/>
                <w:lang w:val="en-US" w:eastAsia="zh-CN"/>
              </w:rPr>
            </w:pPr>
            <w:r>
              <w:rPr>
                <w:rFonts w:hint="default"/>
                <w:color w:val="auto"/>
                <w:lang w:val="en-US" w:eastAsia="zh-CN"/>
              </w:rPr>
              <w:t>②</w:t>
            </w:r>
            <w:r>
              <w:rPr>
                <w:rFonts w:hint="eastAsia"/>
                <w:color w:val="auto"/>
                <w:lang w:val="en-US" w:eastAsia="zh-CN"/>
              </w:rPr>
              <w:t>包装材料</w:t>
            </w:r>
          </w:p>
          <w:p>
            <w:pPr>
              <w:spacing w:line="360" w:lineRule="auto"/>
              <w:ind w:firstLine="480" w:firstLineChars="200"/>
              <w:contextualSpacing/>
              <w:rPr>
                <w:rFonts w:hint="default"/>
                <w:color w:val="auto"/>
                <w:lang w:eastAsia="zh-CN"/>
              </w:rPr>
            </w:pPr>
            <w:r>
              <w:rPr>
                <w:rFonts w:hint="default"/>
                <w:color w:val="auto"/>
                <w:lang w:val="en-US" w:eastAsia="zh-CN"/>
              </w:rPr>
              <w:t>本项目生产过程中会产生一定量的原辅材料包装材料，其主要成分为纸质、塑料等，根据建设单位提供的资料，废包装材料产生量约为</w:t>
            </w:r>
            <w:r>
              <w:rPr>
                <w:rFonts w:hint="eastAsia"/>
                <w:color w:val="auto"/>
                <w:lang w:val="en-US" w:eastAsia="zh-CN"/>
              </w:rPr>
              <w:t>0.2</w:t>
            </w:r>
            <w:r>
              <w:rPr>
                <w:rFonts w:hint="default"/>
                <w:color w:val="auto"/>
                <w:lang w:val="en-US" w:eastAsia="zh-CN"/>
              </w:rPr>
              <w:t>t/a，集中收集</w:t>
            </w:r>
            <w:r>
              <w:rPr>
                <w:rFonts w:hint="eastAsia"/>
                <w:color w:val="auto"/>
                <w:lang w:val="en-US" w:eastAsia="zh-CN"/>
              </w:rPr>
              <w:t>后外售</w:t>
            </w:r>
            <w:r>
              <w:rPr>
                <w:rFonts w:hint="default"/>
                <w:color w:val="auto"/>
                <w:lang w:eastAsia="zh-CN"/>
              </w:rPr>
              <w:t>。</w:t>
            </w:r>
          </w:p>
          <w:p>
            <w:pPr>
              <w:pStyle w:val="2"/>
              <w:rPr>
                <w:rFonts w:hint="eastAsia"/>
                <w:color w:val="auto"/>
                <w:lang w:eastAsia="zh-CN"/>
              </w:rPr>
            </w:pPr>
            <w:r>
              <w:rPr>
                <w:rFonts w:hint="eastAsia"/>
                <w:color w:val="auto"/>
                <w:lang w:eastAsia="zh-CN"/>
              </w:rPr>
              <w:t>③焊渣</w:t>
            </w:r>
          </w:p>
          <w:p>
            <w:pPr>
              <w:pStyle w:val="2"/>
              <w:rPr>
                <w:rFonts w:hint="eastAsia"/>
                <w:color w:val="auto"/>
                <w:lang w:eastAsia="zh-CN"/>
              </w:rPr>
            </w:pPr>
            <w:r>
              <w:rPr>
                <w:rFonts w:hint="eastAsia"/>
                <w:color w:val="auto"/>
                <w:lang w:eastAsia="zh-CN"/>
              </w:rPr>
              <w:t>焊接工序中焊材夹持部分使用后和清理焊缝后产生废弃物--焊渣，根据《机加工行业环境影响评价中常见污染物源强估算及污染治理》（湖南大学学报，2010.9）可知，夹持部分占焊材量（</w:t>
            </w:r>
            <w:r>
              <w:rPr>
                <w:rFonts w:hint="eastAsia"/>
                <w:color w:val="auto"/>
                <w:lang w:val="en-US" w:eastAsia="zh-CN"/>
              </w:rPr>
              <w:t>6</w:t>
            </w:r>
            <w:r>
              <w:rPr>
                <w:rFonts w:hint="eastAsia"/>
                <w:color w:val="auto"/>
                <w:lang w:eastAsia="zh-CN"/>
              </w:rPr>
              <w:t>t/a）的1/11，约0.</w:t>
            </w:r>
            <w:r>
              <w:rPr>
                <w:rFonts w:hint="eastAsia"/>
                <w:color w:val="auto"/>
                <w:lang w:val="en-US" w:eastAsia="zh-CN"/>
              </w:rPr>
              <w:t>55</w:t>
            </w:r>
            <w:r>
              <w:rPr>
                <w:rFonts w:hint="eastAsia"/>
                <w:color w:val="auto"/>
                <w:lang w:eastAsia="zh-CN"/>
              </w:rPr>
              <w:t>t/a；清理焊缝时焊渣量为焊材使用量的4%左右，约0.</w:t>
            </w:r>
            <w:r>
              <w:rPr>
                <w:rFonts w:hint="eastAsia"/>
                <w:color w:val="auto"/>
                <w:lang w:val="en-US" w:eastAsia="zh-CN"/>
              </w:rPr>
              <w:t>24</w:t>
            </w:r>
            <w:r>
              <w:rPr>
                <w:rFonts w:hint="eastAsia"/>
                <w:color w:val="auto"/>
                <w:lang w:eastAsia="zh-CN"/>
              </w:rPr>
              <w:t>t/a，共计约</w:t>
            </w:r>
            <w:r>
              <w:rPr>
                <w:rFonts w:hint="eastAsia"/>
                <w:color w:val="auto"/>
                <w:lang w:val="en-US" w:eastAsia="zh-CN"/>
              </w:rPr>
              <w:t>0.79</w:t>
            </w:r>
            <w:r>
              <w:rPr>
                <w:rFonts w:hint="eastAsia"/>
                <w:color w:val="auto"/>
                <w:lang w:eastAsia="zh-CN"/>
              </w:rPr>
              <w:t>t/a，焊材不含铅，属于一般固体废物，收集后外售处置。</w:t>
            </w:r>
          </w:p>
          <w:p>
            <w:pPr>
              <w:rPr>
                <w:rFonts w:hint="eastAsia"/>
                <w:color w:val="auto"/>
                <w:lang w:val="en-US" w:eastAsia="zh-CN"/>
              </w:rPr>
            </w:pPr>
            <w:r>
              <w:rPr>
                <w:rFonts w:hint="eastAsia"/>
                <w:color w:val="auto"/>
                <w:lang w:val="en-US" w:eastAsia="zh-CN"/>
              </w:rPr>
              <w:t>④移动式除尘器收集的机加工粉尘</w:t>
            </w:r>
          </w:p>
          <w:p>
            <w:pPr>
              <w:pStyle w:val="2"/>
              <w:rPr>
                <w:rFonts w:hint="default"/>
                <w:color w:val="auto"/>
                <w:lang w:val="en-US" w:eastAsia="zh-CN"/>
              </w:rPr>
            </w:pPr>
            <w:r>
              <w:rPr>
                <w:rFonts w:hint="eastAsia"/>
                <w:color w:val="auto"/>
                <w:lang w:val="en-US" w:eastAsia="zh-CN"/>
              </w:rPr>
              <w:t>本项目机加工粉尘产生量为0.06t，移动式布袋除尘器收集率为60%，则移动式除尘器收集的机加工粉尘约为36kg/a。</w:t>
            </w:r>
          </w:p>
          <w:p>
            <w:pPr>
              <w:spacing w:line="360" w:lineRule="auto"/>
              <w:ind w:firstLine="480" w:firstLineChars="200"/>
              <w:rPr>
                <w:rFonts w:hint="default"/>
                <w:color w:val="auto"/>
                <w:lang w:val="en-US" w:eastAsia="zh-CN"/>
              </w:rPr>
            </w:pPr>
            <w:r>
              <w:rPr>
                <w:rFonts w:hint="default"/>
                <w:color w:val="auto"/>
                <w:lang w:val="en-US" w:eastAsia="zh-CN"/>
              </w:rPr>
              <w:t>（3）危险固废</w:t>
            </w:r>
          </w:p>
          <w:p>
            <w:pPr>
              <w:spacing w:line="360" w:lineRule="auto"/>
              <w:ind w:firstLine="480" w:firstLineChars="200"/>
              <w:rPr>
                <w:rFonts w:hint="default"/>
                <w:color w:val="auto"/>
                <w:lang w:val="en-US" w:eastAsia="zh-CN"/>
              </w:rPr>
            </w:pPr>
            <w:r>
              <w:rPr>
                <w:rFonts w:hint="default"/>
                <w:color w:val="auto"/>
                <w:lang w:val="en-US" w:eastAsia="zh-CN"/>
              </w:rPr>
              <w:t>①</w:t>
            </w:r>
            <w:r>
              <w:rPr>
                <w:rFonts w:hint="eastAsia"/>
                <w:color w:val="auto"/>
                <w:lang w:val="en-US" w:eastAsia="zh-CN"/>
              </w:rPr>
              <w:t>废过滤棉、废活性炭</w:t>
            </w:r>
          </w:p>
          <w:p>
            <w:pPr>
              <w:spacing w:line="360" w:lineRule="auto"/>
              <w:ind w:firstLine="480" w:firstLineChars="200"/>
              <w:rPr>
                <w:rFonts w:hint="eastAsia"/>
                <w:color w:val="auto"/>
                <w:lang w:val="en-US" w:eastAsia="zh-CN"/>
              </w:rPr>
            </w:pPr>
            <w:r>
              <w:rPr>
                <w:rFonts w:hint="eastAsia"/>
                <w:color w:val="auto"/>
                <w:lang w:val="en-US" w:eastAsia="zh-CN"/>
              </w:rPr>
              <w:t>废过滤棉（含漆雾）：项目喷漆过程采用过滤棉吸附喷漆漆渣，按1kg过滤棉吸附5kg漆渣计算，吸附漆雾量约0.22t/a，则需要过滤棉44kg，则产生废过滤棉（含漆雾）量约为0.264t/a。经查阅《国家危险废物名录》（2016年），废过滤棉属于HW49其他废物非特定行业中的“含有或沾染毒性、感染性危险废物的废弃包装物、容器、过滤吸附介质”类别，危险废物编号为900-041-49。</w:t>
            </w:r>
          </w:p>
          <w:p>
            <w:pPr>
              <w:spacing w:line="360" w:lineRule="auto"/>
              <w:ind w:firstLine="480" w:firstLineChars="200"/>
              <w:rPr>
                <w:rFonts w:hint="default"/>
                <w:color w:val="auto"/>
                <w:lang w:val="en-US" w:eastAsia="zh-CN"/>
              </w:rPr>
            </w:pPr>
            <w:r>
              <w:rPr>
                <w:rFonts w:hint="eastAsia"/>
                <w:color w:val="auto"/>
                <w:lang w:val="en-US" w:eastAsia="zh-CN"/>
              </w:rPr>
              <w:t>废活性炭：全年活性炭吸附装置吸咐有机废气约0.194t，活性碳的吸咐能力约为4：1（即吸收1t 有机废气需要4t活性碳），因此废活性炭的产生量预计约为0.97t/a。经查阅《国家危险废物名录》（2016 年），废过滤棉+活性炭属于HW49其他废物非特定行业中的“含有或沾染毒性、感染性危险废物的废弃包装物、容器、过滤吸附介质”类别，危险废物编号为900-041-49。</w:t>
            </w:r>
          </w:p>
          <w:p>
            <w:pPr>
              <w:spacing w:line="360" w:lineRule="auto"/>
              <w:ind w:firstLine="489" w:firstLineChars="204"/>
              <w:rPr>
                <w:rFonts w:hint="eastAsia"/>
                <w:color w:val="auto"/>
                <w:lang w:eastAsia="zh-CN"/>
              </w:rPr>
            </w:pPr>
            <w:r>
              <w:rPr>
                <w:rFonts w:hint="eastAsia"/>
                <w:color w:val="auto"/>
              </w:rPr>
              <w:t>②</w:t>
            </w:r>
            <w:r>
              <w:rPr>
                <w:rFonts w:hint="eastAsia"/>
                <w:color w:val="auto"/>
                <w:lang w:eastAsia="zh-CN"/>
              </w:rPr>
              <w:t>废机油</w:t>
            </w:r>
          </w:p>
          <w:p>
            <w:pPr>
              <w:spacing w:line="360" w:lineRule="auto"/>
              <w:ind w:firstLine="489" w:firstLineChars="204"/>
              <w:rPr>
                <w:rFonts w:hint="default"/>
                <w:color w:val="auto"/>
                <w:lang w:val="en-US" w:eastAsia="zh-CN"/>
              </w:rPr>
            </w:pPr>
            <w:r>
              <w:rPr>
                <w:rFonts w:hint="eastAsia"/>
                <w:color w:val="auto"/>
                <w:lang w:eastAsia="zh-CN"/>
              </w:rPr>
              <w:t>本项目生产过程中产生废机油0.</w:t>
            </w:r>
            <w:r>
              <w:rPr>
                <w:rFonts w:hint="eastAsia"/>
                <w:color w:val="auto"/>
                <w:lang w:val="en-US" w:eastAsia="zh-CN"/>
              </w:rPr>
              <w:t>2</w:t>
            </w:r>
            <w:r>
              <w:rPr>
                <w:rFonts w:hint="eastAsia"/>
                <w:color w:val="auto"/>
                <w:lang w:eastAsia="zh-CN"/>
              </w:rPr>
              <w:t>t/a，经查阅《国家危险废物名录》（2016年），废机油属于HW08废矿物油与含矿物油废物非特定行业中的“车辆、机械维修和拆解过程中产生的废发动机油、制动器油、自动变速器油、齿轮油等废润滑油”类别，危险废物编号为900-214-08</w:t>
            </w:r>
            <w:r>
              <w:rPr>
                <w:rFonts w:hint="eastAsia"/>
                <w:color w:val="auto"/>
                <w:lang w:val="en-US" w:eastAsia="zh-CN"/>
              </w:rPr>
              <w:t>。</w:t>
            </w:r>
          </w:p>
          <w:p>
            <w:pPr>
              <w:spacing w:line="360" w:lineRule="auto"/>
              <w:ind w:firstLine="489" w:firstLineChars="204"/>
              <w:rPr>
                <w:rFonts w:hint="eastAsia"/>
                <w:color w:val="auto"/>
                <w:lang w:eastAsia="zh-CN"/>
              </w:rPr>
            </w:pPr>
            <w:r>
              <w:rPr>
                <w:rFonts w:hint="eastAsia"/>
                <w:color w:val="auto"/>
              </w:rPr>
              <w:t>③</w:t>
            </w:r>
            <w:r>
              <w:rPr>
                <w:rFonts w:hint="eastAsia"/>
                <w:color w:val="auto"/>
                <w:lang w:eastAsia="zh-CN"/>
              </w:rPr>
              <w:t>废原料桶</w:t>
            </w:r>
          </w:p>
          <w:p>
            <w:pPr>
              <w:spacing w:line="360" w:lineRule="auto"/>
              <w:ind w:firstLine="489" w:firstLineChars="204"/>
              <w:rPr>
                <w:rFonts w:hint="default"/>
                <w:color w:val="auto"/>
                <w:lang w:val="en-US" w:eastAsia="zh-CN"/>
              </w:rPr>
            </w:pPr>
            <w:r>
              <w:rPr>
                <w:rFonts w:hint="default"/>
                <w:color w:val="auto"/>
                <w:lang w:eastAsia="zh-CN"/>
              </w:rPr>
              <w:t>本项目桶装涂料使用量为</w:t>
            </w:r>
            <w:r>
              <w:rPr>
                <w:rFonts w:hint="eastAsia"/>
                <w:color w:val="auto"/>
                <w:lang w:val="en-US" w:eastAsia="zh-CN"/>
              </w:rPr>
              <w:t>3.6</w:t>
            </w:r>
            <w:r>
              <w:rPr>
                <w:rFonts w:hint="default"/>
                <w:color w:val="auto"/>
                <w:lang w:eastAsia="zh-CN"/>
              </w:rPr>
              <w:t>t/a，每桶重量为</w:t>
            </w:r>
            <w:r>
              <w:rPr>
                <w:rFonts w:hint="eastAsia"/>
                <w:color w:val="auto"/>
                <w:lang w:val="en-US" w:eastAsia="zh-CN"/>
              </w:rPr>
              <w:t>5</w:t>
            </w:r>
            <w:r>
              <w:rPr>
                <w:rFonts w:hint="default"/>
                <w:color w:val="auto"/>
                <w:lang w:val="en-US" w:eastAsia="zh-CN"/>
              </w:rPr>
              <w:t>0</w:t>
            </w:r>
            <w:r>
              <w:rPr>
                <w:rFonts w:hint="default"/>
                <w:color w:val="auto"/>
                <w:lang w:eastAsia="zh-CN"/>
              </w:rPr>
              <w:t>kg，则年使用</w:t>
            </w:r>
            <w:r>
              <w:rPr>
                <w:rFonts w:hint="eastAsia"/>
                <w:color w:val="auto"/>
                <w:lang w:val="en-US" w:eastAsia="zh-CN"/>
              </w:rPr>
              <w:t>72</w:t>
            </w:r>
            <w:r>
              <w:rPr>
                <w:rFonts w:hint="default"/>
                <w:color w:val="auto"/>
                <w:lang w:eastAsia="zh-CN"/>
              </w:rPr>
              <w:t>桶涂料，涂料使用后产生废料桶，每个废料桶重量按</w:t>
            </w:r>
            <w:r>
              <w:rPr>
                <w:rFonts w:hint="default"/>
                <w:color w:val="auto"/>
                <w:lang w:val="en-US" w:eastAsia="zh-CN"/>
              </w:rPr>
              <w:t>5</w:t>
            </w:r>
            <w:r>
              <w:rPr>
                <w:rFonts w:hint="default"/>
                <w:color w:val="auto"/>
                <w:lang w:eastAsia="zh-CN"/>
              </w:rPr>
              <w:t>kg计算，则废料桶产生量为</w:t>
            </w:r>
            <w:r>
              <w:rPr>
                <w:rFonts w:hint="default"/>
                <w:color w:val="auto"/>
                <w:lang w:val="en-US" w:eastAsia="zh-CN"/>
              </w:rPr>
              <w:t>0.</w:t>
            </w:r>
            <w:r>
              <w:rPr>
                <w:rFonts w:hint="eastAsia"/>
                <w:color w:val="auto"/>
                <w:lang w:val="en-US" w:eastAsia="zh-CN"/>
              </w:rPr>
              <w:t>36</w:t>
            </w:r>
            <w:r>
              <w:rPr>
                <w:rFonts w:hint="default"/>
                <w:color w:val="auto"/>
                <w:lang w:eastAsia="zh-CN"/>
              </w:rPr>
              <w:t>t/a。经查阅《国家危险废物名录》（2016 年），废料桶属于HW49其</w:t>
            </w:r>
            <w:r>
              <w:rPr>
                <w:rFonts w:hint="eastAsia"/>
                <w:color w:val="auto"/>
                <w:lang w:eastAsia="zh-CN"/>
              </w:rPr>
              <w:t>他废物非特定行业中的“含有或沾染毒性、感染性危险废物的废弃包装物、容器、过滤吸附介质”类别，危险废物编号为900-041-49</w:t>
            </w:r>
            <w:r>
              <w:rPr>
                <w:rFonts w:hint="eastAsia"/>
                <w:color w:val="auto"/>
                <w:lang w:val="en-US" w:eastAsia="zh-CN"/>
              </w:rPr>
              <w:t>。</w:t>
            </w:r>
          </w:p>
          <w:p>
            <w:pPr>
              <w:spacing w:line="360" w:lineRule="auto"/>
              <w:ind w:firstLine="489" w:firstLineChars="204"/>
              <w:rPr>
                <w:rFonts w:hint="default"/>
                <w:color w:val="auto"/>
              </w:rPr>
            </w:pPr>
            <w:r>
              <w:rPr>
                <w:rFonts w:hint="default"/>
                <w:color w:val="auto"/>
              </w:rPr>
              <w:t>根据《国家危险废物名录》（2016）进行危险废物识别，具体见下表</w:t>
            </w:r>
            <w:r>
              <w:rPr>
                <w:rFonts w:hint="default"/>
                <w:color w:val="auto"/>
                <w:lang w:val="en-US" w:eastAsia="zh-CN"/>
              </w:rPr>
              <w:t>5-11</w:t>
            </w:r>
            <w:r>
              <w:rPr>
                <w:rFonts w:hint="default"/>
                <w:color w:val="auto"/>
              </w:rPr>
              <w:t>。</w:t>
            </w:r>
          </w:p>
          <w:p>
            <w:pPr>
              <w:pStyle w:val="19"/>
              <w:bidi w:val="0"/>
              <w:rPr>
                <w:rFonts w:hint="default"/>
                <w:color w:val="auto"/>
              </w:rPr>
            </w:pPr>
            <w:r>
              <w:rPr>
                <w:rFonts w:hint="default"/>
                <w:color w:val="auto"/>
              </w:rPr>
              <w:t>表</w:t>
            </w:r>
            <w:r>
              <w:rPr>
                <w:rFonts w:hint="default"/>
                <w:color w:val="auto"/>
                <w:lang w:val="en-US" w:eastAsia="zh-CN"/>
              </w:rPr>
              <w:t>5-11</w:t>
            </w:r>
            <w:r>
              <w:rPr>
                <w:rFonts w:hint="default"/>
                <w:color w:val="auto"/>
              </w:rPr>
              <w:t xml:space="preserve"> 项目危险废物识别一览表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2545"/>
              <w:gridCol w:w="2468"/>
              <w:gridCol w:w="1549"/>
              <w:gridCol w:w="1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8" w:type="dxa"/>
                  <w:noWrap w:val="0"/>
                  <w:vAlign w:val="center"/>
                </w:tcPr>
                <w:p>
                  <w:pPr>
                    <w:pStyle w:val="18"/>
                    <w:bidi w:val="0"/>
                    <w:spacing w:line="240" w:lineRule="auto"/>
                    <w:rPr>
                      <w:rFonts w:hint="default"/>
                      <w:color w:val="auto"/>
                    </w:rPr>
                  </w:pPr>
                  <w:r>
                    <w:rPr>
                      <w:rFonts w:hint="default"/>
                      <w:color w:val="auto"/>
                    </w:rPr>
                    <w:t>序号</w:t>
                  </w:r>
                </w:p>
              </w:tc>
              <w:tc>
                <w:tcPr>
                  <w:tcW w:w="2545" w:type="dxa"/>
                  <w:noWrap w:val="0"/>
                  <w:vAlign w:val="center"/>
                </w:tcPr>
                <w:p>
                  <w:pPr>
                    <w:pStyle w:val="18"/>
                    <w:bidi w:val="0"/>
                    <w:spacing w:line="240" w:lineRule="auto"/>
                    <w:rPr>
                      <w:rFonts w:hint="default"/>
                      <w:color w:val="auto"/>
                    </w:rPr>
                  </w:pPr>
                  <w:r>
                    <w:rPr>
                      <w:rFonts w:hint="default"/>
                      <w:color w:val="auto"/>
                    </w:rPr>
                    <w:t>固废种类</w:t>
                  </w:r>
                </w:p>
              </w:tc>
              <w:tc>
                <w:tcPr>
                  <w:tcW w:w="2468" w:type="dxa"/>
                  <w:noWrap w:val="0"/>
                  <w:vAlign w:val="center"/>
                </w:tcPr>
                <w:p>
                  <w:pPr>
                    <w:pStyle w:val="18"/>
                    <w:bidi w:val="0"/>
                    <w:spacing w:line="240" w:lineRule="auto"/>
                    <w:rPr>
                      <w:rFonts w:hint="default"/>
                      <w:color w:val="auto"/>
                    </w:rPr>
                  </w:pPr>
                  <w:r>
                    <w:rPr>
                      <w:rFonts w:hint="default"/>
                      <w:color w:val="auto"/>
                    </w:rPr>
                    <w:t>危险类别</w:t>
                  </w:r>
                </w:p>
              </w:tc>
              <w:tc>
                <w:tcPr>
                  <w:tcW w:w="1549" w:type="dxa"/>
                  <w:noWrap w:val="0"/>
                  <w:vAlign w:val="center"/>
                </w:tcPr>
                <w:p>
                  <w:pPr>
                    <w:pStyle w:val="18"/>
                    <w:bidi w:val="0"/>
                    <w:spacing w:line="240" w:lineRule="auto"/>
                    <w:rPr>
                      <w:rFonts w:hint="default"/>
                      <w:color w:val="auto"/>
                    </w:rPr>
                  </w:pPr>
                  <w:r>
                    <w:rPr>
                      <w:rFonts w:hint="default"/>
                      <w:color w:val="auto"/>
                    </w:rPr>
                    <w:t>危废代码</w:t>
                  </w:r>
                </w:p>
              </w:tc>
              <w:tc>
                <w:tcPr>
                  <w:tcW w:w="1076" w:type="dxa"/>
                  <w:noWrap w:val="0"/>
                  <w:vAlign w:val="center"/>
                </w:tcPr>
                <w:p>
                  <w:pPr>
                    <w:pStyle w:val="18"/>
                    <w:bidi w:val="0"/>
                    <w:spacing w:line="240" w:lineRule="auto"/>
                    <w:rPr>
                      <w:rFonts w:hint="default"/>
                      <w:color w:val="auto"/>
                    </w:rPr>
                  </w:pPr>
                  <w:r>
                    <w:rPr>
                      <w:rFonts w:hint="default"/>
                      <w:color w:val="auto"/>
                    </w:rPr>
                    <w:t>危险特性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8" w:type="dxa"/>
                  <w:noWrap w:val="0"/>
                  <w:vAlign w:val="center"/>
                </w:tcPr>
                <w:p>
                  <w:pPr>
                    <w:pStyle w:val="18"/>
                    <w:bidi w:val="0"/>
                    <w:spacing w:line="240" w:lineRule="auto"/>
                    <w:rPr>
                      <w:rFonts w:hint="default"/>
                      <w:color w:val="auto"/>
                    </w:rPr>
                  </w:pPr>
                  <w:r>
                    <w:rPr>
                      <w:rFonts w:hint="default"/>
                      <w:color w:val="auto"/>
                    </w:rPr>
                    <w:t>1</w:t>
                  </w:r>
                </w:p>
              </w:tc>
              <w:tc>
                <w:tcPr>
                  <w:tcW w:w="2545" w:type="dxa"/>
                  <w:noWrap w:val="0"/>
                  <w:vAlign w:val="center"/>
                </w:tcPr>
                <w:p>
                  <w:pPr>
                    <w:pStyle w:val="18"/>
                    <w:bidi w:val="0"/>
                    <w:spacing w:line="240" w:lineRule="auto"/>
                    <w:rPr>
                      <w:rFonts w:hint="default"/>
                      <w:color w:val="auto"/>
                      <w:lang w:val="en-US" w:eastAsia="zh-CN"/>
                    </w:rPr>
                  </w:pPr>
                  <w:r>
                    <w:rPr>
                      <w:rFonts w:hint="eastAsia"/>
                      <w:color w:val="auto"/>
                      <w:lang w:val="en-US" w:eastAsia="zh-CN"/>
                    </w:rPr>
                    <w:t>废过滤棉+活性炭</w:t>
                  </w:r>
                </w:p>
              </w:tc>
              <w:tc>
                <w:tcPr>
                  <w:tcW w:w="2468" w:type="dxa"/>
                  <w:noWrap w:val="0"/>
                  <w:vAlign w:val="center"/>
                </w:tcPr>
                <w:p>
                  <w:pPr>
                    <w:pStyle w:val="18"/>
                    <w:bidi w:val="0"/>
                    <w:spacing w:line="240" w:lineRule="auto"/>
                    <w:rPr>
                      <w:rFonts w:hint="default"/>
                      <w:color w:val="auto"/>
                    </w:rPr>
                  </w:pPr>
                  <w:r>
                    <w:rPr>
                      <w:rFonts w:hint="eastAsia"/>
                      <w:color w:val="auto"/>
                      <w:lang w:val="en-US" w:eastAsia="zh-CN"/>
                    </w:rPr>
                    <w:t>HW06</w:t>
                  </w:r>
                </w:p>
              </w:tc>
              <w:tc>
                <w:tcPr>
                  <w:tcW w:w="1549" w:type="dxa"/>
                  <w:noWrap w:val="0"/>
                  <w:vAlign w:val="center"/>
                </w:tcPr>
                <w:p>
                  <w:pPr>
                    <w:pStyle w:val="18"/>
                    <w:bidi w:val="0"/>
                    <w:spacing w:line="240" w:lineRule="auto"/>
                    <w:rPr>
                      <w:rFonts w:hint="default"/>
                      <w:color w:val="auto"/>
                      <w:lang w:val="en-US" w:eastAsia="zh-CN"/>
                    </w:rPr>
                  </w:pPr>
                  <w:r>
                    <w:rPr>
                      <w:rFonts w:hint="eastAsia"/>
                      <w:color w:val="auto"/>
                      <w:lang w:val="en-US" w:eastAsia="zh-CN"/>
                    </w:rPr>
                    <w:t>900-041-49</w:t>
                  </w:r>
                </w:p>
              </w:tc>
              <w:tc>
                <w:tcPr>
                  <w:tcW w:w="1076" w:type="dxa"/>
                  <w:noWrap w:val="0"/>
                  <w:vAlign w:val="center"/>
                </w:tcPr>
                <w:p>
                  <w:pPr>
                    <w:pStyle w:val="18"/>
                    <w:bidi w:val="0"/>
                    <w:spacing w:line="240" w:lineRule="auto"/>
                    <w:rPr>
                      <w:rFonts w:hint="default"/>
                      <w:color w:val="auto"/>
                    </w:rPr>
                  </w:pPr>
                  <w:r>
                    <w:rPr>
                      <w:rFonts w:hint="default"/>
                      <w:color w:val="auto"/>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8" w:type="dxa"/>
                  <w:noWrap w:val="0"/>
                  <w:vAlign w:val="center"/>
                </w:tcPr>
                <w:p>
                  <w:pPr>
                    <w:pStyle w:val="18"/>
                    <w:bidi w:val="0"/>
                    <w:spacing w:line="240" w:lineRule="auto"/>
                    <w:rPr>
                      <w:rFonts w:hint="default"/>
                      <w:color w:val="auto"/>
                    </w:rPr>
                  </w:pPr>
                  <w:r>
                    <w:rPr>
                      <w:rFonts w:hint="default"/>
                      <w:color w:val="auto"/>
                    </w:rPr>
                    <w:t>2</w:t>
                  </w:r>
                </w:p>
              </w:tc>
              <w:tc>
                <w:tcPr>
                  <w:tcW w:w="2545" w:type="dxa"/>
                  <w:noWrap w:val="0"/>
                  <w:vAlign w:val="center"/>
                </w:tcPr>
                <w:p>
                  <w:pPr>
                    <w:pStyle w:val="18"/>
                    <w:bidi w:val="0"/>
                    <w:spacing w:line="240" w:lineRule="auto"/>
                    <w:rPr>
                      <w:rFonts w:hint="default"/>
                      <w:color w:val="auto"/>
                      <w:lang w:eastAsia="zh-CN"/>
                    </w:rPr>
                  </w:pPr>
                  <w:r>
                    <w:rPr>
                      <w:rFonts w:hint="default"/>
                      <w:color w:val="auto"/>
                      <w:lang w:val="en-US" w:eastAsia="zh-CN"/>
                    </w:rPr>
                    <w:t>废机油</w:t>
                  </w:r>
                </w:p>
              </w:tc>
              <w:tc>
                <w:tcPr>
                  <w:tcW w:w="2468" w:type="dxa"/>
                  <w:noWrap w:val="0"/>
                  <w:vAlign w:val="center"/>
                </w:tcPr>
                <w:p>
                  <w:pPr>
                    <w:pStyle w:val="18"/>
                    <w:bidi w:val="0"/>
                    <w:spacing w:line="240" w:lineRule="auto"/>
                    <w:rPr>
                      <w:rFonts w:hint="default"/>
                      <w:color w:val="auto"/>
                    </w:rPr>
                  </w:pPr>
                  <w:r>
                    <w:rPr>
                      <w:rFonts w:hint="eastAsia"/>
                      <w:color w:val="auto"/>
                      <w:lang w:eastAsia="zh-CN"/>
                    </w:rPr>
                    <w:t>HW08</w:t>
                  </w:r>
                </w:p>
              </w:tc>
              <w:tc>
                <w:tcPr>
                  <w:tcW w:w="1549" w:type="dxa"/>
                  <w:noWrap w:val="0"/>
                  <w:vAlign w:val="center"/>
                </w:tcPr>
                <w:p>
                  <w:pPr>
                    <w:pStyle w:val="18"/>
                    <w:bidi w:val="0"/>
                    <w:spacing w:line="240" w:lineRule="auto"/>
                    <w:rPr>
                      <w:rFonts w:hint="default"/>
                      <w:color w:val="auto"/>
                    </w:rPr>
                  </w:pPr>
                  <w:r>
                    <w:rPr>
                      <w:rFonts w:hint="eastAsia"/>
                      <w:color w:val="auto"/>
                      <w:lang w:eastAsia="zh-CN"/>
                    </w:rPr>
                    <w:t>900-214-08</w:t>
                  </w:r>
                </w:p>
              </w:tc>
              <w:tc>
                <w:tcPr>
                  <w:tcW w:w="1076" w:type="dxa"/>
                  <w:noWrap w:val="0"/>
                  <w:vAlign w:val="center"/>
                </w:tcPr>
                <w:p>
                  <w:pPr>
                    <w:pStyle w:val="18"/>
                    <w:bidi w:val="0"/>
                    <w:spacing w:line="240" w:lineRule="auto"/>
                    <w:rPr>
                      <w:rFonts w:hint="default"/>
                      <w:color w:val="auto"/>
                    </w:rPr>
                  </w:pPr>
                  <w:r>
                    <w:rPr>
                      <w:rFonts w:hint="default"/>
                      <w:color w:val="auto"/>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58" w:type="dxa"/>
                  <w:noWrap w:val="0"/>
                  <w:vAlign w:val="center"/>
                </w:tcPr>
                <w:p>
                  <w:pPr>
                    <w:pStyle w:val="18"/>
                    <w:bidi w:val="0"/>
                    <w:spacing w:line="240" w:lineRule="auto"/>
                    <w:rPr>
                      <w:rFonts w:hint="eastAsia"/>
                      <w:color w:val="auto"/>
                      <w:lang w:eastAsia="zh-CN"/>
                    </w:rPr>
                  </w:pPr>
                  <w:r>
                    <w:rPr>
                      <w:rFonts w:hint="eastAsia"/>
                      <w:color w:val="auto"/>
                      <w:lang w:val="en-US" w:eastAsia="zh-CN"/>
                    </w:rPr>
                    <w:t>3</w:t>
                  </w:r>
                </w:p>
              </w:tc>
              <w:tc>
                <w:tcPr>
                  <w:tcW w:w="2545" w:type="dxa"/>
                  <w:noWrap w:val="0"/>
                  <w:vAlign w:val="center"/>
                </w:tcPr>
                <w:p>
                  <w:pPr>
                    <w:pStyle w:val="18"/>
                    <w:bidi w:val="0"/>
                    <w:spacing w:line="240" w:lineRule="auto"/>
                    <w:rPr>
                      <w:rFonts w:hint="eastAsia"/>
                      <w:color w:val="auto"/>
                      <w:lang w:eastAsia="zh-CN"/>
                    </w:rPr>
                  </w:pPr>
                  <w:r>
                    <w:rPr>
                      <w:rFonts w:hint="eastAsia"/>
                      <w:color w:val="auto"/>
                      <w:lang w:eastAsia="zh-CN"/>
                    </w:rPr>
                    <w:t>废原料桶</w:t>
                  </w:r>
                </w:p>
              </w:tc>
              <w:tc>
                <w:tcPr>
                  <w:tcW w:w="2468" w:type="dxa"/>
                  <w:noWrap w:val="0"/>
                  <w:vAlign w:val="center"/>
                </w:tcPr>
                <w:p>
                  <w:pPr>
                    <w:pStyle w:val="18"/>
                    <w:bidi w:val="0"/>
                    <w:spacing w:line="240" w:lineRule="auto"/>
                    <w:rPr>
                      <w:rFonts w:hint="default"/>
                      <w:color w:val="auto"/>
                    </w:rPr>
                  </w:pPr>
                  <w:r>
                    <w:rPr>
                      <w:rFonts w:hint="eastAsia"/>
                      <w:color w:val="auto"/>
                      <w:lang w:eastAsia="zh-CN"/>
                    </w:rPr>
                    <w:t>HW49</w:t>
                  </w:r>
                </w:p>
              </w:tc>
              <w:tc>
                <w:tcPr>
                  <w:tcW w:w="1549" w:type="dxa"/>
                  <w:noWrap w:val="0"/>
                  <w:vAlign w:val="center"/>
                </w:tcPr>
                <w:p>
                  <w:pPr>
                    <w:pStyle w:val="18"/>
                    <w:bidi w:val="0"/>
                    <w:spacing w:line="240" w:lineRule="auto"/>
                    <w:rPr>
                      <w:rFonts w:hint="default"/>
                      <w:color w:val="auto"/>
                    </w:rPr>
                  </w:pPr>
                  <w:r>
                    <w:rPr>
                      <w:rFonts w:hint="eastAsia"/>
                      <w:color w:val="auto"/>
                      <w:lang w:val="en-US" w:eastAsia="zh-CN"/>
                    </w:rPr>
                    <w:t>900-041-49</w:t>
                  </w:r>
                </w:p>
              </w:tc>
              <w:tc>
                <w:tcPr>
                  <w:tcW w:w="1076" w:type="dxa"/>
                  <w:noWrap w:val="0"/>
                  <w:vAlign w:val="center"/>
                </w:tcPr>
                <w:p>
                  <w:pPr>
                    <w:pStyle w:val="18"/>
                    <w:bidi w:val="0"/>
                    <w:spacing w:line="240" w:lineRule="auto"/>
                    <w:rPr>
                      <w:rFonts w:hint="default"/>
                      <w:color w:val="auto"/>
                    </w:rPr>
                  </w:pPr>
                  <w:r>
                    <w:rPr>
                      <w:rFonts w:hint="default"/>
                      <w:color w:val="auto"/>
                    </w:rPr>
                    <w:t>T</w:t>
                  </w:r>
                </w:p>
              </w:tc>
            </w:tr>
          </w:tbl>
          <w:p>
            <w:pPr>
              <w:spacing w:line="360" w:lineRule="auto"/>
              <w:ind w:firstLine="489" w:firstLineChars="204"/>
              <w:rPr>
                <w:rFonts w:hint="default"/>
                <w:color w:val="auto"/>
                <w:lang w:val="en-US" w:eastAsia="zh-CN"/>
              </w:rPr>
            </w:pPr>
            <w:r>
              <w:rPr>
                <w:rFonts w:hint="default"/>
                <w:color w:val="auto"/>
                <w:lang w:val="en-US" w:eastAsia="zh-CN"/>
              </w:rPr>
              <w:t>项目仓库南侧设置</w:t>
            </w:r>
            <w:r>
              <w:rPr>
                <w:rFonts w:hint="eastAsia"/>
                <w:color w:val="auto"/>
                <w:lang w:val="en-US" w:eastAsia="zh-CN"/>
              </w:rPr>
              <w:t>1</w:t>
            </w:r>
            <w:r>
              <w:rPr>
                <w:rFonts w:hint="default"/>
                <w:color w:val="auto"/>
                <w:lang w:val="en-US" w:eastAsia="zh-CN"/>
              </w:rPr>
              <w:t>间面积为</w:t>
            </w:r>
            <w:r>
              <w:rPr>
                <w:rFonts w:hint="eastAsia"/>
                <w:color w:val="auto"/>
                <w:lang w:val="en-US" w:eastAsia="zh-CN"/>
              </w:rPr>
              <w:t>8</w:t>
            </w:r>
            <w:r>
              <w:rPr>
                <w:color w:val="auto"/>
              </w:rPr>
              <w:t>m</w:t>
            </w:r>
            <w:r>
              <w:rPr>
                <w:color w:val="auto"/>
                <w:vertAlign w:val="superscript"/>
              </w:rPr>
              <w:t>2</w:t>
            </w:r>
            <w:r>
              <w:rPr>
                <w:rFonts w:hint="default"/>
                <w:color w:val="auto"/>
                <w:lang w:val="en-US" w:eastAsia="zh-CN"/>
              </w:rPr>
              <w:t>的危废暂存间，危险废物暂存间需严格按照《危险废物贮存污染控制标准》（GB 18597-2001）进行建设，基础必须防渗，防渗层为不少于1m后粘土层（渗透系数≤10 -7cm/s），或2mm后高密度聚乙烯，或至少2mm后其他人工材料，渗透系数≤10-10cm/s，地面及与裙角要用坚固、防渗的材料建造。危险废物暂存间需进行分区，不相容的危险废物必须分开存放。废</w:t>
            </w:r>
            <w:r>
              <w:rPr>
                <w:rFonts w:hint="eastAsia"/>
                <w:color w:val="auto"/>
                <w:lang w:val="en-US" w:eastAsia="zh-CN"/>
              </w:rPr>
              <w:t>机</w:t>
            </w:r>
            <w:r>
              <w:rPr>
                <w:rFonts w:hint="default"/>
                <w:color w:val="auto"/>
                <w:lang w:val="en-US" w:eastAsia="zh-CN"/>
              </w:rPr>
              <w:t>油、废</w:t>
            </w:r>
            <w:r>
              <w:rPr>
                <w:rFonts w:hint="eastAsia"/>
                <w:color w:val="auto"/>
                <w:lang w:val="en-US" w:eastAsia="zh-CN"/>
              </w:rPr>
              <w:t>过滤棉+活性炭</w:t>
            </w:r>
            <w:r>
              <w:rPr>
                <w:rFonts w:hint="default"/>
                <w:color w:val="auto"/>
                <w:lang w:val="en-US" w:eastAsia="zh-CN"/>
              </w:rPr>
              <w:t>需分别收集盛装于危险废物收集容器内，废原料桶无法装入常用容器，可用防胶袋盛装。项目区产生的危险废物分类、分区收集暂存于危险废物暂存间，</w:t>
            </w:r>
            <w:r>
              <w:rPr>
                <w:rFonts w:hint="eastAsia"/>
                <w:color w:val="auto"/>
                <w:lang w:val="en-US" w:eastAsia="zh-CN"/>
              </w:rPr>
              <w:t>废机油作为项目运营过程中设备润滑使用，</w:t>
            </w:r>
            <w:r>
              <w:rPr>
                <w:rFonts w:hint="eastAsia"/>
                <w:color w:val="auto"/>
                <w:lang w:eastAsia="zh-CN"/>
              </w:rPr>
              <w:t>废过滤棉+活性炭交由有资质的单位进行处理</w:t>
            </w:r>
            <w:r>
              <w:rPr>
                <w:rFonts w:hint="eastAsia"/>
                <w:color w:val="auto"/>
                <w:lang w:val="en-US" w:eastAsia="zh-CN"/>
              </w:rPr>
              <w:t>，废原料桶交由有资质的单位进行处理</w:t>
            </w:r>
            <w:r>
              <w:rPr>
                <w:rFonts w:hint="default"/>
                <w:color w:val="auto"/>
                <w:lang w:val="en-US" w:eastAsia="zh-CN"/>
              </w:rPr>
              <w:t>。</w:t>
            </w:r>
          </w:p>
          <w:p>
            <w:pPr>
              <w:spacing w:line="360" w:lineRule="auto"/>
              <w:ind w:firstLine="480" w:firstLineChars="200"/>
              <w:rPr>
                <w:rFonts w:hint="default"/>
                <w:color w:val="auto"/>
                <w:lang w:val="en-US" w:eastAsia="zh-CN"/>
              </w:rPr>
            </w:pPr>
            <w:r>
              <w:rPr>
                <w:rFonts w:hint="default"/>
                <w:color w:val="auto"/>
                <w:lang w:val="en-US" w:eastAsia="zh-CN"/>
              </w:rPr>
              <w:t>（4）固体废物产生量汇总</w:t>
            </w:r>
          </w:p>
          <w:p>
            <w:pPr>
              <w:spacing w:line="360" w:lineRule="auto"/>
              <w:ind w:firstLine="480" w:firstLineChars="200"/>
              <w:rPr>
                <w:rFonts w:hint="default"/>
                <w:color w:val="auto"/>
              </w:rPr>
            </w:pPr>
            <w:r>
              <w:rPr>
                <w:rFonts w:hint="default"/>
                <w:color w:val="auto"/>
                <w:lang w:val="en-US" w:eastAsia="zh-CN"/>
              </w:rPr>
              <w:t xml:space="preserve">项目运营期的固体废物产生量见表5-12。 </w:t>
            </w:r>
          </w:p>
          <w:p>
            <w:pPr>
              <w:pStyle w:val="19"/>
              <w:bidi w:val="0"/>
              <w:rPr>
                <w:rFonts w:hint="default"/>
                <w:color w:val="auto"/>
              </w:rPr>
            </w:pPr>
            <w:r>
              <w:rPr>
                <w:rFonts w:hint="default"/>
                <w:color w:val="auto"/>
              </w:rPr>
              <w:t>表</w:t>
            </w:r>
            <w:r>
              <w:rPr>
                <w:rFonts w:hint="default"/>
                <w:color w:val="auto"/>
                <w:lang w:val="en-US" w:eastAsia="zh-CN"/>
              </w:rPr>
              <w:t xml:space="preserve">5-12 </w:t>
            </w:r>
            <w:r>
              <w:rPr>
                <w:rFonts w:hint="default"/>
                <w:color w:val="auto"/>
              </w:rPr>
              <w:t xml:space="preserve">  项目固废产生情况一览表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424"/>
              <w:gridCol w:w="1153"/>
              <w:gridCol w:w="1057"/>
              <w:gridCol w:w="1090"/>
              <w:gridCol w:w="2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blHeader/>
                <w:jc w:val="center"/>
              </w:trPr>
              <w:tc>
                <w:tcPr>
                  <w:tcW w:w="457" w:type="pct"/>
                  <w:noWrap w:val="0"/>
                  <w:vAlign w:val="center"/>
                </w:tcPr>
                <w:p>
                  <w:pPr>
                    <w:pStyle w:val="18"/>
                    <w:bidi w:val="0"/>
                    <w:spacing w:line="240" w:lineRule="auto"/>
                    <w:rPr>
                      <w:rFonts w:hint="default"/>
                      <w:color w:val="auto"/>
                    </w:rPr>
                  </w:pPr>
                  <w:r>
                    <w:rPr>
                      <w:rFonts w:hint="default"/>
                      <w:color w:val="auto"/>
                    </w:rPr>
                    <w:t>序号</w:t>
                  </w:r>
                </w:p>
              </w:tc>
              <w:tc>
                <w:tcPr>
                  <w:tcW w:w="858" w:type="pct"/>
                  <w:noWrap w:val="0"/>
                  <w:vAlign w:val="center"/>
                </w:tcPr>
                <w:p>
                  <w:pPr>
                    <w:pStyle w:val="18"/>
                    <w:bidi w:val="0"/>
                    <w:spacing w:line="240" w:lineRule="auto"/>
                    <w:rPr>
                      <w:rFonts w:hint="default"/>
                      <w:color w:val="auto"/>
                    </w:rPr>
                  </w:pPr>
                  <w:r>
                    <w:rPr>
                      <w:rFonts w:hint="default"/>
                      <w:color w:val="auto"/>
                    </w:rPr>
                    <w:t>名称</w:t>
                  </w:r>
                </w:p>
              </w:tc>
              <w:tc>
                <w:tcPr>
                  <w:tcW w:w="695" w:type="pct"/>
                  <w:noWrap w:val="0"/>
                  <w:vAlign w:val="center"/>
                </w:tcPr>
                <w:p>
                  <w:pPr>
                    <w:pStyle w:val="18"/>
                    <w:bidi w:val="0"/>
                    <w:spacing w:line="240" w:lineRule="auto"/>
                    <w:rPr>
                      <w:rFonts w:hint="default"/>
                      <w:color w:val="auto"/>
                    </w:rPr>
                  </w:pPr>
                  <w:r>
                    <w:rPr>
                      <w:rFonts w:hint="default"/>
                      <w:color w:val="auto"/>
                    </w:rPr>
                    <w:t>产生量t/a</w:t>
                  </w:r>
                </w:p>
              </w:tc>
              <w:tc>
                <w:tcPr>
                  <w:tcW w:w="637" w:type="pct"/>
                  <w:noWrap w:val="0"/>
                  <w:vAlign w:val="center"/>
                </w:tcPr>
                <w:p>
                  <w:pPr>
                    <w:pStyle w:val="18"/>
                    <w:bidi w:val="0"/>
                    <w:spacing w:line="240" w:lineRule="auto"/>
                    <w:rPr>
                      <w:rFonts w:hint="default"/>
                      <w:color w:val="auto"/>
                    </w:rPr>
                  </w:pPr>
                  <w:r>
                    <w:rPr>
                      <w:rFonts w:hint="default"/>
                      <w:color w:val="auto"/>
                    </w:rPr>
                    <w:t>属性</w:t>
                  </w:r>
                </w:p>
              </w:tc>
              <w:tc>
                <w:tcPr>
                  <w:tcW w:w="657" w:type="pct"/>
                  <w:noWrap w:val="0"/>
                  <w:vAlign w:val="center"/>
                </w:tcPr>
                <w:p>
                  <w:pPr>
                    <w:pStyle w:val="18"/>
                    <w:bidi w:val="0"/>
                    <w:spacing w:line="240" w:lineRule="auto"/>
                    <w:rPr>
                      <w:rFonts w:hint="eastAsia"/>
                      <w:color w:val="auto"/>
                      <w:lang w:eastAsia="zh-CN"/>
                    </w:rPr>
                  </w:pPr>
                  <w:r>
                    <w:rPr>
                      <w:rFonts w:hint="default"/>
                      <w:color w:val="auto"/>
                    </w:rPr>
                    <w:t>危险</w:t>
                  </w:r>
                  <w:r>
                    <w:rPr>
                      <w:rFonts w:hint="eastAsia"/>
                      <w:color w:val="auto"/>
                      <w:lang w:eastAsia="zh-CN"/>
                    </w:rPr>
                    <w:t>类别</w:t>
                  </w:r>
                </w:p>
              </w:tc>
              <w:tc>
                <w:tcPr>
                  <w:tcW w:w="1694" w:type="pct"/>
                  <w:noWrap w:val="0"/>
                  <w:vAlign w:val="center"/>
                </w:tcPr>
                <w:p>
                  <w:pPr>
                    <w:pStyle w:val="18"/>
                    <w:bidi w:val="0"/>
                    <w:spacing w:line="240" w:lineRule="auto"/>
                    <w:rPr>
                      <w:rFonts w:hint="default"/>
                      <w:color w:val="auto"/>
                    </w:rPr>
                  </w:pPr>
                  <w:r>
                    <w:rPr>
                      <w:rFonts w:hint="default"/>
                      <w:color w:val="auto"/>
                    </w:rPr>
                    <w:t>处理去向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7" w:type="pct"/>
                  <w:noWrap w:val="0"/>
                  <w:vAlign w:val="center"/>
                </w:tcPr>
                <w:p>
                  <w:pPr>
                    <w:pStyle w:val="18"/>
                    <w:bidi w:val="0"/>
                    <w:spacing w:line="240" w:lineRule="auto"/>
                    <w:rPr>
                      <w:rFonts w:hint="default"/>
                      <w:color w:val="auto"/>
                    </w:rPr>
                  </w:pPr>
                  <w:r>
                    <w:rPr>
                      <w:rFonts w:hint="default"/>
                      <w:color w:val="auto"/>
                    </w:rPr>
                    <w:t>1</w:t>
                  </w:r>
                </w:p>
              </w:tc>
              <w:tc>
                <w:tcPr>
                  <w:tcW w:w="858" w:type="pct"/>
                  <w:noWrap w:val="0"/>
                  <w:vAlign w:val="center"/>
                </w:tcPr>
                <w:p>
                  <w:pPr>
                    <w:pStyle w:val="18"/>
                    <w:bidi w:val="0"/>
                    <w:spacing w:line="240" w:lineRule="auto"/>
                    <w:rPr>
                      <w:rFonts w:hint="default"/>
                      <w:color w:val="auto"/>
                      <w:lang w:eastAsia="zh-CN"/>
                    </w:rPr>
                  </w:pPr>
                  <w:r>
                    <w:rPr>
                      <w:rFonts w:hint="eastAsia"/>
                      <w:color w:val="auto"/>
                      <w:lang w:eastAsia="zh-CN"/>
                    </w:rPr>
                    <w:t>金属边角料</w:t>
                  </w:r>
                </w:p>
              </w:tc>
              <w:tc>
                <w:tcPr>
                  <w:tcW w:w="695" w:type="pct"/>
                  <w:noWrap w:val="0"/>
                  <w:vAlign w:val="center"/>
                </w:tcPr>
                <w:p>
                  <w:pPr>
                    <w:pStyle w:val="18"/>
                    <w:bidi w:val="0"/>
                    <w:spacing w:line="240" w:lineRule="auto"/>
                    <w:rPr>
                      <w:rFonts w:hint="default"/>
                      <w:color w:val="auto"/>
                      <w:lang w:val="en-US" w:eastAsia="zh-CN"/>
                    </w:rPr>
                  </w:pPr>
                  <w:r>
                    <w:rPr>
                      <w:rFonts w:hint="eastAsia"/>
                      <w:color w:val="auto"/>
                      <w:lang w:val="en-US" w:eastAsia="zh-CN"/>
                    </w:rPr>
                    <w:t>30</w:t>
                  </w:r>
                </w:p>
              </w:tc>
              <w:tc>
                <w:tcPr>
                  <w:tcW w:w="637" w:type="pct"/>
                  <w:vMerge w:val="restart"/>
                  <w:noWrap w:val="0"/>
                  <w:vAlign w:val="center"/>
                </w:tcPr>
                <w:p>
                  <w:pPr>
                    <w:pStyle w:val="18"/>
                    <w:bidi w:val="0"/>
                    <w:spacing w:line="240" w:lineRule="auto"/>
                    <w:rPr>
                      <w:rFonts w:hint="default"/>
                      <w:color w:val="auto"/>
                    </w:rPr>
                  </w:pPr>
                  <w:r>
                    <w:rPr>
                      <w:rFonts w:hint="default"/>
                      <w:color w:val="auto"/>
                    </w:rPr>
                    <w:t>一般</w:t>
                  </w:r>
                  <w:r>
                    <w:rPr>
                      <w:rFonts w:hint="default"/>
                      <w:color w:val="auto"/>
                      <w:lang w:eastAsia="zh-CN"/>
                    </w:rPr>
                    <w:t>工业</w:t>
                  </w:r>
                  <w:r>
                    <w:rPr>
                      <w:rFonts w:hint="default"/>
                      <w:color w:val="auto"/>
                    </w:rPr>
                    <w:t>固废</w:t>
                  </w:r>
                </w:p>
              </w:tc>
              <w:tc>
                <w:tcPr>
                  <w:tcW w:w="657" w:type="pct"/>
                  <w:noWrap w:val="0"/>
                  <w:vAlign w:val="center"/>
                </w:tcPr>
                <w:p>
                  <w:pPr>
                    <w:pStyle w:val="18"/>
                    <w:bidi w:val="0"/>
                    <w:spacing w:line="240" w:lineRule="auto"/>
                    <w:rPr>
                      <w:rFonts w:hint="default"/>
                      <w:color w:val="auto"/>
                      <w:lang w:val="en-US" w:eastAsia="zh-CN"/>
                    </w:rPr>
                  </w:pPr>
                  <w:r>
                    <w:rPr>
                      <w:rFonts w:hint="default"/>
                      <w:color w:val="auto"/>
                      <w:lang w:val="en-US" w:eastAsia="zh-CN"/>
                    </w:rPr>
                    <w:t>—</w:t>
                  </w:r>
                </w:p>
              </w:tc>
              <w:tc>
                <w:tcPr>
                  <w:tcW w:w="1694" w:type="pct"/>
                  <w:vMerge w:val="restart"/>
                  <w:noWrap w:val="0"/>
                  <w:vAlign w:val="center"/>
                </w:tcPr>
                <w:p>
                  <w:pPr>
                    <w:pStyle w:val="18"/>
                    <w:bidi w:val="0"/>
                    <w:spacing w:line="240" w:lineRule="auto"/>
                    <w:rPr>
                      <w:rFonts w:hint="default"/>
                      <w:color w:val="auto"/>
                    </w:rPr>
                  </w:pPr>
                  <w:r>
                    <w:rPr>
                      <w:rFonts w:hint="eastAsia"/>
                      <w:color w:val="auto"/>
                      <w:lang w:eastAsia="zh-CN"/>
                    </w:rPr>
                    <w:t>收集后外售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457" w:type="pct"/>
                  <w:noWrap w:val="0"/>
                  <w:vAlign w:val="center"/>
                </w:tcPr>
                <w:p>
                  <w:pPr>
                    <w:pStyle w:val="18"/>
                    <w:bidi w:val="0"/>
                    <w:spacing w:line="240" w:lineRule="auto"/>
                    <w:rPr>
                      <w:rFonts w:hint="default"/>
                      <w:color w:val="auto"/>
                      <w:lang w:eastAsia="zh-CN"/>
                    </w:rPr>
                  </w:pPr>
                  <w:r>
                    <w:rPr>
                      <w:rFonts w:hint="default"/>
                      <w:color w:val="auto"/>
                      <w:lang w:val="en-US" w:eastAsia="zh-CN"/>
                    </w:rPr>
                    <w:t>2</w:t>
                  </w:r>
                </w:p>
              </w:tc>
              <w:tc>
                <w:tcPr>
                  <w:tcW w:w="858" w:type="pct"/>
                  <w:noWrap w:val="0"/>
                  <w:vAlign w:val="center"/>
                </w:tcPr>
                <w:p>
                  <w:pPr>
                    <w:pStyle w:val="18"/>
                    <w:bidi w:val="0"/>
                    <w:spacing w:line="240" w:lineRule="auto"/>
                    <w:rPr>
                      <w:rFonts w:hint="eastAsia"/>
                      <w:color w:val="auto"/>
                      <w:lang w:eastAsia="zh-CN"/>
                    </w:rPr>
                  </w:pPr>
                  <w:r>
                    <w:rPr>
                      <w:rFonts w:hint="eastAsia"/>
                      <w:color w:val="auto"/>
                      <w:lang w:eastAsia="zh-CN"/>
                    </w:rPr>
                    <w:t>加工粉尘</w:t>
                  </w:r>
                </w:p>
              </w:tc>
              <w:tc>
                <w:tcPr>
                  <w:tcW w:w="695" w:type="pct"/>
                  <w:noWrap w:val="0"/>
                  <w:vAlign w:val="center"/>
                </w:tcPr>
                <w:p>
                  <w:pPr>
                    <w:pStyle w:val="18"/>
                    <w:bidi w:val="0"/>
                    <w:spacing w:line="240" w:lineRule="auto"/>
                    <w:rPr>
                      <w:rFonts w:hint="default"/>
                      <w:color w:val="auto"/>
                      <w:lang w:val="en-US" w:eastAsia="zh-CN"/>
                    </w:rPr>
                  </w:pPr>
                  <w:r>
                    <w:rPr>
                      <w:rFonts w:hint="eastAsia"/>
                      <w:color w:val="auto"/>
                      <w:lang w:val="en-US" w:eastAsia="zh-CN"/>
                    </w:rPr>
                    <w:t>0.036</w:t>
                  </w:r>
                </w:p>
              </w:tc>
              <w:tc>
                <w:tcPr>
                  <w:tcW w:w="637" w:type="pct"/>
                  <w:vMerge w:val="continue"/>
                  <w:noWrap w:val="0"/>
                  <w:vAlign w:val="center"/>
                </w:tcPr>
                <w:p>
                  <w:pPr>
                    <w:pStyle w:val="18"/>
                    <w:bidi w:val="0"/>
                    <w:spacing w:line="240" w:lineRule="auto"/>
                    <w:rPr>
                      <w:rFonts w:hint="default"/>
                      <w:color w:val="auto"/>
                    </w:rPr>
                  </w:pPr>
                </w:p>
              </w:tc>
              <w:tc>
                <w:tcPr>
                  <w:tcW w:w="657" w:type="pct"/>
                  <w:noWrap w:val="0"/>
                  <w:vAlign w:val="center"/>
                </w:tcPr>
                <w:p>
                  <w:pPr>
                    <w:pStyle w:val="18"/>
                    <w:bidi w:val="0"/>
                    <w:spacing w:line="240" w:lineRule="auto"/>
                    <w:rPr>
                      <w:rFonts w:hint="default"/>
                      <w:color w:val="auto"/>
                      <w:lang w:val="en-US" w:eastAsia="zh-CN"/>
                    </w:rPr>
                  </w:pPr>
                  <w:r>
                    <w:rPr>
                      <w:rFonts w:hint="default"/>
                      <w:color w:val="auto"/>
                      <w:lang w:val="en-US" w:eastAsia="zh-CN"/>
                    </w:rPr>
                    <w:t>—</w:t>
                  </w:r>
                </w:p>
              </w:tc>
              <w:tc>
                <w:tcPr>
                  <w:tcW w:w="1694" w:type="pct"/>
                  <w:vMerge w:val="continue"/>
                  <w:noWrap w:val="0"/>
                  <w:vAlign w:val="center"/>
                </w:tcPr>
                <w:p>
                  <w:pPr>
                    <w:pStyle w:val="18"/>
                    <w:bidi w:val="0"/>
                    <w:spacing w:line="240" w:lineRule="auto"/>
                    <w:rPr>
                      <w:rFonts w:hint="default"/>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457" w:type="pct"/>
                  <w:noWrap w:val="0"/>
                  <w:vAlign w:val="center"/>
                </w:tcPr>
                <w:p>
                  <w:pPr>
                    <w:pStyle w:val="18"/>
                    <w:bidi w:val="0"/>
                    <w:spacing w:line="240" w:lineRule="auto"/>
                    <w:rPr>
                      <w:rFonts w:hint="default"/>
                      <w:color w:val="auto"/>
                      <w:lang w:val="en-US" w:eastAsia="zh-CN"/>
                    </w:rPr>
                  </w:pPr>
                  <w:r>
                    <w:rPr>
                      <w:rFonts w:hint="eastAsia"/>
                      <w:color w:val="auto"/>
                      <w:lang w:val="en-US" w:eastAsia="zh-CN"/>
                    </w:rPr>
                    <w:t>3</w:t>
                  </w:r>
                </w:p>
              </w:tc>
              <w:tc>
                <w:tcPr>
                  <w:tcW w:w="858" w:type="pct"/>
                  <w:noWrap w:val="0"/>
                  <w:vAlign w:val="center"/>
                </w:tcPr>
                <w:p>
                  <w:pPr>
                    <w:pStyle w:val="18"/>
                    <w:bidi w:val="0"/>
                    <w:spacing w:line="240" w:lineRule="auto"/>
                    <w:rPr>
                      <w:rFonts w:hint="eastAsia"/>
                      <w:color w:val="auto"/>
                      <w:lang w:eastAsia="zh-CN"/>
                    </w:rPr>
                  </w:pPr>
                  <w:r>
                    <w:rPr>
                      <w:rFonts w:hint="eastAsia"/>
                      <w:color w:val="auto"/>
                      <w:lang w:eastAsia="zh-CN"/>
                    </w:rPr>
                    <w:t>焊渣</w:t>
                  </w:r>
                </w:p>
              </w:tc>
              <w:tc>
                <w:tcPr>
                  <w:tcW w:w="695" w:type="pct"/>
                  <w:noWrap w:val="0"/>
                  <w:vAlign w:val="center"/>
                </w:tcPr>
                <w:p>
                  <w:pPr>
                    <w:pStyle w:val="18"/>
                    <w:bidi w:val="0"/>
                    <w:spacing w:line="240" w:lineRule="auto"/>
                    <w:rPr>
                      <w:rFonts w:hint="default"/>
                      <w:color w:val="auto"/>
                      <w:lang w:val="en-US" w:eastAsia="zh-CN"/>
                    </w:rPr>
                  </w:pPr>
                  <w:r>
                    <w:rPr>
                      <w:rFonts w:hint="eastAsia"/>
                      <w:color w:val="auto"/>
                      <w:lang w:val="en-US" w:eastAsia="zh-CN"/>
                    </w:rPr>
                    <w:t>0.79</w:t>
                  </w:r>
                </w:p>
              </w:tc>
              <w:tc>
                <w:tcPr>
                  <w:tcW w:w="637" w:type="pct"/>
                  <w:vMerge w:val="continue"/>
                  <w:noWrap w:val="0"/>
                  <w:vAlign w:val="center"/>
                </w:tcPr>
                <w:p>
                  <w:pPr>
                    <w:pStyle w:val="18"/>
                    <w:bidi w:val="0"/>
                    <w:spacing w:line="240" w:lineRule="auto"/>
                    <w:rPr>
                      <w:rFonts w:hint="default"/>
                      <w:color w:val="auto"/>
                      <w:lang w:eastAsia="zh-CN"/>
                    </w:rPr>
                  </w:pPr>
                </w:p>
              </w:tc>
              <w:tc>
                <w:tcPr>
                  <w:tcW w:w="657" w:type="pct"/>
                  <w:noWrap w:val="0"/>
                  <w:vAlign w:val="center"/>
                </w:tcPr>
                <w:p>
                  <w:pPr>
                    <w:pStyle w:val="18"/>
                    <w:bidi w:val="0"/>
                    <w:spacing w:line="240" w:lineRule="auto"/>
                    <w:rPr>
                      <w:rFonts w:hint="default"/>
                      <w:color w:val="auto"/>
                      <w:lang w:val="en-US" w:eastAsia="zh-CN"/>
                    </w:rPr>
                  </w:pPr>
                  <w:r>
                    <w:rPr>
                      <w:rFonts w:hint="default"/>
                      <w:color w:val="auto"/>
                      <w:lang w:val="en-US" w:eastAsia="zh-CN"/>
                    </w:rPr>
                    <w:t>—</w:t>
                  </w:r>
                </w:p>
              </w:tc>
              <w:tc>
                <w:tcPr>
                  <w:tcW w:w="1694" w:type="pct"/>
                  <w:vMerge w:val="continue"/>
                  <w:noWrap w:val="0"/>
                  <w:vAlign w:val="center"/>
                </w:tcPr>
                <w:p>
                  <w:pPr>
                    <w:pStyle w:val="18"/>
                    <w:bidi w:val="0"/>
                    <w:spacing w:line="240" w:lineRule="auto"/>
                    <w:rPr>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457" w:type="pct"/>
                  <w:noWrap w:val="0"/>
                  <w:vAlign w:val="center"/>
                </w:tcPr>
                <w:p>
                  <w:pPr>
                    <w:pStyle w:val="18"/>
                    <w:bidi w:val="0"/>
                    <w:spacing w:line="240" w:lineRule="auto"/>
                    <w:rPr>
                      <w:rFonts w:hint="default"/>
                      <w:color w:val="auto"/>
                      <w:lang w:val="en-US" w:eastAsia="zh-CN"/>
                    </w:rPr>
                  </w:pPr>
                  <w:r>
                    <w:rPr>
                      <w:rFonts w:hint="eastAsia"/>
                      <w:color w:val="auto"/>
                      <w:lang w:val="en-US" w:eastAsia="zh-CN"/>
                    </w:rPr>
                    <w:t>4</w:t>
                  </w:r>
                </w:p>
              </w:tc>
              <w:tc>
                <w:tcPr>
                  <w:tcW w:w="858" w:type="pct"/>
                  <w:noWrap w:val="0"/>
                  <w:vAlign w:val="center"/>
                </w:tcPr>
                <w:p>
                  <w:pPr>
                    <w:pStyle w:val="18"/>
                    <w:bidi w:val="0"/>
                    <w:spacing w:line="240" w:lineRule="auto"/>
                    <w:rPr>
                      <w:rFonts w:hint="eastAsia"/>
                      <w:color w:val="auto"/>
                      <w:lang w:eastAsia="zh-CN"/>
                    </w:rPr>
                  </w:pPr>
                  <w:r>
                    <w:rPr>
                      <w:rFonts w:hint="eastAsia"/>
                      <w:color w:val="auto"/>
                      <w:lang w:eastAsia="zh-CN"/>
                    </w:rPr>
                    <w:t>废包装材料</w:t>
                  </w:r>
                </w:p>
              </w:tc>
              <w:tc>
                <w:tcPr>
                  <w:tcW w:w="695" w:type="pct"/>
                  <w:noWrap w:val="0"/>
                  <w:vAlign w:val="center"/>
                </w:tcPr>
                <w:p>
                  <w:pPr>
                    <w:pStyle w:val="18"/>
                    <w:bidi w:val="0"/>
                    <w:spacing w:line="240" w:lineRule="auto"/>
                    <w:rPr>
                      <w:rFonts w:hint="eastAsia"/>
                      <w:color w:val="auto"/>
                      <w:lang w:val="en-US" w:eastAsia="zh-CN"/>
                    </w:rPr>
                  </w:pPr>
                  <w:r>
                    <w:rPr>
                      <w:rFonts w:hint="eastAsia"/>
                      <w:color w:val="auto"/>
                      <w:lang w:val="en-US" w:eastAsia="zh-CN"/>
                    </w:rPr>
                    <w:t>0.2</w:t>
                  </w:r>
                </w:p>
              </w:tc>
              <w:tc>
                <w:tcPr>
                  <w:tcW w:w="637" w:type="pct"/>
                  <w:vMerge w:val="continue"/>
                  <w:noWrap w:val="0"/>
                  <w:vAlign w:val="center"/>
                </w:tcPr>
                <w:p>
                  <w:pPr>
                    <w:pStyle w:val="18"/>
                    <w:bidi w:val="0"/>
                    <w:spacing w:line="240" w:lineRule="auto"/>
                    <w:rPr>
                      <w:rFonts w:hint="default"/>
                      <w:color w:val="auto"/>
                      <w:lang w:eastAsia="zh-CN"/>
                    </w:rPr>
                  </w:pPr>
                </w:p>
              </w:tc>
              <w:tc>
                <w:tcPr>
                  <w:tcW w:w="657" w:type="pct"/>
                  <w:noWrap w:val="0"/>
                  <w:vAlign w:val="center"/>
                </w:tcPr>
                <w:p>
                  <w:pPr>
                    <w:pStyle w:val="18"/>
                    <w:bidi w:val="0"/>
                    <w:spacing w:line="240" w:lineRule="auto"/>
                    <w:rPr>
                      <w:rFonts w:hint="default"/>
                      <w:color w:val="auto"/>
                      <w:lang w:val="en-US" w:eastAsia="zh-CN"/>
                    </w:rPr>
                  </w:pPr>
                  <w:r>
                    <w:rPr>
                      <w:rFonts w:hint="default"/>
                      <w:color w:val="auto"/>
                      <w:lang w:val="en-US" w:eastAsia="zh-CN"/>
                    </w:rPr>
                    <w:t>—</w:t>
                  </w:r>
                </w:p>
              </w:tc>
              <w:tc>
                <w:tcPr>
                  <w:tcW w:w="1694" w:type="pct"/>
                  <w:vMerge w:val="continue"/>
                  <w:noWrap w:val="0"/>
                  <w:vAlign w:val="center"/>
                </w:tcPr>
                <w:p>
                  <w:pPr>
                    <w:pStyle w:val="18"/>
                    <w:bidi w:val="0"/>
                    <w:spacing w:line="240" w:lineRule="auto"/>
                    <w:rPr>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57" w:type="pct"/>
                  <w:noWrap w:val="0"/>
                  <w:vAlign w:val="center"/>
                </w:tcPr>
                <w:p>
                  <w:pPr>
                    <w:pStyle w:val="18"/>
                    <w:bidi w:val="0"/>
                    <w:spacing w:line="240" w:lineRule="auto"/>
                    <w:rPr>
                      <w:rFonts w:hint="default"/>
                      <w:color w:val="auto"/>
                      <w:lang w:val="en-US" w:eastAsia="zh-CN"/>
                    </w:rPr>
                  </w:pPr>
                  <w:r>
                    <w:rPr>
                      <w:rFonts w:hint="eastAsia"/>
                      <w:color w:val="auto"/>
                      <w:lang w:val="en-US" w:eastAsia="zh-CN"/>
                    </w:rPr>
                    <w:t>5</w:t>
                  </w:r>
                </w:p>
              </w:tc>
              <w:tc>
                <w:tcPr>
                  <w:tcW w:w="858" w:type="pct"/>
                  <w:noWrap w:val="0"/>
                  <w:vAlign w:val="center"/>
                </w:tcPr>
                <w:p>
                  <w:pPr>
                    <w:pStyle w:val="18"/>
                    <w:bidi w:val="0"/>
                    <w:spacing w:line="240" w:lineRule="auto"/>
                    <w:rPr>
                      <w:rFonts w:hint="eastAsia"/>
                      <w:color w:val="auto"/>
                      <w:lang w:eastAsia="zh-CN"/>
                    </w:rPr>
                  </w:pPr>
                  <w:r>
                    <w:rPr>
                      <w:rFonts w:hint="eastAsia"/>
                      <w:color w:val="auto"/>
                      <w:lang w:eastAsia="zh-CN"/>
                    </w:rPr>
                    <w:t>生活垃圾</w:t>
                  </w:r>
                </w:p>
              </w:tc>
              <w:tc>
                <w:tcPr>
                  <w:tcW w:w="695" w:type="pct"/>
                  <w:noWrap w:val="0"/>
                  <w:vAlign w:val="center"/>
                </w:tcPr>
                <w:p>
                  <w:pPr>
                    <w:pStyle w:val="18"/>
                    <w:bidi w:val="0"/>
                    <w:spacing w:line="240" w:lineRule="auto"/>
                    <w:rPr>
                      <w:rFonts w:hint="eastAsia"/>
                      <w:color w:val="auto"/>
                      <w:lang w:val="en-US" w:eastAsia="zh-CN"/>
                    </w:rPr>
                  </w:pPr>
                  <w:r>
                    <w:rPr>
                      <w:rFonts w:hint="eastAsia"/>
                      <w:color w:val="auto"/>
                      <w:lang w:val="en-US" w:eastAsia="zh-CN"/>
                    </w:rPr>
                    <w:t>3</w:t>
                  </w:r>
                </w:p>
              </w:tc>
              <w:tc>
                <w:tcPr>
                  <w:tcW w:w="637" w:type="pct"/>
                  <w:noWrap w:val="0"/>
                  <w:vAlign w:val="center"/>
                </w:tcPr>
                <w:p>
                  <w:pPr>
                    <w:pStyle w:val="18"/>
                    <w:bidi w:val="0"/>
                    <w:spacing w:line="240" w:lineRule="auto"/>
                    <w:rPr>
                      <w:rFonts w:hint="default"/>
                      <w:color w:val="auto"/>
                      <w:lang w:eastAsia="zh-CN"/>
                    </w:rPr>
                  </w:pPr>
                  <w:r>
                    <w:rPr>
                      <w:rFonts w:hint="eastAsia"/>
                      <w:color w:val="auto"/>
                      <w:lang w:eastAsia="zh-CN"/>
                    </w:rPr>
                    <w:t>生活垃圾</w:t>
                  </w:r>
                </w:p>
              </w:tc>
              <w:tc>
                <w:tcPr>
                  <w:tcW w:w="657" w:type="pct"/>
                  <w:noWrap w:val="0"/>
                  <w:vAlign w:val="center"/>
                </w:tcPr>
                <w:p>
                  <w:pPr>
                    <w:pStyle w:val="18"/>
                    <w:bidi w:val="0"/>
                    <w:spacing w:line="240" w:lineRule="auto"/>
                    <w:rPr>
                      <w:rFonts w:hint="default"/>
                      <w:color w:val="auto"/>
                      <w:lang w:val="en-US" w:eastAsia="zh-CN"/>
                    </w:rPr>
                  </w:pPr>
                  <w:r>
                    <w:rPr>
                      <w:rFonts w:hint="default"/>
                      <w:color w:val="auto"/>
                      <w:lang w:val="en-US" w:eastAsia="zh-CN"/>
                    </w:rPr>
                    <w:t>—</w:t>
                  </w:r>
                </w:p>
              </w:tc>
              <w:tc>
                <w:tcPr>
                  <w:tcW w:w="1694" w:type="pct"/>
                  <w:noWrap w:val="0"/>
                  <w:vAlign w:val="center"/>
                </w:tcPr>
                <w:p>
                  <w:pPr>
                    <w:pStyle w:val="18"/>
                    <w:bidi w:val="0"/>
                    <w:spacing w:line="240" w:lineRule="auto"/>
                    <w:rPr>
                      <w:rFonts w:hint="default"/>
                      <w:color w:val="auto"/>
                    </w:rPr>
                  </w:pPr>
                  <w:r>
                    <w:rPr>
                      <w:rFonts w:hint="default"/>
                      <w:color w:val="auto"/>
                      <w:lang w:val="en-US" w:eastAsia="zh-CN"/>
                    </w:rPr>
                    <w:t>收集清由环卫部门处理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457" w:type="pct"/>
                  <w:noWrap w:val="0"/>
                  <w:vAlign w:val="center"/>
                </w:tcPr>
                <w:p>
                  <w:pPr>
                    <w:pStyle w:val="18"/>
                    <w:bidi w:val="0"/>
                    <w:spacing w:line="240" w:lineRule="auto"/>
                    <w:rPr>
                      <w:rFonts w:hint="default"/>
                      <w:color w:val="auto"/>
                      <w:lang w:eastAsia="zh-CN"/>
                    </w:rPr>
                  </w:pPr>
                  <w:r>
                    <w:rPr>
                      <w:rFonts w:hint="eastAsia"/>
                      <w:color w:val="auto"/>
                      <w:lang w:val="en-US" w:eastAsia="zh-CN"/>
                    </w:rPr>
                    <w:t>6</w:t>
                  </w:r>
                </w:p>
              </w:tc>
              <w:tc>
                <w:tcPr>
                  <w:tcW w:w="858" w:type="pct"/>
                  <w:noWrap w:val="0"/>
                  <w:vAlign w:val="center"/>
                </w:tcPr>
                <w:p>
                  <w:pPr>
                    <w:pStyle w:val="18"/>
                    <w:bidi w:val="0"/>
                    <w:spacing w:line="240" w:lineRule="auto"/>
                    <w:rPr>
                      <w:rFonts w:hint="default"/>
                      <w:color w:val="auto"/>
                      <w:lang w:eastAsia="zh-CN"/>
                    </w:rPr>
                  </w:pPr>
                  <w:r>
                    <w:rPr>
                      <w:rFonts w:hint="eastAsia"/>
                      <w:color w:val="auto"/>
                      <w:lang w:eastAsia="zh-CN"/>
                    </w:rPr>
                    <w:t>废过滤棉</w:t>
                  </w:r>
                </w:p>
              </w:tc>
              <w:tc>
                <w:tcPr>
                  <w:tcW w:w="695" w:type="pct"/>
                  <w:noWrap w:val="0"/>
                  <w:vAlign w:val="center"/>
                </w:tcPr>
                <w:p>
                  <w:pPr>
                    <w:pStyle w:val="18"/>
                    <w:bidi w:val="0"/>
                    <w:spacing w:line="240" w:lineRule="auto"/>
                    <w:rPr>
                      <w:rFonts w:hint="default"/>
                      <w:color w:val="auto"/>
                      <w:lang w:val="en-US" w:eastAsia="zh-CN"/>
                    </w:rPr>
                  </w:pPr>
                  <w:r>
                    <w:rPr>
                      <w:rFonts w:hint="eastAsia"/>
                      <w:color w:val="auto"/>
                      <w:lang w:val="en-US" w:eastAsia="zh-CN"/>
                    </w:rPr>
                    <w:t>0.264</w:t>
                  </w:r>
                </w:p>
              </w:tc>
              <w:tc>
                <w:tcPr>
                  <w:tcW w:w="637" w:type="pct"/>
                  <w:vMerge w:val="restart"/>
                  <w:noWrap w:val="0"/>
                  <w:vAlign w:val="center"/>
                </w:tcPr>
                <w:p>
                  <w:pPr>
                    <w:pStyle w:val="18"/>
                    <w:bidi w:val="0"/>
                    <w:spacing w:line="240" w:lineRule="auto"/>
                    <w:rPr>
                      <w:rFonts w:hint="default"/>
                      <w:color w:val="auto"/>
                    </w:rPr>
                  </w:pPr>
                  <w:r>
                    <w:rPr>
                      <w:rFonts w:hint="eastAsia"/>
                      <w:color w:val="auto"/>
                      <w:lang w:val="en-US" w:eastAsia="zh-CN"/>
                    </w:rPr>
                    <w:t>危废</w:t>
                  </w:r>
                </w:p>
              </w:tc>
              <w:tc>
                <w:tcPr>
                  <w:tcW w:w="657" w:type="pct"/>
                  <w:tcBorders>
                    <w:bottom w:val="single" w:color="auto" w:sz="6" w:space="0"/>
                  </w:tcBorders>
                  <w:noWrap w:val="0"/>
                  <w:vAlign w:val="center"/>
                </w:tcPr>
                <w:p>
                  <w:pPr>
                    <w:pStyle w:val="18"/>
                    <w:bidi w:val="0"/>
                    <w:spacing w:line="240" w:lineRule="auto"/>
                    <w:rPr>
                      <w:rFonts w:hint="default"/>
                      <w:color w:val="auto"/>
                    </w:rPr>
                  </w:pPr>
                  <w:r>
                    <w:rPr>
                      <w:rFonts w:hint="eastAsia"/>
                      <w:color w:val="auto"/>
                      <w:lang w:val="en-US" w:eastAsia="zh-CN"/>
                    </w:rPr>
                    <w:t>HW06</w:t>
                  </w:r>
                </w:p>
              </w:tc>
              <w:tc>
                <w:tcPr>
                  <w:tcW w:w="1694" w:type="pct"/>
                  <w:noWrap w:val="0"/>
                  <w:vAlign w:val="center"/>
                </w:tcPr>
                <w:p>
                  <w:pPr>
                    <w:pStyle w:val="18"/>
                    <w:bidi w:val="0"/>
                    <w:spacing w:line="240" w:lineRule="auto"/>
                    <w:rPr>
                      <w:rFonts w:hint="default"/>
                      <w:color w:val="auto"/>
                      <w:lang w:eastAsia="zh-CN"/>
                    </w:rPr>
                  </w:pPr>
                  <w:r>
                    <w:rPr>
                      <w:rFonts w:hint="eastAsia"/>
                      <w:color w:val="auto"/>
                      <w:lang w:eastAsia="zh-CN"/>
                    </w:rPr>
                    <w:t>收集后交由有资质的单位进行处理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457" w:type="pct"/>
                  <w:noWrap w:val="0"/>
                  <w:vAlign w:val="center"/>
                </w:tcPr>
                <w:p>
                  <w:pPr>
                    <w:pStyle w:val="18"/>
                    <w:bidi w:val="0"/>
                    <w:spacing w:line="240" w:lineRule="auto"/>
                    <w:rPr>
                      <w:rFonts w:hint="default"/>
                      <w:color w:val="auto"/>
                      <w:lang w:val="en-US" w:eastAsia="zh-CN"/>
                    </w:rPr>
                  </w:pPr>
                  <w:r>
                    <w:rPr>
                      <w:rFonts w:hint="eastAsia"/>
                      <w:color w:val="auto"/>
                      <w:lang w:val="en-US" w:eastAsia="zh-CN"/>
                    </w:rPr>
                    <w:t>7</w:t>
                  </w:r>
                </w:p>
              </w:tc>
              <w:tc>
                <w:tcPr>
                  <w:tcW w:w="858" w:type="pct"/>
                  <w:noWrap w:val="0"/>
                  <w:vAlign w:val="center"/>
                </w:tcPr>
                <w:p>
                  <w:pPr>
                    <w:pStyle w:val="18"/>
                    <w:bidi w:val="0"/>
                    <w:spacing w:line="240" w:lineRule="auto"/>
                    <w:rPr>
                      <w:rFonts w:hint="eastAsia"/>
                      <w:color w:val="auto"/>
                      <w:lang w:eastAsia="zh-CN"/>
                    </w:rPr>
                  </w:pPr>
                  <w:r>
                    <w:rPr>
                      <w:rFonts w:hint="eastAsia"/>
                      <w:color w:val="auto"/>
                      <w:lang w:eastAsia="zh-CN"/>
                    </w:rPr>
                    <w:t>废活性炭</w:t>
                  </w:r>
                </w:p>
              </w:tc>
              <w:tc>
                <w:tcPr>
                  <w:tcW w:w="695" w:type="pct"/>
                  <w:noWrap w:val="0"/>
                  <w:vAlign w:val="center"/>
                </w:tcPr>
                <w:p>
                  <w:pPr>
                    <w:pStyle w:val="18"/>
                    <w:bidi w:val="0"/>
                    <w:spacing w:line="240" w:lineRule="auto"/>
                    <w:rPr>
                      <w:rFonts w:hint="default"/>
                      <w:color w:val="auto"/>
                      <w:lang w:val="en-US" w:eastAsia="zh-CN"/>
                    </w:rPr>
                  </w:pPr>
                  <w:r>
                    <w:rPr>
                      <w:rFonts w:hint="eastAsia"/>
                      <w:color w:val="auto"/>
                      <w:lang w:val="en-US" w:eastAsia="zh-CN"/>
                    </w:rPr>
                    <w:t>0.97</w:t>
                  </w:r>
                </w:p>
              </w:tc>
              <w:tc>
                <w:tcPr>
                  <w:tcW w:w="637" w:type="pct"/>
                  <w:vMerge w:val="continue"/>
                  <w:noWrap w:val="0"/>
                  <w:vAlign w:val="center"/>
                </w:tcPr>
                <w:p>
                  <w:pPr>
                    <w:pStyle w:val="18"/>
                    <w:bidi w:val="0"/>
                    <w:spacing w:line="240" w:lineRule="auto"/>
                    <w:rPr>
                      <w:rFonts w:hint="default"/>
                      <w:color w:val="auto"/>
                    </w:rPr>
                  </w:pPr>
                </w:p>
              </w:tc>
              <w:tc>
                <w:tcPr>
                  <w:tcW w:w="657" w:type="pct"/>
                  <w:tcBorders>
                    <w:bottom w:val="single" w:color="auto" w:sz="6" w:space="0"/>
                  </w:tcBorders>
                  <w:noWrap w:val="0"/>
                  <w:vAlign w:val="center"/>
                </w:tcPr>
                <w:p>
                  <w:pPr>
                    <w:pStyle w:val="18"/>
                    <w:bidi w:val="0"/>
                    <w:spacing w:line="240" w:lineRule="auto"/>
                    <w:ind w:right="0" w:rightChars="0" w:firstLine="0" w:firstLineChars="0"/>
                    <w:rPr>
                      <w:rFonts w:hint="eastAsia"/>
                      <w:color w:val="auto"/>
                      <w:lang w:val="en-US" w:eastAsia="zh-CN"/>
                    </w:rPr>
                  </w:pPr>
                  <w:r>
                    <w:rPr>
                      <w:rFonts w:hint="eastAsia"/>
                      <w:color w:val="auto"/>
                      <w:lang w:val="en-US" w:eastAsia="zh-CN"/>
                    </w:rPr>
                    <w:t>HW06</w:t>
                  </w:r>
                </w:p>
              </w:tc>
              <w:tc>
                <w:tcPr>
                  <w:tcW w:w="1694" w:type="pct"/>
                  <w:noWrap w:val="0"/>
                  <w:vAlign w:val="center"/>
                </w:tcPr>
                <w:p>
                  <w:pPr>
                    <w:pStyle w:val="18"/>
                    <w:bidi w:val="0"/>
                    <w:spacing w:line="240" w:lineRule="auto"/>
                    <w:ind w:right="0" w:rightChars="0" w:firstLine="0" w:firstLineChars="0"/>
                    <w:rPr>
                      <w:rFonts w:hint="eastAsia"/>
                      <w:color w:val="auto"/>
                      <w:lang w:eastAsia="zh-CN"/>
                    </w:rPr>
                  </w:pPr>
                  <w:r>
                    <w:rPr>
                      <w:rFonts w:hint="eastAsia"/>
                      <w:color w:val="auto"/>
                      <w:lang w:eastAsia="zh-CN"/>
                    </w:rPr>
                    <w:t>收集后交由有资质的单位进行处理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457" w:type="pct"/>
                  <w:noWrap w:val="0"/>
                  <w:vAlign w:val="center"/>
                </w:tcPr>
                <w:p>
                  <w:pPr>
                    <w:pStyle w:val="18"/>
                    <w:bidi w:val="0"/>
                    <w:spacing w:line="240" w:lineRule="auto"/>
                    <w:rPr>
                      <w:rFonts w:hint="default"/>
                      <w:color w:val="auto"/>
                      <w:lang w:val="en-US" w:eastAsia="zh-CN"/>
                    </w:rPr>
                  </w:pPr>
                  <w:r>
                    <w:rPr>
                      <w:rFonts w:hint="eastAsia"/>
                      <w:color w:val="auto"/>
                      <w:lang w:val="en-US" w:eastAsia="zh-CN"/>
                    </w:rPr>
                    <w:t>8</w:t>
                  </w:r>
                </w:p>
              </w:tc>
              <w:tc>
                <w:tcPr>
                  <w:tcW w:w="858" w:type="pct"/>
                  <w:noWrap w:val="0"/>
                  <w:vAlign w:val="center"/>
                </w:tcPr>
                <w:p>
                  <w:pPr>
                    <w:pStyle w:val="18"/>
                    <w:bidi w:val="0"/>
                    <w:spacing w:line="240" w:lineRule="auto"/>
                    <w:rPr>
                      <w:rFonts w:hint="default"/>
                      <w:color w:val="auto"/>
                      <w:lang w:eastAsia="zh-CN"/>
                    </w:rPr>
                  </w:pPr>
                  <w:r>
                    <w:rPr>
                      <w:rFonts w:hint="eastAsia"/>
                      <w:color w:val="auto"/>
                      <w:lang w:eastAsia="zh-CN"/>
                    </w:rPr>
                    <w:t>废原料桶</w:t>
                  </w:r>
                </w:p>
              </w:tc>
              <w:tc>
                <w:tcPr>
                  <w:tcW w:w="695" w:type="pct"/>
                  <w:noWrap w:val="0"/>
                  <w:vAlign w:val="center"/>
                </w:tcPr>
                <w:p>
                  <w:pPr>
                    <w:pStyle w:val="18"/>
                    <w:bidi w:val="0"/>
                    <w:spacing w:line="240" w:lineRule="auto"/>
                    <w:rPr>
                      <w:rFonts w:hint="default"/>
                      <w:color w:val="auto"/>
                      <w:lang w:val="en-US" w:eastAsia="zh-CN"/>
                    </w:rPr>
                  </w:pPr>
                  <w:r>
                    <w:rPr>
                      <w:rFonts w:hint="eastAsia"/>
                      <w:color w:val="auto"/>
                      <w:lang w:val="en-US" w:eastAsia="zh-CN"/>
                    </w:rPr>
                    <w:t>0.36</w:t>
                  </w:r>
                </w:p>
              </w:tc>
              <w:tc>
                <w:tcPr>
                  <w:tcW w:w="637" w:type="pct"/>
                  <w:vMerge w:val="continue"/>
                  <w:noWrap w:val="0"/>
                  <w:vAlign w:val="center"/>
                </w:tcPr>
                <w:p>
                  <w:pPr>
                    <w:pStyle w:val="18"/>
                    <w:bidi w:val="0"/>
                    <w:spacing w:line="240" w:lineRule="auto"/>
                    <w:rPr>
                      <w:rFonts w:hint="default"/>
                      <w:color w:val="auto"/>
                    </w:rPr>
                  </w:pPr>
                </w:p>
              </w:tc>
              <w:tc>
                <w:tcPr>
                  <w:tcW w:w="657" w:type="pct"/>
                  <w:tcBorders>
                    <w:bottom w:val="single" w:color="auto" w:sz="6" w:space="0"/>
                  </w:tcBorders>
                  <w:noWrap w:val="0"/>
                  <w:vAlign w:val="center"/>
                </w:tcPr>
                <w:p>
                  <w:pPr>
                    <w:pStyle w:val="18"/>
                    <w:bidi w:val="0"/>
                    <w:spacing w:line="240" w:lineRule="auto"/>
                    <w:rPr>
                      <w:rFonts w:hint="default"/>
                      <w:color w:val="auto"/>
                    </w:rPr>
                  </w:pPr>
                  <w:r>
                    <w:rPr>
                      <w:rFonts w:hint="eastAsia"/>
                      <w:color w:val="auto"/>
                      <w:lang w:eastAsia="zh-CN"/>
                    </w:rPr>
                    <w:t>HW49</w:t>
                  </w:r>
                </w:p>
              </w:tc>
              <w:tc>
                <w:tcPr>
                  <w:tcW w:w="1694" w:type="pct"/>
                  <w:noWrap w:val="0"/>
                  <w:vAlign w:val="center"/>
                </w:tcPr>
                <w:p>
                  <w:pPr>
                    <w:pStyle w:val="18"/>
                    <w:bidi w:val="0"/>
                    <w:spacing w:line="240" w:lineRule="auto"/>
                    <w:rPr>
                      <w:rFonts w:hint="default"/>
                      <w:color w:val="auto"/>
                      <w:lang w:eastAsia="zh-CN"/>
                    </w:rPr>
                  </w:pPr>
                  <w:r>
                    <w:rPr>
                      <w:rFonts w:hint="eastAsia"/>
                      <w:color w:val="auto"/>
                      <w:lang w:eastAsia="zh-CN"/>
                    </w:rPr>
                    <w:t>收集后交由有资质的单位进行处理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457" w:type="pct"/>
                  <w:tcBorders>
                    <w:right w:val="single" w:color="auto" w:sz="6" w:space="0"/>
                  </w:tcBorders>
                  <w:noWrap w:val="0"/>
                  <w:vAlign w:val="center"/>
                </w:tcPr>
                <w:p>
                  <w:pPr>
                    <w:pStyle w:val="18"/>
                    <w:bidi w:val="0"/>
                    <w:spacing w:line="240" w:lineRule="auto"/>
                    <w:rPr>
                      <w:rFonts w:hint="default"/>
                      <w:color w:val="auto"/>
                      <w:lang w:val="en-US" w:eastAsia="zh-CN"/>
                    </w:rPr>
                  </w:pPr>
                  <w:r>
                    <w:rPr>
                      <w:rFonts w:hint="eastAsia"/>
                      <w:color w:val="auto"/>
                      <w:lang w:val="en-US" w:eastAsia="zh-CN"/>
                    </w:rPr>
                    <w:t>9</w:t>
                  </w:r>
                </w:p>
              </w:tc>
              <w:tc>
                <w:tcPr>
                  <w:tcW w:w="858" w:type="pct"/>
                  <w:tcBorders>
                    <w:left w:val="single" w:color="auto" w:sz="6" w:space="0"/>
                  </w:tcBorders>
                  <w:noWrap w:val="0"/>
                  <w:vAlign w:val="center"/>
                </w:tcPr>
                <w:p>
                  <w:pPr>
                    <w:pStyle w:val="18"/>
                    <w:bidi w:val="0"/>
                    <w:spacing w:line="240" w:lineRule="auto"/>
                    <w:rPr>
                      <w:rFonts w:hint="eastAsia"/>
                      <w:color w:val="auto"/>
                      <w:lang w:eastAsia="zh-CN"/>
                    </w:rPr>
                  </w:pPr>
                  <w:r>
                    <w:rPr>
                      <w:rFonts w:hint="eastAsia"/>
                      <w:color w:val="auto"/>
                      <w:lang w:eastAsia="zh-CN"/>
                    </w:rPr>
                    <w:t>废机油</w:t>
                  </w:r>
                </w:p>
              </w:tc>
              <w:tc>
                <w:tcPr>
                  <w:tcW w:w="695" w:type="pct"/>
                  <w:noWrap w:val="0"/>
                  <w:vAlign w:val="center"/>
                </w:tcPr>
                <w:p>
                  <w:pPr>
                    <w:pStyle w:val="18"/>
                    <w:bidi w:val="0"/>
                    <w:spacing w:line="240" w:lineRule="auto"/>
                    <w:rPr>
                      <w:rFonts w:hint="default"/>
                      <w:color w:val="auto"/>
                      <w:lang w:val="en-US" w:eastAsia="zh-CN"/>
                    </w:rPr>
                  </w:pPr>
                  <w:r>
                    <w:rPr>
                      <w:rFonts w:hint="eastAsia"/>
                      <w:color w:val="auto"/>
                      <w:lang w:val="en-US" w:eastAsia="zh-CN"/>
                    </w:rPr>
                    <w:t>0.2</w:t>
                  </w:r>
                </w:p>
              </w:tc>
              <w:tc>
                <w:tcPr>
                  <w:tcW w:w="637" w:type="pct"/>
                  <w:vMerge w:val="continue"/>
                  <w:noWrap w:val="0"/>
                  <w:vAlign w:val="center"/>
                </w:tcPr>
                <w:p>
                  <w:pPr>
                    <w:pStyle w:val="18"/>
                    <w:bidi w:val="0"/>
                    <w:spacing w:line="240" w:lineRule="auto"/>
                    <w:rPr>
                      <w:rFonts w:hint="default"/>
                      <w:color w:val="auto"/>
                    </w:rPr>
                  </w:pPr>
                </w:p>
              </w:tc>
              <w:tc>
                <w:tcPr>
                  <w:tcW w:w="657" w:type="pct"/>
                  <w:tcBorders>
                    <w:top w:val="single" w:color="auto" w:sz="6" w:space="0"/>
                    <w:bottom w:val="single" w:color="auto" w:sz="6" w:space="0"/>
                  </w:tcBorders>
                  <w:noWrap w:val="0"/>
                  <w:vAlign w:val="center"/>
                </w:tcPr>
                <w:p>
                  <w:pPr>
                    <w:pStyle w:val="18"/>
                    <w:bidi w:val="0"/>
                    <w:spacing w:line="240" w:lineRule="auto"/>
                    <w:rPr>
                      <w:rFonts w:hint="default"/>
                      <w:color w:val="auto"/>
                    </w:rPr>
                  </w:pPr>
                  <w:r>
                    <w:rPr>
                      <w:rFonts w:hint="eastAsia"/>
                      <w:color w:val="auto"/>
                      <w:lang w:eastAsia="zh-CN"/>
                    </w:rPr>
                    <w:t>HW08</w:t>
                  </w:r>
                </w:p>
              </w:tc>
              <w:tc>
                <w:tcPr>
                  <w:tcW w:w="1694" w:type="pct"/>
                  <w:tcBorders>
                    <w:top w:val="single" w:color="auto" w:sz="6" w:space="0"/>
                    <w:bottom w:val="single" w:color="auto" w:sz="6" w:space="0"/>
                  </w:tcBorders>
                  <w:noWrap w:val="0"/>
                  <w:vAlign w:val="center"/>
                </w:tcPr>
                <w:p>
                  <w:pPr>
                    <w:pStyle w:val="18"/>
                    <w:bidi w:val="0"/>
                    <w:spacing w:line="240" w:lineRule="auto"/>
                    <w:rPr>
                      <w:rFonts w:hint="default"/>
                      <w:color w:val="auto"/>
                    </w:rPr>
                  </w:pPr>
                  <w:r>
                    <w:rPr>
                      <w:rFonts w:hint="eastAsia"/>
                      <w:color w:val="auto"/>
                      <w:lang w:val="en-US" w:eastAsia="zh-CN"/>
                    </w:rPr>
                    <w:t>收集后作为设备润滑使用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315" w:type="pct"/>
                  <w:gridSpan w:val="2"/>
                  <w:noWrap w:val="0"/>
                  <w:vAlign w:val="center"/>
                </w:tcPr>
                <w:p>
                  <w:pPr>
                    <w:pStyle w:val="18"/>
                    <w:bidi w:val="0"/>
                    <w:spacing w:line="240" w:lineRule="auto"/>
                    <w:rPr>
                      <w:rFonts w:hint="default"/>
                      <w:color w:val="auto"/>
                      <w:lang w:eastAsia="zh-CN"/>
                    </w:rPr>
                  </w:pPr>
                  <w:r>
                    <w:rPr>
                      <w:rFonts w:hint="default"/>
                      <w:color w:val="auto"/>
                      <w:lang w:eastAsia="zh-CN"/>
                    </w:rPr>
                    <w:t>合计</w:t>
                  </w:r>
                </w:p>
              </w:tc>
              <w:tc>
                <w:tcPr>
                  <w:tcW w:w="695" w:type="pct"/>
                  <w:noWrap w:val="0"/>
                  <w:vAlign w:val="center"/>
                </w:tcPr>
                <w:p>
                  <w:pPr>
                    <w:pStyle w:val="18"/>
                    <w:bidi w:val="0"/>
                    <w:spacing w:line="240" w:lineRule="auto"/>
                    <w:rPr>
                      <w:rFonts w:hint="default"/>
                      <w:color w:val="auto"/>
                      <w:lang w:val="en-US" w:eastAsia="zh-CN"/>
                    </w:rPr>
                  </w:pPr>
                  <w:r>
                    <w:rPr>
                      <w:rFonts w:hint="eastAsia"/>
                      <w:color w:val="auto"/>
                      <w:lang w:val="en-US" w:eastAsia="zh-CN"/>
                    </w:rPr>
                    <w:t>35.82</w:t>
                  </w:r>
                </w:p>
              </w:tc>
              <w:tc>
                <w:tcPr>
                  <w:tcW w:w="637" w:type="pct"/>
                  <w:noWrap w:val="0"/>
                  <w:vAlign w:val="center"/>
                </w:tcPr>
                <w:p>
                  <w:pPr>
                    <w:pStyle w:val="18"/>
                    <w:bidi w:val="0"/>
                    <w:spacing w:line="240" w:lineRule="auto"/>
                    <w:rPr>
                      <w:rFonts w:hint="default"/>
                      <w:color w:val="auto"/>
                      <w:lang w:val="en-US" w:eastAsia="zh-CN"/>
                    </w:rPr>
                  </w:pPr>
                  <w:r>
                    <w:rPr>
                      <w:rFonts w:hint="default"/>
                      <w:color w:val="auto"/>
                      <w:lang w:val="en-US" w:eastAsia="zh-CN"/>
                    </w:rPr>
                    <w:t>—</w:t>
                  </w:r>
                </w:p>
              </w:tc>
              <w:tc>
                <w:tcPr>
                  <w:tcW w:w="657" w:type="pct"/>
                  <w:tcBorders>
                    <w:top w:val="single" w:color="auto" w:sz="6" w:space="0"/>
                    <w:bottom w:val="single" w:color="auto" w:sz="6" w:space="0"/>
                  </w:tcBorders>
                  <w:noWrap w:val="0"/>
                  <w:vAlign w:val="center"/>
                </w:tcPr>
                <w:p>
                  <w:pPr>
                    <w:pStyle w:val="18"/>
                    <w:bidi w:val="0"/>
                    <w:spacing w:line="240" w:lineRule="auto"/>
                    <w:rPr>
                      <w:rFonts w:hint="default"/>
                      <w:color w:val="auto"/>
                      <w:lang w:val="en-US" w:eastAsia="zh-CN"/>
                    </w:rPr>
                  </w:pPr>
                  <w:r>
                    <w:rPr>
                      <w:rFonts w:hint="default"/>
                      <w:color w:val="auto"/>
                      <w:lang w:val="en-US" w:eastAsia="zh-CN"/>
                    </w:rPr>
                    <w:t>—</w:t>
                  </w:r>
                </w:p>
              </w:tc>
              <w:tc>
                <w:tcPr>
                  <w:tcW w:w="1694" w:type="pct"/>
                  <w:tcBorders>
                    <w:top w:val="single" w:color="auto" w:sz="6" w:space="0"/>
                    <w:bottom w:val="single" w:color="auto" w:sz="6" w:space="0"/>
                  </w:tcBorders>
                  <w:noWrap w:val="0"/>
                  <w:vAlign w:val="center"/>
                </w:tcPr>
                <w:p>
                  <w:pPr>
                    <w:pStyle w:val="18"/>
                    <w:bidi w:val="0"/>
                    <w:spacing w:line="240" w:lineRule="auto"/>
                    <w:rPr>
                      <w:rFonts w:hint="default"/>
                      <w:color w:val="auto"/>
                      <w:lang w:val="en-US" w:eastAsia="zh-CN"/>
                    </w:rPr>
                  </w:pPr>
                  <w:r>
                    <w:rPr>
                      <w:rFonts w:hint="default"/>
                      <w:color w:val="auto"/>
                      <w:lang w:val="en-US" w:eastAsia="zh-CN"/>
                    </w:rPr>
                    <w:t>100%处置</w:t>
                  </w:r>
                </w:p>
              </w:tc>
            </w:tr>
          </w:tbl>
          <w:p>
            <w:pPr>
              <w:ind w:left="0" w:leftChars="0" w:firstLine="0" w:firstLineChars="0"/>
              <w:rPr>
                <w:rFonts w:hint="default"/>
                <w:color w:val="auto"/>
                <w:lang w:val="en-US" w:eastAsia="zh-CN"/>
              </w:rPr>
            </w:pPr>
          </w:p>
          <w:p>
            <w:pPr>
              <w:pStyle w:val="2"/>
              <w:rPr>
                <w:rFonts w:hint="default"/>
                <w:color w:val="auto"/>
                <w:lang w:val="en-US" w:eastAsia="zh-CN"/>
              </w:rPr>
            </w:pPr>
          </w:p>
          <w:p>
            <w:pPr>
              <w:rPr>
                <w:rFonts w:hint="default"/>
                <w:color w:val="auto"/>
                <w:lang w:val="en-US" w:eastAsia="zh-CN"/>
              </w:rPr>
            </w:pPr>
          </w:p>
          <w:p>
            <w:pPr>
              <w:pStyle w:val="2"/>
              <w:rPr>
                <w:rFonts w:hint="default"/>
                <w:color w:val="auto"/>
                <w:lang w:val="en-US" w:eastAsia="zh-CN"/>
              </w:rPr>
            </w:pPr>
          </w:p>
          <w:p>
            <w:pPr>
              <w:rPr>
                <w:rFonts w:hint="default"/>
                <w:color w:val="auto"/>
                <w:lang w:val="en-US" w:eastAsia="zh-CN"/>
              </w:rPr>
            </w:pPr>
          </w:p>
          <w:p>
            <w:pPr>
              <w:pStyle w:val="2"/>
              <w:rPr>
                <w:rFonts w:hint="default"/>
                <w:color w:val="auto"/>
                <w:lang w:val="en-US" w:eastAsia="zh-CN"/>
              </w:rPr>
            </w:pPr>
          </w:p>
          <w:p>
            <w:pPr>
              <w:pStyle w:val="2"/>
              <w:ind w:left="0" w:leftChars="0" w:firstLine="0" w:firstLineChars="0"/>
              <w:rPr>
                <w:rFonts w:hint="default"/>
                <w:color w:val="auto"/>
                <w:lang w:val="en-US" w:eastAsia="zh-CN"/>
              </w:rPr>
            </w:pPr>
          </w:p>
        </w:tc>
      </w:tr>
    </w:tbl>
    <w:p>
      <w:pPr>
        <w:pStyle w:val="3"/>
        <w:bidi w:val="0"/>
        <w:rPr>
          <w:rFonts w:hint="default"/>
          <w:color w:val="auto"/>
        </w:rPr>
        <w:sectPr>
          <w:footerReference r:id="rId5" w:type="default"/>
          <w:pgSz w:w="11906" w:h="16838"/>
          <w:pgMar w:top="1440" w:right="1800" w:bottom="1440" w:left="1800" w:header="851" w:footer="1361" w:gutter="0"/>
          <w:pgBorders>
            <w:top w:val="none" w:sz="0" w:space="0"/>
            <w:left w:val="none" w:sz="0" w:space="0"/>
            <w:bottom w:val="none" w:sz="0" w:space="0"/>
            <w:right w:val="none" w:sz="0" w:space="0"/>
          </w:pgBorders>
          <w:pgNumType w:fmt="decimal" w:start="1"/>
          <w:cols w:space="720" w:num="1"/>
          <w:docGrid w:type="lines" w:linePitch="312" w:charSpace="0"/>
        </w:sectPr>
      </w:pPr>
      <w:bookmarkStart w:id="75" w:name="_Toc27811"/>
      <w:bookmarkStart w:id="76" w:name="_Toc6614"/>
      <w:bookmarkStart w:id="77" w:name="_Toc6245"/>
      <w:bookmarkStart w:id="78" w:name="_Toc26509"/>
      <w:bookmarkStart w:id="79" w:name="_Toc4688"/>
      <w:bookmarkStart w:id="80" w:name="_Toc8813"/>
      <w:bookmarkStart w:id="81" w:name="_Toc1391"/>
    </w:p>
    <w:p>
      <w:pPr>
        <w:pStyle w:val="3"/>
        <w:bidi w:val="0"/>
        <w:rPr>
          <w:rFonts w:hint="default"/>
          <w:color w:val="auto"/>
        </w:rPr>
      </w:pPr>
      <w:r>
        <w:rPr>
          <w:rFonts w:hint="default"/>
          <w:color w:val="auto"/>
        </w:rPr>
        <w:t>表六</w:t>
      </w:r>
      <w:r>
        <w:rPr>
          <w:rFonts w:hint="default"/>
          <w:color w:val="auto"/>
          <w:lang w:val="en-US" w:eastAsia="zh-CN"/>
        </w:rPr>
        <w:t xml:space="preserve">  </w:t>
      </w:r>
      <w:r>
        <w:rPr>
          <w:rFonts w:hint="default"/>
          <w:color w:val="auto"/>
        </w:rPr>
        <w:t>项目主要污染物产生及预计排放情况</w:t>
      </w:r>
      <w:bookmarkEnd w:id="75"/>
      <w:bookmarkEnd w:id="76"/>
      <w:bookmarkEnd w:id="77"/>
      <w:bookmarkEnd w:id="78"/>
      <w:bookmarkEnd w:id="79"/>
      <w:bookmarkEnd w:id="80"/>
      <w:bookmarkEnd w:id="81"/>
    </w:p>
    <w:tbl>
      <w:tblPr>
        <w:tblStyle w:val="1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383"/>
        <w:gridCol w:w="350"/>
        <w:gridCol w:w="933"/>
        <w:gridCol w:w="1184"/>
        <w:gridCol w:w="1433"/>
        <w:gridCol w:w="1383"/>
        <w:gridCol w:w="1317"/>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dxa"/>
            <w:vMerge w:val="restart"/>
            <w:tcBorders>
              <w:tl2br w:val="single" w:color="auto" w:sz="4" w:space="0"/>
            </w:tcBorders>
            <w:noWrap w:val="0"/>
            <w:vAlign w:val="center"/>
          </w:tcPr>
          <w:p>
            <w:pPr>
              <w:pStyle w:val="18"/>
              <w:bidi w:val="0"/>
              <w:rPr>
                <w:rFonts w:hint="default"/>
                <w:color w:val="auto"/>
              </w:rPr>
            </w:pPr>
            <w:r>
              <w:rPr>
                <w:rFonts w:hint="default"/>
                <w:color w:val="auto"/>
              </w:rPr>
              <w:t>内容</w:t>
            </w:r>
          </w:p>
          <w:p>
            <w:pPr>
              <w:pStyle w:val="18"/>
              <w:bidi w:val="0"/>
              <w:rPr>
                <w:rFonts w:hint="default"/>
                <w:color w:val="auto"/>
              </w:rPr>
            </w:pPr>
            <w:r>
              <w:rPr>
                <w:rFonts w:hint="default"/>
                <w:color w:val="auto"/>
              </w:rPr>
              <w:t>类型</w:t>
            </w:r>
          </w:p>
        </w:tc>
        <w:tc>
          <w:tcPr>
            <w:tcW w:w="1666" w:type="dxa"/>
            <w:gridSpan w:val="3"/>
            <w:vMerge w:val="restart"/>
            <w:noWrap w:val="0"/>
            <w:vAlign w:val="center"/>
          </w:tcPr>
          <w:p>
            <w:pPr>
              <w:pStyle w:val="18"/>
              <w:bidi w:val="0"/>
              <w:rPr>
                <w:rFonts w:hint="default"/>
                <w:color w:val="auto"/>
              </w:rPr>
            </w:pPr>
            <w:r>
              <w:rPr>
                <w:rFonts w:hint="default"/>
                <w:color w:val="auto"/>
              </w:rPr>
              <w:t>排放源</w:t>
            </w:r>
          </w:p>
        </w:tc>
        <w:tc>
          <w:tcPr>
            <w:tcW w:w="1184" w:type="dxa"/>
            <w:vMerge w:val="restart"/>
            <w:noWrap w:val="0"/>
            <w:vAlign w:val="center"/>
          </w:tcPr>
          <w:p>
            <w:pPr>
              <w:pStyle w:val="18"/>
              <w:bidi w:val="0"/>
              <w:rPr>
                <w:rFonts w:hint="default"/>
                <w:color w:val="auto"/>
              </w:rPr>
            </w:pPr>
            <w:r>
              <w:rPr>
                <w:rFonts w:hint="default"/>
                <w:color w:val="auto"/>
              </w:rPr>
              <w:t>污染物名称</w:t>
            </w:r>
          </w:p>
        </w:tc>
        <w:tc>
          <w:tcPr>
            <w:tcW w:w="2816" w:type="dxa"/>
            <w:gridSpan w:val="2"/>
            <w:noWrap w:val="0"/>
            <w:vAlign w:val="center"/>
          </w:tcPr>
          <w:p>
            <w:pPr>
              <w:pStyle w:val="18"/>
              <w:bidi w:val="0"/>
              <w:rPr>
                <w:rFonts w:hint="default"/>
                <w:color w:val="auto"/>
              </w:rPr>
            </w:pPr>
            <w:r>
              <w:rPr>
                <w:rFonts w:hint="default"/>
                <w:color w:val="auto"/>
              </w:rPr>
              <w:t>处理前</w:t>
            </w:r>
          </w:p>
        </w:tc>
        <w:tc>
          <w:tcPr>
            <w:tcW w:w="2635" w:type="dxa"/>
            <w:gridSpan w:val="2"/>
            <w:noWrap w:val="0"/>
            <w:vAlign w:val="center"/>
          </w:tcPr>
          <w:p>
            <w:pPr>
              <w:pStyle w:val="18"/>
              <w:bidi w:val="0"/>
              <w:rPr>
                <w:rFonts w:hint="default"/>
                <w:color w:val="auto"/>
              </w:rPr>
            </w:pPr>
            <w:r>
              <w:rPr>
                <w:rFonts w:hint="default"/>
                <w:color w:val="auto"/>
              </w:rPr>
              <w:t>处理后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770" w:type="dxa"/>
            <w:vMerge w:val="continue"/>
            <w:noWrap w:val="0"/>
            <w:vAlign w:val="center"/>
          </w:tcPr>
          <w:p>
            <w:pPr>
              <w:pStyle w:val="18"/>
              <w:bidi w:val="0"/>
              <w:rPr>
                <w:rFonts w:hint="default"/>
                <w:color w:val="auto"/>
              </w:rPr>
            </w:pPr>
          </w:p>
        </w:tc>
        <w:tc>
          <w:tcPr>
            <w:tcW w:w="1666" w:type="dxa"/>
            <w:gridSpan w:val="3"/>
            <w:vMerge w:val="continue"/>
            <w:noWrap w:val="0"/>
            <w:vAlign w:val="center"/>
          </w:tcPr>
          <w:p>
            <w:pPr>
              <w:pStyle w:val="18"/>
              <w:bidi w:val="0"/>
              <w:rPr>
                <w:rFonts w:hint="default"/>
                <w:color w:val="auto"/>
              </w:rPr>
            </w:pPr>
          </w:p>
        </w:tc>
        <w:tc>
          <w:tcPr>
            <w:tcW w:w="1184" w:type="dxa"/>
            <w:vMerge w:val="continue"/>
            <w:noWrap w:val="0"/>
            <w:vAlign w:val="center"/>
          </w:tcPr>
          <w:p>
            <w:pPr>
              <w:pStyle w:val="18"/>
              <w:bidi w:val="0"/>
              <w:rPr>
                <w:rFonts w:hint="default"/>
                <w:color w:val="auto"/>
              </w:rPr>
            </w:pPr>
          </w:p>
        </w:tc>
        <w:tc>
          <w:tcPr>
            <w:tcW w:w="1433" w:type="dxa"/>
            <w:noWrap w:val="0"/>
            <w:vAlign w:val="center"/>
          </w:tcPr>
          <w:p>
            <w:pPr>
              <w:pStyle w:val="18"/>
              <w:bidi w:val="0"/>
              <w:rPr>
                <w:rFonts w:hint="default"/>
                <w:color w:val="auto"/>
              </w:rPr>
            </w:pPr>
            <w:r>
              <w:rPr>
                <w:rFonts w:hint="default"/>
                <w:color w:val="auto"/>
              </w:rPr>
              <w:t>浓度</w:t>
            </w:r>
          </w:p>
        </w:tc>
        <w:tc>
          <w:tcPr>
            <w:tcW w:w="1383" w:type="dxa"/>
            <w:noWrap w:val="0"/>
            <w:vAlign w:val="center"/>
          </w:tcPr>
          <w:p>
            <w:pPr>
              <w:pStyle w:val="18"/>
              <w:bidi w:val="0"/>
              <w:rPr>
                <w:rFonts w:hint="default"/>
                <w:color w:val="auto"/>
              </w:rPr>
            </w:pPr>
            <w:r>
              <w:rPr>
                <w:rFonts w:hint="default"/>
                <w:color w:val="auto"/>
              </w:rPr>
              <w:t>产生量</w:t>
            </w:r>
          </w:p>
        </w:tc>
        <w:tc>
          <w:tcPr>
            <w:tcW w:w="1317" w:type="dxa"/>
            <w:noWrap w:val="0"/>
            <w:vAlign w:val="center"/>
          </w:tcPr>
          <w:p>
            <w:pPr>
              <w:pStyle w:val="18"/>
              <w:bidi w:val="0"/>
              <w:rPr>
                <w:rFonts w:hint="default"/>
                <w:color w:val="auto"/>
              </w:rPr>
            </w:pPr>
            <w:r>
              <w:rPr>
                <w:rFonts w:hint="default"/>
                <w:color w:val="auto"/>
              </w:rPr>
              <w:t>浓度</w:t>
            </w:r>
          </w:p>
        </w:tc>
        <w:tc>
          <w:tcPr>
            <w:tcW w:w="1318" w:type="dxa"/>
            <w:noWrap w:val="0"/>
            <w:vAlign w:val="center"/>
          </w:tcPr>
          <w:p>
            <w:pPr>
              <w:pStyle w:val="18"/>
              <w:bidi w:val="0"/>
              <w:rPr>
                <w:rFonts w:hint="default"/>
                <w:color w:val="auto"/>
              </w:rPr>
            </w:pPr>
            <w:r>
              <w:rPr>
                <w:rFonts w:hint="default"/>
                <w:color w:val="auto"/>
              </w:rPr>
              <w:t>排放量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70" w:type="dxa"/>
            <w:vMerge w:val="restart"/>
            <w:noWrap w:val="0"/>
            <w:vAlign w:val="center"/>
          </w:tcPr>
          <w:p>
            <w:pPr>
              <w:pStyle w:val="18"/>
              <w:bidi w:val="0"/>
              <w:rPr>
                <w:rFonts w:hint="default"/>
                <w:color w:val="auto"/>
              </w:rPr>
            </w:pPr>
            <w:r>
              <w:rPr>
                <w:rFonts w:hint="default"/>
                <w:color w:val="auto"/>
              </w:rPr>
              <w:t>大</w:t>
            </w:r>
          </w:p>
          <w:p>
            <w:pPr>
              <w:pStyle w:val="18"/>
              <w:bidi w:val="0"/>
              <w:rPr>
                <w:rFonts w:hint="default"/>
                <w:color w:val="auto"/>
              </w:rPr>
            </w:pPr>
            <w:r>
              <w:rPr>
                <w:rFonts w:hint="default"/>
                <w:color w:val="auto"/>
              </w:rPr>
              <w:t>气</w:t>
            </w:r>
          </w:p>
          <w:p>
            <w:pPr>
              <w:pStyle w:val="18"/>
              <w:bidi w:val="0"/>
              <w:rPr>
                <w:rFonts w:hint="default"/>
                <w:color w:val="auto"/>
              </w:rPr>
            </w:pPr>
            <w:r>
              <w:rPr>
                <w:rFonts w:hint="default"/>
                <w:color w:val="auto"/>
              </w:rPr>
              <w:t>污</w:t>
            </w:r>
          </w:p>
          <w:p>
            <w:pPr>
              <w:pStyle w:val="18"/>
              <w:bidi w:val="0"/>
              <w:rPr>
                <w:rFonts w:hint="default"/>
                <w:color w:val="auto"/>
              </w:rPr>
            </w:pPr>
            <w:r>
              <w:rPr>
                <w:rFonts w:hint="default"/>
                <w:color w:val="auto"/>
              </w:rPr>
              <w:t>染</w:t>
            </w:r>
          </w:p>
          <w:p>
            <w:pPr>
              <w:pStyle w:val="18"/>
              <w:bidi w:val="0"/>
              <w:rPr>
                <w:rFonts w:hint="default"/>
                <w:color w:val="auto"/>
              </w:rPr>
            </w:pPr>
            <w:r>
              <w:rPr>
                <w:rFonts w:hint="default"/>
                <w:color w:val="auto"/>
              </w:rPr>
              <w:t>物</w:t>
            </w:r>
          </w:p>
        </w:tc>
        <w:tc>
          <w:tcPr>
            <w:tcW w:w="1666" w:type="dxa"/>
            <w:gridSpan w:val="3"/>
            <w:noWrap w:val="0"/>
            <w:vAlign w:val="center"/>
          </w:tcPr>
          <w:p>
            <w:pPr>
              <w:pStyle w:val="18"/>
              <w:bidi w:val="0"/>
              <w:rPr>
                <w:rFonts w:hint="default"/>
                <w:color w:val="auto"/>
              </w:rPr>
            </w:pPr>
            <w:r>
              <w:rPr>
                <w:rFonts w:hint="default"/>
                <w:color w:val="auto"/>
                <w:lang w:eastAsia="zh-CN"/>
              </w:rPr>
              <w:t>施工期</w:t>
            </w:r>
          </w:p>
        </w:tc>
        <w:tc>
          <w:tcPr>
            <w:tcW w:w="1184" w:type="dxa"/>
            <w:noWrap w:val="0"/>
            <w:vAlign w:val="center"/>
          </w:tcPr>
          <w:p>
            <w:pPr>
              <w:pStyle w:val="18"/>
              <w:bidi w:val="0"/>
              <w:rPr>
                <w:rFonts w:hint="default"/>
                <w:color w:val="auto"/>
              </w:rPr>
            </w:pPr>
            <w:r>
              <w:rPr>
                <w:rFonts w:hint="default"/>
                <w:color w:val="auto"/>
              </w:rPr>
              <w:t>粉尘</w:t>
            </w:r>
            <w:r>
              <w:rPr>
                <w:rFonts w:hint="default"/>
                <w:color w:val="auto"/>
                <w:lang w:eastAsia="zh-CN"/>
              </w:rPr>
              <w:t>、装修废气</w:t>
            </w:r>
          </w:p>
        </w:tc>
        <w:tc>
          <w:tcPr>
            <w:tcW w:w="1433" w:type="dxa"/>
            <w:noWrap w:val="0"/>
            <w:vAlign w:val="center"/>
          </w:tcPr>
          <w:p>
            <w:pPr>
              <w:pStyle w:val="18"/>
              <w:bidi w:val="0"/>
              <w:rPr>
                <w:rFonts w:hint="default"/>
                <w:color w:val="auto"/>
              </w:rPr>
            </w:pPr>
            <w:r>
              <w:rPr>
                <w:rFonts w:hint="default"/>
                <w:color w:val="auto"/>
              </w:rPr>
              <w:t>少量</w:t>
            </w:r>
          </w:p>
        </w:tc>
        <w:tc>
          <w:tcPr>
            <w:tcW w:w="1383" w:type="dxa"/>
            <w:noWrap w:val="0"/>
            <w:vAlign w:val="center"/>
          </w:tcPr>
          <w:p>
            <w:pPr>
              <w:pStyle w:val="18"/>
              <w:bidi w:val="0"/>
              <w:rPr>
                <w:rFonts w:hint="default"/>
                <w:color w:val="auto"/>
                <w:lang w:val="en-US" w:eastAsia="zh-CN"/>
              </w:rPr>
            </w:pPr>
            <w:r>
              <w:rPr>
                <w:rFonts w:hint="default"/>
                <w:color w:val="auto"/>
                <w:lang w:val="en-US" w:eastAsia="zh-CN"/>
              </w:rPr>
              <w:t>/</w:t>
            </w:r>
          </w:p>
        </w:tc>
        <w:tc>
          <w:tcPr>
            <w:tcW w:w="1317" w:type="dxa"/>
            <w:noWrap w:val="0"/>
            <w:vAlign w:val="center"/>
          </w:tcPr>
          <w:p>
            <w:pPr>
              <w:pStyle w:val="18"/>
              <w:bidi w:val="0"/>
              <w:rPr>
                <w:rFonts w:hint="default"/>
                <w:color w:val="auto"/>
              </w:rPr>
            </w:pPr>
            <w:r>
              <w:rPr>
                <w:rFonts w:hint="default"/>
                <w:color w:val="auto"/>
                <w:lang w:val="en-US" w:eastAsia="zh-CN"/>
              </w:rPr>
              <w:t>/</w:t>
            </w:r>
          </w:p>
        </w:tc>
        <w:tc>
          <w:tcPr>
            <w:tcW w:w="1318" w:type="dxa"/>
            <w:noWrap w:val="0"/>
            <w:vAlign w:val="center"/>
          </w:tcPr>
          <w:p>
            <w:pPr>
              <w:pStyle w:val="18"/>
              <w:bidi w:val="0"/>
              <w:rPr>
                <w:rFonts w:hint="default"/>
                <w:color w:val="auto"/>
                <w:lang w:val="en-US" w:eastAsia="zh-CN"/>
              </w:rPr>
            </w:pPr>
            <w:r>
              <w:rPr>
                <w:rFonts w:hint="default"/>
                <w:color w:val="auto"/>
              </w:rPr>
              <w:t>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dxa"/>
            <w:vMerge w:val="continue"/>
            <w:noWrap w:val="0"/>
            <w:vAlign w:val="center"/>
          </w:tcPr>
          <w:p>
            <w:pPr>
              <w:pStyle w:val="18"/>
              <w:bidi w:val="0"/>
              <w:rPr>
                <w:rFonts w:hint="default"/>
                <w:color w:val="auto"/>
              </w:rPr>
            </w:pPr>
          </w:p>
        </w:tc>
        <w:tc>
          <w:tcPr>
            <w:tcW w:w="383" w:type="dxa"/>
            <w:vMerge w:val="restart"/>
            <w:noWrap w:val="0"/>
            <w:vAlign w:val="center"/>
          </w:tcPr>
          <w:p>
            <w:pPr>
              <w:pStyle w:val="18"/>
              <w:bidi w:val="0"/>
              <w:rPr>
                <w:rFonts w:hint="eastAsia"/>
                <w:color w:val="auto"/>
                <w:lang w:eastAsia="zh-CN"/>
              </w:rPr>
            </w:pPr>
            <w:r>
              <w:rPr>
                <w:rFonts w:hint="eastAsia"/>
                <w:color w:val="auto"/>
                <w:lang w:eastAsia="zh-CN"/>
              </w:rPr>
              <w:t>运营期</w:t>
            </w:r>
          </w:p>
        </w:tc>
        <w:tc>
          <w:tcPr>
            <w:tcW w:w="350" w:type="dxa"/>
            <w:vMerge w:val="restart"/>
            <w:noWrap w:val="0"/>
            <w:vAlign w:val="center"/>
          </w:tcPr>
          <w:p>
            <w:pPr>
              <w:pStyle w:val="18"/>
              <w:bidi w:val="0"/>
              <w:rPr>
                <w:rFonts w:hint="default"/>
                <w:color w:val="auto"/>
                <w:lang w:eastAsia="zh-CN"/>
              </w:rPr>
            </w:pPr>
            <w:r>
              <w:rPr>
                <w:rFonts w:hint="eastAsia"/>
                <w:color w:val="auto"/>
                <w:lang w:eastAsia="zh-CN"/>
              </w:rPr>
              <w:t>有组织</w:t>
            </w:r>
          </w:p>
        </w:tc>
        <w:tc>
          <w:tcPr>
            <w:tcW w:w="933" w:type="dxa"/>
            <w:vMerge w:val="restart"/>
            <w:noWrap w:val="0"/>
            <w:vAlign w:val="center"/>
          </w:tcPr>
          <w:p>
            <w:pPr>
              <w:pStyle w:val="18"/>
              <w:bidi w:val="0"/>
              <w:rPr>
                <w:rFonts w:hint="eastAsia"/>
                <w:color w:val="auto"/>
                <w:lang w:eastAsia="zh-CN"/>
              </w:rPr>
            </w:pPr>
            <w:r>
              <w:rPr>
                <w:rFonts w:hint="eastAsia"/>
                <w:color w:val="auto"/>
                <w:lang w:eastAsia="zh-CN"/>
              </w:rPr>
              <w:t>调漆、喷漆、晾干</w:t>
            </w:r>
          </w:p>
        </w:tc>
        <w:tc>
          <w:tcPr>
            <w:tcW w:w="1184" w:type="dxa"/>
            <w:noWrap w:val="0"/>
            <w:vAlign w:val="center"/>
          </w:tcPr>
          <w:p>
            <w:pPr>
              <w:pStyle w:val="18"/>
              <w:bidi w:val="0"/>
              <w:rPr>
                <w:rFonts w:hint="default"/>
                <w:color w:val="auto"/>
                <w:lang w:eastAsia="zh-CN"/>
              </w:rPr>
            </w:pPr>
            <w:r>
              <w:rPr>
                <w:rFonts w:hint="eastAsia"/>
                <w:color w:val="auto"/>
                <w:lang w:eastAsia="zh-CN"/>
              </w:rPr>
              <w:t>废气</w:t>
            </w:r>
          </w:p>
        </w:tc>
        <w:tc>
          <w:tcPr>
            <w:tcW w:w="1433" w:type="dxa"/>
            <w:noWrap w:val="0"/>
            <w:vAlign w:val="center"/>
          </w:tcPr>
          <w:p>
            <w:pPr>
              <w:pStyle w:val="18"/>
              <w:bidi w:val="0"/>
              <w:rPr>
                <w:rFonts w:hint="default"/>
                <w:color w:val="auto"/>
                <w:lang w:val="en-US" w:eastAsia="zh-CN"/>
              </w:rPr>
            </w:pPr>
            <w:r>
              <w:rPr>
                <w:rFonts w:hint="eastAsia"/>
                <w:color w:val="auto"/>
                <w:lang w:val="en-US" w:eastAsia="zh-CN"/>
              </w:rPr>
              <w:t>--</w:t>
            </w:r>
          </w:p>
        </w:tc>
        <w:tc>
          <w:tcPr>
            <w:tcW w:w="1383" w:type="dxa"/>
            <w:noWrap w:val="0"/>
            <w:vAlign w:val="center"/>
          </w:tcPr>
          <w:p>
            <w:pPr>
              <w:pStyle w:val="18"/>
              <w:bidi w:val="0"/>
              <w:rPr>
                <w:rFonts w:hint="default"/>
                <w:color w:val="auto"/>
                <w:lang w:val="en-US" w:eastAsia="zh-CN"/>
              </w:rPr>
            </w:pPr>
            <w:r>
              <w:rPr>
                <w:rFonts w:hint="eastAsia"/>
                <w:color w:val="auto"/>
                <w:lang w:val="en-US" w:eastAsia="zh-CN"/>
              </w:rPr>
              <w:t>360万m</w:t>
            </w:r>
            <w:r>
              <w:rPr>
                <w:rFonts w:hint="eastAsia"/>
                <w:color w:val="auto"/>
                <w:vertAlign w:val="superscript"/>
                <w:lang w:val="en-US" w:eastAsia="zh-CN"/>
              </w:rPr>
              <w:t>3</w:t>
            </w:r>
            <w:r>
              <w:rPr>
                <w:rFonts w:hint="eastAsia"/>
                <w:color w:val="auto"/>
                <w:lang w:val="en-US" w:eastAsia="zh-CN"/>
              </w:rPr>
              <w:t>/a</w:t>
            </w:r>
          </w:p>
        </w:tc>
        <w:tc>
          <w:tcPr>
            <w:tcW w:w="1317" w:type="dxa"/>
            <w:noWrap w:val="0"/>
            <w:vAlign w:val="center"/>
          </w:tcPr>
          <w:p>
            <w:pPr>
              <w:pStyle w:val="18"/>
              <w:bidi w:val="0"/>
              <w:rPr>
                <w:rFonts w:hint="default"/>
                <w:color w:val="auto"/>
                <w:lang w:val="en-US" w:eastAsia="zh-CN"/>
              </w:rPr>
            </w:pPr>
            <w:r>
              <w:rPr>
                <w:rFonts w:hint="eastAsia"/>
                <w:color w:val="auto"/>
                <w:lang w:val="en-US" w:eastAsia="zh-CN"/>
              </w:rPr>
              <w:t>--</w:t>
            </w:r>
          </w:p>
        </w:tc>
        <w:tc>
          <w:tcPr>
            <w:tcW w:w="1318" w:type="dxa"/>
            <w:noWrap w:val="0"/>
            <w:vAlign w:val="center"/>
          </w:tcPr>
          <w:p>
            <w:pPr>
              <w:pStyle w:val="18"/>
              <w:bidi w:val="0"/>
              <w:rPr>
                <w:rFonts w:hint="default"/>
                <w:color w:val="auto"/>
                <w:lang w:val="en-US" w:eastAsia="zh-CN"/>
              </w:rPr>
            </w:pPr>
            <w:r>
              <w:rPr>
                <w:rFonts w:hint="eastAsia"/>
                <w:color w:val="auto"/>
                <w:lang w:val="en-US" w:eastAsia="zh-CN"/>
              </w:rPr>
              <w:t>360万m</w:t>
            </w:r>
            <w:r>
              <w:rPr>
                <w:rFonts w:hint="eastAsia"/>
                <w:color w:val="auto"/>
                <w:vertAlign w:val="superscript"/>
                <w:lang w:val="en-US" w:eastAsia="zh-CN"/>
              </w:rPr>
              <w:t>3</w:t>
            </w:r>
            <w:r>
              <w:rPr>
                <w:rFonts w:hint="eastAsia"/>
                <w:color w:val="auto"/>
                <w:lang w:val="en-US" w:eastAsia="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dxa"/>
            <w:vMerge w:val="continue"/>
            <w:noWrap w:val="0"/>
            <w:vAlign w:val="center"/>
          </w:tcPr>
          <w:p>
            <w:pPr>
              <w:pStyle w:val="18"/>
              <w:bidi w:val="0"/>
              <w:rPr>
                <w:rFonts w:hint="default"/>
                <w:color w:val="auto"/>
              </w:rPr>
            </w:pPr>
          </w:p>
        </w:tc>
        <w:tc>
          <w:tcPr>
            <w:tcW w:w="383" w:type="dxa"/>
            <w:vMerge w:val="continue"/>
            <w:noWrap w:val="0"/>
            <w:vAlign w:val="center"/>
          </w:tcPr>
          <w:p>
            <w:pPr>
              <w:pStyle w:val="18"/>
              <w:bidi w:val="0"/>
              <w:rPr>
                <w:rFonts w:hint="default"/>
                <w:color w:val="auto"/>
              </w:rPr>
            </w:pPr>
          </w:p>
        </w:tc>
        <w:tc>
          <w:tcPr>
            <w:tcW w:w="350" w:type="dxa"/>
            <w:vMerge w:val="continue"/>
            <w:noWrap w:val="0"/>
            <w:vAlign w:val="center"/>
          </w:tcPr>
          <w:p>
            <w:pPr>
              <w:pStyle w:val="18"/>
              <w:bidi w:val="0"/>
              <w:rPr>
                <w:rFonts w:hint="eastAsia"/>
                <w:color w:val="auto"/>
                <w:lang w:eastAsia="zh-CN"/>
              </w:rPr>
            </w:pPr>
          </w:p>
        </w:tc>
        <w:tc>
          <w:tcPr>
            <w:tcW w:w="933" w:type="dxa"/>
            <w:vMerge w:val="continue"/>
            <w:noWrap w:val="0"/>
            <w:vAlign w:val="center"/>
          </w:tcPr>
          <w:p>
            <w:pPr>
              <w:pStyle w:val="18"/>
              <w:bidi w:val="0"/>
              <w:rPr>
                <w:rFonts w:hint="eastAsia"/>
                <w:color w:val="auto"/>
                <w:lang w:eastAsia="zh-CN"/>
              </w:rPr>
            </w:pPr>
          </w:p>
        </w:tc>
        <w:tc>
          <w:tcPr>
            <w:tcW w:w="1184" w:type="dxa"/>
            <w:noWrap w:val="0"/>
            <w:vAlign w:val="center"/>
          </w:tcPr>
          <w:p>
            <w:pPr>
              <w:pStyle w:val="18"/>
              <w:bidi w:val="0"/>
              <w:rPr>
                <w:rFonts w:hint="default"/>
                <w:color w:val="auto"/>
                <w:lang w:eastAsia="zh-CN"/>
              </w:rPr>
            </w:pPr>
            <w:r>
              <w:rPr>
                <w:rFonts w:hint="eastAsia"/>
                <w:color w:val="auto"/>
                <w:lang w:eastAsia="zh-CN"/>
              </w:rPr>
              <w:t>挥发性有机物</w:t>
            </w:r>
          </w:p>
        </w:tc>
        <w:tc>
          <w:tcPr>
            <w:tcW w:w="1433" w:type="dxa"/>
            <w:noWrap w:val="0"/>
            <w:vAlign w:val="center"/>
          </w:tcPr>
          <w:p>
            <w:pPr>
              <w:pStyle w:val="18"/>
              <w:bidi w:val="0"/>
              <w:rPr>
                <w:rFonts w:hint="eastAsia"/>
                <w:color w:val="auto"/>
                <w:lang w:val="en-US" w:eastAsia="zh-CN"/>
              </w:rPr>
            </w:pPr>
            <w:r>
              <w:rPr>
                <w:rFonts w:hint="eastAsia"/>
                <w:color w:val="auto"/>
                <w:lang w:val="en-US" w:eastAsia="zh-CN"/>
              </w:rPr>
              <w:t>26.67</w:t>
            </w:r>
            <w:r>
              <w:rPr>
                <w:rFonts w:hint="default"/>
                <w:color w:val="auto"/>
                <w:lang w:val="en-US" w:eastAsia="zh-CN"/>
              </w:rPr>
              <w:t>mg/m</w:t>
            </w:r>
            <w:r>
              <w:rPr>
                <w:rFonts w:hint="default"/>
                <w:color w:val="auto"/>
                <w:vertAlign w:val="superscript"/>
                <w:lang w:val="en-US" w:eastAsia="zh-CN"/>
              </w:rPr>
              <w:t>3</w:t>
            </w:r>
          </w:p>
        </w:tc>
        <w:tc>
          <w:tcPr>
            <w:tcW w:w="1383" w:type="dxa"/>
            <w:noWrap w:val="0"/>
            <w:vAlign w:val="center"/>
          </w:tcPr>
          <w:p>
            <w:pPr>
              <w:pStyle w:val="18"/>
              <w:bidi w:val="0"/>
              <w:rPr>
                <w:rFonts w:hint="eastAsia"/>
                <w:color w:val="auto"/>
                <w:lang w:val="en-US" w:eastAsia="zh-CN"/>
              </w:rPr>
            </w:pPr>
            <w:r>
              <w:rPr>
                <w:rFonts w:hint="eastAsia"/>
                <w:color w:val="auto"/>
                <w:lang w:val="en-US" w:eastAsia="zh-CN"/>
              </w:rPr>
              <w:t>0.216t/a</w:t>
            </w:r>
          </w:p>
        </w:tc>
        <w:tc>
          <w:tcPr>
            <w:tcW w:w="1317" w:type="dxa"/>
            <w:noWrap w:val="0"/>
            <w:vAlign w:val="center"/>
          </w:tcPr>
          <w:p>
            <w:pPr>
              <w:pStyle w:val="18"/>
              <w:bidi w:val="0"/>
              <w:rPr>
                <w:rFonts w:hint="eastAsia"/>
                <w:color w:val="auto"/>
                <w:lang w:val="en-US" w:eastAsia="zh-CN"/>
              </w:rPr>
            </w:pPr>
            <w:r>
              <w:rPr>
                <w:rFonts w:hint="eastAsia"/>
                <w:color w:val="auto"/>
                <w:lang w:val="en-US" w:eastAsia="zh-CN"/>
              </w:rPr>
              <w:t>2.72</w:t>
            </w:r>
            <w:r>
              <w:rPr>
                <w:rFonts w:hint="default"/>
                <w:color w:val="auto"/>
                <w:lang w:val="en-US" w:eastAsia="zh-CN"/>
              </w:rPr>
              <w:t>mg/m</w:t>
            </w:r>
            <w:r>
              <w:rPr>
                <w:rFonts w:hint="default"/>
                <w:color w:val="auto"/>
                <w:vertAlign w:val="superscript"/>
                <w:lang w:val="en-US" w:eastAsia="zh-CN"/>
              </w:rPr>
              <w:t>3</w:t>
            </w:r>
          </w:p>
        </w:tc>
        <w:tc>
          <w:tcPr>
            <w:tcW w:w="1318" w:type="dxa"/>
            <w:noWrap w:val="0"/>
            <w:vAlign w:val="center"/>
          </w:tcPr>
          <w:p>
            <w:pPr>
              <w:pStyle w:val="18"/>
              <w:bidi w:val="0"/>
              <w:rPr>
                <w:rFonts w:hint="eastAsia"/>
                <w:color w:val="auto"/>
                <w:lang w:val="en-US" w:eastAsia="zh-CN"/>
              </w:rPr>
            </w:pPr>
            <w:r>
              <w:rPr>
                <w:rFonts w:hint="eastAsia"/>
                <w:color w:val="auto"/>
                <w:lang w:val="en-US" w:eastAsia="zh-CN"/>
              </w:rPr>
              <w:t>0.022t</w:t>
            </w:r>
            <w:r>
              <w:rPr>
                <w:rFonts w:hint="default"/>
                <w:color w:val="auto"/>
                <w:lang w:val="en-US" w:eastAsia="zh-CN"/>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dxa"/>
            <w:vMerge w:val="continue"/>
            <w:noWrap w:val="0"/>
            <w:vAlign w:val="center"/>
          </w:tcPr>
          <w:p>
            <w:pPr>
              <w:pStyle w:val="18"/>
              <w:bidi w:val="0"/>
              <w:rPr>
                <w:rFonts w:hint="default"/>
                <w:color w:val="auto"/>
              </w:rPr>
            </w:pPr>
          </w:p>
        </w:tc>
        <w:tc>
          <w:tcPr>
            <w:tcW w:w="383" w:type="dxa"/>
            <w:vMerge w:val="continue"/>
            <w:noWrap w:val="0"/>
            <w:vAlign w:val="center"/>
          </w:tcPr>
          <w:p>
            <w:pPr>
              <w:pStyle w:val="18"/>
              <w:bidi w:val="0"/>
              <w:rPr>
                <w:rFonts w:hint="default"/>
                <w:color w:val="auto"/>
              </w:rPr>
            </w:pPr>
          </w:p>
        </w:tc>
        <w:tc>
          <w:tcPr>
            <w:tcW w:w="350" w:type="dxa"/>
            <w:vMerge w:val="continue"/>
            <w:noWrap w:val="0"/>
            <w:vAlign w:val="center"/>
          </w:tcPr>
          <w:p>
            <w:pPr>
              <w:pStyle w:val="18"/>
              <w:bidi w:val="0"/>
              <w:rPr>
                <w:rFonts w:hint="eastAsia"/>
                <w:color w:val="auto"/>
                <w:lang w:eastAsia="zh-CN"/>
              </w:rPr>
            </w:pPr>
          </w:p>
        </w:tc>
        <w:tc>
          <w:tcPr>
            <w:tcW w:w="933" w:type="dxa"/>
            <w:vMerge w:val="continue"/>
            <w:noWrap w:val="0"/>
            <w:vAlign w:val="center"/>
          </w:tcPr>
          <w:p>
            <w:pPr>
              <w:pStyle w:val="18"/>
              <w:bidi w:val="0"/>
              <w:rPr>
                <w:rFonts w:hint="eastAsia"/>
                <w:color w:val="auto"/>
                <w:lang w:eastAsia="zh-CN"/>
              </w:rPr>
            </w:pPr>
          </w:p>
        </w:tc>
        <w:tc>
          <w:tcPr>
            <w:tcW w:w="1184" w:type="dxa"/>
            <w:noWrap w:val="0"/>
            <w:vAlign w:val="center"/>
          </w:tcPr>
          <w:p>
            <w:pPr>
              <w:pStyle w:val="18"/>
              <w:bidi w:val="0"/>
              <w:rPr>
                <w:rFonts w:hint="eastAsia"/>
                <w:color w:val="auto"/>
                <w:lang w:eastAsia="zh-CN"/>
              </w:rPr>
            </w:pPr>
            <w:r>
              <w:rPr>
                <w:rFonts w:hint="eastAsia"/>
                <w:color w:val="auto"/>
                <w:lang w:eastAsia="zh-CN"/>
              </w:rPr>
              <w:t>漆雾</w:t>
            </w:r>
          </w:p>
        </w:tc>
        <w:tc>
          <w:tcPr>
            <w:tcW w:w="1433" w:type="dxa"/>
            <w:noWrap w:val="0"/>
            <w:vAlign w:val="center"/>
          </w:tcPr>
          <w:p>
            <w:pPr>
              <w:pStyle w:val="18"/>
              <w:bidi w:val="0"/>
              <w:rPr>
                <w:rFonts w:hint="default"/>
                <w:color w:val="auto"/>
                <w:lang w:val="en-US" w:eastAsia="zh-CN"/>
              </w:rPr>
            </w:pPr>
            <w:r>
              <w:rPr>
                <w:rFonts w:hint="eastAsia"/>
                <w:color w:val="auto"/>
                <w:lang w:val="en-US" w:eastAsia="zh-CN"/>
              </w:rPr>
              <w:t>28.64</w:t>
            </w:r>
            <w:r>
              <w:rPr>
                <w:rFonts w:hint="default"/>
                <w:color w:val="auto"/>
                <w:lang w:val="en-US" w:eastAsia="zh-CN"/>
              </w:rPr>
              <w:t>mg/m</w:t>
            </w:r>
            <w:r>
              <w:rPr>
                <w:rFonts w:hint="default"/>
                <w:color w:val="auto"/>
                <w:vertAlign w:val="superscript"/>
                <w:lang w:val="en-US" w:eastAsia="zh-CN"/>
              </w:rPr>
              <w:t>3</w:t>
            </w:r>
          </w:p>
        </w:tc>
        <w:tc>
          <w:tcPr>
            <w:tcW w:w="1383" w:type="dxa"/>
            <w:noWrap w:val="0"/>
            <w:vAlign w:val="center"/>
          </w:tcPr>
          <w:p>
            <w:pPr>
              <w:pStyle w:val="18"/>
              <w:bidi w:val="0"/>
              <w:rPr>
                <w:rFonts w:hint="default"/>
                <w:color w:val="auto"/>
                <w:lang w:val="en-US" w:eastAsia="zh-CN"/>
              </w:rPr>
            </w:pPr>
            <w:r>
              <w:rPr>
                <w:rFonts w:hint="eastAsia"/>
                <w:color w:val="auto"/>
                <w:lang w:val="en-US" w:eastAsia="zh-CN"/>
              </w:rPr>
              <w:t>0.232t/a</w:t>
            </w:r>
          </w:p>
        </w:tc>
        <w:tc>
          <w:tcPr>
            <w:tcW w:w="1317" w:type="dxa"/>
            <w:noWrap w:val="0"/>
            <w:vAlign w:val="center"/>
          </w:tcPr>
          <w:p>
            <w:pPr>
              <w:pStyle w:val="18"/>
              <w:bidi w:val="0"/>
              <w:rPr>
                <w:rFonts w:hint="eastAsia"/>
                <w:color w:val="auto"/>
                <w:lang w:val="en-US" w:eastAsia="zh-CN"/>
              </w:rPr>
            </w:pPr>
            <w:r>
              <w:rPr>
                <w:rFonts w:hint="eastAsia"/>
                <w:color w:val="auto"/>
                <w:lang w:val="en-US" w:eastAsia="zh-CN"/>
              </w:rPr>
              <w:t>1.48</w:t>
            </w:r>
            <w:r>
              <w:rPr>
                <w:rFonts w:hint="default"/>
                <w:color w:val="auto"/>
                <w:lang w:val="en-US" w:eastAsia="zh-CN"/>
              </w:rPr>
              <w:t>mg/m</w:t>
            </w:r>
            <w:r>
              <w:rPr>
                <w:rFonts w:hint="default"/>
                <w:color w:val="auto"/>
                <w:vertAlign w:val="superscript"/>
                <w:lang w:val="en-US" w:eastAsia="zh-CN"/>
              </w:rPr>
              <w:t>3</w:t>
            </w:r>
          </w:p>
        </w:tc>
        <w:tc>
          <w:tcPr>
            <w:tcW w:w="1318" w:type="dxa"/>
            <w:noWrap w:val="0"/>
            <w:vAlign w:val="center"/>
          </w:tcPr>
          <w:p>
            <w:pPr>
              <w:pStyle w:val="18"/>
              <w:bidi w:val="0"/>
              <w:rPr>
                <w:rFonts w:hint="default"/>
                <w:color w:val="auto"/>
                <w:lang w:val="en-US" w:eastAsia="zh-CN"/>
              </w:rPr>
            </w:pPr>
            <w:r>
              <w:rPr>
                <w:rFonts w:hint="eastAsia"/>
                <w:color w:val="auto"/>
                <w:lang w:val="en-US" w:eastAsia="zh-CN"/>
              </w:rPr>
              <w:t>0.009t/a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dxa"/>
            <w:vMerge w:val="continue"/>
            <w:noWrap w:val="0"/>
            <w:vAlign w:val="center"/>
          </w:tcPr>
          <w:p>
            <w:pPr>
              <w:pStyle w:val="18"/>
              <w:bidi w:val="0"/>
              <w:rPr>
                <w:rFonts w:hint="default"/>
                <w:color w:val="auto"/>
              </w:rPr>
            </w:pPr>
          </w:p>
        </w:tc>
        <w:tc>
          <w:tcPr>
            <w:tcW w:w="383" w:type="dxa"/>
            <w:vMerge w:val="continue"/>
            <w:noWrap w:val="0"/>
            <w:vAlign w:val="center"/>
          </w:tcPr>
          <w:p>
            <w:pPr>
              <w:pStyle w:val="18"/>
              <w:bidi w:val="0"/>
              <w:rPr>
                <w:rFonts w:hint="default"/>
                <w:color w:val="auto"/>
              </w:rPr>
            </w:pPr>
          </w:p>
        </w:tc>
        <w:tc>
          <w:tcPr>
            <w:tcW w:w="350" w:type="dxa"/>
            <w:vMerge w:val="restart"/>
            <w:noWrap w:val="0"/>
            <w:vAlign w:val="center"/>
          </w:tcPr>
          <w:p>
            <w:pPr>
              <w:pStyle w:val="18"/>
              <w:bidi w:val="0"/>
              <w:rPr>
                <w:rFonts w:hint="eastAsia"/>
                <w:color w:val="auto"/>
                <w:lang w:eastAsia="zh-CN"/>
              </w:rPr>
            </w:pPr>
            <w:r>
              <w:rPr>
                <w:rFonts w:hint="eastAsia"/>
                <w:color w:val="auto"/>
                <w:lang w:eastAsia="zh-CN"/>
              </w:rPr>
              <w:t>无组织</w:t>
            </w:r>
          </w:p>
        </w:tc>
        <w:tc>
          <w:tcPr>
            <w:tcW w:w="933" w:type="dxa"/>
            <w:vMerge w:val="restart"/>
            <w:noWrap w:val="0"/>
            <w:vAlign w:val="center"/>
          </w:tcPr>
          <w:p>
            <w:pPr>
              <w:pStyle w:val="18"/>
              <w:bidi w:val="0"/>
              <w:rPr>
                <w:rFonts w:hint="eastAsia"/>
                <w:color w:val="auto"/>
                <w:lang w:eastAsia="zh-CN"/>
              </w:rPr>
            </w:pPr>
            <w:r>
              <w:rPr>
                <w:rFonts w:hint="eastAsia"/>
                <w:color w:val="auto"/>
                <w:lang w:eastAsia="zh-CN"/>
              </w:rPr>
              <w:t>喷漆</w:t>
            </w:r>
          </w:p>
        </w:tc>
        <w:tc>
          <w:tcPr>
            <w:tcW w:w="1184" w:type="dxa"/>
            <w:noWrap w:val="0"/>
            <w:vAlign w:val="center"/>
          </w:tcPr>
          <w:p>
            <w:pPr>
              <w:pStyle w:val="18"/>
              <w:bidi w:val="0"/>
              <w:rPr>
                <w:rFonts w:hint="default"/>
                <w:color w:val="auto"/>
                <w:lang w:eastAsia="zh-CN"/>
              </w:rPr>
            </w:pPr>
            <w:r>
              <w:rPr>
                <w:rFonts w:hint="eastAsia"/>
                <w:color w:val="auto"/>
                <w:lang w:eastAsia="zh-CN"/>
              </w:rPr>
              <w:t>挥发性有机物</w:t>
            </w:r>
          </w:p>
        </w:tc>
        <w:tc>
          <w:tcPr>
            <w:tcW w:w="1433" w:type="dxa"/>
            <w:noWrap w:val="0"/>
            <w:vAlign w:val="center"/>
          </w:tcPr>
          <w:p>
            <w:pPr>
              <w:pStyle w:val="18"/>
              <w:bidi w:val="0"/>
              <w:rPr>
                <w:rFonts w:hint="default"/>
                <w:color w:val="auto"/>
                <w:lang w:val="en-US" w:eastAsia="zh-CN"/>
              </w:rPr>
            </w:pPr>
            <w:r>
              <w:rPr>
                <w:rFonts w:hint="eastAsia"/>
                <w:color w:val="auto"/>
                <w:lang w:val="en-US" w:eastAsia="zh-CN"/>
              </w:rPr>
              <w:t>--</w:t>
            </w:r>
          </w:p>
        </w:tc>
        <w:tc>
          <w:tcPr>
            <w:tcW w:w="1383" w:type="dxa"/>
            <w:noWrap w:val="0"/>
            <w:vAlign w:val="center"/>
          </w:tcPr>
          <w:p>
            <w:pPr>
              <w:pStyle w:val="18"/>
              <w:bidi w:val="0"/>
              <w:rPr>
                <w:rFonts w:hint="default"/>
                <w:color w:val="auto"/>
                <w:lang w:val="en-US" w:eastAsia="zh-CN"/>
              </w:rPr>
            </w:pPr>
            <w:r>
              <w:rPr>
                <w:rFonts w:hint="eastAsia"/>
                <w:color w:val="auto"/>
                <w:lang w:val="en-US" w:eastAsia="zh-CN"/>
              </w:rPr>
              <w:t>0.054</w:t>
            </w:r>
          </w:p>
        </w:tc>
        <w:tc>
          <w:tcPr>
            <w:tcW w:w="1317" w:type="dxa"/>
            <w:noWrap w:val="0"/>
            <w:vAlign w:val="center"/>
          </w:tcPr>
          <w:p>
            <w:pPr>
              <w:pStyle w:val="18"/>
              <w:bidi w:val="0"/>
              <w:rPr>
                <w:rFonts w:hint="default"/>
                <w:color w:val="auto"/>
                <w:lang w:val="en-US" w:eastAsia="zh-CN"/>
              </w:rPr>
            </w:pPr>
            <w:r>
              <w:rPr>
                <w:rFonts w:hint="eastAsia"/>
                <w:color w:val="auto"/>
                <w:lang w:val="en-US" w:eastAsia="zh-CN"/>
              </w:rPr>
              <w:t>--</w:t>
            </w:r>
          </w:p>
        </w:tc>
        <w:tc>
          <w:tcPr>
            <w:tcW w:w="1318" w:type="dxa"/>
            <w:noWrap w:val="0"/>
            <w:vAlign w:val="center"/>
          </w:tcPr>
          <w:p>
            <w:pPr>
              <w:pStyle w:val="18"/>
              <w:bidi w:val="0"/>
              <w:rPr>
                <w:rFonts w:hint="default"/>
                <w:color w:val="auto"/>
                <w:lang w:val="en-US" w:eastAsia="zh-CN"/>
              </w:rPr>
            </w:pPr>
            <w:r>
              <w:rPr>
                <w:rFonts w:hint="eastAsia"/>
                <w:color w:val="auto"/>
                <w:lang w:val="en-US" w:eastAsia="zh-CN"/>
              </w:rPr>
              <w:t>0.054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dxa"/>
            <w:vMerge w:val="continue"/>
            <w:noWrap w:val="0"/>
            <w:vAlign w:val="center"/>
          </w:tcPr>
          <w:p>
            <w:pPr>
              <w:pStyle w:val="18"/>
              <w:bidi w:val="0"/>
              <w:rPr>
                <w:rFonts w:hint="default"/>
                <w:color w:val="auto"/>
              </w:rPr>
            </w:pPr>
          </w:p>
        </w:tc>
        <w:tc>
          <w:tcPr>
            <w:tcW w:w="383" w:type="dxa"/>
            <w:vMerge w:val="continue"/>
            <w:noWrap w:val="0"/>
            <w:vAlign w:val="center"/>
          </w:tcPr>
          <w:p>
            <w:pPr>
              <w:pStyle w:val="18"/>
              <w:bidi w:val="0"/>
              <w:rPr>
                <w:rFonts w:hint="default"/>
                <w:color w:val="auto"/>
              </w:rPr>
            </w:pPr>
          </w:p>
        </w:tc>
        <w:tc>
          <w:tcPr>
            <w:tcW w:w="350" w:type="dxa"/>
            <w:vMerge w:val="continue"/>
            <w:noWrap w:val="0"/>
            <w:vAlign w:val="center"/>
          </w:tcPr>
          <w:p>
            <w:pPr>
              <w:pStyle w:val="18"/>
              <w:bidi w:val="0"/>
              <w:rPr>
                <w:rFonts w:hint="eastAsia"/>
                <w:color w:val="auto"/>
                <w:lang w:eastAsia="zh-CN"/>
              </w:rPr>
            </w:pPr>
          </w:p>
        </w:tc>
        <w:tc>
          <w:tcPr>
            <w:tcW w:w="933" w:type="dxa"/>
            <w:vMerge w:val="continue"/>
            <w:noWrap w:val="0"/>
            <w:vAlign w:val="center"/>
          </w:tcPr>
          <w:p>
            <w:pPr>
              <w:pStyle w:val="18"/>
              <w:bidi w:val="0"/>
              <w:rPr>
                <w:rFonts w:hint="eastAsia"/>
                <w:color w:val="auto"/>
                <w:lang w:eastAsia="zh-CN"/>
              </w:rPr>
            </w:pPr>
          </w:p>
        </w:tc>
        <w:tc>
          <w:tcPr>
            <w:tcW w:w="1184" w:type="dxa"/>
            <w:noWrap w:val="0"/>
            <w:vAlign w:val="center"/>
          </w:tcPr>
          <w:p>
            <w:pPr>
              <w:pStyle w:val="18"/>
              <w:bidi w:val="0"/>
              <w:rPr>
                <w:rFonts w:hint="eastAsia"/>
                <w:color w:val="auto"/>
                <w:lang w:eastAsia="zh-CN"/>
              </w:rPr>
            </w:pPr>
            <w:r>
              <w:rPr>
                <w:rFonts w:hint="eastAsia"/>
                <w:color w:val="auto"/>
                <w:lang w:eastAsia="zh-CN"/>
              </w:rPr>
              <w:t>漆雾</w:t>
            </w:r>
          </w:p>
        </w:tc>
        <w:tc>
          <w:tcPr>
            <w:tcW w:w="1433" w:type="dxa"/>
            <w:noWrap w:val="0"/>
            <w:vAlign w:val="center"/>
          </w:tcPr>
          <w:p>
            <w:pPr>
              <w:pStyle w:val="18"/>
              <w:bidi w:val="0"/>
              <w:rPr>
                <w:rFonts w:hint="default"/>
                <w:color w:val="auto"/>
                <w:lang w:val="en-US" w:eastAsia="zh-CN"/>
              </w:rPr>
            </w:pPr>
            <w:r>
              <w:rPr>
                <w:rFonts w:hint="eastAsia"/>
                <w:color w:val="auto"/>
                <w:lang w:val="en-US" w:eastAsia="zh-CN"/>
              </w:rPr>
              <w:t>--</w:t>
            </w:r>
          </w:p>
        </w:tc>
        <w:tc>
          <w:tcPr>
            <w:tcW w:w="1383" w:type="dxa"/>
            <w:noWrap w:val="0"/>
            <w:vAlign w:val="center"/>
          </w:tcPr>
          <w:p>
            <w:pPr>
              <w:pStyle w:val="18"/>
              <w:bidi w:val="0"/>
              <w:rPr>
                <w:rFonts w:hint="default"/>
                <w:color w:val="auto"/>
                <w:lang w:val="en-US" w:eastAsia="zh-CN"/>
              </w:rPr>
            </w:pPr>
            <w:r>
              <w:rPr>
                <w:rFonts w:hint="eastAsia"/>
                <w:color w:val="auto"/>
                <w:lang w:val="en-US" w:eastAsia="zh-CN"/>
              </w:rPr>
              <w:t>0.058</w:t>
            </w:r>
          </w:p>
        </w:tc>
        <w:tc>
          <w:tcPr>
            <w:tcW w:w="1317" w:type="dxa"/>
            <w:noWrap w:val="0"/>
            <w:vAlign w:val="center"/>
          </w:tcPr>
          <w:p>
            <w:pPr>
              <w:pStyle w:val="18"/>
              <w:bidi w:val="0"/>
              <w:rPr>
                <w:rFonts w:hint="default"/>
                <w:color w:val="auto"/>
                <w:lang w:val="en-US" w:eastAsia="zh-CN"/>
              </w:rPr>
            </w:pPr>
            <w:r>
              <w:rPr>
                <w:rFonts w:hint="eastAsia"/>
                <w:color w:val="auto"/>
                <w:lang w:val="en-US" w:eastAsia="zh-CN"/>
              </w:rPr>
              <w:t>--</w:t>
            </w:r>
          </w:p>
        </w:tc>
        <w:tc>
          <w:tcPr>
            <w:tcW w:w="1318" w:type="dxa"/>
            <w:noWrap w:val="0"/>
            <w:vAlign w:val="center"/>
          </w:tcPr>
          <w:p>
            <w:pPr>
              <w:pStyle w:val="18"/>
              <w:bidi w:val="0"/>
              <w:rPr>
                <w:rFonts w:hint="default"/>
                <w:color w:val="auto"/>
                <w:lang w:val="en-US" w:eastAsia="zh-CN"/>
              </w:rPr>
            </w:pPr>
            <w:r>
              <w:rPr>
                <w:rFonts w:hint="eastAsia"/>
                <w:color w:val="auto"/>
                <w:lang w:val="en-US" w:eastAsia="zh-CN"/>
              </w:rPr>
              <w:t>0.058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dxa"/>
            <w:vMerge w:val="continue"/>
            <w:noWrap w:val="0"/>
            <w:vAlign w:val="center"/>
          </w:tcPr>
          <w:p>
            <w:pPr>
              <w:pStyle w:val="18"/>
              <w:bidi w:val="0"/>
              <w:rPr>
                <w:rFonts w:hint="default"/>
                <w:color w:val="auto"/>
              </w:rPr>
            </w:pPr>
          </w:p>
        </w:tc>
        <w:tc>
          <w:tcPr>
            <w:tcW w:w="383" w:type="dxa"/>
            <w:vMerge w:val="continue"/>
            <w:noWrap w:val="0"/>
            <w:vAlign w:val="center"/>
          </w:tcPr>
          <w:p>
            <w:pPr>
              <w:pStyle w:val="18"/>
              <w:bidi w:val="0"/>
              <w:rPr>
                <w:rFonts w:hint="default"/>
                <w:color w:val="auto"/>
              </w:rPr>
            </w:pPr>
          </w:p>
        </w:tc>
        <w:tc>
          <w:tcPr>
            <w:tcW w:w="350" w:type="dxa"/>
            <w:vMerge w:val="continue"/>
            <w:noWrap w:val="0"/>
            <w:vAlign w:val="center"/>
          </w:tcPr>
          <w:p>
            <w:pPr>
              <w:pStyle w:val="18"/>
              <w:bidi w:val="0"/>
              <w:rPr>
                <w:rFonts w:hint="eastAsia"/>
                <w:color w:val="auto"/>
                <w:lang w:eastAsia="zh-CN"/>
              </w:rPr>
            </w:pPr>
          </w:p>
        </w:tc>
        <w:tc>
          <w:tcPr>
            <w:tcW w:w="933" w:type="dxa"/>
            <w:noWrap w:val="0"/>
            <w:vAlign w:val="center"/>
          </w:tcPr>
          <w:p>
            <w:pPr>
              <w:pStyle w:val="18"/>
              <w:bidi w:val="0"/>
              <w:rPr>
                <w:rFonts w:hint="eastAsia"/>
                <w:color w:val="auto"/>
                <w:lang w:eastAsia="zh-CN"/>
              </w:rPr>
            </w:pPr>
            <w:r>
              <w:rPr>
                <w:rFonts w:hint="eastAsia"/>
                <w:color w:val="auto"/>
                <w:lang w:eastAsia="zh-CN"/>
              </w:rPr>
              <w:t>切割、焊接</w:t>
            </w:r>
          </w:p>
        </w:tc>
        <w:tc>
          <w:tcPr>
            <w:tcW w:w="1184" w:type="dxa"/>
            <w:noWrap w:val="0"/>
            <w:vAlign w:val="center"/>
          </w:tcPr>
          <w:p>
            <w:pPr>
              <w:pStyle w:val="18"/>
              <w:bidi w:val="0"/>
              <w:rPr>
                <w:rFonts w:hint="default"/>
                <w:color w:val="auto"/>
                <w:lang w:eastAsia="zh-CN"/>
              </w:rPr>
            </w:pPr>
            <w:r>
              <w:rPr>
                <w:rFonts w:hint="eastAsia"/>
                <w:color w:val="auto"/>
                <w:lang w:eastAsia="zh-CN"/>
              </w:rPr>
              <w:t>烟尘</w:t>
            </w:r>
          </w:p>
        </w:tc>
        <w:tc>
          <w:tcPr>
            <w:tcW w:w="1433" w:type="dxa"/>
            <w:noWrap w:val="0"/>
            <w:vAlign w:val="center"/>
          </w:tcPr>
          <w:p>
            <w:pPr>
              <w:pStyle w:val="18"/>
              <w:bidi w:val="0"/>
              <w:rPr>
                <w:rFonts w:hint="default"/>
                <w:color w:val="auto"/>
                <w:lang w:val="en-US" w:eastAsia="zh-CN"/>
              </w:rPr>
            </w:pPr>
            <w:r>
              <w:rPr>
                <w:rFonts w:hint="eastAsia"/>
                <w:color w:val="auto"/>
                <w:lang w:val="en-US" w:eastAsia="zh-CN"/>
              </w:rPr>
              <w:t>--</w:t>
            </w:r>
          </w:p>
        </w:tc>
        <w:tc>
          <w:tcPr>
            <w:tcW w:w="1383" w:type="dxa"/>
            <w:noWrap w:val="0"/>
            <w:vAlign w:val="center"/>
          </w:tcPr>
          <w:p>
            <w:pPr>
              <w:pStyle w:val="18"/>
              <w:bidi w:val="0"/>
              <w:rPr>
                <w:rFonts w:hint="default"/>
                <w:color w:val="auto"/>
                <w:lang w:val="en-US" w:eastAsia="zh-CN"/>
              </w:rPr>
            </w:pPr>
            <w:r>
              <w:rPr>
                <w:rFonts w:hint="eastAsia"/>
                <w:color w:val="auto"/>
                <w:lang w:val="en-US" w:eastAsia="zh-CN"/>
              </w:rPr>
              <w:t>1.03</w:t>
            </w:r>
          </w:p>
        </w:tc>
        <w:tc>
          <w:tcPr>
            <w:tcW w:w="1317" w:type="dxa"/>
            <w:noWrap w:val="0"/>
            <w:vAlign w:val="center"/>
          </w:tcPr>
          <w:p>
            <w:pPr>
              <w:pStyle w:val="18"/>
              <w:bidi w:val="0"/>
              <w:rPr>
                <w:rFonts w:hint="eastAsia"/>
                <w:color w:val="auto"/>
                <w:lang w:val="en-US" w:eastAsia="zh-CN"/>
              </w:rPr>
            </w:pPr>
          </w:p>
        </w:tc>
        <w:tc>
          <w:tcPr>
            <w:tcW w:w="1318" w:type="dxa"/>
            <w:noWrap w:val="0"/>
            <w:vAlign w:val="center"/>
          </w:tcPr>
          <w:p>
            <w:pPr>
              <w:pStyle w:val="18"/>
              <w:bidi w:val="0"/>
              <w:rPr>
                <w:rFonts w:hint="default"/>
                <w:color w:val="auto"/>
                <w:lang w:val="en-US" w:eastAsia="zh-CN"/>
              </w:rPr>
            </w:pPr>
            <w:r>
              <w:rPr>
                <w:rFonts w:hint="eastAsia"/>
                <w:color w:val="auto"/>
                <w:lang w:val="en-US" w:eastAsia="zh-CN"/>
              </w:rPr>
              <w:t>0.089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dxa"/>
            <w:vMerge w:val="continue"/>
            <w:noWrap w:val="0"/>
            <w:vAlign w:val="center"/>
          </w:tcPr>
          <w:p>
            <w:pPr>
              <w:pStyle w:val="18"/>
              <w:bidi w:val="0"/>
              <w:rPr>
                <w:rFonts w:hint="default"/>
                <w:color w:val="auto"/>
              </w:rPr>
            </w:pPr>
          </w:p>
        </w:tc>
        <w:tc>
          <w:tcPr>
            <w:tcW w:w="383" w:type="dxa"/>
            <w:vMerge w:val="continue"/>
            <w:noWrap w:val="0"/>
            <w:vAlign w:val="center"/>
          </w:tcPr>
          <w:p>
            <w:pPr>
              <w:pStyle w:val="18"/>
              <w:bidi w:val="0"/>
              <w:rPr>
                <w:rFonts w:hint="default"/>
                <w:color w:val="auto"/>
              </w:rPr>
            </w:pPr>
          </w:p>
        </w:tc>
        <w:tc>
          <w:tcPr>
            <w:tcW w:w="350" w:type="dxa"/>
            <w:vMerge w:val="continue"/>
            <w:noWrap w:val="0"/>
            <w:vAlign w:val="center"/>
          </w:tcPr>
          <w:p>
            <w:pPr>
              <w:pStyle w:val="18"/>
              <w:bidi w:val="0"/>
              <w:rPr>
                <w:rFonts w:hint="eastAsia"/>
                <w:color w:val="auto"/>
                <w:lang w:eastAsia="zh-CN"/>
              </w:rPr>
            </w:pPr>
          </w:p>
        </w:tc>
        <w:tc>
          <w:tcPr>
            <w:tcW w:w="933" w:type="dxa"/>
            <w:noWrap w:val="0"/>
            <w:vAlign w:val="center"/>
          </w:tcPr>
          <w:p>
            <w:pPr>
              <w:pStyle w:val="18"/>
              <w:bidi w:val="0"/>
              <w:rPr>
                <w:rFonts w:hint="default"/>
                <w:color w:val="auto"/>
                <w:lang w:val="en-US" w:eastAsia="zh-CN"/>
              </w:rPr>
            </w:pPr>
            <w:r>
              <w:rPr>
                <w:rFonts w:hint="eastAsia"/>
                <w:color w:val="auto"/>
                <w:lang w:val="en-US" w:eastAsia="zh-CN"/>
              </w:rPr>
              <w:t>机加工</w:t>
            </w:r>
          </w:p>
        </w:tc>
        <w:tc>
          <w:tcPr>
            <w:tcW w:w="1184" w:type="dxa"/>
            <w:noWrap w:val="0"/>
            <w:vAlign w:val="center"/>
          </w:tcPr>
          <w:p>
            <w:pPr>
              <w:pStyle w:val="18"/>
              <w:bidi w:val="0"/>
              <w:rPr>
                <w:rFonts w:hint="default"/>
                <w:color w:val="auto"/>
                <w:lang w:eastAsia="zh-CN"/>
              </w:rPr>
            </w:pPr>
            <w:r>
              <w:rPr>
                <w:rFonts w:hint="eastAsia"/>
                <w:color w:val="auto"/>
                <w:lang w:eastAsia="zh-CN"/>
              </w:rPr>
              <w:t>机加工粉尘</w:t>
            </w:r>
          </w:p>
        </w:tc>
        <w:tc>
          <w:tcPr>
            <w:tcW w:w="1433" w:type="dxa"/>
            <w:noWrap w:val="0"/>
            <w:vAlign w:val="center"/>
          </w:tcPr>
          <w:p>
            <w:pPr>
              <w:pStyle w:val="18"/>
              <w:bidi w:val="0"/>
              <w:rPr>
                <w:rFonts w:hint="default"/>
                <w:color w:val="auto"/>
                <w:lang w:val="en-US" w:eastAsia="zh-CN"/>
              </w:rPr>
            </w:pPr>
            <w:r>
              <w:rPr>
                <w:rFonts w:hint="eastAsia"/>
                <w:color w:val="auto"/>
                <w:lang w:val="en-US" w:eastAsia="zh-CN"/>
              </w:rPr>
              <w:t>--</w:t>
            </w:r>
          </w:p>
        </w:tc>
        <w:tc>
          <w:tcPr>
            <w:tcW w:w="1383" w:type="dxa"/>
            <w:noWrap w:val="0"/>
            <w:vAlign w:val="center"/>
          </w:tcPr>
          <w:p>
            <w:pPr>
              <w:pStyle w:val="18"/>
              <w:bidi w:val="0"/>
              <w:rPr>
                <w:rFonts w:hint="default"/>
                <w:color w:val="auto"/>
                <w:lang w:val="en-US" w:eastAsia="zh-CN"/>
              </w:rPr>
            </w:pPr>
            <w:r>
              <w:rPr>
                <w:rFonts w:hint="eastAsia"/>
                <w:color w:val="auto"/>
                <w:lang w:val="en-US" w:eastAsia="zh-CN"/>
              </w:rPr>
              <w:t>0.06</w:t>
            </w:r>
          </w:p>
        </w:tc>
        <w:tc>
          <w:tcPr>
            <w:tcW w:w="1317" w:type="dxa"/>
            <w:noWrap w:val="0"/>
            <w:vAlign w:val="center"/>
          </w:tcPr>
          <w:p>
            <w:pPr>
              <w:pStyle w:val="18"/>
              <w:bidi w:val="0"/>
              <w:rPr>
                <w:rFonts w:hint="default"/>
                <w:color w:val="auto"/>
                <w:lang w:val="en-US" w:eastAsia="zh-CN"/>
              </w:rPr>
            </w:pPr>
            <w:r>
              <w:rPr>
                <w:rFonts w:hint="eastAsia"/>
                <w:color w:val="auto"/>
                <w:lang w:val="en-US" w:eastAsia="zh-CN"/>
              </w:rPr>
              <w:t>--</w:t>
            </w:r>
          </w:p>
        </w:tc>
        <w:tc>
          <w:tcPr>
            <w:tcW w:w="1318" w:type="dxa"/>
            <w:noWrap w:val="0"/>
            <w:vAlign w:val="center"/>
          </w:tcPr>
          <w:p>
            <w:pPr>
              <w:pStyle w:val="18"/>
              <w:bidi w:val="0"/>
              <w:rPr>
                <w:rFonts w:hint="default"/>
                <w:color w:val="auto"/>
                <w:lang w:val="en-US" w:eastAsia="zh-CN"/>
              </w:rPr>
            </w:pPr>
            <w:r>
              <w:rPr>
                <w:rFonts w:hint="eastAsia"/>
                <w:color w:val="auto"/>
                <w:lang w:val="en-US" w:eastAsia="zh-CN"/>
              </w:rPr>
              <w:t>0.012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dxa"/>
            <w:vMerge w:val="restart"/>
            <w:noWrap w:val="0"/>
            <w:vAlign w:val="center"/>
          </w:tcPr>
          <w:p>
            <w:pPr>
              <w:pStyle w:val="18"/>
              <w:bidi w:val="0"/>
              <w:rPr>
                <w:rFonts w:hint="default"/>
                <w:color w:val="auto"/>
              </w:rPr>
            </w:pPr>
            <w:r>
              <w:rPr>
                <w:rFonts w:hint="default"/>
                <w:color w:val="auto"/>
              </w:rPr>
              <w:t>噪</w:t>
            </w:r>
          </w:p>
          <w:p>
            <w:pPr>
              <w:pStyle w:val="18"/>
              <w:bidi w:val="0"/>
              <w:rPr>
                <w:rFonts w:hint="default"/>
                <w:color w:val="auto"/>
              </w:rPr>
            </w:pPr>
            <w:r>
              <w:rPr>
                <w:rFonts w:hint="default"/>
                <w:color w:val="auto"/>
              </w:rPr>
              <w:t>声</w:t>
            </w:r>
          </w:p>
        </w:tc>
        <w:tc>
          <w:tcPr>
            <w:tcW w:w="1666" w:type="dxa"/>
            <w:gridSpan w:val="3"/>
            <w:noWrap w:val="0"/>
            <w:vAlign w:val="center"/>
          </w:tcPr>
          <w:p>
            <w:pPr>
              <w:pStyle w:val="18"/>
              <w:bidi w:val="0"/>
              <w:rPr>
                <w:rFonts w:hint="default"/>
                <w:color w:val="auto"/>
                <w:lang w:eastAsia="zh-CN"/>
              </w:rPr>
            </w:pPr>
            <w:r>
              <w:rPr>
                <w:rFonts w:hint="default"/>
                <w:color w:val="auto"/>
                <w:lang w:eastAsia="zh-CN"/>
              </w:rPr>
              <w:t>施工期</w:t>
            </w:r>
          </w:p>
        </w:tc>
        <w:tc>
          <w:tcPr>
            <w:tcW w:w="6635" w:type="dxa"/>
            <w:gridSpan w:val="5"/>
            <w:noWrap w:val="0"/>
            <w:vAlign w:val="center"/>
          </w:tcPr>
          <w:p>
            <w:pPr>
              <w:pStyle w:val="18"/>
              <w:bidi w:val="0"/>
              <w:rPr>
                <w:rFonts w:hint="default"/>
                <w:color w:val="auto"/>
              </w:rPr>
            </w:pPr>
            <w:r>
              <w:rPr>
                <w:rFonts w:hint="default"/>
                <w:color w:val="auto"/>
                <w:lang w:eastAsia="zh-CN"/>
              </w:rPr>
              <w:t>主要源于电焊机和电钻，源强约为</w:t>
            </w:r>
            <w:r>
              <w:rPr>
                <w:rFonts w:hint="default"/>
                <w:color w:val="auto"/>
                <w:lang w:val="en-US" w:eastAsia="zh-CN"/>
              </w:rPr>
              <w:t>70</w:t>
            </w:r>
            <w:r>
              <w:rPr>
                <w:rFonts w:hint="default"/>
                <w:color w:val="auto"/>
              </w:rPr>
              <w:t>~</w:t>
            </w:r>
            <w:r>
              <w:rPr>
                <w:rFonts w:hint="default"/>
                <w:color w:val="auto"/>
                <w:lang w:val="en-US" w:eastAsia="zh-CN"/>
              </w:rPr>
              <w:t>85</w:t>
            </w:r>
            <w:r>
              <w:rPr>
                <w:rFonts w:hint="default"/>
                <w:color w:val="auto"/>
              </w:rPr>
              <w:t>dB(A)</w:t>
            </w:r>
            <w:r>
              <w:rPr>
                <w:rFonts w:hint="default"/>
                <w:color w:val="auto"/>
                <w:lang w:eastAsia="zh-CN"/>
              </w:rPr>
              <w:t>，无大型机械，且影响周期短，对周围环境影响较小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dxa"/>
            <w:vMerge w:val="continue"/>
            <w:noWrap w:val="0"/>
            <w:vAlign w:val="center"/>
          </w:tcPr>
          <w:p>
            <w:pPr>
              <w:pStyle w:val="18"/>
              <w:bidi w:val="0"/>
              <w:rPr>
                <w:rFonts w:hint="default"/>
                <w:color w:val="auto"/>
              </w:rPr>
            </w:pPr>
          </w:p>
        </w:tc>
        <w:tc>
          <w:tcPr>
            <w:tcW w:w="1666" w:type="dxa"/>
            <w:gridSpan w:val="3"/>
            <w:noWrap w:val="0"/>
            <w:vAlign w:val="center"/>
          </w:tcPr>
          <w:p>
            <w:pPr>
              <w:pStyle w:val="18"/>
              <w:bidi w:val="0"/>
              <w:rPr>
                <w:rFonts w:hint="default"/>
                <w:color w:val="auto"/>
                <w:lang w:eastAsia="zh-CN"/>
              </w:rPr>
            </w:pPr>
            <w:r>
              <w:rPr>
                <w:rFonts w:hint="default"/>
                <w:color w:val="auto"/>
                <w:lang w:eastAsia="zh-CN"/>
              </w:rPr>
              <w:t>营运期</w:t>
            </w:r>
          </w:p>
        </w:tc>
        <w:tc>
          <w:tcPr>
            <w:tcW w:w="6635" w:type="dxa"/>
            <w:gridSpan w:val="5"/>
            <w:noWrap w:val="0"/>
            <w:vAlign w:val="center"/>
          </w:tcPr>
          <w:p>
            <w:pPr>
              <w:pStyle w:val="18"/>
              <w:bidi w:val="0"/>
              <w:jc w:val="left"/>
              <w:rPr>
                <w:rFonts w:hint="eastAsia"/>
                <w:color w:val="auto"/>
                <w:lang w:val="en-US" w:eastAsia="zh-CN"/>
              </w:rPr>
            </w:pPr>
            <w:r>
              <w:rPr>
                <w:rFonts w:hint="default"/>
                <w:color w:val="auto"/>
              </w:rPr>
              <w:t>主要噪声源为</w:t>
            </w:r>
            <w:r>
              <w:rPr>
                <w:rFonts w:hint="eastAsia"/>
                <w:color w:val="auto"/>
                <w:lang w:eastAsia="zh-CN"/>
              </w:rPr>
              <w:t>剪板机、折弯机、切割机、空压机</w:t>
            </w:r>
            <w:r>
              <w:rPr>
                <w:rFonts w:hint="default"/>
                <w:color w:val="auto"/>
              </w:rPr>
              <w:t>等</w:t>
            </w:r>
            <w:r>
              <w:rPr>
                <w:rFonts w:hint="default"/>
                <w:color w:val="auto"/>
                <w:lang w:eastAsia="zh-CN"/>
              </w:rPr>
              <w:t>设备噪声</w:t>
            </w:r>
            <w:r>
              <w:rPr>
                <w:rFonts w:hint="default"/>
                <w:color w:val="auto"/>
              </w:rPr>
              <w:t>，其源强值约为</w:t>
            </w:r>
            <w:r>
              <w:rPr>
                <w:rFonts w:hint="default"/>
                <w:color w:val="auto"/>
                <w:lang w:val="en-US" w:eastAsia="zh-CN"/>
              </w:rPr>
              <w:t>7</w:t>
            </w:r>
            <w:r>
              <w:rPr>
                <w:rFonts w:hint="eastAsia"/>
                <w:color w:val="auto"/>
                <w:lang w:val="en-US" w:eastAsia="zh-CN"/>
              </w:rPr>
              <w:t>0</w:t>
            </w:r>
            <w:r>
              <w:rPr>
                <w:rFonts w:hint="default"/>
                <w:color w:val="auto"/>
              </w:rPr>
              <w:t>~9</w:t>
            </w:r>
            <w:r>
              <w:rPr>
                <w:rFonts w:hint="eastAsia"/>
                <w:color w:val="auto"/>
                <w:lang w:val="en-US" w:eastAsia="zh-CN"/>
              </w:rPr>
              <w:t>0</w:t>
            </w:r>
            <w:r>
              <w:rPr>
                <w:rFonts w:hint="default"/>
                <w:color w:val="auto"/>
              </w:rPr>
              <w:t>dB(A)，项目区内合理布局，经车间阻隔和距离衰减后，可使</w:t>
            </w:r>
            <w:r>
              <w:rPr>
                <w:rFonts w:hint="default"/>
                <w:color w:val="auto"/>
                <w:lang w:eastAsia="zh-CN"/>
              </w:rPr>
              <w:t>生产厂房厂界</w:t>
            </w:r>
            <w:r>
              <w:rPr>
                <w:rFonts w:hint="default"/>
                <w:color w:val="auto"/>
              </w:rPr>
              <w:t>噪声符合《工业企业厂界环境噪声排放标准》（GB12348-2008）中的3类标准：昼间≤65dB(A)，夜间不生产</w:t>
            </w:r>
            <w:r>
              <w:rPr>
                <w:rFonts w:hint="eastAsia"/>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70" w:type="dxa"/>
            <w:vMerge w:val="restart"/>
            <w:noWrap w:val="0"/>
            <w:vAlign w:val="center"/>
          </w:tcPr>
          <w:p>
            <w:pPr>
              <w:pStyle w:val="18"/>
              <w:bidi w:val="0"/>
              <w:rPr>
                <w:rFonts w:hint="default"/>
                <w:color w:val="auto"/>
              </w:rPr>
            </w:pPr>
            <w:r>
              <w:rPr>
                <w:rFonts w:hint="default"/>
                <w:color w:val="auto"/>
              </w:rPr>
              <w:t>固体废弃物</w:t>
            </w:r>
          </w:p>
        </w:tc>
        <w:tc>
          <w:tcPr>
            <w:tcW w:w="383" w:type="dxa"/>
            <w:vMerge w:val="restart"/>
            <w:noWrap w:val="0"/>
            <w:vAlign w:val="center"/>
          </w:tcPr>
          <w:p>
            <w:pPr>
              <w:pStyle w:val="18"/>
              <w:bidi w:val="0"/>
              <w:rPr>
                <w:rFonts w:hint="default"/>
                <w:color w:val="auto"/>
                <w:lang w:eastAsia="zh-CN"/>
              </w:rPr>
            </w:pPr>
            <w:r>
              <w:rPr>
                <w:rFonts w:hint="default"/>
                <w:color w:val="auto"/>
                <w:lang w:eastAsia="zh-CN"/>
              </w:rPr>
              <w:t>施工期</w:t>
            </w:r>
          </w:p>
        </w:tc>
        <w:tc>
          <w:tcPr>
            <w:tcW w:w="1283" w:type="dxa"/>
            <w:gridSpan w:val="2"/>
            <w:noWrap w:val="0"/>
            <w:vAlign w:val="center"/>
          </w:tcPr>
          <w:p>
            <w:pPr>
              <w:pStyle w:val="18"/>
              <w:bidi w:val="0"/>
              <w:rPr>
                <w:rFonts w:hint="default"/>
                <w:color w:val="auto"/>
                <w:lang w:eastAsia="zh-CN"/>
              </w:rPr>
            </w:pPr>
            <w:r>
              <w:rPr>
                <w:rFonts w:hint="default"/>
                <w:color w:val="auto"/>
                <w:lang w:eastAsia="zh-CN"/>
              </w:rPr>
              <w:t>施工人员</w:t>
            </w:r>
          </w:p>
        </w:tc>
        <w:tc>
          <w:tcPr>
            <w:tcW w:w="1184" w:type="dxa"/>
            <w:noWrap w:val="0"/>
            <w:vAlign w:val="center"/>
          </w:tcPr>
          <w:p>
            <w:pPr>
              <w:pStyle w:val="18"/>
              <w:bidi w:val="0"/>
              <w:rPr>
                <w:rFonts w:hint="default"/>
                <w:color w:val="auto"/>
                <w:lang w:eastAsia="zh-CN"/>
              </w:rPr>
            </w:pPr>
            <w:r>
              <w:rPr>
                <w:rFonts w:hint="default"/>
                <w:color w:val="auto"/>
                <w:lang w:eastAsia="zh-CN"/>
              </w:rPr>
              <w:t>生活垃圾</w:t>
            </w:r>
          </w:p>
        </w:tc>
        <w:tc>
          <w:tcPr>
            <w:tcW w:w="2816" w:type="dxa"/>
            <w:gridSpan w:val="2"/>
            <w:noWrap w:val="0"/>
            <w:vAlign w:val="center"/>
          </w:tcPr>
          <w:p>
            <w:pPr>
              <w:pStyle w:val="18"/>
              <w:bidi w:val="0"/>
              <w:rPr>
                <w:rFonts w:hint="default"/>
                <w:color w:val="auto"/>
                <w:lang w:val="en-US" w:eastAsia="zh-CN"/>
              </w:rPr>
            </w:pPr>
            <w:r>
              <w:rPr>
                <w:rFonts w:hint="default"/>
                <w:color w:val="auto"/>
                <w:lang w:val="en-US" w:eastAsia="zh-CN"/>
              </w:rPr>
              <w:t>0.0</w:t>
            </w:r>
            <w:r>
              <w:rPr>
                <w:rFonts w:hint="eastAsia"/>
                <w:color w:val="auto"/>
                <w:lang w:val="en-US" w:eastAsia="zh-CN"/>
              </w:rPr>
              <w:t>75</w:t>
            </w:r>
            <w:r>
              <w:rPr>
                <w:rFonts w:hint="default"/>
                <w:color w:val="auto"/>
                <w:lang w:val="en-US" w:eastAsia="zh-CN"/>
              </w:rPr>
              <w:t>t</w:t>
            </w:r>
          </w:p>
        </w:tc>
        <w:tc>
          <w:tcPr>
            <w:tcW w:w="2635" w:type="dxa"/>
            <w:gridSpan w:val="2"/>
            <w:noWrap w:val="0"/>
            <w:vAlign w:val="center"/>
          </w:tcPr>
          <w:p>
            <w:pPr>
              <w:pStyle w:val="18"/>
              <w:bidi w:val="0"/>
              <w:rPr>
                <w:rFonts w:hint="default"/>
                <w:color w:val="auto"/>
              </w:rPr>
            </w:pPr>
            <w:r>
              <w:rPr>
                <w:rFonts w:hint="default"/>
                <w:color w:val="auto"/>
                <w:lang w:val="en-US" w:eastAsia="zh-CN"/>
              </w:rPr>
              <w:t>收集清运至园区垃圾收集处，由环卫部门处理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dxa"/>
            <w:vMerge w:val="continue"/>
            <w:noWrap w:val="0"/>
            <w:vAlign w:val="center"/>
          </w:tcPr>
          <w:p>
            <w:pPr>
              <w:pStyle w:val="18"/>
              <w:bidi w:val="0"/>
              <w:rPr>
                <w:rFonts w:hint="default"/>
                <w:color w:val="auto"/>
              </w:rPr>
            </w:pPr>
          </w:p>
        </w:tc>
        <w:tc>
          <w:tcPr>
            <w:tcW w:w="383" w:type="dxa"/>
            <w:vMerge w:val="continue"/>
            <w:noWrap w:val="0"/>
            <w:vAlign w:val="center"/>
          </w:tcPr>
          <w:p>
            <w:pPr>
              <w:pStyle w:val="18"/>
              <w:bidi w:val="0"/>
              <w:rPr>
                <w:rFonts w:hint="default"/>
                <w:color w:val="auto"/>
              </w:rPr>
            </w:pPr>
          </w:p>
        </w:tc>
        <w:tc>
          <w:tcPr>
            <w:tcW w:w="1283" w:type="dxa"/>
            <w:gridSpan w:val="2"/>
            <w:noWrap w:val="0"/>
            <w:vAlign w:val="center"/>
          </w:tcPr>
          <w:p>
            <w:pPr>
              <w:pStyle w:val="18"/>
              <w:bidi w:val="0"/>
              <w:rPr>
                <w:rFonts w:hint="default"/>
                <w:color w:val="auto"/>
                <w:lang w:eastAsia="zh-CN"/>
              </w:rPr>
            </w:pPr>
            <w:r>
              <w:rPr>
                <w:rFonts w:hint="default"/>
                <w:color w:val="auto"/>
                <w:lang w:eastAsia="zh-CN"/>
              </w:rPr>
              <w:t>装修，设备安装</w:t>
            </w:r>
          </w:p>
        </w:tc>
        <w:tc>
          <w:tcPr>
            <w:tcW w:w="1184" w:type="dxa"/>
            <w:noWrap w:val="0"/>
            <w:vAlign w:val="center"/>
          </w:tcPr>
          <w:p>
            <w:pPr>
              <w:pStyle w:val="18"/>
              <w:bidi w:val="0"/>
              <w:rPr>
                <w:rFonts w:hint="default"/>
                <w:color w:val="auto"/>
                <w:lang w:eastAsia="zh-CN"/>
              </w:rPr>
            </w:pPr>
            <w:r>
              <w:rPr>
                <w:rFonts w:hint="default"/>
                <w:color w:val="auto"/>
                <w:lang w:eastAsia="zh-CN"/>
              </w:rPr>
              <w:t>装修边角料、设备包装</w:t>
            </w:r>
          </w:p>
        </w:tc>
        <w:tc>
          <w:tcPr>
            <w:tcW w:w="2816" w:type="dxa"/>
            <w:gridSpan w:val="2"/>
            <w:noWrap w:val="0"/>
            <w:vAlign w:val="center"/>
          </w:tcPr>
          <w:p>
            <w:pPr>
              <w:pStyle w:val="18"/>
              <w:bidi w:val="0"/>
              <w:rPr>
                <w:rFonts w:hint="default"/>
                <w:color w:val="auto"/>
                <w:lang w:val="en-US" w:eastAsia="zh-CN"/>
              </w:rPr>
            </w:pPr>
            <w:r>
              <w:rPr>
                <w:rFonts w:hint="default"/>
                <w:color w:val="auto"/>
                <w:lang w:val="en-US" w:eastAsia="zh-CN"/>
              </w:rPr>
              <w:t>少量</w:t>
            </w:r>
          </w:p>
        </w:tc>
        <w:tc>
          <w:tcPr>
            <w:tcW w:w="2635" w:type="dxa"/>
            <w:gridSpan w:val="2"/>
            <w:noWrap w:val="0"/>
            <w:vAlign w:val="center"/>
          </w:tcPr>
          <w:p>
            <w:pPr>
              <w:pStyle w:val="18"/>
              <w:bidi w:val="0"/>
              <w:rPr>
                <w:rFonts w:hint="default"/>
                <w:color w:val="auto"/>
              </w:rPr>
            </w:pPr>
            <w:r>
              <w:rPr>
                <w:rFonts w:hint="default"/>
                <w:color w:val="auto"/>
                <w:lang w:eastAsia="zh-CN"/>
              </w:rPr>
              <w:t>可回收部分出售给废物回收站，不可回收部分同生活垃圾一同处置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dxa"/>
            <w:vMerge w:val="continue"/>
            <w:noWrap w:val="0"/>
            <w:vAlign w:val="center"/>
          </w:tcPr>
          <w:p>
            <w:pPr>
              <w:pStyle w:val="18"/>
              <w:bidi w:val="0"/>
              <w:rPr>
                <w:rFonts w:hint="default"/>
                <w:color w:val="auto"/>
              </w:rPr>
            </w:pPr>
          </w:p>
        </w:tc>
        <w:tc>
          <w:tcPr>
            <w:tcW w:w="383" w:type="dxa"/>
            <w:vMerge w:val="restart"/>
            <w:noWrap w:val="0"/>
            <w:vAlign w:val="center"/>
          </w:tcPr>
          <w:p>
            <w:pPr>
              <w:pStyle w:val="18"/>
              <w:bidi w:val="0"/>
              <w:rPr>
                <w:rFonts w:hint="default"/>
                <w:color w:val="auto"/>
              </w:rPr>
            </w:pPr>
            <w:r>
              <w:rPr>
                <w:rFonts w:hint="default"/>
                <w:color w:val="auto"/>
              </w:rPr>
              <w:t>运营期</w:t>
            </w:r>
          </w:p>
        </w:tc>
        <w:tc>
          <w:tcPr>
            <w:tcW w:w="2467" w:type="dxa"/>
            <w:gridSpan w:val="3"/>
            <w:noWrap w:val="0"/>
            <w:vAlign w:val="center"/>
          </w:tcPr>
          <w:p>
            <w:pPr>
              <w:pStyle w:val="18"/>
              <w:bidi w:val="0"/>
              <w:rPr>
                <w:rFonts w:hint="default"/>
                <w:color w:val="auto"/>
                <w:lang w:eastAsia="zh-CN"/>
              </w:rPr>
            </w:pPr>
            <w:r>
              <w:rPr>
                <w:rFonts w:hint="eastAsia"/>
                <w:color w:val="auto"/>
                <w:lang w:eastAsia="zh-CN"/>
              </w:rPr>
              <w:t>金属边角料</w:t>
            </w:r>
          </w:p>
        </w:tc>
        <w:tc>
          <w:tcPr>
            <w:tcW w:w="2816" w:type="dxa"/>
            <w:gridSpan w:val="2"/>
            <w:noWrap w:val="0"/>
            <w:vAlign w:val="center"/>
          </w:tcPr>
          <w:p>
            <w:pPr>
              <w:pStyle w:val="18"/>
              <w:bidi w:val="0"/>
              <w:rPr>
                <w:rFonts w:hint="default"/>
                <w:color w:val="auto"/>
                <w:lang w:val="en-US"/>
              </w:rPr>
            </w:pPr>
            <w:r>
              <w:rPr>
                <w:rFonts w:hint="eastAsia"/>
                <w:color w:val="auto"/>
                <w:lang w:val="en-US" w:eastAsia="zh-CN"/>
              </w:rPr>
              <w:t>30</w:t>
            </w:r>
          </w:p>
        </w:tc>
        <w:tc>
          <w:tcPr>
            <w:tcW w:w="2635" w:type="dxa"/>
            <w:gridSpan w:val="2"/>
            <w:vMerge w:val="restart"/>
            <w:noWrap w:val="0"/>
            <w:vAlign w:val="center"/>
          </w:tcPr>
          <w:p>
            <w:pPr>
              <w:pStyle w:val="18"/>
              <w:bidi w:val="0"/>
              <w:rPr>
                <w:rFonts w:hint="default"/>
                <w:color w:val="auto"/>
              </w:rPr>
            </w:pPr>
            <w:r>
              <w:rPr>
                <w:rFonts w:hint="eastAsia"/>
                <w:color w:val="auto"/>
                <w:lang w:eastAsia="zh-CN"/>
              </w:rPr>
              <w:t>收集后外售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0" w:type="dxa"/>
            <w:vMerge w:val="continue"/>
            <w:noWrap w:val="0"/>
            <w:vAlign w:val="center"/>
          </w:tcPr>
          <w:p>
            <w:pPr>
              <w:pStyle w:val="18"/>
              <w:bidi w:val="0"/>
              <w:rPr>
                <w:rFonts w:hint="default"/>
                <w:color w:val="auto"/>
              </w:rPr>
            </w:pPr>
          </w:p>
        </w:tc>
        <w:tc>
          <w:tcPr>
            <w:tcW w:w="383" w:type="dxa"/>
            <w:vMerge w:val="continue"/>
            <w:noWrap w:val="0"/>
            <w:vAlign w:val="center"/>
          </w:tcPr>
          <w:p>
            <w:pPr>
              <w:pStyle w:val="18"/>
              <w:bidi w:val="0"/>
              <w:rPr>
                <w:rFonts w:hint="default"/>
                <w:color w:val="auto"/>
              </w:rPr>
            </w:pPr>
          </w:p>
        </w:tc>
        <w:tc>
          <w:tcPr>
            <w:tcW w:w="2467" w:type="dxa"/>
            <w:gridSpan w:val="3"/>
            <w:noWrap w:val="0"/>
            <w:vAlign w:val="center"/>
          </w:tcPr>
          <w:p>
            <w:pPr>
              <w:pStyle w:val="18"/>
              <w:bidi w:val="0"/>
              <w:rPr>
                <w:rFonts w:hint="default"/>
                <w:color w:val="auto"/>
              </w:rPr>
            </w:pPr>
            <w:r>
              <w:rPr>
                <w:rFonts w:hint="eastAsia"/>
                <w:color w:val="auto"/>
                <w:lang w:eastAsia="zh-CN"/>
              </w:rPr>
              <w:t>加工粉尘</w:t>
            </w:r>
          </w:p>
        </w:tc>
        <w:tc>
          <w:tcPr>
            <w:tcW w:w="2816" w:type="dxa"/>
            <w:gridSpan w:val="2"/>
            <w:noWrap w:val="0"/>
            <w:vAlign w:val="center"/>
          </w:tcPr>
          <w:p>
            <w:pPr>
              <w:pStyle w:val="18"/>
              <w:bidi w:val="0"/>
              <w:rPr>
                <w:rFonts w:hint="default"/>
                <w:color w:val="auto"/>
                <w:lang w:val="en-US"/>
              </w:rPr>
            </w:pPr>
            <w:r>
              <w:rPr>
                <w:rFonts w:hint="eastAsia"/>
                <w:color w:val="auto"/>
                <w:lang w:val="en-US" w:eastAsia="zh-CN"/>
              </w:rPr>
              <w:t>0.036</w:t>
            </w:r>
          </w:p>
        </w:tc>
        <w:tc>
          <w:tcPr>
            <w:tcW w:w="2635" w:type="dxa"/>
            <w:gridSpan w:val="2"/>
            <w:vMerge w:val="continue"/>
            <w:noWrap w:val="0"/>
            <w:vAlign w:val="center"/>
          </w:tcPr>
          <w:p>
            <w:pPr>
              <w:pStyle w:val="18"/>
              <w:bidi w:val="0"/>
              <w:rPr>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5" w:hRule="atLeast"/>
          <w:jc w:val="center"/>
        </w:trPr>
        <w:tc>
          <w:tcPr>
            <w:tcW w:w="770" w:type="dxa"/>
            <w:vMerge w:val="continue"/>
            <w:noWrap w:val="0"/>
            <w:vAlign w:val="center"/>
          </w:tcPr>
          <w:p>
            <w:pPr>
              <w:pStyle w:val="18"/>
              <w:bidi w:val="0"/>
              <w:rPr>
                <w:rFonts w:hint="default"/>
                <w:color w:val="auto"/>
              </w:rPr>
            </w:pPr>
          </w:p>
        </w:tc>
        <w:tc>
          <w:tcPr>
            <w:tcW w:w="383" w:type="dxa"/>
            <w:vMerge w:val="continue"/>
            <w:noWrap w:val="0"/>
            <w:vAlign w:val="center"/>
          </w:tcPr>
          <w:p>
            <w:pPr>
              <w:pStyle w:val="18"/>
              <w:bidi w:val="0"/>
              <w:rPr>
                <w:rFonts w:hint="default"/>
                <w:color w:val="auto"/>
              </w:rPr>
            </w:pPr>
          </w:p>
        </w:tc>
        <w:tc>
          <w:tcPr>
            <w:tcW w:w="2467" w:type="dxa"/>
            <w:gridSpan w:val="3"/>
            <w:noWrap w:val="0"/>
            <w:vAlign w:val="center"/>
          </w:tcPr>
          <w:p>
            <w:pPr>
              <w:pStyle w:val="18"/>
              <w:bidi w:val="0"/>
              <w:rPr>
                <w:rFonts w:hint="default"/>
                <w:color w:val="auto"/>
                <w:lang w:eastAsia="zh-CN"/>
              </w:rPr>
            </w:pPr>
            <w:r>
              <w:rPr>
                <w:rFonts w:hint="eastAsia"/>
                <w:color w:val="auto"/>
                <w:lang w:eastAsia="zh-CN"/>
              </w:rPr>
              <w:t>焊渣</w:t>
            </w:r>
          </w:p>
        </w:tc>
        <w:tc>
          <w:tcPr>
            <w:tcW w:w="2816" w:type="dxa"/>
            <w:gridSpan w:val="2"/>
            <w:noWrap w:val="0"/>
            <w:vAlign w:val="center"/>
          </w:tcPr>
          <w:p>
            <w:pPr>
              <w:pStyle w:val="18"/>
              <w:bidi w:val="0"/>
              <w:rPr>
                <w:rFonts w:hint="default"/>
                <w:color w:val="auto"/>
                <w:lang w:val="en-US" w:eastAsia="zh-CN"/>
              </w:rPr>
            </w:pPr>
            <w:r>
              <w:rPr>
                <w:rFonts w:hint="eastAsia"/>
                <w:color w:val="auto"/>
                <w:lang w:val="en-US" w:eastAsia="zh-CN"/>
              </w:rPr>
              <w:t>0.79</w:t>
            </w:r>
          </w:p>
        </w:tc>
        <w:tc>
          <w:tcPr>
            <w:tcW w:w="2635" w:type="dxa"/>
            <w:gridSpan w:val="2"/>
            <w:vMerge w:val="continue"/>
            <w:noWrap w:val="0"/>
            <w:vAlign w:val="center"/>
          </w:tcPr>
          <w:p>
            <w:pPr>
              <w:pStyle w:val="18"/>
              <w:bidi w:val="0"/>
              <w:rPr>
                <w:rFonts w:hint="eastAsia"/>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vMerge w:val="continue"/>
            <w:noWrap w:val="0"/>
            <w:vAlign w:val="center"/>
          </w:tcPr>
          <w:p>
            <w:pPr>
              <w:pStyle w:val="18"/>
              <w:bidi w:val="0"/>
              <w:rPr>
                <w:rFonts w:hint="default"/>
                <w:color w:val="auto"/>
              </w:rPr>
            </w:pPr>
          </w:p>
        </w:tc>
        <w:tc>
          <w:tcPr>
            <w:tcW w:w="383" w:type="dxa"/>
            <w:vMerge w:val="continue"/>
            <w:noWrap w:val="0"/>
            <w:vAlign w:val="center"/>
          </w:tcPr>
          <w:p>
            <w:pPr>
              <w:pStyle w:val="18"/>
              <w:bidi w:val="0"/>
              <w:rPr>
                <w:rFonts w:hint="default"/>
                <w:color w:val="auto"/>
              </w:rPr>
            </w:pPr>
          </w:p>
        </w:tc>
        <w:tc>
          <w:tcPr>
            <w:tcW w:w="2467" w:type="dxa"/>
            <w:gridSpan w:val="3"/>
            <w:noWrap w:val="0"/>
            <w:vAlign w:val="center"/>
          </w:tcPr>
          <w:p>
            <w:pPr>
              <w:pStyle w:val="18"/>
              <w:bidi w:val="0"/>
              <w:rPr>
                <w:rFonts w:hint="default"/>
                <w:color w:val="auto"/>
                <w:lang w:eastAsia="zh-CN"/>
              </w:rPr>
            </w:pPr>
            <w:r>
              <w:rPr>
                <w:rFonts w:hint="eastAsia"/>
                <w:color w:val="auto"/>
                <w:lang w:eastAsia="zh-CN"/>
              </w:rPr>
              <w:t>废包装材料</w:t>
            </w:r>
          </w:p>
        </w:tc>
        <w:tc>
          <w:tcPr>
            <w:tcW w:w="2816" w:type="dxa"/>
            <w:gridSpan w:val="2"/>
            <w:noWrap w:val="0"/>
            <w:vAlign w:val="center"/>
          </w:tcPr>
          <w:p>
            <w:pPr>
              <w:pStyle w:val="18"/>
              <w:bidi w:val="0"/>
              <w:rPr>
                <w:rFonts w:hint="eastAsia"/>
                <w:color w:val="auto"/>
                <w:lang w:val="en-US" w:eastAsia="zh-CN"/>
              </w:rPr>
            </w:pPr>
            <w:r>
              <w:rPr>
                <w:rFonts w:hint="eastAsia"/>
                <w:color w:val="auto"/>
                <w:lang w:val="en-US" w:eastAsia="zh-CN"/>
              </w:rPr>
              <w:t>0.2</w:t>
            </w:r>
          </w:p>
        </w:tc>
        <w:tc>
          <w:tcPr>
            <w:tcW w:w="2635" w:type="dxa"/>
            <w:gridSpan w:val="2"/>
            <w:vMerge w:val="continue"/>
            <w:noWrap w:val="0"/>
            <w:vAlign w:val="center"/>
          </w:tcPr>
          <w:p>
            <w:pPr>
              <w:pStyle w:val="18"/>
              <w:bidi w:val="0"/>
              <w:rPr>
                <w:rFonts w:hint="eastAsia"/>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vMerge w:val="continue"/>
            <w:noWrap w:val="0"/>
            <w:vAlign w:val="center"/>
          </w:tcPr>
          <w:p>
            <w:pPr>
              <w:pStyle w:val="18"/>
              <w:bidi w:val="0"/>
              <w:rPr>
                <w:rFonts w:hint="default"/>
                <w:color w:val="auto"/>
              </w:rPr>
            </w:pPr>
          </w:p>
        </w:tc>
        <w:tc>
          <w:tcPr>
            <w:tcW w:w="383" w:type="dxa"/>
            <w:vMerge w:val="continue"/>
            <w:noWrap w:val="0"/>
            <w:vAlign w:val="center"/>
          </w:tcPr>
          <w:p>
            <w:pPr>
              <w:pStyle w:val="18"/>
              <w:bidi w:val="0"/>
              <w:rPr>
                <w:rFonts w:hint="default"/>
                <w:color w:val="auto"/>
              </w:rPr>
            </w:pPr>
          </w:p>
        </w:tc>
        <w:tc>
          <w:tcPr>
            <w:tcW w:w="2467" w:type="dxa"/>
            <w:gridSpan w:val="3"/>
            <w:noWrap w:val="0"/>
            <w:vAlign w:val="center"/>
          </w:tcPr>
          <w:p>
            <w:pPr>
              <w:pStyle w:val="18"/>
              <w:bidi w:val="0"/>
              <w:rPr>
                <w:rFonts w:hint="default"/>
                <w:color w:val="auto"/>
                <w:lang w:eastAsia="zh-CN"/>
              </w:rPr>
            </w:pPr>
            <w:r>
              <w:rPr>
                <w:rFonts w:hint="eastAsia"/>
                <w:color w:val="auto"/>
                <w:lang w:eastAsia="zh-CN"/>
              </w:rPr>
              <w:t>生活垃圾</w:t>
            </w:r>
          </w:p>
        </w:tc>
        <w:tc>
          <w:tcPr>
            <w:tcW w:w="2816" w:type="dxa"/>
            <w:gridSpan w:val="2"/>
            <w:noWrap w:val="0"/>
            <w:vAlign w:val="center"/>
          </w:tcPr>
          <w:p>
            <w:pPr>
              <w:pStyle w:val="18"/>
              <w:bidi w:val="0"/>
              <w:rPr>
                <w:rFonts w:hint="eastAsia"/>
                <w:color w:val="auto"/>
                <w:lang w:val="en-US" w:eastAsia="zh-CN"/>
              </w:rPr>
            </w:pPr>
            <w:r>
              <w:rPr>
                <w:rFonts w:hint="eastAsia"/>
                <w:color w:val="auto"/>
                <w:lang w:val="en-US" w:eastAsia="zh-CN"/>
              </w:rPr>
              <w:t>3</w:t>
            </w:r>
          </w:p>
        </w:tc>
        <w:tc>
          <w:tcPr>
            <w:tcW w:w="2635" w:type="dxa"/>
            <w:gridSpan w:val="2"/>
            <w:noWrap w:val="0"/>
            <w:vAlign w:val="center"/>
          </w:tcPr>
          <w:p>
            <w:pPr>
              <w:pStyle w:val="18"/>
              <w:bidi w:val="0"/>
              <w:rPr>
                <w:rFonts w:hint="eastAsia"/>
                <w:color w:val="auto"/>
                <w:lang w:eastAsia="zh-CN"/>
              </w:rPr>
            </w:pPr>
            <w:r>
              <w:rPr>
                <w:rFonts w:hint="default"/>
                <w:color w:val="auto"/>
                <w:lang w:val="en-US" w:eastAsia="zh-CN"/>
              </w:rPr>
              <w:t>收集清运至园区垃圾收集处，由环卫部门处理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jc w:val="center"/>
        </w:trPr>
        <w:tc>
          <w:tcPr>
            <w:tcW w:w="770" w:type="dxa"/>
            <w:vMerge w:val="continue"/>
            <w:noWrap w:val="0"/>
            <w:vAlign w:val="center"/>
          </w:tcPr>
          <w:p>
            <w:pPr>
              <w:pStyle w:val="18"/>
              <w:bidi w:val="0"/>
              <w:rPr>
                <w:rFonts w:hint="default"/>
                <w:color w:val="auto"/>
              </w:rPr>
            </w:pPr>
          </w:p>
        </w:tc>
        <w:tc>
          <w:tcPr>
            <w:tcW w:w="383" w:type="dxa"/>
            <w:vMerge w:val="continue"/>
            <w:noWrap w:val="0"/>
            <w:vAlign w:val="center"/>
          </w:tcPr>
          <w:p>
            <w:pPr>
              <w:pStyle w:val="18"/>
              <w:bidi w:val="0"/>
              <w:rPr>
                <w:rFonts w:hint="default"/>
                <w:color w:val="auto"/>
              </w:rPr>
            </w:pPr>
          </w:p>
        </w:tc>
        <w:tc>
          <w:tcPr>
            <w:tcW w:w="2467" w:type="dxa"/>
            <w:gridSpan w:val="3"/>
            <w:noWrap w:val="0"/>
            <w:vAlign w:val="center"/>
          </w:tcPr>
          <w:p>
            <w:pPr>
              <w:pStyle w:val="18"/>
              <w:bidi w:val="0"/>
              <w:rPr>
                <w:rFonts w:hint="default"/>
                <w:color w:val="auto"/>
                <w:lang w:eastAsia="zh-CN"/>
              </w:rPr>
            </w:pPr>
            <w:r>
              <w:rPr>
                <w:rFonts w:hint="eastAsia"/>
                <w:color w:val="auto"/>
                <w:lang w:eastAsia="zh-CN"/>
              </w:rPr>
              <w:t>废过滤棉</w:t>
            </w:r>
          </w:p>
        </w:tc>
        <w:tc>
          <w:tcPr>
            <w:tcW w:w="2816" w:type="dxa"/>
            <w:gridSpan w:val="2"/>
            <w:noWrap w:val="0"/>
            <w:vAlign w:val="center"/>
          </w:tcPr>
          <w:p>
            <w:pPr>
              <w:pStyle w:val="18"/>
              <w:bidi w:val="0"/>
              <w:rPr>
                <w:rFonts w:hint="default"/>
                <w:color w:val="auto"/>
                <w:lang w:val="en-US" w:eastAsia="zh-CN"/>
              </w:rPr>
            </w:pPr>
            <w:r>
              <w:rPr>
                <w:rFonts w:hint="eastAsia"/>
                <w:color w:val="auto"/>
                <w:lang w:val="en-US" w:eastAsia="zh-CN"/>
              </w:rPr>
              <w:t>0.264</w:t>
            </w:r>
          </w:p>
        </w:tc>
        <w:tc>
          <w:tcPr>
            <w:tcW w:w="2635" w:type="dxa"/>
            <w:gridSpan w:val="2"/>
            <w:vMerge w:val="restart"/>
            <w:noWrap w:val="0"/>
            <w:vAlign w:val="center"/>
          </w:tcPr>
          <w:p>
            <w:pPr>
              <w:pStyle w:val="18"/>
              <w:bidi w:val="0"/>
              <w:rPr>
                <w:rFonts w:hint="eastAsia"/>
                <w:color w:val="auto"/>
                <w:lang w:eastAsia="zh-CN"/>
              </w:rPr>
            </w:pPr>
            <w:r>
              <w:rPr>
                <w:rFonts w:hint="eastAsia"/>
                <w:color w:val="auto"/>
                <w:lang w:eastAsia="zh-CN"/>
              </w:rPr>
              <w:t>收集后交由有资质的单位进行处理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jc w:val="center"/>
        </w:trPr>
        <w:tc>
          <w:tcPr>
            <w:tcW w:w="770" w:type="dxa"/>
            <w:vMerge w:val="continue"/>
            <w:noWrap w:val="0"/>
            <w:vAlign w:val="center"/>
          </w:tcPr>
          <w:p>
            <w:pPr>
              <w:pStyle w:val="18"/>
              <w:bidi w:val="0"/>
              <w:rPr>
                <w:rFonts w:hint="default"/>
                <w:color w:val="auto"/>
              </w:rPr>
            </w:pPr>
          </w:p>
        </w:tc>
        <w:tc>
          <w:tcPr>
            <w:tcW w:w="383" w:type="dxa"/>
            <w:vMerge w:val="continue"/>
            <w:noWrap w:val="0"/>
            <w:vAlign w:val="center"/>
          </w:tcPr>
          <w:p>
            <w:pPr>
              <w:pStyle w:val="18"/>
              <w:bidi w:val="0"/>
              <w:rPr>
                <w:rFonts w:hint="default"/>
                <w:color w:val="auto"/>
              </w:rPr>
            </w:pPr>
          </w:p>
        </w:tc>
        <w:tc>
          <w:tcPr>
            <w:tcW w:w="2467" w:type="dxa"/>
            <w:gridSpan w:val="3"/>
            <w:noWrap w:val="0"/>
            <w:vAlign w:val="center"/>
          </w:tcPr>
          <w:p>
            <w:pPr>
              <w:pStyle w:val="18"/>
              <w:bidi w:val="0"/>
              <w:rPr>
                <w:rFonts w:hint="eastAsia"/>
                <w:color w:val="auto"/>
                <w:lang w:eastAsia="zh-CN"/>
              </w:rPr>
            </w:pPr>
            <w:r>
              <w:rPr>
                <w:rFonts w:hint="eastAsia"/>
                <w:color w:val="auto"/>
                <w:lang w:eastAsia="zh-CN"/>
              </w:rPr>
              <w:t>废活性炭</w:t>
            </w:r>
          </w:p>
        </w:tc>
        <w:tc>
          <w:tcPr>
            <w:tcW w:w="2816" w:type="dxa"/>
            <w:gridSpan w:val="2"/>
            <w:noWrap w:val="0"/>
            <w:vAlign w:val="center"/>
          </w:tcPr>
          <w:p>
            <w:pPr>
              <w:pStyle w:val="18"/>
              <w:bidi w:val="0"/>
              <w:rPr>
                <w:rFonts w:hint="default"/>
                <w:color w:val="auto"/>
                <w:lang w:val="en-US" w:eastAsia="zh-CN"/>
              </w:rPr>
            </w:pPr>
            <w:r>
              <w:rPr>
                <w:rFonts w:hint="eastAsia"/>
                <w:color w:val="auto"/>
                <w:lang w:val="en-US" w:eastAsia="zh-CN"/>
              </w:rPr>
              <w:t>0.97</w:t>
            </w:r>
          </w:p>
        </w:tc>
        <w:tc>
          <w:tcPr>
            <w:tcW w:w="2635" w:type="dxa"/>
            <w:gridSpan w:val="2"/>
            <w:vMerge w:val="continue"/>
            <w:noWrap w:val="0"/>
            <w:vAlign w:val="center"/>
          </w:tcPr>
          <w:p>
            <w:pPr>
              <w:pStyle w:val="18"/>
              <w:bidi w:val="0"/>
              <w:rPr>
                <w:rFonts w:hint="eastAsia"/>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vMerge w:val="continue"/>
            <w:noWrap w:val="0"/>
            <w:vAlign w:val="center"/>
          </w:tcPr>
          <w:p>
            <w:pPr>
              <w:pStyle w:val="18"/>
              <w:bidi w:val="0"/>
              <w:rPr>
                <w:rFonts w:hint="default"/>
                <w:color w:val="auto"/>
              </w:rPr>
            </w:pPr>
          </w:p>
        </w:tc>
        <w:tc>
          <w:tcPr>
            <w:tcW w:w="383" w:type="dxa"/>
            <w:vMerge w:val="continue"/>
            <w:noWrap w:val="0"/>
            <w:vAlign w:val="center"/>
          </w:tcPr>
          <w:p>
            <w:pPr>
              <w:pStyle w:val="18"/>
              <w:bidi w:val="0"/>
              <w:rPr>
                <w:rFonts w:hint="default"/>
                <w:color w:val="auto"/>
              </w:rPr>
            </w:pPr>
          </w:p>
        </w:tc>
        <w:tc>
          <w:tcPr>
            <w:tcW w:w="2467" w:type="dxa"/>
            <w:gridSpan w:val="3"/>
            <w:noWrap w:val="0"/>
            <w:vAlign w:val="center"/>
          </w:tcPr>
          <w:p>
            <w:pPr>
              <w:pStyle w:val="18"/>
              <w:bidi w:val="0"/>
              <w:rPr>
                <w:rFonts w:hint="default"/>
                <w:color w:val="auto"/>
                <w:lang w:eastAsia="zh-CN"/>
              </w:rPr>
            </w:pPr>
            <w:r>
              <w:rPr>
                <w:rFonts w:hint="eastAsia"/>
                <w:color w:val="auto"/>
                <w:lang w:eastAsia="zh-CN"/>
              </w:rPr>
              <w:t>废原料桶</w:t>
            </w:r>
          </w:p>
        </w:tc>
        <w:tc>
          <w:tcPr>
            <w:tcW w:w="2816" w:type="dxa"/>
            <w:gridSpan w:val="2"/>
            <w:noWrap w:val="0"/>
            <w:vAlign w:val="center"/>
          </w:tcPr>
          <w:p>
            <w:pPr>
              <w:pStyle w:val="18"/>
              <w:bidi w:val="0"/>
              <w:rPr>
                <w:rFonts w:hint="eastAsia"/>
                <w:color w:val="auto"/>
                <w:lang w:val="en-US" w:eastAsia="zh-CN"/>
              </w:rPr>
            </w:pPr>
            <w:r>
              <w:rPr>
                <w:rFonts w:hint="eastAsia"/>
                <w:color w:val="auto"/>
                <w:lang w:val="en-US" w:eastAsia="zh-CN"/>
              </w:rPr>
              <w:t>0.115</w:t>
            </w:r>
          </w:p>
        </w:tc>
        <w:tc>
          <w:tcPr>
            <w:tcW w:w="2635" w:type="dxa"/>
            <w:gridSpan w:val="2"/>
            <w:vMerge w:val="continue"/>
            <w:noWrap w:val="0"/>
            <w:vAlign w:val="center"/>
          </w:tcPr>
          <w:p>
            <w:pPr>
              <w:pStyle w:val="18"/>
              <w:bidi w:val="0"/>
              <w:rPr>
                <w:rFonts w:hint="eastAsia"/>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770" w:type="dxa"/>
            <w:vMerge w:val="continue"/>
            <w:noWrap w:val="0"/>
            <w:vAlign w:val="center"/>
          </w:tcPr>
          <w:p>
            <w:pPr>
              <w:pStyle w:val="18"/>
              <w:bidi w:val="0"/>
              <w:rPr>
                <w:rFonts w:hint="default"/>
                <w:color w:val="auto"/>
              </w:rPr>
            </w:pPr>
          </w:p>
        </w:tc>
        <w:tc>
          <w:tcPr>
            <w:tcW w:w="383" w:type="dxa"/>
            <w:vMerge w:val="continue"/>
            <w:noWrap w:val="0"/>
            <w:vAlign w:val="center"/>
          </w:tcPr>
          <w:p>
            <w:pPr>
              <w:pStyle w:val="18"/>
              <w:bidi w:val="0"/>
              <w:rPr>
                <w:rFonts w:hint="default"/>
                <w:color w:val="auto"/>
              </w:rPr>
            </w:pPr>
          </w:p>
        </w:tc>
        <w:tc>
          <w:tcPr>
            <w:tcW w:w="2467" w:type="dxa"/>
            <w:gridSpan w:val="3"/>
            <w:noWrap w:val="0"/>
            <w:vAlign w:val="center"/>
          </w:tcPr>
          <w:p>
            <w:pPr>
              <w:pStyle w:val="18"/>
              <w:bidi w:val="0"/>
              <w:rPr>
                <w:rFonts w:hint="default"/>
                <w:color w:val="auto"/>
                <w:lang w:eastAsia="zh-CN"/>
              </w:rPr>
            </w:pPr>
            <w:r>
              <w:rPr>
                <w:rFonts w:hint="eastAsia"/>
                <w:color w:val="auto"/>
                <w:lang w:eastAsia="zh-CN"/>
              </w:rPr>
              <w:t>废机油</w:t>
            </w:r>
          </w:p>
        </w:tc>
        <w:tc>
          <w:tcPr>
            <w:tcW w:w="2816" w:type="dxa"/>
            <w:gridSpan w:val="2"/>
            <w:noWrap w:val="0"/>
            <w:vAlign w:val="center"/>
          </w:tcPr>
          <w:p>
            <w:pPr>
              <w:pStyle w:val="18"/>
              <w:bidi w:val="0"/>
              <w:rPr>
                <w:rFonts w:hint="default"/>
                <w:color w:val="auto"/>
                <w:lang w:val="en-US" w:eastAsia="zh-CN"/>
              </w:rPr>
            </w:pPr>
            <w:r>
              <w:rPr>
                <w:rFonts w:hint="eastAsia"/>
                <w:color w:val="auto"/>
                <w:lang w:val="en-US" w:eastAsia="zh-CN"/>
              </w:rPr>
              <w:t>0.2</w:t>
            </w:r>
          </w:p>
        </w:tc>
        <w:tc>
          <w:tcPr>
            <w:tcW w:w="2635" w:type="dxa"/>
            <w:gridSpan w:val="2"/>
            <w:noWrap w:val="0"/>
            <w:vAlign w:val="center"/>
          </w:tcPr>
          <w:p>
            <w:pPr>
              <w:pStyle w:val="18"/>
              <w:bidi w:val="0"/>
              <w:rPr>
                <w:rFonts w:hint="default"/>
                <w:color w:val="auto"/>
              </w:rPr>
            </w:pPr>
            <w:r>
              <w:rPr>
                <w:rFonts w:hint="eastAsia"/>
                <w:color w:val="auto"/>
                <w:lang w:val="en-US" w:eastAsia="zh-CN"/>
              </w:rPr>
              <w:t>收集后作为设备润滑使用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71" w:type="dxa"/>
            <w:gridSpan w:val="9"/>
            <w:noWrap w:val="0"/>
            <w:vAlign w:val="center"/>
          </w:tcPr>
          <w:p>
            <w:pPr>
              <w:bidi w:val="0"/>
              <w:rPr>
                <w:rFonts w:hint="default"/>
                <w:color w:val="auto"/>
              </w:rPr>
            </w:pPr>
            <w:r>
              <w:rPr>
                <w:rFonts w:hint="default"/>
                <w:color w:val="auto"/>
              </w:rPr>
              <w:t>主要生态影响（不够时可另附页）</w:t>
            </w:r>
          </w:p>
          <w:p>
            <w:pPr>
              <w:bidi w:val="0"/>
              <w:rPr>
                <w:rFonts w:hint="default"/>
                <w:color w:val="auto"/>
                <w:lang w:val="en-US" w:eastAsia="zh-CN"/>
              </w:rPr>
            </w:pPr>
            <w:r>
              <w:rPr>
                <w:rFonts w:hint="default"/>
                <w:color w:val="auto"/>
                <w:lang w:val="en-US" w:eastAsia="zh-CN"/>
              </w:rPr>
              <w:t>本项目租用</w:t>
            </w:r>
            <w:r>
              <w:rPr>
                <w:rFonts w:hint="eastAsia"/>
                <w:color w:val="auto"/>
                <w:lang w:eastAsia="zh-CN"/>
              </w:rPr>
              <w:t>云南皇派实业有限公司富民分公司及</w:t>
            </w:r>
            <w:r>
              <w:rPr>
                <w:rFonts w:hint="eastAsia"/>
                <w:color w:val="auto"/>
                <w:lang w:val="en-US" w:eastAsia="zh-CN"/>
              </w:rPr>
              <w:t>云南富邦制冷设备</w:t>
            </w:r>
            <w:r>
              <w:rPr>
                <w:rFonts w:hint="default"/>
                <w:color w:val="auto"/>
                <w:lang w:val="en-US" w:eastAsia="zh-CN"/>
              </w:rPr>
              <w:t>有限公司部分厂房进行生产，项目区地面已全部硬化，不涉及植被破坏。项目投产后不会改变该区域的生态环</w:t>
            </w:r>
          </w:p>
          <w:p>
            <w:pPr>
              <w:bidi w:val="0"/>
              <w:rPr>
                <w:rFonts w:hint="default"/>
                <w:color w:val="auto"/>
                <w:lang w:val="en-US" w:eastAsia="zh-CN"/>
              </w:rPr>
            </w:pPr>
          </w:p>
          <w:p>
            <w:pPr>
              <w:pStyle w:val="18"/>
              <w:bidi w:val="0"/>
              <w:rPr>
                <w:rFonts w:hint="default"/>
                <w:color w:val="auto"/>
                <w:lang w:val="en-US" w:eastAsia="zh-CN"/>
              </w:rPr>
            </w:pPr>
          </w:p>
          <w:p>
            <w:pPr>
              <w:pStyle w:val="18"/>
              <w:bidi w:val="0"/>
              <w:rPr>
                <w:rFonts w:hint="default"/>
                <w:color w:val="auto"/>
                <w:lang w:val="en-US" w:eastAsia="zh-CN"/>
              </w:rPr>
            </w:pPr>
          </w:p>
          <w:p>
            <w:pPr>
              <w:pStyle w:val="18"/>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bidi w:val="0"/>
              <w:rPr>
                <w:rFonts w:hint="default"/>
                <w:color w:val="auto"/>
                <w:lang w:val="en-US" w:eastAsia="zh-CN"/>
              </w:rPr>
            </w:pPr>
          </w:p>
          <w:p>
            <w:pPr>
              <w:pStyle w:val="2"/>
              <w:rPr>
                <w:rFonts w:hint="default"/>
                <w:color w:val="auto"/>
                <w:lang w:val="en-US" w:eastAsia="zh-CN"/>
              </w:rPr>
            </w:pPr>
          </w:p>
          <w:p>
            <w:pPr>
              <w:rPr>
                <w:rFonts w:hint="default"/>
                <w:color w:val="auto"/>
                <w:lang w:val="en-US" w:eastAsia="zh-CN"/>
              </w:rPr>
            </w:pPr>
          </w:p>
          <w:p>
            <w:pPr>
              <w:pStyle w:val="2"/>
              <w:rPr>
                <w:rFonts w:hint="default"/>
                <w:color w:val="auto"/>
                <w:lang w:val="en-US" w:eastAsia="zh-CN"/>
              </w:rPr>
            </w:pPr>
          </w:p>
          <w:p>
            <w:pPr>
              <w:rPr>
                <w:rFonts w:hint="default"/>
                <w:color w:val="auto"/>
                <w:lang w:val="en-US" w:eastAsia="zh-CN"/>
              </w:rPr>
            </w:pPr>
          </w:p>
          <w:p>
            <w:pPr>
              <w:pStyle w:val="2"/>
              <w:rPr>
                <w:rFonts w:hint="default"/>
                <w:color w:val="auto"/>
                <w:lang w:val="en-US" w:eastAsia="zh-CN"/>
              </w:rPr>
            </w:pPr>
          </w:p>
          <w:p>
            <w:pPr>
              <w:rPr>
                <w:rFonts w:hint="default"/>
                <w:color w:val="auto"/>
                <w:lang w:val="en-US" w:eastAsia="zh-CN"/>
              </w:rPr>
            </w:pPr>
          </w:p>
          <w:p>
            <w:pPr>
              <w:pStyle w:val="18"/>
              <w:bidi w:val="0"/>
              <w:jc w:val="both"/>
              <w:rPr>
                <w:rFonts w:hint="default"/>
                <w:color w:val="auto"/>
                <w:lang w:val="en-US" w:eastAsia="zh-CN"/>
              </w:rPr>
            </w:pPr>
          </w:p>
        </w:tc>
      </w:tr>
    </w:tbl>
    <w:p>
      <w:pPr>
        <w:pStyle w:val="3"/>
        <w:bidi w:val="0"/>
        <w:rPr>
          <w:rFonts w:hint="default" w:ascii="Times New Roman" w:hAnsi="Times New Roman" w:eastAsia="宋体" w:cs="Times New Roman"/>
          <w:bCs w:val="0"/>
          <w:color w:val="auto"/>
          <w:szCs w:val="30"/>
        </w:rPr>
      </w:pPr>
      <w:bookmarkStart w:id="82" w:name="_Toc15101"/>
      <w:bookmarkStart w:id="83" w:name="_Toc20990"/>
      <w:bookmarkStart w:id="84" w:name="_Toc6783"/>
      <w:bookmarkStart w:id="85" w:name="_Toc25061"/>
      <w:bookmarkStart w:id="86" w:name="_Toc18385"/>
      <w:bookmarkStart w:id="87" w:name="_Toc1874"/>
      <w:r>
        <w:rPr>
          <w:rFonts w:hint="default"/>
          <w:color w:val="auto"/>
        </w:rPr>
        <w:t>表七</w:t>
      </w:r>
      <w:r>
        <w:rPr>
          <w:rFonts w:hint="default"/>
          <w:color w:val="auto"/>
          <w:lang w:val="en-US" w:eastAsia="zh-CN"/>
        </w:rPr>
        <w:t xml:space="preserve">  </w:t>
      </w:r>
      <w:r>
        <w:rPr>
          <w:rFonts w:hint="default"/>
          <w:color w:val="auto"/>
        </w:rPr>
        <w:t>环境影响分析</w:t>
      </w:r>
      <w:bookmarkEnd w:id="82"/>
      <w:bookmarkEnd w:id="83"/>
      <w:bookmarkEnd w:id="84"/>
      <w:bookmarkEnd w:id="85"/>
      <w:bookmarkEnd w:id="86"/>
      <w:bookmarkEnd w:id="87"/>
    </w:p>
    <w:tbl>
      <w:tblPr>
        <w:tblStyle w:val="1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52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528" w:hRule="atLeast"/>
          <w:jc w:val="center"/>
        </w:trPr>
        <w:tc>
          <w:tcPr>
            <w:tcW w:w="9071" w:type="dxa"/>
            <w:tcBorders>
              <w:bottom w:val="single" w:color="auto" w:sz="6" w:space="0"/>
            </w:tcBorders>
            <w:noWrap w:val="0"/>
            <w:vAlign w:val="top"/>
          </w:tcPr>
          <w:p>
            <w:pPr>
              <w:spacing w:line="360" w:lineRule="auto"/>
              <w:rPr>
                <w:rFonts w:hint="default"/>
                <w:color w:val="auto"/>
              </w:rPr>
            </w:pPr>
            <w:r>
              <w:rPr>
                <w:rFonts w:hint="default"/>
                <w:color w:val="auto"/>
              </w:rPr>
              <w:t>一、施工期环境影响简要分析</w:t>
            </w:r>
          </w:p>
          <w:p>
            <w:pPr>
              <w:adjustRightInd w:val="0"/>
              <w:snapToGrid w:val="0"/>
              <w:spacing w:line="360" w:lineRule="auto"/>
              <w:ind w:firstLine="480" w:firstLineChars="200"/>
              <w:rPr>
                <w:rFonts w:hint="default"/>
                <w:color w:val="auto"/>
              </w:rPr>
            </w:pPr>
            <w:r>
              <w:rPr>
                <w:rFonts w:hint="default"/>
                <w:color w:val="auto"/>
              </w:rPr>
              <w:t>本项目</w:t>
            </w:r>
            <w:r>
              <w:rPr>
                <w:rFonts w:hint="default"/>
                <w:color w:val="auto"/>
                <w:lang w:eastAsia="zh-CN"/>
              </w:rPr>
              <w:t>租用</w:t>
            </w:r>
            <w:r>
              <w:rPr>
                <w:rFonts w:hint="eastAsia"/>
                <w:color w:val="auto"/>
                <w:lang w:eastAsia="zh-CN"/>
              </w:rPr>
              <w:t>云南皇派实业有限公司富民分公司及云南富邦制冷设备</w:t>
            </w:r>
            <w:r>
              <w:rPr>
                <w:rFonts w:hint="default"/>
                <w:color w:val="auto"/>
                <w:lang w:eastAsia="zh-CN"/>
              </w:rPr>
              <w:t>有限公司部分</w:t>
            </w:r>
            <w:r>
              <w:rPr>
                <w:rFonts w:hint="default"/>
                <w:color w:val="auto"/>
                <w:lang w:val="en-US" w:eastAsia="zh-CN"/>
              </w:rPr>
              <w:t>空置厂房进行生产</w:t>
            </w:r>
            <w:r>
              <w:rPr>
                <w:rFonts w:hint="default"/>
                <w:color w:val="auto"/>
              </w:rPr>
              <w:t>，主要施工内容是</w:t>
            </w:r>
            <w:r>
              <w:rPr>
                <w:rFonts w:hint="default"/>
                <w:color w:val="auto"/>
                <w:lang w:eastAsia="zh-CN"/>
              </w:rPr>
              <w:t>室内外装修与</w:t>
            </w:r>
            <w:r>
              <w:rPr>
                <w:rFonts w:hint="default"/>
                <w:color w:val="auto"/>
              </w:rPr>
              <w:t>设备安装，基本无土建施工，施工</w:t>
            </w:r>
            <w:r>
              <w:rPr>
                <w:rFonts w:hint="default"/>
                <w:color w:val="auto"/>
                <w:lang w:eastAsia="zh-CN"/>
              </w:rPr>
              <w:t>期</w:t>
            </w:r>
            <w:r>
              <w:rPr>
                <w:rFonts w:hint="default"/>
                <w:color w:val="auto"/>
              </w:rPr>
              <w:t>主要产生的污染物为固废和噪声，固废大多数为设备包装，可</w:t>
            </w:r>
            <w:r>
              <w:rPr>
                <w:rFonts w:hint="default"/>
                <w:color w:val="auto"/>
                <w:lang w:eastAsia="zh-CN"/>
              </w:rPr>
              <w:t>回收部分</w:t>
            </w:r>
            <w:r>
              <w:rPr>
                <w:rFonts w:hint="default"/>
                <w:color w:val="auto"/>
              </w:rPr>
              <w:t>收集后出售给废物回收站，</w:t>
            </w:r>
            <w:r>
              <w:rPr>
                <w:rFonts w:hint="default"/>
                <w:color w:val="auto"/>
                <w:lang w:eastAsia="zh-CN"/>
              </w:rPr>
              <w:t>不可回收部分</w:t>
            </w:r>
            <w:r>
              <w:rPr>
                <w:rFonts w:hint="default"/>
                <w:color w:val="auto"/>
                <w:lang w:val="en-US" w:eastAsia="zh-CN"/>
              </w:rPr>
              <w:t>统一收集清运至园区垃圾收集处，由环卫部门处理</w:t>
            </w:r>
            <w:r>
              <w:rPr>
                <w:rFonts w:hint="default"/>
                <w:color w:val="auto"/>
                <w:lang w:eastAsia="zh-CN"/>
              </w:rPr>
              <w:t>；</w:t>
            </w:r>
            <w:r>
              <w:rPr>
                <w:rFonts w:hint="default"/>
                <w:color w:val="auto"/>
              </w:rPr>
              <w:t>噪声由于施工时间短且只在白天进行，对周围环境影响较小。</w:t>
            </w:r>
          </w:p>
          <w:p>
            <w:pPr>
              <w:spacing w:line="360" w:lineRule="auto"/>
              <w:rPr>
                <w:rFonts w:hint="default"/>
                <w:color w:val="auto"/>
              </w:rPr>
            </w:pPr>
            <w:r>
              <w:rPr>
                <w:rFonts w:hint="default"/>
                <w:color w:val="auto"/>
              </w:rPr>
              <w:t>二、营运期环境影响分析</w:t>
            </w:r>
          </w:p>
          <w:p>
            <w:pPr>
              <w:spacing w:line="360" w:lineRule="auto"/>
              <w:ind w:firstLine="480" w:firstLineChars="200"/>
              <w:rPr>
                <w:rFonts w:hint="default"/>
                <w:color w:val="auto"/>
              </w:rPr>
            </w:pPr>
            <w:r>
              <w:rPr>
                <w:rFonts w:hint="default"/>
                <w:color w:val="auto"/>
              </w:rPr>
              <w:t>1、大气环境的影响分析</w:t>
            </w:r>
          </w:p>
          <w:p>
            <w:pPr>
              <w:adjustRightInd w:val="0"/>
              <w:snapToGrid w:val="0"/>
              <w:spacing w:line="360" w:lineRule="auto"/>
              <w:ind w:firstLine="480"/>
              <w:rPr>
                <w:rFonts w:hint="eastAsia"/>
                <w:color w:val="auto"/>
                <w:lang w:eastAsia="zh-CN"/>
              </w:rPr>
            </w:pPr>
            <w:r>
              <w:rPr>
                <w:rFonts w:hint="eastAsia"/>
                <w:color w:val="auto"/>
                <w:lang w:eastAsia="zh-CN"/>
              </w:rPr>
              <w:t>（</w:t>
            </w:r>
            <w:r>
              <w:rPr>
                <w:rFonts w:hint="eastAsia"/>
                <w:color w:val="auto"/>
                <w:lang w:val="en-US" w:eastAsia="zh-CN"/>
              </w:rPr>
              <w:t>1</w:t>
            </w:r>
            <w:r>
              <w:rPr>
                <w:rFonts w:hint="eastAsia"/>
                <w:color w:val="auto"/>
                <w:lang w:eastAsia="zh-CN"/>
              </w:rPr>
              <w:t>）气象特征</w:t>
            </w:r>
          </w:p>
          <w:p>
            <w:pPr>
              <w:adjustRightInd w:val="0"/>
              <w:snapToGrid w:val="0"/>
              <w:spacing w:line="360" w:lineRule="auto"/>
              <w:ind w:firstLine="480"/>
              <w:rPr>
                <w:color w:val="auto"/>
              </w:rPr>
            </w:pPr>
            <w:r>
              <w:rPr>
                <w:color w:val="auto"/>
              </w:rPr>
              <w:t>项目选址于昆明市富民县富民工业园区大营五金建材产业园19号地块。地块中心坐标为东经102°31′51.57″，北纬25°14′04.41″，</w:t>
            </w:r>
            <w:r>
              <w:rPr>
                <w:color w:val="auto"/>
                <w:lang w:val="zh-CN"/>
              </w:rPr>
              <w:t>海拔</w:t>
            </w:r>
            <w:r>
              <w:rPr>
                <w:color w:val="auto"/>
              </w:rPr>
              <w:t>1764m</w:t>
            </w:r>
            <w:r>
              <w:rPr>
                <w:color w:val="auto"/>
                <w:lang w:val="zh-CN"/>
              </w:rPr>
              <w:t>。</w:t>
            </w:r>
          </w:p>
          <w:p>
            <w:pPr>
              <w:adjustRightInd w:val="0"/>
              <w:snapToGrid w:val="0"/>
              <w:spacing w:line="360" w:lineRule="auto"/>
              <w:ind w:firstLine="480"/>
              <w:rPr>
                <w:color w:val="auto"/>
                <w:lang w:val="zh-CN"/>
              </w:rPr>
            </w:pPr>
            <w:r>
              <w:rPr>
                <w:color w:val="auto"/>
                <w:lang w:val="zh-CN"/>
              </w:rPr>
              <w:t>根据《环境影响评价技术导则--大气环境》(HJ 2.2-2008)中气象资料的使用原则，与项目所在地的距离50km范围内地面气象观测站有富民县气象局观测站（一般站，海拔1692.7m）、昆明基准气候站（含探空站，海拔1889.2m），本项目距离富民县气象局观测站直线距离7.2km，距离昆明基准气候站直线距离35km。</w:t>
            </w:r>
          </w:p>
          <w:p>
            <w:pPr>
              <w:adjustRightInd w:val="0"/>
              <w:snapToGrid w:val="0"/>
              <w:spacing w:line="360" w:lineRule="auto"/>
              <w:ind w:firstLine="480"/>
              <w:rPr>
                <w:color w:val="auto"/>
                <w:lang w:val="zh-CN"/>
              </w:rPr>
            </w:pPr>
            <w:r>
              <w:rPr>
                <w:color w:val="auto"/>
                <w:lang w:val="zh-CN"/>
              </w:rPr>
              <w:t>根据《环境影响评价技术导则—大气环境》(HJ2.2-2008)规定，遵循先基准站，次基本站，后一般站的原则，本次评价采用昆明2014年地面常规气象资料，探空气象资料采用昆明基准气候站资料。</w:t>
            </w:r>
          </w:p>
          <w:p>
            <w:pPr>
              <w:spacing w:line="480" w:lineRule="exact"/>
              <w:ind w:firstLine="422" w:firstLineChars="176"/>
              <w:rPr>
                <w:rFonts w:hint="default"/>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default"/>
                <w:color w:val="auto"/>
              </w:rPr>
              <w:t>Pmax及D10%的确定</w:t>
            </w:r>
          </w:p>
          <w:p>
            <w:pPr>
              <w:spacing w:line="480" w:lineRule="exact"/>
              <w:ind w:firstLine="422" w:firstLineChars="176"/>
              <w:rPr>
                <w:rFonts w:hint="default"/>
                <w:color w:val="auto"/>
              </w:rPr>
            </w:pPr>
            <w:r>
              <w:rPr>
                <w:rFonts w:hint="default"/>
                <w:color w:val="auto"/>
              </w:rPr>
              <w:t>依据《环境影响评价技术导则 大气环境》(HJ2.2-2018)中最大地面浓度占标率Pi定义如下：</w:t>
            </w:r>
          </w:p>
          <w:p>
            <w:pPr>
              <w:spacing w:line="276" w:lineRule="auto"/>
              <w:jc w:val="both"/>
              <w:rPr>
                <w:rFonts w:hint="default"/>
                <w:color w:val="auto"/>
              </w:rPr>
            </w:pPr>
            <w:r>
              <w:rPr>
                <w:rFonts w:hint="default"/>
                <w:color w:val="auto"/>
              </w:rPr>
              <w:drawing>
                <wp:inline distT="0" distB="0" distL="114300" distR="114300">
                  <wp:extent cx="1085850" cy="400050"/>
                  <wp:effectExtent l="0" t="0" r="0" b="0"/>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13">
                            <a:clrChange>
                              <a:clrFrom>
                                <a:srgbClr val="FFFFFF"/>
                              </a:clrFrom>
                              <a:clrTo>
                                <a:srgbClr val="FFFFFF">
                                  <a:alpha val="0"/>
                                </a:srgbClr>
                              </a:clrTo>
                            </a:clrChange>
                          </a:blip>
                          <a:stretch>
                            <a:fillRect/>
                          </a:stretch>
                        </pic:blipFill>
                        <pic:spPr>
                          <a:xfrm>
                            <a:off x="0" y="0"/>
                            <a:ext cx="1085850" cy="400050"/>
                          </a:xfrm>
                          <a:prstGeom prst="rect">
                            <a:avLst/>
                          </a:prstGeom>
                          <a:noFill/>
                          <a:ln>
                            <a:noFill/>
                          </a:ln>
                        </pic:spPr>
                      </pic:pic>
                    </a:graphicData>
                  </a:graphic>
                </wp:inline>
              </w:drawing>
            </w:r>
          </w:p>
          <w:p>
            <w:pPr>
              <w:spacing w:line="480" w:lineRule="exact"/>
              <w:ind w:firstLine="422" w:firstLineChars="176"/>
              <w:rPr>
                <w:rFonts w:hint="default"/>
                <w:color w:val="auto"/>
              </w:rPr>
            </w:pPr>
            <w:r>
              <w:rPr>
                <w:rFonts w:hint="default"/>
                <w:color w:val="auto"/>
              </w:rPr>
              <w:fldChar w:fldCharType="begin"/>
            </w:r>
            <w:r>
              <w:rPr>
                <w:rFonts w:hint="default"/>
                <w:color w:val="auto"/>
              </w:rPr>
              <w:instrText xml:space="preserve"> QUOTE </w:instrText>
            </w:r>
            <w:r>
              <w:rPr>
                <w:rFonts w:hint="default"/>
                <w:color w:val="auto"/>
              </w:rPr>
              <w:drawing>
                <wp:inline distT="0" distB="0" distL="114300" distR="114300">
                  <wp:extent cx="123825" cy="295275"/>
                  <wp:effectExtent l="0" t="0" r="9525" b="0"/>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14">
                            <a:clrChange>
                              <a:clrFrom>
                                <a:srgbClr val="FFFFFF"/>
                              </a:clrFrom>
                              <a:clrTo>
                                <a:srgbClr val="FFFFFF">
                                  <a:alpha val="0"/>
                                </a:srgbClr>
                              </a:clrTo>
                            </a:clrChange>
                          </a:blip>
                          <a:stretch>
                            <a:fillRect/>
                          </a:stretch>
                        </pic:blipFill>
                        <pic:spPr>
                          <a:xfrm>
                            <a:off x="0" y="0"/>
                            <a:ext cx="123825" cy="295275"/>
                          </a:xfrm>
                          <a:prstGeom prst="rect">
                            <a:avLst/>
                          </a:prstGeom>
                          <a:noFill/>
                          <a:ln>
                            <a:noFill/>
                          </a:ln>
                        </pic:spPr>
                      </pic:pic>
                    </a:graphicData>
                  </a:graphic>
                </wp:inline>
              </w:drawing>
            </w:r>
            <w:r>
              <w:rPr>
                <w:rFonts w:hint="default"/>
                <w:color w:val="auto"/>
              </w:rPr>
              <w:instrText xml:space="preserve">  \* MERGEFORMAT </w:instrText>
            </w:r>
            <w:r>
              <w:rPr>
                <w:rFonts w:hint="default"/>
                <w:color w:val="auto"/>
              </w:rPr>
              <w:fldChar w:fldCharType="separate"/>
            </w:r>
            <w:r>
              <w:rPr>
                <w:rFonts w:hint="default"/>
                <w:color w:val="auto"/>
              </w:rPr>
              <w:drawing>
                <wp:inline distT="0" distB="0" distL="114300" distR="114300">
                  <wp:extent cx="123825" cy="295275"/>
                  <wp:effectExtent l="0" t="0" r="9525" b="0"/>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14">
                            <a:clrChange>
                              <a:clrFrom>
                                <a:srgbClr val="FFFFFF"/>
                              </a:clrFrom>
                              <a:clrTo>
                                <a:srgbClr val="FFFFFF">
                                  <a:alpha val="0"/>
                                </a:srgbClr>
                              </a:clrTo>
                            </a:clrChange>
                          </a:blip>
                          <a:stretch>
                            <a:fillRect/>
                          </a:stretch>
                        </pic:blipFill>
                        <pic:spPr>
                          <a:xfrm>
                            <a:off x="0" y="0"/>
                            <a:ext cx="123825" cy="295275"/>
                          </a:xfrm>
                          <a:prstGeom prst="rect">
                            <a:avLst/>
                          </a:prstGeom>
                          <a:noFill/>
                          <a:ln>
                            <a:noFill/>
                          </a:ln>
                        </pic:spPr>
                      </pic:pic>
                    </a:graphicData>
                  </a:graphic>
                </wp:inline>
              </w:drawing>
            </w:r>
            <w:r>
              <w:rPr>
                <w:rFonts w:hint="default"/>
                <w:color w:val="auto"/>
              </w:rPr>
              <w:fldChar w:fldCharType="end"/>
            </w:r>
            <w:r>
              <w:rPr>
                <w:rFonts w:hint="default"/>
                <w:color w:val="auto"/>
              </w:rPr>
              <w:t xml:space="preserve"> ——第i个污染物的最大地面空气质量浓度 占标率，%；</w:t>
            </w:r>
          </w:p>
          <w:p>
            <w:pPr>
              <w:spacing w:line="480" w:lineRule="exact"/>
              <w:ind w:firstLine="422" w:firstLineChars="176"/>
              <w:rPr>
                <w:rFonts w:hint="default"/>
                <w:color w:val="auto"/>
              </w:rPr>
            </w:pPr>
            <w:r>
              <w:rPr>
                <w:rFonts w:hint="default"/>
                <w:color w:val="auto"/>
              </w:rPr>
              <w:fldChar w:fldCharType="begin"/>
            </w:r>
            <w:r>
              <w:rPr>
                <w:rFonts w:hint="default"/>
                <w:color w:val="auto"/>
              </w:rPr>
              <w:instrText xml:space="preserve"> QUOTE </w:instrText>
            </w:r>
            <w:r>
              <w:rPr>
                <w:rFonts w:hint="default"/>
                <w:color w:val="auto"/>
              </w:rPr>
              <w:drawing>
                <wp:inline distT="0" distB="0" distL="114300" distR="114300">
                  <wp:extent cx="133350" cy="295275"/>
                  <wp:effectExtent l="0" t="0" r="0" b="0"/>
                  <wp:docPr id="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2"/>
                          <pic:cNvPicPr>
                            <a:picLocks noChangeAspect="1"/>
                          </pic:cNvPicPr>
                        </pic:nvPicPr>
                        <pic:blipFill>
                          <a:blip r:embed="rId15">
                            <a:clrChange>
                              <a:clrFrom>
                                <a:srgbClr val="FFFFFF"/>
                              </a:clrFrom>
                              <a:clrTo>
                                <a:srgbClr val="FFFFFF">
                                  <a:alpha val="0"/>
                                </a:srgbClr>
                              </a:clrTo>
                            </a:clrChange>
                          </a:blip>
                          <a:stretch>
                            <a:fillRect/>
                          </a:stretch>
                        </pic:blipFill>
                        <pic:spPr>
                          <a:xfrm>
                            <a:off x="0" y="0"/>
                            <a:ext cx="133350" cy="295275"/>
                          </a:xfrm>
                          <a:prstGeom prst="rect">
                            <a:avLst/>
                          </a:prstGeom>
                          <a:noFill/>
                          <a:ln>
                            <a:noFill/>
                          </a:ln>
                        </pic:spPr>
                      </pic:pic>
                    </a:graphicData>
                  </a:graphic>
                </wp:inline>
              </w:drawing>
            </w:r>
            <w:r>
              <w:rPr>
                <w:rFonts w:hint="default"/>
                <w:color w:val="auto"/>
              </w:rPr>
              <w:instrText xml:space="preserve">  \* MERGEFORMAT </w:instrText>
            </w:r>
            <w:r>
              <w:rPr>
                <w:rFonts w:hint="default"/>
                <w:color w:val="auto"/>
              </w:rPr>
              <w:fldChar w:fldCharType="separate"/>
            </w:r>
            <w:r>
              <w:rPr>
                <w:rFonts w:hint="default"/>
                <w:color w:val="auto"/>
              </w:rPr>
              <w:drawing>
                <wp:inline distT="0" distB="0" distL="114300" distR="114300">
                  <wp:extent cx="133350" cy="295275"/>
                  <wp:effectExtent l="0" t="0" r="0" b="0"/>
                  <wp:docPr id="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
                          <pic:cNvPicPr>
                            <a:picLocks noChangeAspect="1"/>
                          </pic:cNvPicPr>
                        </pic:nvPicPr>
                        <pic:blipFill>
                          <a:blip r:embed="rId15">
                            <a:clrChange>
                              <a:clrFrom>
                                <a:srgbClr val="FFFFFF"/>
                              </a:clrFrom>
                              <a:clrTo>
                                <a:srgbClr val="FFFFFF">
                                  <a:alpha val="0"/>
                                </a:srgbClr>
                              </a:clrTo>
                            </a:clrChange>
                          </a:blip>
                          <a:stretch>
                            <a:fillRect/>
                          </a:stretch>
                        </pic:blipFill>
                        <pic:spPr>
                          <a:xfrm>
                            <a:off x="0" y="0"/>
                            <a:ext cx="133350" cy="295275"/>
                          </a:xfrm>
                          <a:prstGeom prst="rect">
                            <a:avLst/>
                          </a:prstGeom>
                          <a:noFill/>
                          <a:ln>
                            <a:noFill/>
                          </a:ln>
                        </pic:spPr>
                      </pic:pic>
                    </a:graphicData>
                  </a:graphic>
                </wp:inline>
              </w:drawing>
            </w:r>
            <w:r>
              <w:rPr>
                <w:rFonts w:hint="default"/>
                <w:color w:val="auto"/>
              </w:rPr>
              <w:fldChar w:fldCharType="end"/>
            </w:r>
            <w:r>
              <w:rPr>
                <w:rFonts w:hint="default"/>
                <w:color w:val="auto"/>
              </w:rPr>
              <w:t>——采用估算模型计算出的第i个污染物的最大1h地面空气质量浓度，μg/</w:t>
            </w:r>
            <w:r>
              <w:rPr>
                <w:rFonts w:hint="eastAsia"/>
                <w:color w:val="auto"/>
                <w:lang w:val="en-US" w:eastAsia="zh-CN"/>
              </w:rPr>
              <w:t>m</w:t>
            </w:r>
            <w:r>
              <w:rPr>
                <w:rFonts w:hint="eastAsia"/>
                <w:color w:val="auto"/>
                <w:vertAlign w:val="superscript"/>
                <w:lang w:val="en-US" w:eastAsia="zh-CN"/>
              </w:rPr>
              <w:t>3</w:t>
            </w:r>
            <w:r>
              <w:rPr>
                <w:rFonts w:hint="default"/>
                <w:color w:val="auto"/>
              </w:rPr>
              <w:t>；</w:t>
            </w:r>
          </w:p>
          <w:p>
            <w:pPr>
              <w:spacing w:line="480" w:lineRule="exact"/>
              <w:ind w:firstLine="422" w:firstLineChars="176"/>
              <w:rPr>
                <w:rFonts w:hint="default"/>
                <w:color w:val="auto"/>
              </w:rPr>
            </w:pPr>
            <w:r>
              <w:rPr>
                <w:rFonts w:hint="default"/>
                <w:color w:val="auto"/>
              </w:rPr>
              <w:fldChar w:fldCharType="begin"/>
            </w:r>
            <w:r>
              <w:rPr>
                <w:rFonts w:hint="default"/>
                <w:color w:val="auto"/>
              </w:rPr>
              <w:instrText xml:space="preserve"> QUOTE </w:instrText>
            </w:r>
            <w:r>
              <w:rPr>
                <w:rFonts w:hint="default"/>
                <w:color w:val="auto"/>
              </w:rPr>
              <w:drawing>
                <wp:inline distT="0" distB="0" distL="114300" distR="114300">
                  <wp:extent cx="190500" cy="295275"/>
                  <wp:effectExtent l="0" t="0" r="0" b="0"/>
                  <wp:docPr id="2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4"/>
                          <pic:cNvPicPr>
                            <a:picLocks noChangeAspect="1"/>
                          </pic:cNvPicPr>
                        </pic:nvPicPr>
                        <pic:blipFill>
                          <a:blip r:embed="rId16">
                            <a:clrChange>
                              <a:clrFrom>
                                <a:srgbClr val="FFFFFF"/>
                              </a:clrFrom>
                              <a:clrTo>
                                <a:srgbClr val="FFFFFF">
                                  <a:alpha val="0"/>
                                </a:srgbClr>
                              </a:clrTo>
                            </a:clrChange>
                          </a:blip>
                          <a:stretch>
                            <a:fillRect/>
                          </a:stretch>
                        </pic:blipFill>
                        <pic:spPr>
                          <a:xfrm>
                            <a:off x="0" y="0"/>
                            <a:ext cx="190500" cy="295275"/>
                          </a:xfrm>
                          <a:prstGeom prst="rect">
                            <a:avLst/>
                          </a:prstGeom>
                          <a:noFill/>
                          <a:ln>
                            <a:noFill/>
                          </a:ln>
                        </pic:spPr>
                      </pic:pic>
                    </a:graphicData>
                  </a:graphic>
                </wp:inline>
              </w:drawing>
            </w:r>
            <w:r>
              <w:rPr>
                <w:rFonts w:hint="default"/>
                <w:color w:val="auto"/>
              </w:rPr>
              <w:instrText xml:space="preserve">  \* MERGEFORMAT </w:instrText>
            </w:r>
            <w:r>
              <w:rPr>
                <w:rFonts w:hint="default"/>
                <w:color w:val="auto"/>
              </w:rPr>
              <w:fldChar w:fldCharType="separate"/>
            </w:r>
            <w:r>
              <w:rPr>
                <w:rFonts w:hint="default"/>
                <w:color w:val="auto"/>
              </w:rPr>
              <w:drawing>
                <wp:inline distT="0" distB="0" distL="114300" distR="114300">
                  <wp:extent cx="190500" cy="295275"/>
                  <wp:effectExtent l="0" t="0" r="0" b="0"/>
                  <wp:docPr id="2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5"/>
                          <pic:cNvPicPr>
                            <a:picLocks noChangeAspect="1"/>
                          </pic:cNvPicPr>
                        </pic:nvPicPr>
                        <pic:blipFill>
                          <a:blip r:embed="rId16">
                            <a:clrChange>
                              <a:clrFrom>
                                <a:srgbClr val="FFFFFF"/>
                              </a:clrFrom>
                              <a:clrTo>
                                <a:srgbClr val="FFFFFF">
                                  <a:alpha val="0"/>
                                </a:srgbClr>
                              </a:clrTo>
                            </a:clrChange>
                          </a:blip>
                          <a:stretch>
                            <a:fillRect/>
                          </a:stretch>
                        </pic:blipFill>
                        <pic:spPr>
                          <a:xfrm>
                            <a:off x="0" y="0"/>
                            <a:ext cx="190500" cy="295275"/>
                          </a:xfrm>
                          <a:prstGeom prst="rect">
                            <a:avLst/>
                          </a:prstGeom>
                          <a:noFill/>
                          <a:ln>
                            <a:noFill/>
                          </a:ln>
                        </pic:spPr>
                      </pic:pic>
                    </a:graphicData>
                  </a:graphic>
                </wp:inline>
              </w:drawing>
            </w:r>
            <w:r>
              <w:rPr>
                <w:rFonts w:hint="default"/>
                <w:color w:val="auto"/>
              </w:rPr>
              <w:fldChar w:fldCharType="end"/>
            </w:r>
            <w:r>
              <w:rPr>
                <w:rFonts w:hint="default"/>
                <w:color w:val="auto"/>
              </w:rPr>
              <w:t>——第i个污染物的环境空气质量浓度标准，μg/</w:t>
            </w:r>
            <w:r>
              <w:rPr>
                <w:rFonts w:hint="eastAsia"/>
                <w:color w:val="auto"/>
                <w:lang w:val="en-US" w:eastAsia="zh-CN"/>
              </w:rPr>
              <w:t>m</w:t>
            </w:r>
            <w:r>
              <w:rPr>
                <w:rFonts w:hint="eastAsia"/>
                <w:color w:val="auto"/>
                <w:vertAlign w:val="superscript"/>
                <w:lang w:val="en-US" w:eastAsia="zh-CN"/>
              </w:rPr>
              <w:t>3</w:t>
            </w:r>
            <w:r>
              <w:rPr>
                <w:rFonts w:hint="default"/>
                <w:color w:val="auto"/>
              </w:rPr>
              <w:t>。</w:t>
            </w:r>
          </w:p>
          <w:p>
            <w:pPr>
              <w:spacing w:line="480" w:lineRule="exact"/>
              <w:ind w:firstLine="422" w:firstLineChars="176"/>
              <w:rPr>
                <w:rFonts w:hint="default"/>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rFonts w:hint="default"/>
                <w:color w:val="auto"/>
              </w:rPr>
              <w:t>评价等级判别表</w:t>
            </w:r>
          </w:p>
          <w:p>
            <w:pPr>
              <w:spacing w:line="480" w:lineRule="exact"/>
              <w:ind w:firstLine="422" w:firstLineChars="176"/>
              <w:rPr>
                <w:rFonts w:hint="default"/>
                <w:color w:val="auto"/>
              </w:rPr>
            </w:pPr>
            <w:r>
              <w:rPr>
                <w:rFonts w:hint="default"/>
                <w:color w:val="auto"/>
              </w:rPr>
              <w:t>评价等级按下表的分级判据进行划分</w:t>
            </w:r>
          </w:p>
          <w:p>
            <w:pPr>
              <w:pStyle w:val="19"/>
              <w:bidi w:val="0"/>
              <w:rPr>
                <w:rFonts w:hint="default"/>
                <w:color w:val="auto"/>
              </w:rPr>
            </w:pPr>
            <w:r>
              <w:rPr>
                <w:rFonts w:hint="default"/>
                <w:color w:val="auto"/>
              </w:rPr>
              <w:t>表7-</w:t>
            </w:r>
            <w:r>
              <w:rPr>
                <w:rFonts w:hint="eastAsia"/>
                <w:color w:val="auto"/>
                <w:lang w:val="en-US" w:eastAsia="zh-CN"/>
              </w:rPr>
              <w:t>5</w:t>
            </w:r>
            <w:r>
              <w:rPr>
                <w:rFonts w:hint="default"/>
                <w:color w:val="auto"/>
              </w:rPr>
              <w:t xml:space="preserve"> 评价等级判别表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98"/>
              <w:gridCol w:w="4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098" w:type="dxa"/>
                  <w:noWrap w:val="0"/>
                  <w:vAlign w:val="center"/>
                </w:tcPr>
                <w:p>
                  <w:pPr>
                    <w:pStyle w:val="18"/>
                    <w:bidi w:val="0"/>
                    <w:rPr>
                      <w:rFonts w:hint="default"/>
                      <w:color w:val="auto"/>
                    </w:rPr>
                  </w:pPr>
                  <w:r>
                    <w:rPr>
                      <w:rFonts w:hint="default"/>
                      <w:color w:val="auto"/>
                    </w:rPr>
                    <w:t>评价工作等级</w:t>
                  </w:r>
                </w:p>
              </w:tc>
              <w:tc>
                <w:tcPr>
                  <w:tcW w:w="4198" w:type="dxa"/>
                  <w:noWrap w:val="0"/>
                  <w:vAlign w:val="center"/>
                </w:tcPr>
                <w:p>
                  <w:pPr>
                    <w:pStyle w:val="18"/>
                    <w:bidi w:val="0"/>
                    <w:rPr>
                      <w:rFonts w:hint="default"/>
                      <w:color w:val="auto"/>
                    </w:rPr>
                  </w:pPr>
                  <w:r>
                    <w:rPr>
                      <w:rFonts w:hint="default"/>
                      <w:color w:val="auto"/>
                    </w:rPr>
                    <w:t>评价工作分级判据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098" w:type="dxa"/>
                  <w:noWrap w:val="0"/>
                  <w:vAlign w:val="center"/>
                </w:tcPr>
                <w:p>
                  <w:pPr>
                    <w:pStyle w:val="18"/>
                    <w:bidi w:val="0"/>
                    <w:rPr>
                      <w:rFonts w:hint="default"/>
                      <w:color w:val="auto"/>
                    </w:rPr>
                  </w:pPr>
                  <w:r>
                    <w:rPr>
                      <w:rFonts w:hint="default"/>
                      <w:color w:val="auto"/>
                    </w:rPr>
                    <w:t>一级评价</w:t>
                  </w:r>
                </w:p>
              </w:tc>
              <w:tc>
                <w:tcPr>
                  <w:tcW w:w="4198" w:type="dxa"/>
                  <w:noWrap w:val="0"/>
                  <w:vAlign w:val="center"/>
                </w:tcPr>
                <w:p>
                  <w:pPr>
                    <w:pStyle w:val="18"/>
                    <w:bidi w:val="0"/>
                    <w:rPr>
                      <w:rFonts w:hint="default"/>
                      <w:color w:val="auto"/>
                    </w:rPr>
                  </w:pPr>
                  <w:r>
                    <w:rPr>
                      <w:rFonts w:hint="default"/>
                      <w:color w:val="auto"/>
                    </w:rPr>
                    <w:t>Pmax≧10%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098" w:type="dxa"/>
                  <w:noWrap w:val="0"/>
                  <w:vAlign w:val="center"/>
                </w:tcPr>
                <w:p>
                  <w:pPr>
                    <w:pStyle w:val="18"/>
                    <w:bidi w:val="0"/>
                    <w:rPr>
                      <w:rFonts w:hint="default"/>
                      <w:color w:val="auto"/>
                    </w:rPr>
                  </w:pPr>
                  <w:r>
                    <w:rPr>
                      <w:rFonts w:hint="default"/>
                      <w:color w:val="auto"/>
                    </w:rPr>
                    <w:t>二级评价</w:t>
                  </w:r>
                </w:p>
              </w:tc>
              <w:tc>
                <w:tcPr>
                  <w:tcW w:w="4198" w:type="dxa"/>
                  <w:noWrap w:val="0"/>
                  <w:vAlign w:val="center"/>
                </w:tcPr>
                <w:p>
                  <w:pPr>
                    <w:pStyle w:val="18"/>
                    <w:bidi w:val="0"/>
                    <w:rPr>
                      <w:rFonts w:hint="default"/>
                      <w:color w:val="auto"/>
                    </w:rPr>
                  </w:pPr>
                  <w:r>
                    <w:rPr>
                      <w:rFonts w:hint="default"/>
                      <w:color w:val="auto"/>
                    </w:rPr>
                    <w:t>1%≦Pmax&lt;10%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098" w:type="dxa"/>
                  <w:noWrap w:val="0"/>
                  <w:vAlign w:val="center"/>
                </w:tcPr>
                <w:p>
                  <w:pPr>
                    <w:pStyle w:val="18"/>
                    <w:bidi w:val="0"/>
                    <w:rPr>
                      <w:rFonts w:hint="default"/>
                      <w:color w:val="auto"/>
                    </w:rPr>
                  </w:pPr>
                  <w:r>
                    <w:rPr>
                      <w:rFonts w:hint="default"/>
                      <w:color w:val="auto"/>
                    </w:rPr>
                    <w:t>三级评价</w:t>
                  </w:r>
                </w:p>
              </w:tc>
              <w:tc>
                <w:tcPr>
                  <w:tcW w:w="4198" w:type="dxa"/>
                  <w:noWrap w:val="0"/>
                  <w:vAlign w:val="center"/>
                </w:tcPr>
                <w:p>
                  <w:pPr>
                    <w:pStyle w:val="18"/>
                    <w:bidi w:val="0"/>
                    <w:rPr>
                      <w:rFonts w:hint="default"/>
                      <w:color w:val="auto"/>
                    </w:rPr>
                  </w:pPr>
                  <w:r>
                    <w:rPr>
                      <w:rFonts w:hint="default"/>
                      <w:color w:val="auto"/>
                    </w:rPr>
                    <w:t>Pmax&lt;1%</w:t>
                  </w:r>
                </w:p>
              </w:tc>
            </w:tr>
          </w:tbl>
          <w:p>
            <w:pPr>
              <w:bidi w:val="0"/>
              <w:rPr>
                <w:rFonts w:hint="eastAsia"/>
                <w:color w:val="auto"/>
                <w:lang w:eastAsia="zh-CN"/>
              </w:rPr>
            </w:pPr>
            <w:r>
              <w:rPr>
                <w:rFonts w:hint="eastAsia"/>
                <w:color w:val="auto"/>
                <w:lang w:eastAsia="zh-CN"/>
              </w:rPr>
              <w:t>（</w:t>
            </w:r>
            <w:r>
              <w:rPr>
                <w:rFonts w:hint="eastAsia"/>
                <w:color w:val="auto"/>
                <w:lang w:val="en-US" w:eastAsia="zh-CN"/>
              </w:rPr>
              <w:t>4</w:t>
            </w:r>
            <w:r>
              <w:rPr>
                <w:rFonts w:hint="eastAsia"/>
                <w:color w:val="auto"/>
                <w:lang w:eastAsia="zh-CN"/>
              </w:rPr>
              <w:t>）污染物评价标准</w:t>
            </w:r>
          </w:p>
          <w:p>
            <w:pPr>
              <w:bidi w:val="0"/>
              <w:rPr>
                <w:rFonts w:hint="eastAsia"/>
                <w:color w:val="auto"/>
                <w:lang w:eastAsia="zh-CN"/>
              </w:rPr>
            </w:pPr>
            <w:r>
              <w:rPr>
                <w:rFonts w:hint="eastAsia"/>
                <w:color w:val="auto"/>
                <w:lang w:eastAsia="zh-CN"/>
              </w:rPr>
              <w:t>污染物评价标准和来源见下表。</w:t>
            </w:r>
          </w:p>
          <w:p>
            <w:pPr>
              <w:pStyle w:val="19"/>
              <w:bidi w:val="0"/>
              <w:rPr>
                <w:rFonts w:hint="default"/>
                <w:color w:val="auto"/>
                <w:lang w:val="en-US" w:eastAsia="zh-CN"/>
              </w:rPr>
            </w:pPr>
            <w:r>
              <w:rPr>
                <w:rFonts w:hint="eastAsia"/>
                <w:color w:val="auto"/>
                <w:lang w:eastAsia="zh-CN"/>
              </w:rPr>
              <w:t>表</w:t>
            </w:r>
            <w:r>
              <w:rPr>
                <w:rFonts w:hint="eastAsia"/>
                <w:color w:val="auto"/>
                <w:lang w:val="en-US" w:eastAsia="zh-CN"/>
              </w:rPr>
              <w:t>7-6 污染物评价标准</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982"/>
              <w:gridCol w:w="1159"/>
              <w:gridCol w:w="1541"/>
              <w:gridCol w:w="3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93" w:type="dxa"/>
                  <w:noWrap w:val="0"/>
                  <w:vAlign w:val="center"/>
                </w:tcPr>
                <w:p>
                  <w:pPr>
                    <w:pStyle w:val="18"/>
                    <w:bidi w:val="0"/>
                    <w:rPr>
                      <w:rFonts w:hint="eastAsia"/>
                      <w:color w:val="auto"/>
                      <w:lang w:eastAsia="zh-CN"/>
                    </w:rPr>
                  </w:pPr>
                  <w:r>
                    <w:rPr>
                      <w:rFonts w:hint="eastAsia"/>
                      <w:color w:val="auto"/>
                      <w:lang w:eastAsia="zh-CN"/>
                    </w:rPr>
                    <w:t>污染源名称</w:t>
                  </w:r>
                </w:p>
              </w:tc>
              <w:tc>
                <w:tcPr>
                  <w:tcW w:w="982" w:type="dxa"/>
                  <w:noWrap w:val="0"/>
                  <w:vAlign w:val="center"/>
                </w:tcPr>
                <w:p>
                  <w:pPr>
                    <w:pStyle w:val="18"/>
                    <w:bidi w:val="0"/>
                    <w:rPr>
                      <w:rFonts w:hint="eastAsia"/>
                      <w:color w:val="auto"/>
                      <w:lang w:eastAsia="zh-CN"/>
                    </w:rPr>
                  </w:pPr>
                  <w:r>
                    <w:rPr>
                      <w:rFonts w:hint="eastAsia"/>
                      <w:color w:val="auto"/>
                      <w:lang w:eastAsia="zh-CN"/>
                    </w:rPr>
                    <w:t>功能区</w:t>
                  </w:r>
                </w:p>
              </w:tc>
              <w:tc>
                <w:tcPr>
                  <w:tcW w:w="1159" w:type="dxa"/>
                  <w:noWrap w:val="0"/>
                  <w:vAlign w:val="center"/>
                </w:tcPr>
                <w:p>
                  <w:pPr>
                    <w:pStyle w:val="18"/>
                    <w:bidi w:val="0"/>
                    <w:rPr>
                      <w:rFonts w:hint="eastAsia"/>
                      <w:color w:val="auto"/>
                      <w:lang w:eastAsia="zh-CN"/>
                    </w:rPr>
                  </w:pPr>
                  <w:r>
                    <w:rPr>
                      <w:rFonts w:hint="eastAsia"/>
                      <w:color w:val="auto"/>
                      <w:lang w:eastAsia="zh-CN"/>
                    </w:rPr>
                    <w:t>取值时间</w:t>
                  </w:r>
                </w:p>
              </w:tc>
              <w:tc>
                <w:tcPr>
                  <w:tcW w:w="1541" w:type="dxa"/>
                  <w:noWrap w:val="0"/>
                  <w:vAlign w:val="center"/>
                </w:tcPr>
                <w:p>
                  <w:pPr>
                    <w:pStyle w:val="18"/>
                    <w:bidi w:val="0"/>
                    <w:rPr>
                      <w:rFonts w:hint="eastAsia"/>
                      <w:color w:val="auto"/>
                      <w:lang w:eastAsia="zh-CN"/>
                    </w:rPr>
                  </w:pPr>
                  <w:r>
                    <w:rPr>
                      <w:rFonts w:hint="eastAsia"/>
                      <w:color w:val="auto"/>
                      <w:lang w:eastAsia="zh-CN"/>
                    </w:rPr>
                    <w:t>标准（</w:t>
                  </w:r>
                  <w:r>
                    <w:rPr>
                      <w:rFonts w:hint="eastAsia"/>
                      <w:color w:val="auto"/>
                      <w:lang w:val="en-US" w:eastAsia="zh-CN"/>
                    </w:rPr>
                    <w:t>ug/m</w:t>
                  </w:r>
                  <w:r>
                    <w:rPr>
                      <w:rFonts w:hint="eastAsia"/>
                      <w:color w:val="auto"/>
                      <w:vertAlign w:val="superscript"/>
                      <w:lang w:val="en-US" w:eastAsia="zh-CN"/>
                    </w:rPr>
                    <w:t>3</w:t>
                  </w:r>
                  <w:r>
                    <w:rPr>
                      <w:rFonts w:hint="eastAsia"/>
                      <w:color w:val="auto"/>
                      <w:lang w:eastAsia="zh-CN"/>
                    </w:rPr>
                    <w:t>）</w:t>
                  </w:r>
                </w:p>
              </w:tc>
              <w:tc>
                <w:tcPr>
                  <w:tcW w:w="3221" w:type="dxa"/>
                  <w:noWrap w:val="0"/>
                  <w:vAlign w:val="center"/>
                </w:tcPr>
                <w:p>
                  <w:pPr>
                    <w:pStyle w:val="18"/>
                    <w:bidi w:val="0"/>
                    <w:rPr>
                      <w:rFonts w:hint="eastAsia"/>
                      <w:color w:val="auto"/>
                      <w:lang w:eastAsia="zh-CN"/>
                    </w:rPr>
                  </w:pPr>
                  <w:r>
                    <w:rPr>
                      <w:rFonts w:hint="eastAsia"/>
                      <w:color w:val="auto"/>
                      <w:lang w:eastAsia="zh-CN"/>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93" w:type="dxa"/>
                  <w:noWrap w:val="0"/>
                  <w:vAlign w:val="center"/>
                </w:tcPr>
                <w:p>
                  <w:pPr>
                    <w:pStyle w:val="18"/>
                    <w:bidi w:val="0"/>
                    <w:rPr>
                      <w:rFonts w:hint="default"/>
                      <w:color w:val="auto"/>
                      <w:lang w:val="en-US" w:eastAsia="zh-CN"/>
                    </w:rPr>
                  </w:pPr>
                  <w:r>
                    <w:rPr>
                      <w:rFonts w:hint="eastAsia"/>
                      <w:color w:val="auto"/>
                      <w:lang w:val="en-US" w:eastAsia="zh-CN"/>
                    </w:rPr>
                    <w:t>TSP</w:t>
                  </w:r>
                </w:p>
              </w:tc>
              <w:tc>
                <w:tcPr>
                  <w:tcW w:w="982" w:type="dxa"/>
                  <w:vMerge w:val="restart"/>
                  <w:noWrap w:val="0"/>
                  <w:vAlign w:val="center"/>
                </w:tcPr>
                <w:p>
                  <w:pPr>
                    <w:pStyle w:val="18"/>
                    <w:bidi w:val="0"/>
                    <w:rPr>
                      <w:rFonts w:hint="eastAsia"/>
                      <w:color w:val="auto"/>
                      <w:lang w:eastAsia="zh-CN"/>
                    </w:rPr>
                  </w:pPr>
                  <w:r>
                    <w:rPr>
                      <w:rFonts w:hint="eastAsia"/>
                      <w:color w:val="auto"/>
                      <w:lang w:eastAsia="zh-CN"/>
                    </w:rPr>
                    <w:t>二类功能区</w:t>
                  </w:r>
                </w:p>
              </w:tc>
              <w:tc>
                <w:tcPr>
                  <w:tcW w:w="1159" w:type="dxa"/>
                  <w:noWrap w:val="0"/>
                  <w:vAlign w:val="center"/>
                </w:tcPr>
                <w:p>
                  <w:pPr>
                    <w:pStyle w:val="18"/>
                    <w:bidi w:val="0"/>
                    <w:rPr>
                      <w:rFonts w:hint="eastAsia"/>
                      <w:color w:val="auto"/>
                      <w:lang w:eastAsia="zh-CN"/>
                    </w:rPr>
                  </w:pPr>
                  <w:r>
                    <w:rPr>
                      <w:rFonts w:hint="eastAsia"/>
                      <w:color w:val="auto"/>
                      <w:lang w:eastAsia="zh-CN"/>
                    </w:rPr>
                    <w:t>日均</w:t>
                  </w:r>
                </w:p>
              </w:tc>
              <w:tc>
                <w:tcPr>
                  <w:tcW w:w="1541" w:type="dxa"/>
                  <w:noWrap w:val="0"/>
                  <w:vAlign w:val="center"/>
                </w:tcPr>
                <w:p>
                  <w:pPr>
                    <w:pStyle w:val="18"/>
                    <w:bidi w:val="0"/>
                    <w:rPr>
                      <w:rFonts w:hint="default"/>
                      <w:color w:val="auto"/>
                      <w:lang w:val="en-US" w:eastAsia="zh-CN"/>
                    </w:rPr>
                  </w:pPr>
                  <w:r>
                    <w:rPr>
                      <w:rFonts w:hint="eastAsia"/>
                      <w:color w:val="auto"/>
                      <w:lang w:val="en-US" w:eastAsia="zh-CN"/>
                    </w:rPr>
                    <w:t>300</w:t>
                  </w:r>
                </w:p>
              </w:tc>
              <w:tc>
                <w:tcPr>
                  <w:tcW w:w="3221" w:type="dxa"/>
                  <w:noWrap w:val="0"/>
                  <w:vAlign w:val="center"/>
                </w:tcPr>
                <w:p>
                  <w:pPr>
                    <w:pStyle w:val="18"/>
                    <w:bidi w:val="0"/>
                    <w:rPr>
                      <w:rFonts w:hint="default"/>
                      <w:color w:val="auto"/>
                    </w:rPr>
                  </w:pPr>
                  <w:r>
                    <w:rPr>
                      <w:rFonts w:hint="default"/>
                      <w:color w:val="auto"/>
                    </w:rPr>
                    <w:t>GB 3095-2012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93" w:type="dxa"/>
                  <w:noWrap w:val="0"/>
                  <w:vAlign w:val="center"/>
                </w:tcPr>
                <w:p>
                  <w:pPr>
                    <w:pStyle w:val="18"/>
                    <w:bidi w:val="0"/>
                    <w:rPr>
                      <w:rFonts w:hint="eastAsia"/>
                      <w:color w:val="auto"/>
                      <w:lang w:eastAsia="zh-CN"/>
                    </w:rPr>
                  </w:pPr>
                  <w:r>
                    <w:rPr>
                      <w:rFonts w:hint="eastAsia"/>
                      <w:color w:val="auto"/>
                      <w:lang w:eastAsia="zh-CN"/>
                    </w:rPr>
                    <w:t>挥发性有机物</w:t>
                  </w:r>
                </w:p>
              </w:tc>
              <w:tc>
                <w:tcPr>
                  <w:tcW w:w="982" w:type="dxa"/>
                  <w:vMerge w:val="continue"/>
                  <w:noWrap w:val="0"/>
                  <w:vAlign w:val="center"/>
                </w:tcPr>
                <w:p>
                  <w:pPr>
                    <w:pStyle w:val="18"/>
                    <w:bidi w:val="0"/>
                    <w:rPr>
                      <w:rFonts w:hint="default"/>
                      <w:color w:val="auto"/>
                    </w:rPr>
                  </w:pPr>
                </w:p>
              </w:tc>
              <w:tc>
                <w:tcPr>
                  <w:tcW w:w="1159" w:type="dxa"/>
                  <w:noWrap w:val="0"/>
                  <w:vAlign w:val="center"/>
                </w:tcPr>
                <w:p>
                  <w:pPr>
                    <w:pStyle w:val="18"/>
                    <w:bidi w:val="0"/>
                    <w:rPr>
                      <w:rFonts w:hint="eastAsia"/>
                      <w:color w:val="auto"/>
                      <w:lang w:eastAsia="zh-CN"/>
                    </w:rPr>
                  </w:pPr>
                  <w:r>
                    <w:rPr>
                      <w:rFonts w:hint="eastAsia"/>
                      <w:color w:val="auto"/>
                      <w:lang w:eastAsia="zh-CN"/>
                    </w:rPr>
                    <w:t>一小时</w:t>
                  </w:r>
                </w:p>
              </w:tc>
              <w:tc>
                <w:tcPr>
                  <w:tcW w:w="1541" w:type="dxa"/>
                  <w:noWrap w:val="0"/>
                  <w:vAlign w:val="center"/>
                </w:tcPr>
                <w:p>
                  <w:pPr>
                    <w:pStyle w:val="18"/>
                    <w:bidi w:val="0"/>
                    <w:rPr>
                      <w:rFonts w:hint="default"/>
                      <w:color w:val="auto"/>
                      <w:lang w:val="en-US" w:eastAsia="zh-CN"/>
                    </w:rPr>
                  </w:pPr>
                  <w:r>
                    <w:rPr>
                      <w:rFonts w:hint="eastAsia"/>
                      <w:color w:val="auto"/>
                      <w:lang w:val="en-US" w:eastAsia="zh-CN"/>
                    </w:rPr>
                    <w:t>600</w:t>
                  </w:r>
                </w:p>
              </w:tc>
              <w:tc>
                <w:tcPr>
                  <w:tcW w:w="3221" w:type="dxa"/>
                  <w:noWrap w:val="0"/>
                  <w:vAlign w:val="center"/>
                </w:tcPr>
                <w:p>
                  <w:pPr>
                    <w:pStyle w:val="18"/>
                    <w:bidi w:val="0"/>
                    <w:rPr>
                      <w:rFonts w:hint="default"/>
                      <w:color w:val="auto"/>
                      <w:lang w:val="en-US" w:eastAsia="zh-CN"/>
                    </w:rPr>
                  </w:pPr>
                  <w:r>
                    <w:rPr>
                      <w:rFonts w:hint="default"/>
                      <w:color w:val="auto"/>
                    </w:rPr>
                    <w:t>《</w:t>
                  </w:r>
                  <w:r>
                    <w:rPr>
                      <w:rFonts w:hint="eastAsia"/>
                      <w:color w:val="auto"/>
                      <w:lang w:eastAsia="zh-CN"/>
                    </w:rPr>
                    <w:t>环境影响评价技术导则</w:t>
                  </w:r>
                  <w:r>
                    <w:rPr>
                      <w:rFonts w:hint="eastAsia"/>
                      <w:color w:val="auto"/>
                      <w:lang w:val="en-US" w:eastAsia="zh-CN"/>
                    </w:rPr>
                    <w:t>--大气环境</w:t>
                  </w:r>
                  <w:r>
                    <w:rPr>
                      <w:rFonts w:hint="default"/>
                      <w:color w:val="auto"/>
                    </w:rPr>
                    <w:t>》（</w:t>
                  </w:r>
                  <w:r>
                    <w:rPr>
                      <w:rFonts w:hint="eastAsia"/>
                      <w:color w:val="auto"/>
                      <w:lang w:val="en-US" w:eastAsia="zh-CN"/>
                    </w:rPr>
                    <w:t>HJ2.2-2018</w:t>
                  </w:r>
                  <w:r>
                    <w:rPr>
                      <w:rFonts w:hint="eastAsia"/>
                      <w:color w:val="auto"/>
                      <w:lang w:eastAsia="zh-CN"/>
                    </w:rPr>
                    <w:t>附录</w:t>
                  </w:r>
                  <w:r>
                    <w:rPr>
                      <w:rFonts w:hint="eastAsia"/>
                      <w:color w:val="auto"/>
                      <w:lang w:val="en-US" w:eastAsia="zh-CN"/>
                    </w:rPr>
                    <w:t>D中总挥发性有机物8h均值</w:t>
                  </w:r>
                </w:p>
              </w:tc>
            </w:tr>
          </w:tbl>
          <w:p>
            <w:pPr>
              <w:bidi w:val="0"/>
              <w:ind w:firstLine="480" w:firstLineChars="200"/>
              <w:jc w:val="both"/>
              <w:rPr>
                <w:rFonts w:hint="default"/>
                <w:color w:val="auto"/>
              </w:rPr>
            </w:pPr>
            <w:r>
              <w:rPr>
                <w:rFonts w:hint="eastAsia"/>
                <w:color w:val="auto"/>
                <w:lang w:eastAsia="zh-CN"/>
              </w:rPr>
              <w:t>（</w:t>
            </w:r>
            <w:r>
              <w:rPr>
                <w:rFonts w:hint="eastAsia"/>
                <w:color w:val="auto"/>
                <w:lang w:val="en-US" w:eastAsia="zh-CN"/>
              </w:rPr>
              <w:t>5</w:t>
            </w:r>
            <w:r>
              <w:rPr>
                <w:rFonts w:hint="eastAsia"/>
                <w:color w:val="auto"/>
                <w:lang w:eastAsia="zh-CN"/>
              </w:rPr>
              <w:t>）污染物源强参数</w:t>
            </w:r>
          </w:p>
          <w:p>
            <w:pPr>
              <w:pStyle w:val="19"/>
              <w:bidi w:val="0"/>
              <w:rPr>
                <w:rFonts w:hint="default"/>
                <w:color w:val="auto"/>
              </w:rPr>
            </w:pPr>
            <w:r>
              <w:rPr>
                <w:rFonts w:hint="default"/>
                <w:color w:val="auto"/>
              </w:rPr>
              <w:t>表7-</w:t>
            </w:r>
            <w:r>
              <w:rPr>
                <w:rFonts w:hint="eastAsia"/>
                <w:color w:val="auto"/>
                <w:lang w:val="en-US" w:eastAsia="zh-CN"/>
              </w:rPr>
              <w:t xml:space="preserve">7 </w:t>
            </w:r>
            <w:r>
              <w:rPr>
                <w:rFonts w:hint="default"/>
                <w:color w:val="auto"/>
              </w:rPr>
              <w:t>主要废气污染源参数一览表(点源)</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34"/>
              <w:gridCol w:w="1262"/>
              <w:gridCol w:w="1157"/>
              <w:gridCol w:w="652"/>
              <w:gridCol w:w="475"/>
              <w:gridCol w:w="604"/>
              <w:gridCol w:w="761"/>
              <w:gridCol w:w="780"/>
              <w:gridCol w:w="759"/>
              <w:gridCol w:w="669"/>
              <w:gridCol w:w="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34" w:type="dxa"/>
                  <w:vMerge w:val="restart"/>
                  <w:noWrap w:val="0"/>
                  <w:vAlign w:val="center"/>
                </w:tcPr>
                <w:p>
                  <w:pPr>
                    <w:pStyle w:val="18"/>
                    <w:bidi w:val="0"/>
                    <w:spacing w:line="240" w:lineRule="auto"/>
                    <w:rPr>
                      <w:rFonts w:hint="default"/>
                      <w:color w:val="auto"/>
                    </w:rPr>
                  </w:pPr>
                  <w:r>
                    <w:rPr>
                      <w:rFonts w:hint="default"/>
                      <w:color w:val="auto"/>
                    </w:rPr>
                    <w:t>污染源名称</w:t>
                  </w:r>
                </w:p>
              </w:tc>
              <w:tc>
                <w:tcPr>
                  <w:tcW w:w="2419" w:type="dxa"/>
                  <w:gridSpan w:val="2"/>
                  <w:noWrap w:val="0"/>
                  <w:vAlign w:val="center"/>
                </w:tcPr>
                <w:p>
                  <w:pPr>
                    <w:pStyle w:val="18"/>
                    <w:bidi w:val="0"/>
                    <w:spacing w:line="240" w:lineRule="auto"/>
                    <w:rPr>
                      <w:rFonts w:hint="default"/>
                      <w:color w:val="auto"/>
                    </w:rPr>
                  </w:pPr>
                  <w:r>
                    <w:rPr>
                      <w:rFonts w:hint="default"/>
                      <w:color w:val="auto"/>
                    </w:rPr>
                    <w:t>排气筒底部中心坐标</w:t>
                  </w:r>
                </w:p>
              </w:tc>
              <w:tc>
                <w:tcPr>
                  <w:tcW w:w="652" w:type="dxa"/>
                  <w:vMerge w:val="restart"/>
                  <w:noWrap w:val="0"/>
                  <w:vAlign w:val="center"/>
                </w:tcPr>
                <w:p>
                  <w:pPr>
                    <w:pStyle w:val="18"/>
                    <w:bidi w:val="0"/>
                    <w:spacing w:line="240" w:lineRule="auto"/>
                    <w:rPr>
                      <w:rFonts w:hint="default"/>
                      <w:color w:val="auto"/>
                    </w:rPr>
                  </w:pPr>
                  <w:r>
                    <w:rPr>
                      <w:rFonts w:hint="default"/>
                      <w:color w:val="auto"/>
                    </w:rPr>
                    <w:t>排气筒底部海拔高度(m)</w:t>
                  </w:r>
                </w:p>
              </w:tc>
              <w:tc>
                <w:tcPr>
                  <w:tcW w:w="2620" w:type="dxa"/>
                  <w:gridSpan w:val="4"/>
                  <w:noWrap w:val="0"/>
                  <w:vAlign w:val="center"/>
                </w:tcPr>
                <w:p>
                  <w:pPr>
                    <w:pStyle w:val="18"/>
                    <w:bidi w:val="0"/>
                    <w:spacing w:line="240" w:lineRule="auto"/>
                    <w:rPr>
                      <w:rFonts w:hint="default"/>
                      <w:color w:val="auto"/>
                    </w:rPr>
                  </w:pPr>
                  <w:r>
                    <w:rPr>
                      <w:rFonts w:hint="default"/>
                      <w:color w:val="auto"/>
                    </w:rPr>
                    <w:t>排气筒参数</w:t>
                  </w:r>
                </w:p>
              </w:tc>
              <w:tc>
                <w:tcPr>
                  <w:tcW w:w="759" w:type="dxa"/>
                  <w:vMerge w:val="restart"/>
                  <w:noWrap w:val="0"/>
                  <w:vAlign w:val="center"/>
                </w:tcPr>
                <w:p>
                  <w:pPr>
                    <w:pStyle w:val="18"/>
                    <w:bidi w:val="0"/>
                    <w:spacing w:line="240" w:lineRule="auto"/>
                    <w:rPr>
                      <w:rFonts w:hint="default"/>
                      <w:color w:val="auto"/>
                    </w:rPr>
                  </w:pPr>
                  <w:r>
                    <w:rPr>
                      <w:rFonts w:hint="default"/>
                      <w:color w:val="auto"/>
                    </w:rPr>
                    <w:t>污染物名称</w:t>
                  </w:r>
                </w:p>
              </w:tc>
              <w:tc>
                <w:tcPr>
                  <w:tcW w:w="669" w:type="dxa"/>
                  <w:vMerge w:val="restart"/>
                  <w:noWrap w:val="0"/>
                  <w:vAlign w:val="center"/>
                </w:tcPr>
                <w:p>
                  <w:pPr>
                    <w:pStyle w:val="18"/>
                    <w:bidi w:val="0"/>
                    <w:spacing w:line="240" w:lineRule="auto"/>
                    <w:rPr>
                      <w:rFonts w:hint="default"/>
                      <w:color w:val="auto"/>
                    </w:rPr>
                  </w:pPr>
                  <w:r>
                    <w:rPr>
                      <w:rFonts w:hint="default"/>
                      <w:color w:val="auto"/>
                    </w:rPr>
                    <w:t>排放速率</w:t>
                  </w:r>
                </w:p>
              </w:tc>
              <w:tc>
                <w:tcPr>
                  <w:tcW w:w="643" w:type="dxa"/>
                  <w:vMerge w:val="restart"/>
                  <w:noWrap w:val="0"/>
                  <w:vAlign w:val="center"/>
                </w:tcPr>
                <w:p>
                  <w:pPr>
                    <w:pStyle w:val="18"/>
                    <w:bidi w:val="0"/>
                    <w:spacing w:line="240" w:lineRule="auto"/>
                    <w:rPr>
                      <w:rFonts w:hint="default"/>
                      <w:color w:val="auto"/>
                    </w:rPr>
                  </w:pPr>
                  <w:r>
                    <w:rPr>
                      <w:rFonts w:hint="default"/>
                      <w:color w:val="auto"/>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34" w:type="dxa"/>
                  <w:vMerge w:val="continue"/>
                  <w:noWrap w:val="0"/>
                  <w:vAlign w:val="center"/>
                </w:tcPr>
                <w:p>
                  <w:pPr>
                    <w:pStyle w:val="18"/>
                    <w:bidi w:val="0"/>
                    <w:spacing w:line="240" w:lineRule="auto"/>
                    <w:rPr>
                      <w:rFonts w:hint="default"/>
                      <w:color w:val="auto"/>
                    </w:rPr>
                  </w:pPr>
                </w:p>
              </w:tc>
              <w:tc>
                <w:tcPr>
                  <w:tcW w:w="1262" w:type="dxa"/>
                  <w:noWrap w:val="0"/>
                  <w:vAlign w:val="center"/>
                </w:tcPr>
                <w:p>
                  <w:pPr>
                    <w:pStyle w:val="18"/>
                    <w:bidi w:val="0"/>
                    <w:spacing w:line="240" w:lineRule="auto"/>
                    <w:rPr>
                      <w:rFonts w:hint="default"/>
                      <w:color w:val="auto"/>
                    </w:rPr>
                  </w:pPr>
                  <w:r>
                    <w:rPr>
                      <w:rFonts w:hint="default"/>
                      <w:color w:val="auto"/>
                    </w:rPr>
                    <w:t>经度</w:t>
                  </w:r>
                </w:p>
              </w:tc>
              <w:tc>
                <w:tcPr>
                  <w:tcW w:w="1157" w:type="dxa"/>
                  <w:noWrap w:val="0"/>
                  <w:vAlign w:val="center"/>
                </w:tcPr>
                <w:p>
                  <w:pPr>
                    <w:pStyle w:val="18"/>
                    <w:bidi w:val="0"/>
                    <w:spacing w:line="240" w:lineRule="auto"/>
                    <w:rPr>
                      <w:rFonts w:hint="default"/>
                      <w:color w:val="auto"/>
                    </w:rPr>
                  </w:pPr>
                  <w:r>
                    <w:rPr>
                      <w:rFonts w:hint="default"/>
                      <w:color w:val="auto"/>
                    </w:rPr>
                    <w:t>纬度</w:t>
                  </w:r>
                </w:p>
              </w:tc>
              <w:tc>
                <w:tcPr>
                  <w:tcW w:w="652" w:type="dxa"/>
                  <w:vMerge w:val="continue"/>
                  <w:noWrap w:val="0"/>
                  <w:vAlign w:val="center"/>
                </w:tcPr>
                <w:p>
                  <w:pPr>
                    <w:pStyle w:val="18"/>
                    <w:bidi w:val="0"/>
                    <w:spacing w:line="240" w:lineRule="auto"/>
                    <w:rPr>
                      <w:rFonts w:hint="default"/>
                      <w:color w:val="auto"/>
                    </w:rPr>
                  </w:pPr>
                </w:p>
              </w:tc>
              <w:tc>
                <w:tcPr>
                  <w:tcW w:w="475" w:type="dxa"/>
                  <w:noWrap w:val="0"/>
                  <w:vAlign w:val="center"/>
                </w:tcPr>
                <w:p>
                  <w:pPr>
                    <w:pStyle w:val="18"/>
                    <w:bidi w:val="0"/>
                    <w:spacing w:line="240" w:lineRule="auto"/>
                    <w:rPr>
                      <w:rFonts w:hint="default"/>
                      <w:color w:val="auto"/>
                    </w:rPr>
                  </w:pPr>
                  <w:r>
                    <w:rPr>
                      <w:rFonts w:hint="default"/>
                      <w:color w:val="auto"/>
                    </w:rPr>
                    <w:t>高度</w:t>
                  </w:r>
                </w:p>
                <w:p>
                  <w:pPr>
                    <w:pStyle w:val="18"/>
                    <w:bidi w:val="0"/>
                    <w:spacing w:line="240" w:lineRule="auto"/>
                    <w:rPr>
                      <w:rFonts w:hint="default"/>
                      <w:color w:val="auto"/>
                    </w:rPr>
                  </w:pPr>
                  <w:r>
                    <w:rPr>
                      <w:rFonts w:hint="default"/>
                      <w:color w:val="auto"/>
                    </w:rPr>
                    <w:t>(m)</w:t>
                  </w:r>
                </w:p>
              </w:tc>
              <w:tc>
                <w:tcPr>
                  <w:tcW w:w="604" w:type="dxa"/>
                  <w:noWrap w:val="0"/>
                  <w:vAlign w:val="center"/>
                </w:tcPr>
                <w:p>
                  <w:pPr>
                    <w:pStyle w:val="18"/>
                    <w:bidi w:val="0"/>
                    <w:spacing w:line="240" w:lineRule="auto"/>
                    <w:rPr>
                      <w:rFonts w:hint="default"/>
                      <w:color w:val="auto"/>
                    </w:rPr>
                  </w:pPr>
                  <w:r>
                    <w:rPr>
                      <w:rFonts w:hint="default"/>
                      <w:color w:val="auto"/>
                    </w:rPr>
                    <w:t>内径</w:t>
                  </w:r>
                </w:p>
                <w:p>
                  <w:pPr>
                    <w:pStyle w:val="18"/>
                    <w:bidi w:val="0"/>
                    <w:spacing w:line="240" w:lineRule="auto"/>
                    <w:rPr>
                      <w:rFonts w:hint="default"/>
                      <w:color w:val="auto"/>
                    </w:rPr>
                  </w:pPr>
                  <w:r>
                    <w:rPr>
                      <w:rFonts w:hint="default"/>
                      <w:color w:val="auto"/>
                    </w:rPr>
                    <w:t>(m)</w:t>
                  </w:r>
                </w:p>
              </w:tc>
              <w:tc>
                <w:tcPr>
                  <w:tcW w:w="761" w:type="dxa"/>
                  <w:noWrap w:val="0"/>
                  <w:vAlign w:val="center"/>
                </w:tcPr>
                <w:p>
                  <w:pPr>
                    <w:pStyle w:val="18"/>
                    <w:bidi w:val="0"/>
                    <w:spacing w:line="240" w:lineRule="auto"/>
                    <w:rPr>
                      <w:rFonts w:hint="default"/>
                      <w:color w:val="auto"/>
                    </w:rPr>
                  </w:pPr>
                  <w:r>
                    <w:rPr>
                      <w:rFonts w:hint="default"/>
                      <w:color w:val="auto"/>
                    </w:rPr>
                    <w:t>温度</w:t>
                  </w:r>
                </w:p>
                <w:p>
                  <w:pPr>
                    <w:pStyle w:val="18"/>
                    <w:bidi w:val="0"/>
                    <w:spacing w:line="240" w:lineRule="auto"/>
                    <w:rPr>
                      <w:rFonts w:hint="default"/>
                      <w:color w:val="auto"/>
                    </w:rPr>
                  </w:pPr>
                  <w:r>
                    <w:rPr>
                      <w:rFonts w:hint="default"/>
                      <w:color w:val="auto"/>
                    </w:rPr>
                    <w:t>(℃)</w:t>
                  </w:r>
                </w:p>
              </w:tc>
              <w:tc>
                <w:tcPr>
                  <w:tcW w:w="780" w:type="dxa"/>
                  <w:noWrap w:val="0"/>
                  <w:vAlign w:val="center"/>
                </w:tcPr>
                <w:p>
                  <w:pPr>
                    <w:pStyle w:val="18"/>
                    <w:bidi w:val="0"/>
                    <w:spacing w:line="240" w:lineRule="auto"/>
                    <w:rPr>
                      <w:rFonts w:hint="eastAsia"/>
                      <w:color w:val="auto"/>
                      <w:lang w:eastAsia="zh-CN"/>
                    </w:rPr>
                  </w:pPr>
                  <w:r>
                    <w:rPr>
                      <w:rFonts w:hint="eastAsia"/>
                      <w:color w:val="auto"/>
                      <w:lang w:eastAsia="zh-CN"/>
                    </w:rPr>
                    <w:t>流速（</w:t>
                  </w:r>
                  <w:r>
                    <w:rPr>
                      <w:rFonts w:hint="eastAsia"/>
                      <w:color w:val="auto"/>
                      <w:lang w:val="en-US" w:eastAsia="zh-CN"/>
                    </w:rPr>
                    <w:t>m/s</w:t>
                  </w:r>
                  <w:r>
                    <w:rPr>
                      <w:rFonts w:hint="eastAsia"/>
                      <w:color w:val="auto"/>
                      <w:lang w:eastAsia="zh-CN"/>
                    </w:rPr>
                    <w:t>）</w:t>
                  </w:r>
                </w:p>
              </w:tc>
              <w:tc>
                <w:tcPr>
                  <w:tcW w:w="759" w:type="dxa"/>
                  <w:vMerge w:val="continue"/>
                  <w:noWrap w:val="0"/>
                  <w:vAlign w:val="center"/>
                </w:tcPr>
                <w:p>
                  <w:pPr>
                    <w:pStyle w:val="18"/>
                    <w:bidi w:val="0"/>
                    <w:spacing w:line="240" w:lineRule="auto"/>
                    <w:rPr>
                      <w:rFonts w:hint="default"/>
                      <w:color w:val="auto"/>
                    </w:rPr>
                  </w:pPr>
                </w:p>
              </w:tc>
              <w:tc>
                <w:tcPr>
                  <w:tcW w:w="669" w:type="dxa"/>
                  <w:vMerge w:val="continue"/>
                  <w:noWrap w:val="0"/>
                  <w:vAlign w:val="center"/>
                </w:tcPr>
                <w:p>
                  <w:pPr>
                    <w:pStyle w:val="18"/>
                    <w:bidi w:val="0"/>
                    <w:spacing w:line="240" w:lineRule="auto"/>
                    <w:rPr>
                      <w:rFonts w:hint="default"/>
                      <w:color w:val="auto"/>
                    </w:rPr>
                  </w:pPr>
                </w:p>
              </w:tc>
              <w:tc>
                <w:tcPr>
                  <w:tcW w:w="643" w:type="dxa"/>
                  <w:vMerge w:val="continue"/>
                  <w:noWrap w:val="0"/>
                  <w:vAlign w:val="center"/>
                </w:tcPr>
                <w:p>
                  <w:pPr>
                    <w:pStyle w:val="18"/>
                    <w:bidi w:val="0"/>
                    <w:spacing w:line="240" w:lineRule="auto"/>
                    <w:rPr>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trPr>
              <w:tc>
                <w:tcPr>
                  <w:tcW w:w="534" w:type="dxa"/>
                  <w:vMerge w:val="restart"/>
                  <w:noWrap w:val="0"/>
                  <w:vAlign w:val="center"/>
                </w:tcPr>
                <w:p>
                  <w:pPr>
                    <w:pStyle w:val="18"/>
                    <w:bidi w:val="0"/>
                    <w:spacing w:line="240" w:lineRule="auto"/>
                    <w:rPr>
                      <w:rFonts w:hint="eastAsia"/>
                      <w:color w:val="auto"/>
                      <w:lang w:val="en-US" w:eastAsia="zh-CN"/>
                    </w:rPr>
                  </w:pPr>
                  <w:r>
                    <w:rPr>
                      <w:rFonts w:hint="default"/>
                      <w:color w:val="auto"/>
                    </w:rPr>
                    <w:t>点源</w:t>
                  </w:r>
                  <w:r>
                    <w:rPr>
                      <w:rFonts w:hint="eastAsia"/>
                      <w:color w:val="auto"/>
                      <w:lang w:val="en-US" w:eastAsia="zh-CN"/>
                    </w:rPr>
                    <w:t>1</w:t>
                  </w:r>
                </w:p>
              </w:tc>
              <w:tc>
                <w:tcPr>
                  <w:tcW w:w="1262" w:type="dxa"/>
                  <w:vMerge w:val="restart"/>
                  <w:noWrap w:val="0"/>
                  <w:vAlign w:val="center"/>
                </w:tcPr>
                <w:p>
                  <w:pPr>
                    <w:pStyle w:val="18"/>
                    <w:bidi w:val="0"/>
                    <w:spacing w:line="240" w:lineRule="auto"/>
                    <w:rPr>
                      <w:rFonts w:hint="default"/>
                      <w:color w:val="auto"/>
                      <w:lang w:val="en-US" w:eastAsia="zh-CN"/>
                    </w:rPr>
                  </w:pPr>
                  <w:r>
                    <w:rPr>
                      <w:rFonts w:hint="default"/>
                      <w:color w:val="auto"/>
                    </w:rPr>
                    <w:t>102°32'00.06"</w:t>
                  </w:r>
                </w:p>
              </w:tc>
              <w:tc>
                <w:tcPr>
                  <w:tcW w:w="1157" w:type="dxa"/>
                  <w:vMerge w:val="restart"/>
                  <w:noWrap w:val="0"/>
                  <w:vAlign w:val="center"/>
                </w:tcPr>
                <w:p>
                  <w:pPr>
                    <w:pStyle w:val="18"/>
                    <w:bidi w:val="0"/>
                    <w:spacing w:line="240" w:lineRule="auto"/>
                    <w:rPr>
                      <w:rFonts w:hint="default"/>
                      <w:color w:val="auto"/>
                    </w:rPr>
                  </w:pPr>
                  <w:r>
                    <w:rPr>
                      <w:rFonts w:hint="default"/>
                      <w:color w:val="auto"/>
                    </w:rPr>
                    <w:t>25°13'51.80"</w:t>
                  </w:r>
                </w:p>
              </w:tc>
              <w:tc>
                <w:tcPr>
                  <w:tcW w:w="652" w:type="dxa"/>
                  <w:vMerge w:val="restart"/>
                  <w:noWrap w:val="0"/>
                  <w:vAlign w:val="center"/>
                </w:tcPr>
                <w:p>
                  <w:pPr>
                    <w:pStyle w:val="18"/>
                    <w:bidi w:val="0"/>
                    <w:spacing w:line="240" w:lineRule="auto"/>
                    <w:rPr>
                      <w:rFonts w:hint="default"/>
                      <w:color w:val="auto"/>
                    </w:rPr>
                  </w:pPr>
                  <w:r>
                    <w:rPr>
                      <w:rFonts w:hint="default"/>
                      <w:color w:val="auto"/>
                      <w:lang w:val="en-US" w:eastAsia="zh-CN"/>
                    </w:rPr>
                    <w:t>1</w:t>
                  </w:r>
                  <w:r>
                    <w:rPr>
                      <w:rFonts w:hint="eastAsia"/>
                      <w:color w:val="auto"/>
                      <w:lang w:val="en-US" w:eastAsia="zh-CN"/>
                    </w:rPr>
                    <w:t>753</w:t>
                  </w:r>
                  <w:r>
                    <w:rPr>
                      <w:rFonts w:hint="default"/>
                      <w:color w:val="auto"/>
                      <w:lang w:val="en-US" w:eastAsia="zh-CN"/>
                    </w:rPr>
                    <w:t>.0</w:t>
                  </w:r>
                </w:p>
              </w:tc>
              <w:tc>
                <w:tcPr>
                  <w:tcW w:w="475" w:type="dxa"/>
                  <w:vMerge w:val="restart"/>
                  <w:noWrap w:val="0"/>
                  <w:vAlign w:val="center"/>
                </w:tcPr>
                <w:p>
                  <w:pPr>
                    <w:pStyle w:val="18"/>
                    <w:bidi w:val="0"/>
                    <w:spacing w:line="240" w:lineRule="auto"/>
                    <w:rPr>
                      <w:rFonts w:hint="default"/>
                      <w:color w:val="auto"/>
                    </w:rPr>
                  </w:pPr>
                  <w:r>
                    <w:rPr>
                      <w:rFonts w:hint="eastAsia"/>
                      <w:color w:val="auto"/>
                      <w:lang w:val="en-US" w:eastAsia="zh-CN"/>
                    </w:rPr>
                    <w:t>15</w:t>
                  </w:r>
                  <w:r>
                    <w:rPr>
                      <w:rFonts w:hint="default"/>
                      <w:color w:val="auto"/>
                    </w:rPr>
                    <w:t>.0</w:t>
                  </w:r>
                </w:p>
              </w:tc>
              <w:tc>
                <w:tcPr>
                  <w:tcW w:w="604" w:type="dxa"/>
                  <w:vMerge w:val="restart"/>
                  <w:noWrap w:val="0"/>
                  <w:vAlign w:val="center"/>
                </w:tcPr>
                <w:p>
                  <w:pPr>
                    <w:pStyle w:val="18"/>
                    <w:bidi w:val="0"/>
                    <w:spacing w:line="240" w:lineRule="auto"/>
                    <w:rPr>
                      <w:rFonts w:hint="default"/>
                      <w:color w:val="auto"/>
                      <w:lang w:val="en-US" w:eastAsia="zh-CN"/>
                    </w:rPr>
                  </w:pPr>
                  <w:r>
                    <w:rPr>
                      <w:rFonts w:hint="default"/>
                      <w:color w:val="auto"/>
                      <w:lang w:val="en-US" w:eastAsia="zh-CN"/>
                    </w:rPr>
                    <w:t>0.5</w:t>
                  </w:r>
                </w:p>
              </w:tc>
              <w:tc>
                <w:tcPr>
                  <w:tcW w:w="761" w:type="dxa"/>
                  <w:vMerge w:val="restart"/>
                  <w:noWrap w:val="0"/>
                  <w:vAlign w:val="center"/>
                </w:tcPr>
                <w:p>
                  <w:pPr>
                    <w:pStyle w:val="18"/>
                    <w:bidi w:val="0"/>
                    <w:spacing w:line="240" w:lineRule="auto"/>
                    <w:rPr>
                      <w:rFonts w:hint="default"/>
                      <w:color w:val="auto"/>
                      <w:lang w:val="en-US"/>
                    </w:rPr>
                  </w:pPr>
                  <w:r>
                    <w:rPr>
                      <w:rFonts w:hint="eastAsia"/>
                      <w:color w:val="auto"/>
                      <w:lang w:val="en-US" w:eastAsia="zh-CN"/>
                    </w:rPr>
                    <w:t>25</w:t>
                  </w:r>
                </w:p>
              </w:tc>
              <w:tc>
                <w:tcPr>
                  <w:tcW w:w="780" w:type="dxa"/>
                  <w:vMerge w:val="restart"/>
                  <w:noWrap w:val="0"/>
                  <w:vAlign w:val="center"/>
                </w:tcPr>
                <w:p>
                  <w:pPr>
                    <w:pStyle w:val="18"/>
                    <w:bidi w:val="0"/>
                    <w:spacing w:line="240" w:lineRule="auto"/>
                    <w:rPr>
                      <w:rFonts w:hint="eastAsia"/>
                      <w:color w:val="auto"/>
                      <w:lang w:val="en-US" w:eastAsia="zh-CN"/>
                    </w:rPr>
                  </w:pPr>
                  <w:r>
                    <w:rPr>
                      <w:rFonts w:hint="eastAsia"/>
                      <w:color w:val="auto"/>
                      <w:lang w:val="en-US" w:eastAsia="zh-CN"/>
                    </w:rPr>
                    <w:t>5</w:t>
                  </w:r>
                </w:p>
              </w:tc>
              <w:tc>
                <w:tcPr>
                  <w:tcW w:w="759" w:type="dxa"/>
                  <w:noWrap w:val="0"/>
                  <w:vAlign w:val="center"/>
                </w:tcPr>
                <w:p>
                  <w:pPr>
                    <w:pStyle w:val="18"/>
                    <w:bidi w:val="0"/>
                    <w:spacing w:line="240" w:lineRule="auto"/>
                    <w:rPr>
                      <w:rFonts w:hint="default"/>
                      <w:color w:val="auto"/>
                      <w:lang w:val="en-US" w:eastAsia="zh-CN"/>
                    </w:rPr>
                  </w:pPr>
                  <w:r>
                    <w:rPr>
                      <w:rFonts w:hint="eastAsia"/>
                      <w:color w:val="auto"/>
                      <w:lang w:eastAsia="zh-CN"/>
                    </w:rPr>
                    <w:t>VOC</w:t>
                  </w:r>
                  <w:r>
                    <w:rPr>
                      <w:rFonts w:hint="eastAsia"/>
                      <w:color w:val="auto"/>
                      <w:lang w:val="en-US" w:eastAsia="zh-CN"/>
                    </w:rPr>
                    <w:t>s</w:t>
                  </w:r>
                </w:p>
              </w:tc>
              <w:tc>
                <w:tcPr>
                  <w:tcW w:w="669" w:type="dxa"/>
                  <w:noWrap w:val="0"/>
                  <w:vAlign w:val="center"/>
                </w:tcPr>
                <w:p>
                  <w:pPr>
                    <w:pStyle w:val="18"/>
                    <w:bidi w:val="0"/>
                    <w:spacing w:line="240" w:lineRule="auto"/>
                    <w:rPr>
                      <w:rFonts w:hint="default"/>
                      <w:color w:val="auto"/>
                      <w:lang w:val="en-US" w:eastAsia="zh-CN"/>
                    </w:rPr>
                  </w:pPr>
                  <w:r>
                    <w:rPr>
                      <w:rFonts w:hint="eastAsia"/>
                      <w:color w:val="auto"/>
                      <w:lang w:val="en-US" w:eastAsia="zh-CN"/>
                    </w:rPr>
                    <w:t>0.016</w:t>
                  </w:r>
                </w:p>
              </w:tc>
              <w:tc>
                <w:tcPr>
                  <w:tcW w:w="643" w:type="dxa"/>
                  <w:noWrap w:val="0"/>
                  <w:vAlign w:val="center"/>
                </w:tcPr>
                <w:p>
                  <w:pPr>
                    <w:pStyle w:val="18"/>
                    <w:bidi w:val="0"/>
                    <w:spacing w:line="240" w:lineRule="auto"/>
                    <w:rPr>
                      <w:rFonts w:hint="default"/>
                      <w:color w:val="auto"/>
                    </w:rPr>
                  </w:pPr>
                  <w:r>
                    <w:rPr>
                      <w:rFonts w:hint="default"/>
                      <w:color w:val="auto"/>
                    </w:rPr>
                    <w:t>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0" w:hRule="atLeast"/>
              </w:trPr>
              <w:tc>
                <w:tcPr>
                  <w:tcW w:w="534" w:type="dxa"/>
                  <w:vMerge w:val="continue"/>
                  <w:noWrap w:val="0"/>
                  <w:vAlign w:val="center"/>
                </w:tcPr>
                <w:p>
                  <w:pPr>
                    <w:pStyle w:val="18"/>
                    <w:bidi w:val="0"/>
                    <w:spacing w:line="240" w:lineRule="auto"/>
                    <w:rPr>
                      <w:rFonts w:hint="default"/>
                      <w:color w:val="auto"/>
                    </w:rPr>
                  </w:pPr>
                </w:p>
              </w:tc>
              <w:tc>
                <w:tcPr>
                  <w:tcW w:w="1262" w:type="dxa"/>
                  <w:vMerge w:val="continue"/>
                  <w:noWrap w:val="0"/>
                  <w:vAlign w:val="center"/>
                </w:tcPr>
                <w:p>
                  <w:pPr>
                    <w:pStyle w:val="18"/>
                    <w:bidi w:val="0"/>
                    <w:spacing w:line="240" w:lineRule="auto"/>
                    <w:rPr>
                      <w:rFonts w:hint="default"/>
                      <w:color w:val="auto"/>
                    </w:rPr>
                  </w:pPr>
                </w:p>
              </w:tc>
              <w:tc>
                <w:tcPr>
                  <w:tcW w:w="1157" w:type="dxa"/>
                  <w:vMerge w:val="continue"/>
                  <w:noWrap w:val="0"/>
                  <w:vAlign w:val="center"/>
                </w:tcPr>
                <w:p>
                  <w:pPr>
                    <w:pStyle w:val="18"/>
                    <w:bidi w:val="0"/>
                    <w:spacing w:line="240" w:lineRule="auto"/>
                    <w:rPr>
                      <w:rFonts w:hint="default"/>
                      <w:color w:val="auto"/>
                    </w:rPr>
                  </w:pPr>
                </w:p>
              </w:tc>
              <w:tc>
                <w:tcPr>
                  <w:tcW w:w="652" w:type="dxa"/>
                  <w:vMerge w:val="continue"/>
                  <w:noWrap w:val="0"/>
                  <w:vAlign w:val="center"/>
                </w:tcPr>
                <w:p>
                  <w:pPr>
                    <w:pStyle w:val="18"/>
                    <w:bidi w:val="0"/>
                    <w:spacing w:line="240" w:lineRule="auto"/>
                    <w:rPr>
                      <w:rFonts w:hint="default"/>
                      <w:color w:val="auto"/>
                      <w:lang w:val="en-US" w:eastAsia="zh-CN"/>
                    </w:rPr>
                  </w:pPr>
                </w:p>
              </w:tc>
              <w:tc>
                <w:tcPr>
                  <w:tcW w:w="475" w:type="dxa"/>
                  <w:vMerge w:val="continue"/>
                  <w:noWrap w:val="0"/>
                  <w:vAlign w:val="center"/>
                </w:tcPr>
                <w:p>
                  <w:pPr>
                    <w:pStyle w:val="18"/>
                    <w:bidi w:val="0"/>
                    <w:spacing w:line="240" w:lineRule="auto"/>
                    <w:rPr>
                      <w:rFonts w:hint="eastAsia"/>
                      <w:color w:val="auto"/>
                      <w:lang w:val="en-US" w:eastAsia="zh-CN"/>
                    </w:rPr>
                  </w:pPr>
                </w:p>
              </w:tc>
              <w:tc>
                <w:tcPr>
                  <w:tcW w:w="604" w:type="dxa"/>
                  <w:vMerge w:val="continue"/>
                  <w:noWrap w:val="0"/>
                  <w:vAlign w:val="center"/>
                </w:tcPr>
                <w:p>
                  <w:pPr>
                    <w:pStyle w:val="18"/>
                    <w:bidi w:val="0"/>
                    <w:spacing w:line="240" w:lineRule="auto"/>
                    <w:rPr>
                      <w:rFonts w:hint="default"/>
                      <w:color w:val="auto"/>
                      <w:lang w:val="en-US" w:eastAsia="zh-CN"/>
                    </w:rPr>
                  </w:pPr>
                </w:p>
              </w:tc>
              <w:tc>
                <w:tcPr>
                  <w:tcW w:w="761" w:type="dxa"/>
                  <w:vMerge w:val="continue"/>
                  <w:noWrap w:val="0"/>
                  <w:vAlign w:val="center"/>
                </w:tcPr>
                <w:p>
                  <w:pPr>
                    <w:pStyle w:val="18"/>
                    <w:bidi w:val="0"/>
                    <w:spacing w:line="240" w:lineRule="auto"/>
                    <w:rPr>
                      <w:rFonts w:hint="eastAsia"/>
                      <w:color w:val="auto"/>
                      <w:lang w:val="en-US" w:eastAsia="zh-CN"/>
                    </w:rPr>
                  </w:pPr>
                </w:p>
              </w:tc>
              <w:tc>
                <w:tcPr>
                  <w:tcW w:w="780" w:type="dxa"/>
                  <w:vMerge w:val="continue"/>
                  <w:noWrap w:val="0"/>
                  <w:vAlign w:val="center"/>
                </w:tcPr>
                <w:p>
                  <w:pPr>
                    <w:pStyle w:val="18"/>
                    <w:bidi w:val="0"/>
                    <w:spacing w:line="240" w:lineRule="auto"/>
                    <w:rPr>
                      <w:rFonts w:hint="eastAsia"/>
                      <w:color w:val="auto"/>
                      <w:lang w:val="en-US" w:eastAsia="zh-CN"/>
                    </w:rPr>
                  </w:pPr>
                </w:p>
              </w:tc>
              <w:tc>
                <w:tcPr>
                  <w:tcW w:w="759" w:type="dxa"/>
                  <w:noWrap w:val="0"/>
                  <w:vAlign w:val="center"/>
                </w:tcPr>
                <w:p>
                  <w:pPr>
                    <w:pStyle w:val="18"/>
                    <w:bidi w:val="0"/>
                    <w:spacing w:line="240" w:lineRule="auto"/>
                    <w:rPr>
                      <w:rFonts w:hint="default"/>
                      <w:color w:val="auto"/>
                      <w:lang w:val="en-US" w:eastAsia="zh-CN"/>
                    </w:rPr>
                  </w:pPr>
                  <w:r>
                    <w:rPr>
                      <w:rFonts w:hint="eastAsia"/>
                      <w:color w:val="auto"/>
                      <w:lang w:val="en-US" w:eastAsia="zh-CN"/>
                    </w:rPr>
                    <w:t>TSP</w:t>
                  </w:r>
                </w:p>
              </w:tc>
              <w:tc>
                <w:tcPr>
                  <w:tcW w:w="669" w:type="dxa"/>
                  <w:noWrap w:val="0"/>
                  <w:vAlign w:val="center"/>
                </w:tcPr>
                <w:p>
                  <w:pPr>
                    <w:pStyle w:val="18"/>
                    <w:bidi w:val="0"/>
                    <w:spacing w:line="240" w:lineRule="auto"/>
                    <w:rPr>
                      <w:rFonts w:hint="default"/>
                      <w:color w:val="auto"/>
                      <w:lang w:val="en-US" w:eastAsia="zh-CN"/>
                    </w:rPr>
                  </w:pPr>
                  <w:r>
                    <w:rPr>
                      <w:rFonts w:hint="eastAsia"/>
                      <w:color w:val="auto"/>
                      <w:lang w:val="en-US" w:eastAsia="zh-CN"/>
                    </w:rPr>
                    <w:t>0.009</w:t>
                  </w:r>
                </w:p>
              </w:tc>
              <w:tc>
                <w:tcPr>
                  <w:tcW w:w="643" w:type="dxa"/>
                  <w:noWrap w:val="0"/>
                  <w:vAlign w:val="center"/>
                </w:tcPr>
                <w:p>
                  <w:pPr>
                    <w:pStyle w:val="18"/>
                    <w:bidi w:val="0"/>
                    <w:spacing w:line="240" w:lineRule="auto"/>
                    <w:rPr>
                      <w:rFonts w:hint="default"/>
                      <w:color w:val="auto"/>
                    </w:rPr>
                  </w:pPr>
                  <w:r>
                    <w:rPr>
                      <w:rFonts w:hint="default"/>
                      <w:color w:val="auto"/>
                    </w:rPr>
                    <w:t>kg/h</w:t>
                  </w:r>
                </w:p>
              </w:tc>
            </w:tr>
          </w:tbl>
          <w:p>
            <w:pPr>
              <w:pStyle w:val="19"/>
              <w:bidi w:val="0"/>
              <w:rPr>
                <w:color w:val="auto"/>
              </w:rPr>
            </w:pPr>
            <w:r>
              <w:rPr>
                <w:rFonts w:hint="eastAsia"/>
                <w:color w:val="auto"/>
                <w:lang w:eastAsia="zh-CN"/>
              </w:rPr>
              <w:t>表</w:t>
            </w:r>
            <w:r>
              <w:rPr>
                <w:rFonts w:hint="eastAsia"/>
                <w:color w:val="auto"/>
                <w:lang w:val="en-US" w:eastAsia="zh-CN"/>
              </w:rPr>
              <w:t xml:space="preserve">7-8 </w:t>
            </w:r>
            <w:r>
              <w:rPr>
                <w:color w:val="auto"/>
              </w:rPr>
              <w:t>无组织排放的预测参数</w:t>
            </w:r>
          </w:p>
          <w:tbl>
            <w:tblPr>
              <w:tblStyle w:val="13"/>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8"/>
              <w:gridCol w:w="4474"/>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258" w:type="dxa"/>
                  <w:noWrap w:val="0"/>
                  <w:vAlign w:val="center"/>
                </w:tcPr>
                <w:p>
                  <w:pPr>
                    <w:pStyle w:val="18"/>
                    <w:bidi w:val="0"/>
                    <w:rPr>
                      <w:rFonts w:hint="default"/>
                      <w:color w:val="auto"/>
                    </w:rPr>
                  </w:pPr>
                  <w:r>
                    <w:rPr>
                      <w:rFonts w:hint="default"/>
                      <w:color w:val="auto"/>
                    </w:rPr>
                    <w:t>序号</w:t>
                  </w:r>
                </w:p>
              </w:tc>
              <w:tc>
                <w:tcPr>
                  <w:tcW w:w="4474" w:type="dxa"/>
                  <w:noWrap w:val="0"/>
                  <w:vAlign w:val="center"/>
                </w:tcPr>
                <w:p>
                  <w:pPr>
                    <w:pStyle w:val="18"/>
                    <w:bidi w:val="0"/>
                    <w:rPr>
                      <w:rFonts w:hint="default"/>
                      <w:color w:val="auto"/>
                    </w:rPr>
                  </w:pPr>
                  <w:r>
                    <w:rPr>
                      <w:rFonts w:hint="default"/>
                      <w:color w:val="auto"/>
                    </w:rPr>
                    <w:t>面源特征</w:t>
                  </w:r>
                </w:p>
              </w:tc>
              <w:tc>
                <w:tcPr>
                  <w:tcW w:w="2564" w:type="dxa"/>
                  <w:noWrap w:val="0"/>
                  <w:vAlign w:val="center"/>
                </w:tcPr>
                <w:p>
                  <w:pPr>
                    <w:pStyle w:val="18"/>
                    <w:bidi w:val="0"/>
                    <w:rPr>
                      <w:rFonts w:hint="default"/>
                      <w:color w:val="auto"/>
                    </w:rPr>
                  </w:pPr>
                  <w:r>
                    <w:rPr>
                      <w:rFonts w:hint="default"/>
                      <w:color w:val="auto"/>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58" w:type="dxa"/>
                  <w:vMerge w:val="restart"/>
                  <w:noWrap w:val="0"/>
                  <w:vAlign w:val="center"/>
                </w:tcPr>
                <w:p>
                  <w:pPr>
                    <w:pStyle w:val="18"/>
                    <w:bidi w:val="0"/>
                    <w:spacing w:line="240" w:lineRule="auto"/>
                    <w:rPr>
                      <w:rFonts w:hint="default"/>
                      <w:color w:val="auto"/>
                    </w:rPr>
                  </w:pPr>
                  <w:r>
                    <w:rPr>
                      <w:rFonts w:hint="default"/>
                      <w:color w:val="auto"/>
                    </w:rPr>
                    <w:t>1</w:t>
                  </w:r>
                </w:p>
              </w:tc>
              <w:tc>
                <w:tcPr>
                  <w:tcW w:w="4474" w:type="dxa"/>
                  <w:vMerge w:val="restart"/>
                  <w:noWrap w:val="0"/>
                  <w:vAlign w:val="center"/>
                </w:tcPr>
                <w:p>
                  <w:pPr>
                    <w:pStyle w:val="18"/>
                    <w:bidi w:val="0"/>
                    <w:spacing w:line="240" w:lineRule="auto"/>
                    <w:rPr>
                      <w:rFonts w:hint="default"/>
                      <w:color w:val="auto"/>
                    </w:rPr>
                  </w:pPr>
                  <w:r>
                    <w:rPr>
                      <w:rFonts w:hint="default"/>
                      <w:color w:val="auto"/>
                    </w:rPr>
                    <w:t>面源预测因子</w:t>
                  </w:r>
                </w:p>
              </w:tc>
              <w:tc>
                <w:tcPr>
                  <w:tcW w:w="2564" w:type="dxa"/>
                  <w:noWrap w:val="0"/>
                  <w:vAlign w:val="center"/>
                </w:tcPr>
                <w:p>
                  <w:pPr>
                    <w:pStyle w:val="18"/>
                    <w:bidi w:val="0"/>
                    <w:spacing w:line="240" w:lineRule="auto"/>
                    <w:rPr>
                      <w:rFonts w:hint="default"/>
                      <w:color w:val="auto"/>
                    </w:rPr>
                  </w:pPr>
                  <w:r>
                    <w:rPr>
                      <w:rFonts w:hint="default"/>
                      <w:color w:val="auto"/>
                    </w:rPr>
                    <w:t>TSP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58" w:type="dxa"/>
                  <w:vMerge w:val="continue"/>
                  <w:noWrap w:val="0"/>
                  <w:vAlign w:val="center"/>
                </w:tcPr>
                <w:p>
                  <w:pPr>
                    <w:pStyle w:val="18"/>
                    <w:bidi w:val="0"/>
                    <w:spacing w:line="240" w:lineRule="auto"/>
                    <w:rPr>
                      <w:color w:val="auto"/>
                    </w:rPr>
                  </w:pPr>
                </w:p>
              </w:tc>
              <w:tc>
                <w:tcPr>
                  <w:tcW w:w="4474" w:type="dxa"/>
                  <w:vMerge w:val="continue"/>
                  <w:noWrap w:val="0"/>
                  <w:vAlign w:val="center"/>
                </w:tcPr>
                <w:p>
                  <w:pPr>
                    <w:pStyle w:val="18"/>
                    <w:bidi w:val="0"/>
                    <w:spacing w:line="240" w:lineRule="auto"/>
                    <w:rPr>
                      <w:color w:val="auto"/>
                    </w:rPr>
                  </w:pPr>
                </w:p>
              </w:tc>
              <w:tc>
                <w:tcPr>
                  <w:tcW w:w="2564" w:type="dxa"/>
                  <w:noWrap w:val="0"/>
                  <w:vAlign w:val="center"/>
                </w:tcPr>
                <w:p>
                  <w:pPr>
                    <w:pStyle w:val="18"/>
                    <w:bidi w:val="0"/>
                    <w:spacing w:line="240" w:lineRule="auto"/>
                    <w:rPr>
                      <w:rFonts w:hint="eastAsia"/>
                      <w:color w:val="auto"/>
                      <w:lang w:eastAsia="zh-CN"/>
                    </w:rPr>
                  </w:pPr>
                  <w:r>
                    <w:rPr>
                      <w:rFonts w:hint="eastAsia"/>
                      <w:color w:val="auto"/>
                      <w:lang w:eastAsia="zh-CN"/>
                    </w:rPr>
                    <w:t>VOC</w:t>
                  </w:r>
                  <w:r>
                    <w:rPr>
                      <w:rFonts w:hint="eastAsia"/>
                      <w:color w:val="auto"/>
                      <w:lang w:val="en-US" w:eastAsia="zh-CN"/>
                    </w:rPr>
                    <w: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58" w:type="dxa"/>
                  <w:vMerge w:val="restart"/>
                  <w:noWrap w:val="0"/>
                  <w:vAlign w:val="center"/>
                </w:tcPr>
                <w:p>
                  <w:pPr>
                    <w:pStyle w:val="18"/>
                    <w:bidi w:val="0"/>
                    <w:spacing w:line="240" w:lineRule="auto"/>
                    <w:rPr>
                      <w:rFonts w:hint="default"/>
                      <w:color w:val="auto"/>
                    </w:rPr>
                  </w:pPr>
                  <w:r>
                    <w:rPr>
                      <w:rFonts w:hint="default"/>
                      <w:color w:val="auto"/>
                    </w:rPr>
                    <w:t>2</w:t>
                  </w:r>
                </w:p>
              </w:tc>
              <w:tc>
                <w:tcPr>
                  <w:tcW w:w="4474" w:type="dxa"/>
                  <w:vMerge w:val="restart"/>
                  <w:noWrap w:val="0"/>
                  <w:vAlign w:val="center"/>
                </w:tcPr>
                <w:p>
                  <w:pPr>
                    <w:pStyle w:val="18"/>
                    <w:bidi w:val="0"/>
                    <w:spacing w:line="240" w:lineRule="auto"/>
                    <w:rPr>
                      <w:rFonts w:hint="default"/>
                      <w:color w:val="auto"/>
                    </w:rPr>
                  </w:pPr>
                  <w:r>
                    <w:rPr>
                      <w:rFonts w:hint="default"/>
                      <w:color w:val="auto"/>
                    </w:rPr>
                    <w:t>面源的源强，单位为kg/h</w:t>
                  </w:r>
                </w:p>
              </w:tc>
              <w:tc>
                <w:tcPr>
                  <w:tcW w:w="2564" w:type="dxa"/>
                  <w:noWrap w:val="0"/>
                  <w:vAlign w:val="center"/>
                </w:tcPr>
                <w:p>
                  <w:pPr>
                    <w:pStyle w:val="18"/>
                    <w:bidi w:val="0"/>
                    <w:spacing w:line="240" w:lineRule="auto"/>
                    <w:rPr>
                      <w:rFonts w:hint="default"/>
                      <w:color w:val="auto"/>
                      <w:lang w:val="en-US" w:eastAsia="zh-CN"/>
                    </w:rPr>
                  </w:pPr>
                  <w:r>
                    <w:rPr>
                      <w:rFonts w:hint="eastAsia"/>
                      <w:color w:val="auto"/>
                      <w:lang w:val="en-US" w:eastAsia="zh-CN"/>
                    </w:rPr>
                    <w:t>0.159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258" w:type="dxa"/>
                  <w:vMerge w:val="continue"/>
                  <w:noWrap w:val="0"/>
                  <w:vAlign w:val="center"/>
                </w:tcPr>
                <w:p>
                  <w:pPr>
                    <w:pStyle w:val="18"/>
                    <w:bidi w:val="0"/>
                    <w:spacing w:line="240" w:lineRule="auto"/>
                    <w:rPr>
                      <w:color w:val="auto"/>
                    </w:rPr>
                  </w:pPr>
                </w:p>
              </w:tc>
              <w:tc>
                <w:tcPr>
                  <w:tcW w:w="4474" w:type="dxa"/>
                  <w:vMerge w:val="continue"/>
                  <w:noWrap w:val="0"/>
                  <w:vAlign w:val="center"/>
                </w:tcPr>
                <w:p>
                  <w:pPr>
                    <w:pStyle w:val="18"/>
                    <w:bidi w:val="0"/>
                    <w:spacing w:line="240" w:lineRule="auto"/>
                    <w:rPr>
                      <w:color w:val="auto"/>
                    </w:rPr>
                  </w:pPr>
                </w:p>
              </w:tc>
              <w:tc>
                <w:tcPr>
                  <w:tcW w:w="2564" w:type="dxa"/>
                  <w:noWrap w:val="0"/>
                  <w:vAlign w:val="center"/>
                </w:tcPr>
                <w:p>
                  <w:pPr>
                    <w:pStyle w:val="18"/>
                    <w:bidi w:val="0"/>
                    <w:spacing w:line="240" w:lineRule="auto"/>
                    <w:rPr>
                      <w:rFonts w:hint="default"/>
                      <w:color w:val="auto"/>
                      <w:lang w:val="en-US" w:eastAsia="zh-CN"/>
                    </w:rPr>
                  </w:pPr>
                  <w:r>
                    <w:rPr>
                      <w:rFonts w:hint="eastAsia"/>
                      <w:color w:val="auto"/>
                      <w:lang w:val="en-US" w:eastAsia="zh-CN"/>
                    </w:rPr>
                    <w:t>0.054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258" w:type="dxa"/>
                  <w:noWrap w:val="0"/>
                  <w:vAlign w:val="center"/>
                </w:tcPr>
                <w:p>
                  <w:pPr>
                    <w:pStyle w:val="18"/>
                    <w:bidi w:val="0"/>
                    <w:rPr>
                      <w:rFonts w:hint="default"/>
                      <w:color w:val="auto"/>
                    </w:rPr>
                  </w:pPr>
                  <w:r>
                    <w:rPr>
                      <w:rFonts w:hint="default"/>
                      <w:color w:val="auto"/>
                    </w:rPr>
                    <w:t>3</w:t>
                  </w:r>
                </w:p>
              </w:tc>
              <w:tc>
                <w:tcPr>
                  <w:tcW w:w="4474" w:type="dxa"/>
                  <w:noWrap w:val="0"/>
                  <w:vAlign w:val="center"/>
                </w:tcPr>
                <w:p>
                  <w:pPr>
                    <w:pStyle w:val="18"/>
                    <w:bidi w:val="0"/>
                    <w:rPr>
                      <w:rFonts w:hint="default"/>
                      <w:color w:val="auto"/>
                    </w:rPr>
                  </w:pPr>
                  <w:r>
                    <w:rPr>
                      <w:rFonts w:hint="default"/>
                      <w:color w:val="auto"/>
                    </w:rPr>
                    <w:t>面源初始排放高度（m）</w:t>
                  </w:r>
                </w:p>
              </w:tc>
              <w:tc>
                <w:tcPr>
                  <w:tcW w:w="2564" w:type="dxa"/>
                  <w:noWrap w:val="0"/>
                  <w:vAlign w:val="center"/>
                </w:tcPr>
                <w:p>
                  <w:pPr>
                    <w:pStyle w:val="18"/>
                    <w:bidi w:val="0"/>
                    <w:rPr>
                      <w:rFonts w:hint="default"/>
                      <w:color w:val="auto"/>
                      <w:lang w:val="en-US" w:eastAsia="zh-CN"/>
                    </w:rPr>
                  </w:pPr>
                  <w:r>
                    <w:rPr>
                      <w:rFonts w:hint="eastAsia"/>
                      <w:color w:val="auto"/>
                      <w:lang w:val="en-US" w:eastAsia="zh-CN"/>
                    </w:rP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258" w:type="dxa"/>
                  <w:noWrap w:val="0"/>
                  <w:vAlign w:val="center"/>
                </w:tcPr>
                <w:p>
                  <w:pPr>
                    <w:pStyle w:val="18"/>
                    <w:bidi w:val="0"/>
                    <w:rPr>
                      <w:rFonts w:hint="default"/>
                      <w:color w:val="auto"/>
                    </w:rPr>
                  </w:pPr>
                  <w:r>
                    <w:rPr>
                      <w:rFonts w:hint="default"/>
                      <w:color w:val="auto"/>
                    </w:rPr>
                    <w:t>4</w:t>
                  </w:r>
                </w:p>
              </w:tc>
              <w:tc>
                <w:tcPr>
                  <w:tcW w:w="4474" w:type="dxa"/>
                  <w:noWrap w:val="0"/>
                  <w:vAlign w:val="center"/>
                </w:tcPr>
                <w:p>
                  <w:pPr>
                    <w:pStyle w:val="18"/>
                    <w:bidi w:val="0"/>
                    <w:rPr>
                      <w:rFonts w:hint="default"/>
                      <w:color w:val="auto"/>
                    </w:rPr>
                  </w:pPr>
                  <w:r>
                    <w:rPr>
                      <w:rFonts w:hint="default"/>
                      <w:color w:val="auto"/>
                    </w:rPr>
                    <w:t>面源的长度（m）</w:t>
                  </w:r>
                </w:p>
              </w:tc>
              <w:tc>
                <w:tcPr>
                  <w:tcW w:w="2564" w:type="dxa"/>
                  <w:noWrap w:val="0"/>
                  <w:vAlign w:val="center"/>
                </w:tcPr>
                <w:p>
                  <w:pPr>
                    <w:pStyle w:val="18"/>
                    <w:bidi w:val="0"/>
                    <w:rPr>
                      <w:rFonts w:hint="default"/>
                      <w:color w:val="auto"/>
                      <w:lang w:val="en-US" w:eastAsia="zh-CN"/>
                    </w:rPr>
                  </w:pPr>
                  <w:r>
                    <w:rPr>
                      <w:rFonts w:hint="eastAsia"/>
                      <w:color w:val="auto"/>
                      <w:lang w:val="en-US" w:eastAsia="zh-CN"/>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258" w:type="dxa"/>
                  <w:noWrap w:val="0"/>
                  <w:vAlign w:val="center"/>
                </w:tcPr>
                <w:p>
                  <w:pPr>
                    <w:pStyle w:val="18"/>
                    <w:bidi w:val="0"/>
                    <w:rPr>
                      <w:rFonts w:hint="default"/>
                      <w:color w:val="auto"/>
                    </w:rPr>
                  </w:pPr>
                  <w:r>
                    <w:rPr>
                      <w:rFonts w:hint="default"/>
                      <w:color w:val="auto"/>
                    </w:rPr>
                    <w:t>5</w:t>
                  </w:r>
                </w:p>
              </w:tc>
              <w:tc>
                <w:tcPr>
                  <w:tcW w:w="4474" w:type="dxa"/>
                  <w:noWrap w:val="0"/>
                  <w:vAlign w:val="center"/>
                </w:tcPr>
                <w:p>
                  <w:pPr>
                    <w:pStyle w:val="18"/>
                    <w:bidi w:val="0"/>
                    <w:rPr>
                      <w:rFonts w:hint="default"/>
                      <w:color w:val="auto"/>
                    </w:rPr>
                  </w:pPr>
                  <w:r>
                    <w:rPr>
                      <w:rFonts w:hint="default"/>
                      <w:color w:val="auto"/>
                    </w:rPr>
                    <w:t>面源的宽度（m）</w:t>
                  </w:r>
                </w:p>
              </w:tc>
              <w:tc>
                <w:tcPr>
                  <w:tcW w:w="2564" w:type="dxa"/>
                  <w:noWrap w:val="0"/>
                  <w:vAlign w:val="center"/>
                </w:tcPr>
                <w:p>
                  <w:pPr>
                    <w:pStyle w:val="18"/>
                    <w:bidi w:val="0"/>
                    <w:rPr>
                      <w:rFonts w:hint="default"/>
                      <w:color w:val="auto"/>
                      <w:lang w:val="en-US" w:eastAsia="zh-CN"/>
                    </w:rPr>
                  </w:pPr>
                  <w:r>
                    <w:rPr>
                      <w:rFonts w:hint="eastAsia"/>
                      <w:color w:val="auto"/>
                      <w:lang w:val="en-US" w:eastAsia="zh-CN"/>
                    </w:rPr>
                    <w:t>60</w:t>
                  </w:r>
                </w:p>
              </w:tc>
            </w:tr>
          </w:tbl>
          <w:p>
            <w:pPr>
              <w:pStyle w:val="19"/>
              <w:bidi w:val="0"/>
              <w:rPr>
                <w:rFonts w:hint="default"/>
                <w:color w:val="auto"/>
              </w:rPr>
            </w:pPr>
          </w:p>
          <w:p>
            <w:pPr>
              <w:pStyle w:val="19"/>
              <w:bidi w:val="0"/>
              <w:rPr>
                <w:rFonts w:hint="default"/>
                <w:color w:val="auto"/>
              </w:rPr>
            </w:pPr>
            <w:r>
              <w:rPr>
                <w:rFonts w:hint="default"/>
                <w:color w:val="auto"/>
              </w:rPr>
              <w:t>表7-</w:t>
            </w:r>
            <w:r>
              <w:rPr>
                <w:rFonts w:hint="eastAsia"/>
                <w:color w:val="auto"/>
                <w:lang w:val="en-US" w:eastAsia="zh-CN"/>
              </w:rPr>
              <w:t>9</w:t>
            </w:r>
            <w:r>
              <w:rPr>
                <w:rFonts w:hint="default"/>
                <w:color w:val="auto"/>
              </w:rPr>
              <w:t xml:space="preserve">  估算模型参数表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0"/>
              <w:gridCol w:w="2582"/>
              <w:gridCol w:w="3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822" w:type="dxa"/>
                  <w:gridSpan w:val="2"/>
                  <w:noWrap w:val="0"/>
                  <w:vAlign w:val="center"/>
                </w:tcPr>
                <w:p>
                  <w:pPr>
                    <w:pStyle w:val="18"/>
                    <w:bidi w:val="0"/>
                    <w:rPr>
                      <w:rFonts w:hint="default"/>
                      <w:color w:val="auto"/>
                    </w:rPr>
                  </w:pPr>
                  <w:r>
                    <w:rPr>
                      <w:rFonts w:hint="default"/>
                      <w:color w:val="auto"/>
                    </w:rPr>
                    <w:t>参数</w:t>
                  </w:r>
                </w:p>
              </w:tc>
              <w:tc>
                <w:tcPr>
                  <w:tcW w:w="3474" w:type="dxa"/>
                  <w:noWrap w:val="0"/>
                  <w:vAlign w:val="center"/>
                </w:tcPr>
                <w:p>
                  <w:pPr>
                    <w:pStyle w:val="18"/>
                    <w:bidi w:val="0"/>
                    <w:rPr>
                      <w:rFonts w:hint="default"/>
                      <w:color w:val="auto"/>
                    </w:rPr>
                  </w:pPr>
                  <w:r>
                    <w:rPr>
                      <w:rFonts w:hint="default"/>
                      <w:color w:val="auto"/>
                    </w:rPr>
                    <w:t>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240" w:type="dxa"/>
                  <w:vMerge w:val="restart"/>
                  <w:noWrap w:val="0"/>
                  <w:vAlign w:val="center"/>
                </w:tcPr>
                <w:p>
                  <w:pPr>
                    <w:pStyle w:val="18"/>
                    <w:bidi w:val="0"/>
                    <w:rPr>
                      <w:rFonts w:hint="default"/>
                      <w:color w:val="auto"/>
                    </w:rPr>
                  </w:pPr>
                  <w:r>
                    <w:rPr>
                      <w:rFonts w:hint="default"/>
                      <w:color w:val="auto"/>
                    </w:rPr>
                    <w:t>城市农村/选项</w:t>
                  </w:r>
                </w:p>
              </w:tc>
              <w:tc>
                <w:tcPr>
                  <w:tcW w:w="2582" w:type="dxa"/>
                  <w:noWrap w:val="0"/>
                  <w:vAlign w:val="center"/>
                </w:tcPr>
                <w:p>
                  <w:pPr>
                    <w:pStyle w:val="18"/>
                    <w:bidi w:val="0"/>
                    <w:rPr>
                      <w:rFonts w:hint="default"/>
                      <w:color w:val="auto"/>
                    </w:rPr>
                  </w:pPr>
                  <w:r>
                    <w:rPr>
                      <w:rFonts w:hint="default"/>
                      <w:color w:val="auto"/>
                    </w:rPr>
                    <w:t>城市/农村</w:t>
                  </w:r>
                </w:p>
              </w:tc>
              <w:tc>
                <w:tcPr>
                  <w:tcW w:w="3474" w:type="dxa"/>
                  <w:noWrap w:val="0"/>
                  <w:vAlign w:val="center"/>
                </w:tcPr>
                <w:p>
                  <w:pPr>
                    <w:pStyle w:val="18"/>
                    <w:bidi w:val="0"/>
                    <w:rPr>
                      <w:rFonts w:hint="eastAsia"/>
                      <w:color w:val="auto"/>
                      <w:lang w:eastAsia="zh-CN"/>
                    </w:rPr>
                  </w:pPr>
                  <w:r>
                    <w:rPr>
                      <w:rFonts w:hint="eastAsia"/>
                      <w:color w:val="auto"/>
                      <w:lang w:eastAsia="zh-CN"/>
                    </w:rPr>
                    <w:t>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atLeast"/>
                <w:jc w:val="center"/>
              </w:trPr>
              <w:tc>
                <w:tcPr>
                  <w:tcW w:w="2240" w:type="dxa"/>
                  <w:vMerge w:val="continue"/>
                  <w:noWrap w:val="0"/>
                  <w:vAlign w:val="center"/>
                </w:tcPr>
                <w:p>
                  <w:pPr>
                    <w:pStyle w:val="18"/>
                    <w:bidi w:val="0"/>
                    <w:rPr>
                      <w:rFonts w:hint="default"/>
                      <w:color w:val="auto"/>
                    </w:rPr>
                  </w:pPr>
                </w:p>
              </w:tc>
              <w:tc>
                <w:tcPr>
                  <w:tcW w:w="2582" w:type="dxa"/>
                  <w:noWrap w:val="0"/>
                  <w:vAlign w:val="center"/>
                </w:tcPr>
                <w:p>
                  <w:pPr>
                    <w:pStyle w:val="18"/>
                    <w:bidi w:val="0"/>
                    <w:rPr>
                      <w:rFonts w:hint="default"/>
                      <w:color w:val="auto"/>
                    </w:rPr>
                  </w:pPr>
                  <w:r>
                    <w:rPr>
                      <w:rFonts w:hint="default"/>
                      <w:color w:val="auto"/>
                    </w:rPr>
                    <w:t>人口数(城市人口数)</w:t>
                  </w:r>
                </w:p>
              </w:tc>
              <w:tc>
                <w:tcPr>
                  <w:tcW w:w="3474" w:type="dxa"/>
                  <w:noWrap w:val="0"/>
                  <w:vAlign w:val="center"/>
                </w:tcPr>
                <w:p>
                  <w:pPr>
                    <w:pStyle w:val="18"/>
                    <w:bidi w:val="0"/>
                    <w:rPr>
                      <w:rFonts w:hint="default"/>
                      <w:color w:val="auto"/>
                    </w:rPr>
                  </w:pPr>
                  <w:r>
                    <w:rPr>
                      <w:rFonts w:hint="default"/>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822" w:type="dxa"/>
                  <w:gridSpan w:val="2"/>
                  <w:noWrap w:val="0"/>
                  <w:vAlign w:val="center"/>
                </w:tcPr>
                <w:p>
                  <w:pPr>
                    <w:pStyle w:val="18"/>
                    <w:bidi w:val="0"/>
                    <w:rPr>
                      <w:rFonts w:hint="default"/>
                      <w:color w:val="auto"/>
                    </w:rPr>
                  </w:pPr>
                  <w:r>
                    <w:rPr>
                      <w:rFonts w:hint="default"/>
                      <w:color w:val="auto"/>
                    </w:rPr>
                    <w:t>最高环境温度</w:t>
                  </w:r>
                </w:p>
              </w:tc>
              <w:tc>
                <w:tcPr>
                  <w:tcW w:w="3474" w:type="dxa"/>
                  <w:noWrap w:val="0"/>
                  <w:vAlign w:val="center"/>
                </w:tcPr>
                <w:p>
                  <w:pPr>
                    <w:pStyle w:val="18"/>
                    <w:bidi w:val="0"/>
                    <w:rPr>
                      <w:rFonts w:hint="default"/>
                      <w:color w:val="auto"/>
                    </w:rPr>
                  </w:pPr>
                  <w:r>
                    <w:rPr>
                      <w:rFonts w:hint="eastAsia"/>
                      <w:color w:val="auto"/>
                      <w:lang w:val="en-US" w:eastAsia="zh-CN"/>
                    </w:rPr>
                    <w:t>33.4</w:t>
                  </w:r>
                  <w:r>
                    <w:rPr>
                      <w:rFonts w:hint="default"/>
                      <w:color w:val="auto"/>
                    </w:rPr>
                    <w:t xml:space="preserve"> °C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8" w:hRule="atLeast"/>
                <w:jc w:val="center"/>
              </w:trPr>
              <w:tc>
                <w:tcPr>
                  <w:tcW w:w="4822" w:type="dxa"/>
                  <w:gridSpan w:val="2"/>
                  <w:noWrap w:val="0"/>
                  <w:vAlign w:val="center"/>
                </w:tcPr>
                <w:p>
                  <w:pPr>
                    <w:pStyle w:val="18"/>
                    <w:bidi w:val="0"/>
                    <w:rPr>
                      <w:rFonts w:hint="default"/>
                      <w:color w:val="auto"/>
                    </w:rPr>
                  </w:pPr>
                  <w:r>
                    <w:rPr>
                      <w:rFonts w:hint="default"/>
                      <w:color w:val="auto"/>
                    </w:rPr>
                    <w:t>最低环境温度</w:t>
                  </w:r>
                </w:p>
              </w:tc>
              <w:tc>
                <w:tcPr>
                  <w:tcW w:w="3474" w:type="dxa"/>
                  <w:noWrap w:val="0"/>
                  <w:vAlign w:val="center"/>
                </w:tcPr>
                <w:p>
                  <w:pPr>
                    <w:pStyle w:val="18"/>
                    <w:bidi w:val="0"/>
                    <w:rPr>
                      <w:rFonts w:hint="default"/>
                      <w:color w:val="auto"/>
                    </w:rPr>
                  </w:pPr>
                  <w:r>
                    <w:rPr>
                      <w:rFonts w:hint="eastAsia"/>
                      <w:color w:val="auto"/>
                      <w:lang w:val="en-US" w:eastAsia="zh-CN"/>
                    </w:rPr>
                    <w:t>-7</w:t>
                  </w:r>
                  <w:r>
                    <w:rPr>
                      <w:rFonts w:hint="default"/>
                      <w:color w:val="auto"/>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2" w:hRule="atLeast"/>
                <w:jc w:val="center"/>
              </w:trPr>
              <w:tc>
                <w:tcPr>
                  <w:tcW w:w="4822" w:type="dxa"/>
                  <w:gridSpan w:val="2"/>
                  <w:noWrap w:val="0"/>
                  <w:vAlign w:val="center"/>
                </w:tcPr>
                <w:p>
                  <w:pPr>
                    <w:pStyle w:val="18"/>
                    <w:bidi w:val="0"/>
                    <w:rPr>
                      <w:rFonts w:hint="default"/>
                      <w:color w:val="auto"/>
                    </w:rPr>
                  </w:pPr>
                  <w:r>
                    <w:rPr>
                      <w:rFonts w:hint="default"/>
                      <w:color w:val="auto"/>
                    </w:rPr>
                    <w:t>土地利用类型</w:t>
                  </w:r>
                </w:p>
              </w:tc>
              <w:tc>
                <w:tcPr>
                  <w:tcW w:w="3474" w:type="dxa"/>
                  <w:noWrap w:val="0"/>
                  <w:vAlign w:val="center"/>
                </w:tcPr>
                <w:p>
                  <w:pPr>
                    <w:pStyle w:val="18"/>
                    <w:bidi w:val="0"/>
                    <w:rPr>
                      <w:rFonts w:hint="eastAsia"/>
                      <w:color w:val="auto"/>
                      <w:lang w:eastAsia="zh-CN"/>
                    </w:rPr>
                  </w:pPr>
                  <w:r>
                    <w:rPr>
                      <w:rFonts w:hint="eastAsia"/>
                      <w:color w:val="auto"/>
                      <w:lang w:eastAsia="zh-CN"/>
                    </w:rPr>
                    <w:t>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4822" w:type="dxa"/>
                  <w:gridSpan w:val="2"/>
                  <w:noWrap w:val="0"/>
                  <w:vAlign w:val="center"/>
                </w:tcPr>
                <w:p>
                  <w:pPr>
                    <w:pStyle w:val="18"/>
                    <w:bidi w:val="0"/>
                    <w:rPr>
                      <w:rFonts w:hint="default"/>
                      <w:color w:val="auto"/>
                    </w:rPr>
                  </w:pPr>
                  <w:r>
                    <w:rPr>
                      <w:rFonts w:hint="default"/>
                      <w:color w:val="auto"/>
                    </w:rPr>
                    <w:t>区域湿度条件</w:t>
                  </w:r>
                </w:p>
              </w:tc>
              <w:tc>
                <w:tcPr>
                  <w:tcW w:w="3474" w:type="dxa"/>
                  <w:noWrap w:val="0"/>
                  <w:vAlign w:val="center"/>
                </w:tcPr>
                <w:p>
                  <w:pPr>
                    <w:pStyle w:val="18"/>
                    <w:bidi w:val="0"/>
                    <w:rPr>
                      <w:rFonts w:hint="eastAsia"/>
                      <w:color w:val="auto"/>
                      <w:lang w:eastAsia="zh-CN"/>
                    </w:rPr>
                  </w:pPr>
                  <w:r>
                    <w:rPr>
                      <w:rFonts w:hint="eastAsia"/>
                      <w:color w:val="auto"/>
                      <w:lang w:eastAsia="zh-CN"/>
                    </w:rPr>
                    <w:t>湿润区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240" w:type="dxa"/>
                  <w:vMerge w:val="restart"/>
                  <w:noWrap w:val="0"/>
                  <w:vAlign w:val="center"/>
                </w:tcPr>
                <w:p>
                  <w:pPr>
                    <w:pStyle w:val="18"/>
                    <w:bidi w:val="0"/>
                    <w:rPr>
                      <w:rFonts w:hint="default"/>
                      <w:color w:val="auto"/>
                    </w:rPr>
                  </w:pPr>
                  <w:r>
                    <w:rPr>
                      <w:rFonts w:hint="default"/>
                      <w:color w:val="auto"/>
                    </w:rPr>
                    <w:t>是否考虑地形</w:t>
                  </w:r>
                </w:p>
              </w:tc>
              <w:tc>
                <w:tcPr>
                  <w:tcW w:w="2582" w:type="dxa"/>
                  <w:noWrap w:val="0"/>
                  <w:vAlign w:val="center"/>
                </w:tcPr>
                <w:p>
                  <w:pPr>
                    <w:pStyle w:val="18"/>
                    <w:bidi w:val="0"/>
                    <w:rPr>
                      <w:rFonts w:hint="default"/>
                      <w:color w:val="auto"/>
                    </w:rPr>
                  </w:pPr>
                  <w:r>
                    <w:rPr>
                      <w:rFonts w:hint="default"/>
                      <w:color w:val="auto"/>
                    </w:rPr>
                    <w:t>考虑地形</w:t>
                  </w:r>
                </w:p>
              </w:tc>
              <w:tc>
                <w:tcPr>
                  <w:tcW w:w="3474" w:type="dxa"/>
                  <w:noWrap w:val="0"/>
                  <w:vAlign w:val="center"/>
                </w:tcPr>
                <w:p>
                  <w:pPr>
                    <w:pStyle w:val="18"/>
                    <w:bidi w:val="0"/>
                    <w:rPr>
                      <w:rFonts w:hint="eastAsia"/>
                      <w:color w:val="auto"/>
                      <w:lang w:eastAsia="zh-CN"/>
                    </w:rPr>
                  </w:pPr>
                  <w:r>
                    <w:rPr>
                      <w:rFonts w:hint="eastAsia"/>
                      <w:color w:val="auto"/>
                      <w:lang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240" w:type="dxa"/>
                  <w:vMerge w:val="continue"/>
                  <w:noWrap w:val="0"/>
                  <w:vAlign w:val="center"/>
                </w:tcPr>
                <w:p>
                  <w:pPr>
                    <w:pStyle w:val="18"/>
                    <w:bidi w:val="0"/>
                    <w:rPr>
                      <w:rFonts w:hint="default"/>
                      <w:color w:val="auto"/>
                    </w:rPr>
                  </w:pPr>
                </w:p>
              </w:tc>
              <w:tc>
                <w:tcPr>
                  <w:tcW w:w="2582" w:type="dxa"/>
                  <w:noWrap w:val="0"/>
                  <w:vAlign w:val="center"/>
                </w:tcPr>
                <w:p>
                  <w:pPr>
                    <w:pStyle w:val="18"/>
                    <w:bidi w:val="0"/>
                    <w:rPr>
                      <w:rFonts w:hint="default"/>
                      <w:color w:val="auto"/>
                    </w:rPr>
                  </w:pPr>
                  <w:r>
                    <w:rPr>
                      <w:rFonts w:hint="default"/>
                      <w:color w:val="auto"/>
                    </w:rPr>
                    <w:t>地形数据分辨率(m)</w:t>
                  </w:r>
                </w:p>
              </w:tc>
              <w:tc>
                <w:tcPr>
                  <w:tcW w:w="3474" w:type="dxa"/>
                  <w:noWrap w:val="0"/>
                  <w:vAlign w:val="center"/>
                </w:tcPr>
                <w:p>
                  <w:pPr>
                    <w:pStyle w:val="18"/>
                    <w:bidi w:val="0"/>
                    <w:rPr>
                      <w:rFonts w:hint="default"/>
                      <w:color w:val="auto"/>
                    </w:rPr>
                  </w:pPr>
                  <w:r>
                    <w:rPr>
                      <w:rFonts w:hint="default"/>
                      <w:color w:val="auto"/>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jc w:val="center"/>
              </w:trPr>
              <w:tc>
                <w:tcPr>
                  <w:tcW w:w="2240" w:type="dxa"/>
                  <w:vMerge w:val="restart"/>
                  <w:noWrap w:val="0"/>
                  <w:vAlign w:val="center"/>
                </w:tcPr>
                <w:p>
                  <w:pPr>
                    <w:pStyle w:val="18"/>
                    <w:bidi w:val="0"/>
                    <w:rPr>
                      <w:rFonts w:hint="default"/>
                      <w:color w:val="auto"/>
                    </w:rPr>
                  </w:pPr>
                  <w:r>
                    <w:rPr>
                      <w:rFonts w:hint="default"/>
                      <w:color w:val="auto"/>
                    </w:rPr>
                    <w:t>是否考虑海岸线熏烟</w:t>
                  </w:r>
                </w:p>
              </w:tc>
              <w:tc>
                <w:tcPr>
                  <w:tcW w:w="2582" w:type="dxa"/>
                  <w:noWrap w:val="0"/>
                  <w:vAlign w:val="center"/>
                </w:tcPr>
                <w:p>
                  <w:pPr>
                    <w:pStyle w:val="18"/>
                    <w:bidi w:val="0"/>
                    <w:rPr>
                      <w:rFonts w:hint="default"/>
                      <w:color w:val="auto"/>
                    </w:rPr>
                  </w:pPr>
                  <w:r>
                    <w:rPr>
                      <w:rFonts w:hint="default"/>
                      <w:color w:val="auto"/>
                    </w:rPr>
                    <w:t>考虑海岸线熏烟</w:t>
                  </w:r>
                </w:p>
              </w:tc>
              <w:tc>
                <w:tcPr>
                  <w:tcW w:w="3474" w:type="dxa"/>
                  <w:noWrap w:val="0"/>
                  <w:vAlign w:val="center"/>
                </w:tcPr>
                <w:p>
                  <w:pPr>
                    <w:pStyle w:val="18"/>
                    <w:bidi w:val="0"/>
                    <w:rPr>
                      <w:rFonts w:hint="default"/>
                      <w:color w:val="auto"/>
                    </w:rPr>
                  </w:pPr>
                  <w:r>
                    <w:rPr>
                      <w:rFonts w:hint="default"/>
                      <w:color w:val="auto"/>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240" w:type="dxa"/>
                  <w:vMerge w:val="continue"/>
                  <w:noWrap w:val="0"/>
                  <w:vAlign w:val="center"/>
                </w:tcPr>
                <w:p>
                  <w:pPr>
                    <w:pStyle w:val="18"/>
                    <w:bidi w:val="0"/>
                    <w:rPr>
                      <w:rFonts w:hint="default"/>
                      <w:color w:val="auto"/>
                    </w:rPr>
                  </w:pPr>
                </w:p>
              </w:tc>
              <w:tc>
                <w:tcPr>
                  <w:tcW w:w="2582" w:type="dxa"/>
                  <w:noWrap w:val="0"/>
                  <w:vAlign w:val="center"/>
                </w:tcPr>
                <w:p>
                  <w:pPr>
                    <w:pStyle w:val="18"/>
                    <w:bidi w:val="0"/>
                    <w:rPr>
                      <w:rFonts w:hint="default"/>
                      <w:color w:val="auto"/>
                    </w:rPr>
                  </w:pPr>
                  <w:r>
                    <w:rPr>
                      <w:rFonts w:hint="default"/>
                      <w:color w:val="auto"/>
                    </w:rPr>
                    <w:t>海岸线距离/km</w:t>
                  </w:r>
                </w:p>
              </w:tc>
              <w:tc>
                <w:tcPr>
                  <w:tcW w:w="3474" w:type="dxa"/>
                  <w:noWrap w:val="0"/>
                  <w:vAlign w:val="center"/>
                </w:tcPr>
                <w:p>
                  <w:pPr>
                    <w:pStyle w:val="18"/>
                    <w:bidi w:val="0"/>
                    <w:rPr>
                      <w:rFonts w:hint="default"/>
                      <w:color w:val="auto"/>
                    </w:rPr>
                  </w:pPr>
                  <w:r>
                    <w:rPr>
                      <w:rFonts w:hint="default"/>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jc w:val="center"/>
              </w:trPr>
              <w:tc>
                <w:tcPr>
                  <w:tcW w:w="2240" w:type="dxa"/>
                  <w:vMerge w:val="continue"/>
                  <w:noWrap w:val="0"/>
                  <w:vAlign w:val="center"/>
                </w:tcPr>
                <w:p>
                  <w:pPr>
                    <w:pStyle w:val="18"/>
                    <w:bidi w:val="0"/>
                    <w:rPr>
                      <w:rFonts w:hint="default"/>
                      <w:color w:val="auto"/>
                    </w:rPr>
                  </w:pPr>
                </w:p>
              </w:tc>
              <w:tc>
                <w:tcPr>
                  <w:tcW w:w="2582" w:type="dxa"/>
                  <w:noWrap w:val="0"/>
                  <w:vAlign w:val="center"/>
                </w:tcPr>
                <w:p>
                  <w:pPr>
                    <w:pStyle w:val="18"/>
                    <w:bidi w:val="0"/>
                    <w:rPr>
                      <w:rFonts w:hint="default"/>
                      <w:color w:val="auto"/>
                    </w:rPr>
                  </w:pPr>
                  <w:r>
                    <w:rPr>
                      <w:rFonts w:hint="default"/>
                      <w:color w:val="auto"/>
                    </w:rPr>
                    <w:t>海岸线方向/o</w:t>
                  </w:r>
                </w:p>
              </w:tc>
              <w:tc>
                <w:tcPr>
                  <w:tcW w:w="3474" w:type="dxa"/>
                  <w:noWrap w:val="0"/>
                  <w:vAlign w:val="center"/>
                </w:tcPr>
                <w:p>
                  <w:pPr>
                    <w:pStyle w:val="18"/>
                    <w:bidi w:val="0"/>
                    <w:rPr>
                      <w:rFonts w:hint="default"/>
                      <w:color w:val="auto"/>
                    </w:rPr>
                  </w:pPr>
                  <w:r>
                    <w:rPr>
                      <w:rFonts w:hint="default"/>
                      <w:color w:val="auto"/>
                    </w:rPr>
                    <w:t>/</w:t>
                  </w:r>
                </w:p>
              </w:tc>
            </w:tr>
          </w:tbl>
          <w:p>
            <w:pPr>
              <w:spacing w:line="480" w:lineRule="exact"/>
              <w:ind w:left="0" w:leftChars="0" w:firstLine="480" w:firstLineChars="200"/>
              <w:rPr>
                <w:rFonts w:hint="eastAsia"/>
                <w:color w:val="auto"/>
                <w:lang w:val="en-US" w:eastAsia="zh-CN"/>
              </w:rPr>
            </w:pPr>
            <w:r>
              <w:rPr>
                <w:rFonts w:hint="eastAsia"/>
                <w:color w:val="auto"/>
                <w:lang w:val="en-US" w:eastAsia="zh-CN"/>
              </w:rPr>
              <w:t>（6）评价等级确定</w:t>
            </w:r>
          </w:p>
          <w:p>
            <w:pPr>
              <w:spacing w:line="480" w:lineRule="exact"/>
              <w:ind w:firstLine="422" w:firstLineChars="176"/>
              <w:rPr>
                <w:rFonts w:hint="default"/>
                <w:color w:val="auto"/>
              </w:rPr>
            </w:pPr>
            <w:r>
              <w:rPr>
                <w:rFonts w:hint="default"/>
                <w:color w:val="auto"/>
              </w:rPr>
              <w:t>本项目所有污染源的正常排放的污染物的Pmax和D10%预测结果如下：</w:t>
            </w:r>
          </w:p>
          <w:p>
            <w:pPr>
              <w:pStyle w:val="19"/>
              <w:bidi w:val="0"/>
              <w:rPr>
                <w:rFonts w:hint="default"/>
                <w:color w:val="auto"/>
              </w:rPr>
            </w:pPr>
            <w:r>
              <w:rPr>
                <w:rFonts w:hint="default"/>
                <w:color w:val="auto"/>
              </w:rPr>
              <w:t>表7-</w:t>
            </w:r>
            <w:r>
              <w:rPr>
                <w:rFonts w:hint="eastAsia"/>
                <w:color w:val="auto"/>
                <w:lang w:val="en-US" w:eastAsia="zh-CN"/>
              </w:rPr>
              <w:t xml:space="preserve">10 </w:t>
            </w:r>
            <w:r>
              <w:rPr>
                <w:rFonts w:hint="default"/>
                <w:color w:val="auto"/>
              </w:rPr>
              <w:t xml:space="preserve"> Pmax和D10%预测和计算结果一览表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2"/>
              <w:gridCol w:w="1384"/>
              <w:gridCol w:w="1384"/>
              <w:gridCol w:w="1382"/>
              <w:gridCol w:w="1384"/>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382" w:type="dxa"/>
                  <w:noWrap w:val="0"/>
                  <w:vAlign w:val="center"/>
                </w:tcPr>
                <w:p>
                  <w:pPr>
                    <w:pStyle w:val="18"/>
                    <w:bidi w:val="0"/>
                    <w:rPr>
                      <w:rFonts w:hint="default"/>
                      <w:color w:val="auto"/>
                    </w:rPr>
                  </w:pPr>
                  <w:r>
                    <w:rPr>
                      <w:rFonts w:hint="default"/>
                      <w:color w:val="auto"/>
                    </w:rPr>
                    <w:t>污染源名称</w:t>
                  </w:r>
                </w:p>
              </w:tc>
              <w:tc>
                <w:tcPr>
                  <w:tcW w:w="1384" w:type="dxa"/>
                  <w:noWrap w:val="0"/>
                  <w:vAlign w:val="center"/>
                </w:tcPr>
                <w:p>
                  <w:pPr>
                    <w:pStyle w:val="18"/>
                    <w:bidi w:val="0"/>
                    <w:rPr>
                      <w:rFonts w:hint="default"/>
                      <w:color w:val="auto"/>
                    </w:rPr>
                  </w:pPr>
                  <w:r>
                    <w:rPr>
                      <w:rFonts w:hint="default"/>
                      <w:color w:val="auto"/>
                    </w:rPr>
                    <w:t>评价因子</w:t>
                  </w:r>
                </w:p>
              </w:tc>
              <w:tc>
                <w:tcPr>
                  <w:tcW w:w="1384" w:type="dxa"/>
                  <w:noWrap w:val="0"/>
                  <w:vAlign w:val="center"/>
                </w:tcPr>
                <w:p>
                  <w:pPr>
                    <w:pStyle w:val="18"/>
                    <w:bidi w:val="0"/>
                    <w:rPr>
                      <w:rFonts w:hint="default"/>
                      <w:color w:val="auto"/>
                    </w:rPr>
                  </w:pPr>
                  <w:r>
                    <w:rPr>
                      <w:rFonts w:hint="default"/>
                      <w:color w:val="auto"/>
                    </w:rPr>
                    <w:t>评价标准(μg/</w:t>
                  </w:r>
                  <w:r>
                    <w:rPr>
                      <w:rFonts w:hint="eastAsia"/>
                      <w:color w:val="auto"/>
                      <w:lang w:val="en-US" w:eastAsia="zh-CN"/>
                    </w:rPr>
                    <w:t>m</w:t>
                  </w:r>
                  <w:r>
                    <w:rPr>
                      <w:rFonts w:hint="eastAsia"/>
                      <w:color w:val="auto"/>
                      <w:vertAlign w:val="superscript"/>
                      <w:lang w:val="en-US" w:eastAsia="zh-CN"/>
                    </w:rPr>
                    <w:t>3</w:t>
                  </w:r>
                  <w:r>
                    <w:rPr>
                      <w:rFonts w:hint="default"/>
                      <w:color w:val="auto"/>
                    </w:rPr>
                    <w:t>)</w:t>
                  </w:r>
                </w:p>
              </w:tc>
              <w:tc>
                <w:tcPr>
                  <w:tcW w:w="1382" w:type="dxa"/>
                  <w:noWrap w:val="0"/>
                  <w:vAlign w:val="center"/>
                </w:tcPr>
                <w:p>
                  <w:pPr>
                    <w:pStyle w:val="18"/>
                    <w:bidi w:val="0"/>
                    <w:rPr>
                      <w:rFonts w:hint="default"/>
                      <w:color w:val="auto"/>
                    </w:rPr>
                  </w:pPr>
                  <w:r>
                    <w:rPr>
                      <w:rFonts w:hint="default"/>
                      <w:color w:val="auto"/>
                    </w:rPr>
                    <w:t>Cmax</w:t>
                  </w:r>
                </w:p>
                <w:p>
                  <w:pPr>
                    <w:pStyle w:val="18"/>
                    <w:bidi w:val="0"/>
                    <w:rPr>
                      <w:rFonts w:hint="default"/>
                      <w:color w:val="auto"/>
                    </w:rPr>
                  </w:pPr>
                  <w:r>
                    <w:rPr>
                      <w:rFonts w:hint="default"/>
                      <w:color w:val="auto"/>
                    </w:rPr>
                    <w:t>(μg/</w:t>
                  </w:r>
                  <w:r>
                    <w:rPr>
                      <w:rFonts w:hint="eastAsia"/>
                      <w:color w:val="auto"/>
                      <w:lang w:val="en-US" w:eastAsia="zh-CN"/>
                    </w:rPr>
                    <w:t>m</w:t>
                  </w:r>
                  <w:r>
                    <w:rPr>
                      <w:rFonts w:hint="eastAsia"/>
                      <w:color w:val="auto"/>
                      <w:vertAlign w:val="superscript"/>
                      <w:lang w:val="en-US" w:eastAsia="zh-CN"/>
                    </w:rPr>
                    <w:t>3</w:t>
                  </w:r>
                  <w:r>
                    <w:rPr>
                      <w:rFonts w:hint="default"/>
                      <w:color w:val="auto"/>
                    </w:rPr>
                    <w:t>)</w:t>
                  </w:r>
                </w:p>
              </w:tc>
              <w:tc>
                <w:tcPr>
                  <w:tcW w:w="1384" w:type="dxa"/>
                  <w:noWrap w:val="0"/>
                  <w:vAlign w:val="center"/>
                </w:tcPr>
                <w:p>
                  <w:pPr>
                    <w:pStyle w:val="18"/>
                    <w:bidi w:val="0"/>
                    <w:rPr>
                      <w:rFonts w:hint="default"/>
                      <w:color w:val="auto"/>
                    </w:rPr>
                  </w:pPr>
                  <w:r>
                    <w:rPr>
                      <w:rFonts w:hint="default"/>
                      <w:color w:val="auto"/>
                    </w:rPr>
                    <w:t>Pmax</w:t>
                  </w:r>
                </w:p>
                <w:p>
                  <w:pPr>
                    <w:pStyle w:val="18"/>
                    <w:bidi w:val="0"/>
                    <w:rPr>
                      <w:rFonts w:hint="default"/>
                      <w:color w:val="auto"/>
                    </w:rPr>
                  </w:pPr>
                  <w:r>
                    <w:rPr>
                      <w:rFonts w:hint="default"/>
                      <w:color w:val="auto"/>
                    </w:rPr>
                    <w:t>(%)</w:t>
                  </w:r>
                </w:p>
              </w:tc>
              <w:tc>
                <w:tcPr>
                  <w:tcW w:w="1380" w:type="dxa"/>
                  <w:noWrap w:val="0"/>
                  <w:vAlign w:val="center"/>
                </w:tcPr>
                <w:p>
                  <w:pPr>
                    <w:pStyle w:val="18"/>
                    <w:bidi w:val="0"/>
                    <w:rPr>
                      <w:rFonts w:hint="default"/>
                      <w:color w:val="auto"/>
                    </w:rPr>
                  </w:pPr>
                  <w:r>
                    <w:rPr>
                      <w:rFonts w:hint="default"/>
                      <w:color w:val="auto"/>
                    </w:rPr>
                    <w:t>D10%</w:t>
                  </w:r>
                </w:p>
                <w:p>
                  <w:pPr>
                    <w:pStyle w:val="18"/>
                    <w:bidi w:val="0"/>
                    <w:rPr>
                      <w:rFonts w:hint="default"/>
                      <w:color w:val="auto"/>
                    </w:rPr>
                  </w:pPr>
                  <w:r>
                    <w:rPr>
                      <w:rFonts w:hint="default"/>
                      <w:color w:val="auto"/>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82" w:type="dxa"/>
                  <w:vMerge w:val="restart"/>
                  <w:noWrap w:val="0"/>
                  <w:vAlign w:val="center"/>
                </w:tcPr>
                <w:p>
                  <w:pPr>
                    <w:pStyle w:val="18"/>
                    <w:bidi w:val="0"/>
                    <w:rPr>
                      <w:rFonts w:hint="default"/>
                      <w:color w:val="auto"/>
                      <w:lang w:val="en-US" w:eastAsia="zh-CN"/>
                    </w:rPr>
                  </w:pPr>
                  <w:r>
                    <w:rPr>
                      <w:rFonts w:hint="eastAsia"/>
                      <w:color w:val="auto"/>
                      <w:lang w:val="en-US" w:eastAsia="zh-CN"/>
                    </w:rPr>
                    <w:t>有组织</w:t>
                  </w:r>
                </w:p>
              </w:tc>
              <w:tc>
                <w:tcPr>
                  <w:tcW w:w="1384" w:type="dxa"/>
                  <w:noWrap w:val="0"/>
                  <w:vAlign w:val="center"/>
                </w:tcPr>
                <w:p>
                  <w:pPr>
                    <w:pStyle w:val="18"/>
                    <w:bidi w:val="0"/>
                    <w:rPr>
                      <w:rFonts w:hint="default"/>
                      <w:color w:val="auto"/>
                      <w:lang w:val="en-US" w:eastAsia="zh-CN"/>
                    </w:rPr>
                  </w:pPr>
                  <w:r>
                    <w:rPr>
                      <w:rFonts w:hint="eastAsia"/>
                      <w:color w:val="auto"/>
                      <w:lang w:val="en-US" w:eastAsia="zh-CN"/>
                    </w:rPr>
                    <w:t>VOCs</w:t>
                  </w:r>
                </w:p>
              </w:tc>
              <w:tc>
                <w:tcPr>
                  <w:tcW w:w="1384" w:type="dxa"/>
                  <w:noWrap w:val="0"/>
                  <w:vAlign w:val="center"/>
                </w:tcPr>
                <w:p>
                  <w:pPr>
                    <w:pStyle w:val="18"/>
                    <w:bidi w:val="0"/>
                    <w:rPr>
                      <w:rFonts w:hint="default"/>
                      <w:color w:val="auto"/>
                      <w:lang w:val="en-US"/>
                    </w:rPr>
                  </w:pPr>
                  <w:r>
                    <w:rPr>
                      <w:rFonts w:hint="eastAsia"/>
                      <w:color w:val="auto"/>
                      <w:lang w:val="en-US" w:eastAsia="zh-CN"/>
                    </w:rPr>
                    <w:t>1200</w:t>
                  </w:r>
                </w:p>
              </w:tc>
              <w:tc>
                <w:tcPr>
                  <w:tcW w:w="1382" w:type="dxa"/>
                  <w:noWrap w:val="0"/>
                  <w:vAlign w:val="center"/>
                </w:tcPr>
                <w:p>
                  <w:pPr>
                    <w:pStyle w:val="18"/>
                    <w:bidi w:val="0"/>
                    <w:rPr>
                      <w:rFonts w:hint="default"/>
                      <w:color w:val="auto"/>
                      <w:lang w:val="en-US" w:eastAsia="zh-CN"/>
                    </w:rPr>
                  </w:pPr>
                  <w:r>
                    <w:rPr>
                      <w:rFonts w:hint="eastAsia"/>
                      <w:color w:val="auto"/>
                      <w:lang w:val="en-US" w:eastAsia="zh-CN"/>
                    </w:rPr>
                    <w:t>0.32</w:t>
                  </w:r>
                </w:p>
              </w:tc>
              <w:tc>
                <w:tcPr>
                  <w:tcW w:w="1384" w:type="dxa"/>
                  <w:noWrap w:val="0"/>
                  <w:vAlign w:val="center"/>
                </w:tcPr>
                <w:p>
                  <w:pPr>
                    <w:pStyle w:val="18"/>
                    <w:bidi w:val="0"/>
                    <w:rPr>
                      <w:rFonts w:hint="default"/>
                      <w:color w:val="auto"/>
                      <w:lang w:val="en-US" w:eastAsia="zh-CN"/>
                    </w:rPr>
                  </w:pPr>
                  <w:r>
                    <w:rPr>
                      <w:rFonts w:hint="eastAsia"/>
                      <w:color w:val="auto"/>
                      <w:lang w:val="en-US" w:eastAsia="zh-CN"/>
                    </w:rPr>
                    <w:t>2.91</w:t>
                  </w:r>
                </w:p>
              </w:tc>
              <w:tc>
                <w:tcPr>
                  <w:tcW w:w="1380" w:type="dxa"/>
                  <w:noWrap w:val="0"/>
                  <w:vAlign w:val="center"/>
                </w:tcPr>
                <w:p>
                  <w:pPr>
                    <w:pStyle w:val="18"/>
                    <w:bidi w:val="0"/>
                    <w:rPr>
                      <w:rFonts w:hint="default"/>
                      <w:color w:val="auto"/>
                    </w:rPr>
                  </w:pPr>
                  <w:r>
                    <w:rPr>
                      <w:rFonts w:hint="default"/>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82" w:type="dxa"/>
                  <w:vMerge w:val="continue"/>
                  <w:noWrap w:val="0"/>
                  <w:vAlign w:val="center"/>
                </w:tcPr>
                <w:p>
                  <w:pPr>
                    <w:pStyle w:val="18"/>
                    <w:bidi w:val="0"/>
                    <w:rPr>
                      <w:rFonts w:hint="eastAsia"/>
                      <w:color w:val="auto"/>
                      <w:lang w:val="en-US" w:eastAsia="zh-CN"/>
                    </w:rPr>
                  </w:pPr>
                </w:p>
              </w:tc>
              <w:tc>
                <w:tcPr>
                  <w:tcW w:w="1384" w:type="dxa"/>
                  <w:noWrap w:val="0"/>
                  <w:vAlign w:val="center"/>
                </w:tcPr>
                <w:p>
                  <w:pPr>
                    <w:pStyle w:val="18"/>
                    <w:bidi w:val="0"/>
                    <w:rPr>
                      <w:rFonts w:hint="default"/>
                      <w:color w:val="auto"/>
                      <w:lang w:val="en-US" w:eastAsia="zh-CN"/>
                    </w:rPr>
                  </w:pPr>
                  <w:r>
                    <w:rPr>
                      <w:rFonts w:hint="eastAsia"/>
                      <w:color w:val="auto"/>
                      <w:lang w:val="en-US" w:eastAsia="zh-CN"/>
                    </w:rPr>
                    <w:t>TSP</w:t>
                  </w:r>
                </w:p>
              </w:tc>
              <w:tc>
                <w:tcPr>
                  <w:tcW w:w="1384" w:type="dxa"/>
                  <w:noWrap w:val="0"/>
                  <w:vAlign w:val="center"/>
                </w:tcPr>
                <w:p>
                  <w:pPr>
                    <w:pStyle w:val="18"/>
                    <w:bidi w:val="0"/>
                    <w:rPr>
                      <w:rFonts w:hint="default"/>
                      <w:color w:val="auto"/>
                      <w:lang w:val="en-US" w:eastAsia="zh-CN"/>
                    </w:rPr>
                  </w:pPr>
                  <w:r>
                    <w:rPr>
                      <w:rFonts w:hint="eastAsia"/>
                      <w:color w:val="auto"/>
                      <w:lang w:val="en-US" w:eastAsia="zh-CN"/>
                    </w:rPr>
                    <w:t>900</w:t>
                  </w:r>
                </w:p>
              </w:tc>
              <w:tc>
                <w:tcPr>
                  <w:tcW w:w="1382" w:type="dxa"/>
                  <w:noWrap w:val="0"/>
                  <w:vAlign w:val="center"/>
                </w:tcPr>
                <w:p>
                  <w:pPr>
                    <w:pStyle w:val="18"/>
                    <w:bidi w:val="0"/>
                    <w:rPr>
                      <w:rFonts w:hint="default"/>
                      <w:color w:val="auto"/>
                      <w:lang w:val="en-US" w:eastAsia="zh-CN"/>
                    </w:rPr>
                  </w:pPr>
                  <w:r>
                    <w:rPr>
                      <w:rFonts w:hint="eastAsia"/>
                      <w:color w:val="auto"/>
                      <w:lang w:val="en-US" w:eastAsia="zh-CN"/>
                    </w:rPr>
                    <w:t>0.43</w:t>
                  </w:r>
                </w:p>
              </w:tc>
              <w:tc>
                <w:tcPr>
                  <w:tcW w:w="1384" w:type="dxa"/>
                  <w:noWrap w:val="0"/>
                  <w:vAlign w:val="center"/>
                </w:tcPr>
                <w:p>
                  <w:pPr>
                    <w:pStyle w:val="18"/>
                    <w:bidi w:val="0"/>
                    <w:rPr>
                      <w:rFonts w:hint="default"/>
                      <w:color w:val="auto"/>
                      <w:lang w:val="en-US" w:eastAsia="zh-CN"/>
                    </w:rPr>
                  </w:pPr>
                  <w:r>
                    <w:rPr>
                      <w:rFonts w:hint="eastAsia"/>
                      <w:color w:val="auto"/>
                      <w:lang w:val="en-US" w:eastAsia="zh-CN"/>
                    </w:rPr>
                    <w:t>5.17</w:t>
                  </w:r>
                </w:p>
              </w:tc>
              <w:tc>
                <w:tcPr>
                  <w:tcW w:w="1380" w:type="dxa"/>
                  <w:noWrap w:val="0"/>
                  <w:vAlign w:val="center"/>
                </w:tcPr>
                <w:p>
                  <w:pPr>
                    <w:pStyle w:val="18"/>
                    <w:bidi w:val="0"/>
                    <w:rPr>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82" w:type="dxa"/>
                  <w:vMerge w:val="restart"/>
                  <w:noWrap w:val="0"/>
                  <w:vAlign w:val="center"/>
                </w:tcPr>
                <w:p>
                  <w:pPr>
                    <w:pStyle w:val="18"/>
                    <w:bidi w:val="0"/>
                    <w:rPr>
                      <w:rFonts w:hint="default"/>
                      <w:color w:val="auto"/>
                    </w:rPr>
                  </w:pPr>
                  <w:r>
                    <w:rPr>
                      <w:rFonts w:hint="eastAsia"/>
                      <w:color w:val="auto"/>
                      <w:lang w:val="en-US" w:eastAsia="zh-CN"/>
                    </w:rPr>
                    <w:t>无组织</w:t>
                  </w:r>
                </w:p>
              </w:tc>
              <w:tc>
                <w:tcPr>
                  <w:tcW w:w="1384" w:type="dxa"/>
                  <w:noWrap w:val="0"/>
                  <w:vAlign w:val="center"/>
                </w:tcPr>
                <w:p>
                  <w:pPr>
                    <w:pStyle w:val="18"/>
                    <w:bidi w:val="0"/>
                    <w:rPr>
                      <w:rFonts w:hint="default"/>
                      <w:color w:val="auto"/>
                    </w:rPr>
                  </w:pPr>
                  <w:r>
                    <w:rPr>
                      <w:rFonts w:hint="eastAsia"/>
                      <w:color w:val="auto"/>
                      <w:lang w:val="en-US" w:eastAsia="zh-CN"/>
                    </w:rPr>
                    <w:t>TSP</w:t>
                  </w:r>
                </w:p>
              </w:tc>
              <w:tc>
                <w:tcPr>
                  <w:tcW w:w="1384" w:type="dxa"/>
                  <w:noWrap w:val="0"/>
                  <w:vAlign w:val="center"/>
                </w:tcPr>
                <w:p>
                  <w:pPr>
                    <w:pStyle w:val="18"/>
                    <w:bidi w:val="0"/>
                    <w:rPr>
                      <w:rFonts w:hint="default"/>
                      <w:color w:val="auto"/>
                    </w:rPr>
                  </w:pPr>
                  <w:r>
                    <w:rPr>
                      <w:rFonts w:hint="eastAsia"/>
                      <w:color w:val="auto"/>
                      <w:lang w:val="en-US" w:eastAsia="zh-CN"/>
                    </w:rPr>
                    <w:t>90</w:t>
                  </w:r>
                  <w:r>
                    <w:rPr>
                      <w:rFonts w:hint="default"/>
                      <w:color w:val="auto"/>
                    </w:rPr>
                    <w:t>0</w:t>
                  </w:r>
                </w:p>
              </w:tc>
              <w:tc>
                <w:tcPr>
                  <w:tcW w:w="1382" w:type="dxa"/>
                  <w:noWrap w:val="0"/>
                  <w:vAlign w:val="center"/>
                </w:tcPr>
                <w:p>
                  <w:pPr>
                    <w:pStyle w:val="18"/>
                    <w:bidi w:val="0"/>
                    <w:rPr>
                      <w:rFonts w:hint="default"/>
                      <w:color w:val="auto"/>
                      <w:lang w:val="en-US" w:eastAsia="zh-CN"/>
                    </w:rPr>
                  </w:pPr>
                  <w:r>
                    <w:rPr>
                      <w:rFonts w:hint="eastAsia"/>
                      <w:color w:val="auto"/>
                      <w:lang w:val="en-US" w:eastAsia="zh-CN"/>
                    </w:rPr>
                    <w:t>8.07</w:t>
                  </w:r>
                </w:p>
              </w:tc>
              <w:tc>
                <w:tcPr>
                  <w:tcW w:w="1384" w:type="dxa"/>
                  <w:noWrap w:val="0"/>
                  <w:vAlign w:val="center"/>
                </w:tcPr>
                <w:p>
                  <w:pPr>
                    <w:pStyle w:val="18"/>
                    <w:bidi w:val="0"/>
                    <w:rPr>
                      <w:rFonts w:hint="default"/>
                      <w:color w:val="auto"/>
                      <w:lang w:val="en-US" w:eastAsia="zh-CN"/>
                    </w:rPr>
                  </w:pPr>
                  <w:r>
                    <w:rPr>
                      <w:rFonts w:hint="eastAsia"/>
                      <w:color w:val="auto"/>
                      <w:lang w:val="en-US" w:eastAsia="zh-CN"/>
                    </w:rPr>
                    <w:t>72.66</w:t>
                  </w:r>
                </w:p>
              </w:tc>
              <w:tc>
                <w:tcPr>
                  <w:tcW w:w="1380" w:type="dxa"/>
                  <w:noWrap w:val="0"/>
                  <w:vAlign w:val="center"/>
                </w:tcPr>
                <w:p>
                  <w:pPr>
                    <w:pStyle w:val="18"/>
                    <w:bidi w:val="0"/>
                    <w:rPr>
                      <w:rFonts w:hint="eastAsia"/>
                      <w:color w:val="auto"/>
                      <w:lang w:val="en-US" w:eastAsia="zh-CN"/>
                    </w:rPr>
                  </w:pPr>
                  <w:r>
                    <w:rPr>
                      <w:rFonts w:hint="eastAsia"/>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82" w:type="dxa"/>
                  <w:vMerge w:val="continue"/>
                  <w:noWrap w:val="0"/>
                  <w:vAlign w:val="center"/>
                </w:tcPr>
                <w:p>
                  <w:pPr>
                    <w:pStyle w:val="18"/>
                    <w:bidi w:val="0"/>
                    <w:rPr>
                      <w:rFonts w:hint="default"/>
                      <w:color w:val="auto"/>
                    </w:rPr>
                  </w:pPr>
                </w:p>
              </w:tc>
              <w:tc>
                <w:tcPr>
                  <w:tcW w:w="1384" w:type="dxa"/>
                  <w:noWrap w:val="0"/>
                  <w:vAlign w:val="center"/>
                </w:tcPr>
                <w:p>
                  <w:pPr>
                    <w:pStyle w:val="18"/>
                    <w:bidi w:val="0"/>
                    <w:rPr>
                      <w:rFonts w:hint="default"/>
                      <w:color w:val="auto"/>
                      <w:lang w:val="en-US" w:eastAsia="zh-CN"/>
                    </w:rPr>
                  </w:pPr>
                  <w:r>
                    <w:rPr>
                      <w:rFonts w:hint="eastAsia"/>
                      <w:color w:val="auto"/>
                      <w:lang w:eastAsia="zh-CN"/>
                    </w:rPr>
                    <w:t>VOC</w:t>
                  </w:r>
                  <w:r>
                    <w:rPr>
                      <w:rFonts w:hint="eastAsia"/>
                      <w:color w:val="auto"/>
                      <w:lang w:val="en-US" w:eastAsia="zh-CN"/>
                    </w:rPr>
                    <w:t>s</w:t>
                  </w:r>
                </w:p>
              </w:tc>
              <w:tc>
                <w:tcPr>
                  <w:tcW w:w="1384" w:type="dxa"/>
                  <w:noWrap w:val="0"/>
                  <w:vAlign w:val="center"/>
                </w:tcPr>
                <w:p>
                  <w:pPr>
                    <w:pStyle w:val="18"/>
                    <w:bidi w:val="0"/>
                    <w:rPr>
                      <w:rFonts w:hint="default"/>
                      <w:color w:val="auto"/>
                      <w:lang w:val="en-US" w:eastAsia="zh-CN"/>
                    </w:rPr>
                  </w:pPr>
                  <w:r>
                    <w:rPr>
                      <w:rFonts w:hint="eastAsia"/>
                      <w:color w:val="auto"/>
                      <w:lang w:val="en-US" w:eastAsia="zh-CN"/>
                    </w:rPr>
                    <w:t>2000</w:t>
                  </w:r>
                </w:p>
              </w:tc>
              <w:tc>
                <w:tcPr>
                  <w:tcW w:w="1382" w:type="dxa"/>
                  <w:noWrap w:val="0"/>
                  <w:vAlign w:val="center"/>
                </w:tcPr>
                <w:p>
                  <w:pPr>
                    <w:pStyle w:val="18"/>
                    <w:bidi w:val="0"/>
                    <w:rPr>
                      <w:rFonts w:hint="default"/>
                      <w:color w:val="auto"/>
                      <w:lang w:val="en-US" w:eastAsia="zh-CN"/>
                    </w:rPr>
                  </w:pPr>
                  <w:r>
                    <w:rPr>
                      <w:rFonts w:hint="eastAsia"/>
                      <w:color w:val="auto"/>
                      <w:lang w:val="en-US" w:eastAsia="zh-CN"/>
                    </w:rPr>
                    <w:t>2.06</w:t>
                  </w:r>
                </w:p>
              </w:tc>
              <w:tc>
                <w:tcPr>
                  <w:tcW w:w="1384" w:type="dxa"/>
                  <w:noWrap w:val="0"/>
                  <w:vAlign w:val="center"/>
                </w:tcPr>
                <w:p>
                  <w:pPr>
                    <w:pStyle w:val="18"/>
                    <w:bidi w:val="0"/>
                    <w:rPr>
                      <w:rFonts w:hint="default"/>
                      <w:color w:val="auto"/>
                      <w:lang w:val="en-US" w:eastAsia="zh-CN"/>
                    </w:rPr>
                  </w:pPr>
                  <w:r>
                    <w:rPr>
                      <w:rFonts w:hint="eastAsia"/>
                      <w:color w:val="auto"/>
                      <w:lang w:val="en-US" w:eastAsia="zh-CN"/>
                    </w:rPr>
                    <w:t>24.69</w:t>
                  </w:r>
                </w:p>
              </w:tc>
              <w:tc>
                <w:tcPr>
                  <w:tcW w:w="1380" w:type="dxa"/>
                  <w:noWrap w:val="0"/>
                  <w:vAlign w:val="center"/>
                </w:tcPr>
                <w:p>
                  <w:pPr>
                    <w:pStyle w:val="18"/>
                    <w:bidi w:val="0"/>
                    <w:rPr>
                      <w:rFonts w:hint="eastAsia"/>
                      <w:color w:val="auto"/>
                      <w:lang w:val="en-US" w:eastAsia="zh-CN"/>
                    </w:rPr>
                  </w:pPr>
                  <w:r>
                    <w:rPr>
                      <w:rFonts w:hint="eastAsia"/>
                      <w:color w:val="auto"/>
                      <w:lang w:val="en-US" w:eastAsia="zh-CN"/>
                    </w:rPr>
                    <w:t>/</w:t>
                  </w:r>
                </w:p>
              </w:tc>
            </w:tr>
          </w:tbl>
          <w:p>
            <w:pPr>
              <w:bidi w:val="0"/>
              <w:rPr>
                <w:rFonts w:hint="eastAsia"/>
                <w:color w:val="auto"/>
              </w:rPr>
            </w:pPr>
            <w:r>
              <w:rPr>
                <w:rFonts w:hint="eastAsia"/>
                <w:color w:val="auto"/>
              </w:rPr>
              <w:t>本项目Pmax最大值出现为</w:t>
            </w:r>
            <w:r>
              <w:rPr>
                <w:rFonts w:hint="eastAsia"/>
                <w:color w:val="auto"/>
                <w:lang w:eastAsia="zh-CN"/>
              </w:rPr>
              <w:t>无组织</w:t>
            </w:r>
            <w:r>
              <w:rPr>
                <w:rFonts w:hint="eastAsia"/>
                <w:color w:val="auto"/>
              </w:rPr>
              <w:t>排放的TSP，Pmax值为</w:t>
            </w:r>
            <w:r>
              <w:rPr>
                <w:rFonts w:hint="eastAsia"/>
                <w:color w:val="auto"/>
                <w:lang w:val="en-US" w:eastAsia="zh-CN"/>
              </w:rPr>
              <w:t>8.07</w:t>
            </w:r>
            <w:r>
              <w:rPr>
                <w:rFonts w:hint="eastAsia"/>
                <w:color w:val="auto"/>
              </w:rPr>
              <w:t>%，Cmax为</w:t>
            </w:r>
            <w:r>
              <w:rPr>
                <w:rFonts w:hint="eastAsia"/>
                <w:color w:val="auto"/>
                <w:lang w:val="en-US" w:eastAsia="zh-CN"/>
              </w:rPr>
              <w:t>72.66</w:t>
            </w:r>
            <w:r>
              <w:rPr>
                <w:rFonts w:hint="eastAsia"/>
                <w:color w:val="auto"/>
              </w:rPr>
              <w:t>ug/</w:t>
            </w:r>
            <w:r>
              <w:rPr>
                <w:rFonts w:hint="eastAsia"/>
                <w:color w:val="auto"/>
                <w:lang w:val="en-US" w:eastAsia="zh-CN"/>
              </w:rPr>
              <w:t>m</w:t>
            </w:r>
            <w:r>
              <w:rPr>
                <w:rFonts w:hint="eastAsia"/>
                <w:color w:val="auto"/>
                <w:vertAlign w:val="superscript"/>
                <w:lang w:val="en-US" w:eastAsia="zh-CN"/>
              </w:rPr>
              <w:t>3</w:t>
            </w:r>
            <w:r>
              <w:rPr>
                <w:rFonts w:hint="eastAsia"/>
                <w:color w:val="auto"/>
              </w:rPr>
              <w:t>，根据《环境影响评价技术导则 大气环境》(HJ2.2-2018)分级判据，确定本项目大气环境影响评价工作等级为二级。</w:t>
            </w:r>
          </w:p>
          <w:p>
            <w:pPr>
              <w:bidi w:val="0"/>
              <w:rPr>
                <w:rFonts w:hint="eastAsia"/>
                <w:color w:val="auto"/>
              </w:rPr>
            </w:pPr>
            <w:r>
              <w:rPr>
                <w:rFonts w:hint="eastAsia"/>
                <w:color w:val="auto"/>
              </w:rPr>
              <w:t>依据《环境影响技术导则一大气环境（HJ2.2-2018）》评价工作的分级判据，本项目大气评价等级定为二级。不进行进一步预测和评价。</w:t>
            </w:r>
          </w:p>
          <w:p>
            <w:pPr>
              <w:spacing w:line="360" w:lineRule="auto"/>
              <w:ind w:firstLine="480" w:firstLineChars="200"/>
              <w:rPr>
                <w:rFonts w:hint="eastAsia"/>
                <w:color w:val="auto"/>
              </w:rPr>
            </w:pPr>
            <w:r>
              <w:rPr>
                <w:rFonts w:hint="eastAsia"/>
                <w:color w:val="auto"/>
                <w:lang w:eastAsia="zh-CN"/>
              </w:rPr>
              <w:t>（</w:t>
            </w:r>
            <w:r>
              <w:rPr>
                <w:rFonts w:hint="eastAsia"/>
                <w:color w:val="auto"/>
                <w:lang w:val="en-US" w:eastAsia="zh-CN"/>
              </w:rPr>
              <w:t>7</w:t>
            </w:r>
            <w:r>
              <w:rPr>
                <w:rFonts w:hint="eastAsia"/>
                <w:color w:val="auto"/>
                <w:lang w:eastAsia="zh-CN"/>
              </w:rPr>
              <w:t>）</w:t>
            </w:r>
            <w:r>
              <w:rPr>
                <w:rFonts w:hint="eastAsia"/>
                <w:color w:val="auto"/>
              </w:rPr>
              <w:t>废气预测结果</w:t>
            </w:r>
          </w:p>
          <w:p>
            <w:pPr>
              <w:spacing w:line="360" w:lineRule="auto"/>
              <w:ind w:firstLine="480" w:firstLineChars="200"/>
              <w:rPr>
                <w:color w:val="auto"/>
              </w:rPr>
            </w:pPr>
            <w:r>
              <w:rPr>
                <w:rFonts w:hint="eastAsia"/>
                <w:color w:val="auto"/>
              </w:rPr>
              <w:t xml:space="preserve">① </w:t>
            </w:r>
            <w:r>
              <w:rPr>
                <w:rFonts w:hint="eastAsia"/>
                <w:color w:val="auto"/>
                <w:lang w:eastAsia="zh-CN"/>
              </w:rPr>
              <w:t>有组织排放VOC</w:t>
            </w:r>
            <w:r>
              <w:rPr>
                <w:rFonts w:hint="eastAsia"/>
                <w:color w:val="auto"/>
                <w:lang w:val="en-US" w:eastAsia="zh-CN"/>
              </w:rPr>
              <w:t>s、TSP</w:t>
            </w:r>
            <w:r>
              <w:rPr>
                <w:rFonts w:hint="eastAsia"/>
                <w:color w:val="auto"/>
                <w:lang w:eastAsia="zh-CN"/>
              </w:rPr>
              <w:t>预测结果见下表</w:t>
            </w:r>
            <w:r>
              <w:rPr>
                <w:color w:val="auto"/>
              </w:rPr>
              <w:t>。</w:t>
            </w:r>
          </w:p>
          <w:p>
            <w:pPr>
              <w:pStyle w:val="19"/>
              <w:bidi w:val="0"/>
              <w:rPr>
                <w:color w:val="auto"/>
              </w:rPr>
            </w:pPr>
            <w:r>
              <w:rPr>
                <w:color w:val="auto"/>
              </w:rPr>
              <w:t>表7-</w:t>
            </w:r>
            <w:r>
              <w:rPr>
                <w:rFonts w:hint="eastAsia"/>
                <w:color w:val="auto"/>
                <w:lang w:val="en-US" w:eastAsia="zh-CN"/>
              </w:rPr>
              <w:t>11</w:t>
            </w:r>
            <w:r>
              <w:rPr>
                <w:color w:val="auto"/>
              </w:rPr>
              <w:t xml:space="preserve">   废气估算模式计算结果表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3"/>
              <w:gridCol w:w="1620"/>
              <w:gridCol w:w="1725"/>
              <w:gridCol w:w="1684"/>
              <w:gridCol w:w="1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restart"/>
                  <w:noWrap w:val="0"/>
                  <w:vAlign w:val="center"/>
                </w:tcPr>
                <w:p>
                  <w:pPr>
                    <w:pStyle w:val="18"/>
                    <w:bidi w:val="0"/>
                    <w:rPr>
                      <w:color w:val="auto"/>
                    </w:rPr>
                  </w:pPr>
                  <w:r>
                    <w:rPr>
                      <w:color w:val="auto"/>
                    </w:rPr>
                    <w:t>距源中心下风向距离</w:t>
                  </w:r>
                </w:p>
              </w:tc>
              <w:tc>
                <w:tcPr>
                  <w:tcW w:w="3345" w:type="dxa"/>
                  <w:gridSpan w:val="2"/>
                  <w:noWrap w:val="0"/>
                  <w:vAlign w:val="center"/>
                </w:tcPr>
                <w:p>
                  <w:pPr>
                    <w:pStyle w:val="18"/>
                    <w:bidi w:val="0"/>
                    <w:rPr>
                      <w:rFonts w:hint="default"/>
                      <w:color w:val="auto"/>
                      <w:lang w:val="en-US" w:eastAsia="zh-CN"/>
                    </w:rPr>
                  </w:pPr>
                  <w:r>
                    <w:rPr>
                      <w:rFonts w:hint="eastAsia"/>
                      <w:color w:val="auto"/>
                      <w:lang w:val="en-US" w:eastAsia="zh-CN"/>
                    </w:rPr>
                    <w:t>VOCs</w:t>
                  </w:r>
                </w:p>
              </w:tc>
              <w:tc>
                <w:tcPr>
                  <w:tcW w:w="3368" w:type="dxa"/>
                  <w:gridSpan w:val="2"/>
                  <w:noWrap w:val="0"/>
                  <w:vAlign w:val="center"/>
                </w:tcPr>
                <w:p>
                  <w:pPr>
                    <w:pStyle w:val="18"/>
                    <w:bidi w:val="0"/>
                    <w:rPr>
                      <w:rFonts w:hint="eastAsia"/>
                      <w:color w:val="auto"/>
                      <w:lang w:val="en-US" w:eastAsia="zh-CN"/>
                    </w:rPr>
                  </w:pPr>
                  <w:r>
                    <w:rPr>
                      <w:rFonts w:hint="eastAsia"/>
                      <w:color w:val="auto"/>
                      <w:lang w:val="en-US" w:eastAsia="zh-CN"/>
                    </w:rPr>
                    <w:t>TSP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vMerge w:val="continue"/>
                  <w:noWrap w:val="0"/>
                  <w:vAlign w:val="center"/>
                </w:tcPr>
                <w:p>
                  <w:pPr>
                    <w:pStyle w:val="18"/>
                    <w:bidi w:val="0"/>
                    <w:rPr>
                      <w:color w:val="auto"/>
                    </w:rPr>
                  </w:pPr>
                </w:p>
              </w:tc>
              <w:tc>
                <w:tcPr>
                  <w:tcW w:w="1620" w:type="dxa"/>
                  <w:noWrap w:val="0"/>
                  <w:vAlign w:val="center"/>
                </w:tcPr>
                <w:p>
                  <w:pPr>
                    <w:pStyle w:val="18"/>
                    <w:bidi w:val="0"/>
                    <w:rPr>
                      <w:color w:val="auto"/>
                    </w:rPr>
                  </w:pPr>
                  <w:r>
                    <w:rPr>
                      <w:color w:val="auto"/>
                    </w:rPr>
                    <w:t>下风向预测浓度mg/</w:t>
                  </w:r>
                  <w:r>
                    <w:rPr>
                      <w:rFonts w:hint="eastAsia"/>
                      <w:color w:val="auto"/>
                      <w:lang w:val="en-US" w:eastAsia="zh-CN"/>
                    </w:rPr>
                    <w:t>m</w:t>
                  </w:r>
                  <w:r>
                    <w:rPr>
                      <w:rFonts w:hint="eastAsia"/>
                      <w:color w:val="auto"/>
                      <w:vertAlign w:val="superscript"/>
                      <w:lang w:val="en-US" w:eastAsia="zh-CN"/>
                    </w:rPr>
                    <w:t>3</w:t>
                  </w:r>
                </w:p>
              </w:tc>
              <w:tc>
                <w:tcPr>
                  <w:tcW w:w="1725" w:type="dxa"/>
                  <w:noWrap w:val="0"/>
                  <w:vAlign w:val="center"/>
                </w:tcPr>
                <w:p>
                  <w:pPr>
                    <w:pStyle w:val="18"/>
                    <w:bidi w:val="0"/>
                    <w:rPr>
                      <w:color w:val="auto"/>
                    </w:rPr>
                  </w:pPr>
                  <w:r>
                    <w:rPr>
                      <w:color w:val="auto"/>
                    </w:rPr>
                    <w:t>浓度占标率%</w:t>
                  </w:r>
                </w:p>
              </w:tc>
              <w:tc>
                <w:tcPr>
                  <w:tcW w:w="1684" w:type="dxa"/>
                  <w:noWrap w:val="0"/>
                  <w:vAlign w:val="center"/>
                </w:tcPr>
                <w:p>
                  <w:pPr>
                    <w:pStyle w:val="18"/>
                    <w:bidi w:val="0"/>
                    <w:rPr>
                      <w:color w:val="auto"/>
                    </w:rPr>
                  </w:pPr>
                  <w:r>
                    <w:rPr>
                      <w:color w:val="auto"/>
                    </w:rPr>
                    <w:t>下风向预测浓度mg/</w:t>
                  </w:r>
                  <w:r>
                    <w:rPr>
                      <w:rFonts w:hint="eastAsia"/>
                      <w:color w:val="auto"/>
                      <w:lang w:val="en-US" w:eastAsia="zh-CN"/>
                    </w:rPr>
                    <w:t>m</w:t>
                  </w:r>
                  <w:r>
                    <w:rPr>
                      <w:rFonts w:hint="eastAsia"/>
                      <w:color w:val="auto"/>
                      <w:vertAlign w:val="superscript"/>
                      <w:lang w:val="en-US" w:eastAsia="zh-CN"/>
                    </w:rPr>
                    <w:t>3</w:t>
                  </w:r>
                </w:p>
              </w:tc>
              <w:tc>
                <w:tcPr>
                  <w:tcW w:w="1684" w:type="dxa"/>
                  <w:noWrap w:val="0"/>
                  <w:vAlign w:val="center"/>
                </w:tcPr>
                <w:p>
                  <w:pPr>
                    <w:pStyle w:val="18"/>
                    <w:bidi w:val="0"/>
                    <w:rPr>
                      <w:color w:val="auto"/>
                    </w:rPr>
                  </w:pPr>
                  <w:r>
                    <w:rPr>
                      <w:color w:val="auto"/>
                    </w:rPr>
                    <w:t>浓度占标率%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10</w:t>
                  </w:r>
                </w:p>
              </w:tc>
              <w:tc>
                <w:tcPr>
                  <w:tcW w:w="1620" w:type="dxa"/>
                  <w:noWrap w:val="0"/>
                  <w:vAlign w:val="center"/>
                </w:tcPr>
                <w:p>
                  <w:pPr>
                    <w:pStyle w:val="18"/>
                    <w:bidi w:val="0"/>
                    <w:rPr>
                      <w:color w:val="auto"/>
                    </w:rPr>
                  </w:pPr>
                  <w:r>
                    <w:rPr>
                      <w:rFonts w:hint="eastAsia"/>
                      <w:color w:val="auto"/>
                      <w:lang w:val="en-US" w:eastAsia="zh-CN"/>
                    </w:rPr>
                    <w:t>3.82</w:t>
                  </w:r>
                </w:p>
              </w:tc>
              <w:tc>
                <w:tcPr>
                  <w:tcW w:w="1725" w:type="dxa"/>
                  <w:noWrap w:val="0"/>
                  <w:vAlign w:val="center"/>
                </w:tcPr>
                <w:p>
                  <w:pPr>
                    <w:pStyle w:val="18"/>
                    <w:bidi w:val="0"/>
                    <w:rPr>
                      <w:color w:val="auto"/>
                    </w:rPr>
                  </w:pPr>
                  <w:r>
                    <w:rPr>
                      <w:rFonts w:hint="eastAsia"/>
                      <w:color w:val="auto"/>
                      <w:lang w:val="en-US" w:eastAsia="zh-CN"/>
                    </w:rPr>
                    <w:t>0.32</w:t>
                  </w:r>
                </w:p>
              </w:tc>
              <w:tc>
                <w:tcPr>
                  <w:tcW w:w="1684" w:type="dxa"/>
                  <w:noWrap w:val="0"/>
                  <w:vAlign w:val="center"/>
                </w:tcPr>
                <w:p>
                  <w:pPr>
                    <w:pStyle w:val="18"/>
                    <w:bidi w:val="0"/>
                    <w:rPr>
                      <w:rFonts w:hint="eastAsia"/>
                      <w:color w:val="auto"/>
                    </w:rPr>
                  </w:pPr>
                  <w:r>
                    <w:rPr>
                      <w:rFonts w:hint="eastAsia"/>
                      <w:color w:val="auto"/>
                      <w:lang w:val="en-US" w:eastAsia="zh-CN"/>
                    </w:rPr>
                    <w:t>2.15</w:t>
                  </w:r>
                </w:p>
              </w:tc>
              <w:tc>
                <w:tcPr>
                  <w:tcW w:w="1684" w:type="dxa"/>
                  <w:noWrap w:val="0"/>
                  <w:vAlign w:val="center"/>
                </w:tcPr>
                <w:p>
                  <w:pPr>
                    <w:pStyle w:val="18"/>
                    <w:bidi w:val="0"/>
                    <w:rPr>
                      <w:rFonts w:hint="eastAsia"/>
                      <w:color w:val="auto"/>
                    </w:rPr>
                  </w:pPr>
                  <w:r>
                    <w:rPr>
                      <w:rFonts w:hint="eastAsia"/>
                      <w:color w:val="auto"/>
                      <w:lang w:val="en-US" w:eastAsia="zh-CN"/>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100</w:t>
                  </w:r>
                </w:p>
              </w:tc>
              <w:tc>
                <w:tcPr>
                  <w:tcW w:w="1620" w:type="dxa"/>
                  <w:noWrap w:val="0"/>
                  <w:vAlign w:val="center"/>
                </w:tcPr>
                <w:p>
                  <w:pPr>
                    <w:pStyle w:val="18"/>
                    <w:bidi w:val="0"/>
                    <w:rPr>
                      <w:color w:val="auto"/>
                    </w:rPr>
                  </w:pPr>
                  <w:r>
                    <w:rPr>
                      <w:rFonts w:hint="eastAsia"/>
                      <w:color w:val="auto"/>
                      <w:lang w:val="en-US" w:eastAsia="zh-CN"/>
                    </w:rPr>
                    <w:t>2.19</w:t>
                  </w:r>
                </w:p>
              </w:tc>
              <w:tc>
                <w:tcPr>
                  <w:tcW w:w="1725" w:type="dxa"/>
                  <w:noWrap w:val="0"/>
                  <w:vAlign w:val="center"/>
                </w:tcPr>
                <w:p>
                  <w:pPr>
                    <w:pStyle w:val="18"/>
                    <w:bidi w:val="0"/>
                    <w:rPr>
                      <w:color w:val="auto"/>
                    </w:rPr>
                  </w:pPr>
                  <w:r>
                    <w:rPr>
                      <w:rFonts w:hint="eastAsia"/>
                      <w:color w:val="auto"/>
                      <w:lang w:val="en-US" w:eastAsia="zh-CN"/>
                    </w:rPr>
                    <w:t>0.18</w:t>
                  </w:r>
                </w:p>
              </w:tc>
              <w:tc>
                <w:tcPr>
                  <w:tcW w:w="1684" w:type="dxa"/>
                  <w:noWrap w:val="0"/>
                  <w:vAlign w:val="center"/>
                </w:tcPr>
                <w:p>
                  <w:pPr>
                    <w:pStyle w:val="18"/>
                    <w:bidi w:val="0"/>
                    <w:rPr>
                      <w:rFonts w:hint="eastAsia"/>
                      <w:color w:val="auto"/>
                    </w:rPr>
                  </w:pPr>
                  <w:r>
                    <w:rPr>
                      <w:rFonts w:hint="eastAsia"/>
                      <w:color w:val="auto"/>
                      <w:lang w:val="en-US" w:eastAsia="zh-CN"/>
                    </w:rPr>
                    <w:t>1.23</w:t>
                  </w:r>
                </w:p>
              </w:tc>
              <w:tc>
                <w:tcPr>
                  <w:tcW w:w="1684" w:type="dxa"/>
                  <w:noWrap w:val="0"/>
                  <w:vAlign w:val="center"/>
                </w:tcPr>
                <w:p>
                  <w:pPr>
                    <w:pStyle w:val="18"/>
                    <w:bidi w:val="0"/>
                    <w:rPr>
                      <w:rFonts w:hint="eastAsia"/>
                      <w:color w:val="auto"/>
                    </w:rPr>
                  </w:pPr>
                  <w:r>
                    <w:rPr>
                      <w:rFonts w:hint="eastAsia"/>
                      <w:color w:val="auto"/>
                      <w:lang w:val="en-US" w:eastAsia="zh-CN"/>
                    </w:rPr>
                    <w:t>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200</w:t>
                  </w:r>
                </w:p>
              </w:tc>
              <w:tc>
                <w:tcPr>
                  <w:tcW w:w="1620" w:type="dxa"/>
                  <w:noWrap w:val="0"/>
                  <w:vAlign w:val="center"/>
                </w:tcPr>
                <w:p>
                  <w:pPr>
                    <w:pStyle w:val="18"/>
                    <w:bidi w:val="0"/>
                    <w:rPr>
                      <w:color w:val="auto"/>
                    </w:rPr>
                  </w:pPr>
                  <w:r>
                    <w:rPr>
                      <w:rFonts w:hint="eastAsia"/>
                      <w:color w:val="auto"/>
                      <w:lang w:val="en-US" w:eastAsia="zh-CN"/>
                    </w:rPr>
                    <w:t>1.33</w:t>
                  </w:r>
                </w:p>
              </w:tc>
              <w:tc>
                <w:tcPr>
                  <w:tcW w:w="1725" w:type="dxa"/>
                  <w:noWrap w:val="0"/>
                  <w:vAlign w:val="center"/>
                </w:tcPr>
                <w:p>
                  <w:pPr>
                    <w:pStyle w:val="18"/>
                    <w:bidi w:val="0"/>
                    <w:rPr>
                      <w:color w:val="auto"/>
                    </w:rPr>
                  </w:pPr>
                  <w:r>
                    <w:rPr>
                      <w:rFonts w:hint="eastAsia"/>
                      <w:color w:val="auto"/>
                      <w:lang w:val="en-US" w:eastAsia="zh-CN"/>
                    </w:rPr>
                    <w:t>0.11</w:t>
                  </w:r>
                </w:p>
              </w:tc>
              <w:tc>
                <w:tcPr>
                  <w:tcW w:w="1684" w:type="dxa"/>
                  <w:noWrap w:val="0"/>
                  <w:vAlign w:val="center"/>
                </w:tcPr>
                <w:p>
                  <w:pPr>
                    <w:pStyle w:val="18"/>
                    <w:bidi w:val="0"/>
                    <w:rPr>
                      <w:rFonts w:hint="eastAsia"/>
                      <w:color w:val="auto"/>
                    </w:rPr>
                  </w:pPr>
                  <w:r>
                    <w:rPr>
                      <w:rFonts w:hint="eastAsia"/>
                      <w:color w:val="auto"/>
                      <w:lang w:val="en-US" w:eastAsia="zh-CN"/>
                    </w:rPr>
                    <w:t>0.75</w:t>
                  </w:r>
                </w:p>
              </w:tc>
              <w:tc>
                <w:tcPr>
                  <w:tcW w:w="1684" w:type="dxa"/>
                  <w:noWrap w:val="0"/>
                  <w:vAlign w:val="center"/>
                </w:tcPr>
                <w:p>
                  <w:pPr>
                    <w:pStyle w:val="18"/>
                    <w:bidi w:val="0"/>
                    <w:rPr>
                      <w:rFonts w:hint="eastAsia"/>
                      <w:color w:val="auto"/>
                    </w:rPr>
                  </w:pPr>
                  <w:r>
                    <w:rPr>
                      <w:rFonts w:hint="eastAsia"/>
                      <w:color w:val="auto"/>
                      <w:lang w:val="en-US" w:eastAsia="zh-CN"/>
                    </w:rPr>
                    <w:t>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300</w:t>
                  </w:r>
                </w:p>
              </w:tc>
              <w:tc>
                <w:tcPr>
                  <w:tcW w:w="1620" w:type="dxa"/>
                  <w:noWrap w:val="0"/>
                  <w:vAlign w:val="center"/>
                </w:tcPr>
                <w:p>
                  <w:pPr>
                    <w:pStyle w:val="18"/>
                    <w:bidi w:val="0"/>
                    <w:rPr>
                      <w:color w:val="auto"/>
                    </w:rPr>
                  </w:pPr>
                  <w:r>
                    <w:rPr>
                      <w:rFonts w:hint="eastAsia"/>
                      <w:color w:val="auto"/>
                      <w:lang w:val="en-US" w:eastAsia="zh-CN"/>
                    </w:rPr>
                    <w:t>1.40</w:t>
                  </w:r>
                </w:p>
              </w:tc>
              <w:tc>
                <w:tcPr>
                  <w:tcW w:w="1725" w:type="dxa"/>
                  <w:noWrap w:val="0"/>
                  <w:vAlign w:val="center"/>
                </w:tcPr>
                <w:p>
                  <w:pPr>
                    <w:pStyle w:val="18"/>
                    <w:bidi w:val="0"/>
                    <w:rPr>
                      <w:color w:val="auto"/>
                    </w:rPr>
                  </w:pPr>
                  <w:r>
                    <w:rPr>
                      <w:rFonts w:hint="eastAsia"/>
                      <w:color w:val="auto"/>
                      <w:lang w:val="en-US" w:eastAsia="zh-CN"/>
                    </w:rPr>
                    <w:t>0.12</w:t>
                  </w:r>
                </w:p>
              </w:tc>
              <w:tc>
                <w:tcPr>
                  <w:tcW w:w="1684" w:type="dxa"/>
                  <w:noWrap w:val="0"/>
                  <w:vAlign w:val="center"/>
                </w:tcPr>
                <w:p>
                  <w:pPr>
                    <w:pStyle w:val="18"/>
                    <w:bidi w:val="0"/>
                    <w:rPr>
                      <w:rFonts w:hint="eastAsia"/>
                      <w:color w:val="auto"/>
                    </w:rPr>
                  </w:pPr>
                  <w:r>
                    <w:rPr>
                      <w:rFonts w:hint="eastAsia"/>
                      <w:color w:val="auto"/>
                      <w:lang w:val="en-US" w:eastAsia="zh-CN"/>
                    </w:rPr>
                    <w:t>0.79</w:t>
                  </w:r>
                </w:p>
              </w:tc>
              <w:tc>
                <w:tcPr>
                  <w:tcW w:w="1684" w:type="dxa"/>
                  <w:noWrap w:val="0"/>
                  <w:vAlign w:val="center"/>
                </w:tcPr>
                <w:p>
                  <w:pPr>
                    <w:pStyle w:val="18"/>
                    <w:bidi w:val="0"/>
                    <w:rPr>
                      <w:rFonts w:hint="eastAsia"/>
                      <w:color w:val="auto"/>
                    </w:rPr>
                  </w:pPr>
                  <w:r>
                    <w:rPr>
                      <w:rFonts w:hint="eastAsia"/>
                      <w:color w:val="auto"/>
                      <w:lang w:val="en-US" w:eastAsia="zh-CN"/>
                    </w:rPr>
                    <w:t>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400</w:t>
                  </w:r>
                </w:p>
              </w:tc>
              <w:tc>
                <w:tcPr>
                  <w:tcW w:w="1620" w:type="dxa"/>
                  <w:noWrap w:val="0"/>
                  <w:vAlign w:val="center"/>
                </w:tcPr>
                <w:p>
                  <w:pPr>
                    <w:pStyle w:val="18"/>
                    <w:bidi w:val="0"/>
                    <w:rPr>
                      <w:color w:val="auto"/>
                    </w:rPr>
                  </w:pPr>
                  <w:r>
                    <w:rPr>
                      <w:rFonts w:hint="eastAsia"/>
                      <w:color w:val="auto"/>
                      <w:lang w:val="en-US" w:eastAsia="zh-CN"/>
                    </w:rPr>
                    <w:t>1.15</w:t>
                  </w:r>
                </w:p>
              </w:tc>
              <w:tc>
                <w:tcPr>
                  <w:tcW w:w="1725" w:type="dxa"/>
                  <w:noWrap w:val="0"/>
                  <w:vAlign w:val="center"/>
                </w:tcPr>
                <w:p>
                  <w:pPr>
                    <w:pStyle w:val="18"/>
                    <w:bidi w:val="0"/>
                    <w:rPr>
                      <w:color w:val="auto"/>
                    </w:rPr>
                  </w:pPr>
                  <w:r>
                    <w:rPr>
                      <w:rFonts w:hint="eastAsia"/>
                      <w:color w:val="auto"/>
                      <w:lang w:val="en-US" w:eastAsia="zh-CN"/>
                    </w:rPr>
                    <w:t>0.1</w:t>
                  </w:r>
                </w:p>
              </w:tc>
              <w:tc>
                <w:tcPr>
                  <w:tcW w:w="1684" w:type="dxa"/>
                  <w:noWrap w:val="0"/>
                  <w:vAlign w:val="center"/>
                </w:tcPr>
                <w:p>
                  <w:pPr>
                    <w:pStyle w:val="18"/>
                    <w:bidi w:val="0"/>
                    <w:rPr>
                      <w:rFonts w:hint="eastAsia"/>
                      <w:color w:val="auto"/>
                    </w:rPr>
                  </w:pPr>
                  <w:r>
                    <w:rPr>
                      <w:rFonts w:hint="eastAsia"/>
                      <w:color w:val="auto"/>
                      <w:lang w:val="en-US" w:eastAsia="zh-CN"/>
                    </w:rPr>
                    <w:t>0.65</w:t>
                  </w:r>
                </w:p>
              </w:tc>
              <w:tc>
                <w:tcPr>
                  <w:tcW w:w="1684" w:type="dxa"/>
                  <w:noWrap w:val="0"/>
                  <w:vAlign w:val="center"/>
                </w:tcPr>
                <w:p>
                  <w:pPr>
                    <w:pStyle w:val="18"/>
                    <w:bidi w:val="0"/>
                    <w:rPr>
                      <w:rFonts w:hint="eastAsia"/>
                      <w:color w:val="auto"/>
                    </w:rPr>
                  </w:pPr>
                  <w:r>
                    <w:rPr>
                      <w:rFonts w:hint="eastAsia"/>
                      <w:color w:val="auto"/>
                      <w:lang w:val="en-US" w:eastAsia="zh-CN"/>
                    </w:rPr>
                    <w:t>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500</w:t>
                  </w:r>
                </w:p>
              </w:tc>
              <w:tc>
                <w:tcPr>
                  <w:tcW w:w="1620" w:type="dxa"/>
                  <w:noWrap w:val="0"/>
                  <w:vAlign w:val="center"/>
                </w:tcPr>
                <w:p>
                  <w:pPr>
                    <w:pStyle w:val="18"/>
                    <w:bidi w:val="0"/>
                    <w:rPr>
                      <w:color w:val="auto"/>
                    </w:rPr>
                  </w:pPr>
                  <w:r>
                    <w:rPr>
                      <w:rFonts w:hint="eastAsia"/>
                      <w:color w:val="auto"/>
                      <w:lang w:val="en-US" w:eastAsia="zh-CN"/>
                    </w:rPr>
                    <w:t>0.97</w:t>
                  </w:r>
                </w:p>
              </w:tc>
              <w:tc>
                <w:tcPr>
                  <w:tcW w:w="1725" w:type="dxa"/>
                  <w:noWrap w:val="0"/>
                  <w:vAlign w:val="center"/>
                </w:tcPr>
                <w:p>
                  <w:pPr>
                    <w:pStyle w:val="18"/>
                    <w:bidi w:val="0"/>
                    <w:rPr>
                      <w:color w:val="auto"/>
                    </w:rPr>
                  </w:pPr>
                  <w:r>
                    <w:rPr>
                      <w:rFonts w:hint="eastAsia"/>
                      <w:color w:val="auto"/>
                      <w:lang w:val="en-US" w:eastAsia="zh-CN"/>
                    </w:rPr>
                    <w:t>0.08</w:t>
                  </w:r>
                </w:p>
              </w:tc>
              <w:tc>
                <w:tcPr>
                  <w:tcW w:w="1684" w:type="dxa"/>
                  <w:noWrap w:val="0"/>
                  <w:vAlign w:val="center"/>
                </w:tcPr>
                <w:p>
                  <w:pPr>
                    <w:pStyle w:val="18"/>
                    <w:bidi w:val="0"/>
                    <w:rPr>
                      <w:rFonts w:hint="eastAsia"/>
                      <w:color w:val="auto"/>
                    </w:rPr>
                  </w:pPr>
                  <w:r>
                    <w:rPr>
                      <w:rFonts w:hint="eastAsia"/>
                      <w:color w:val="auto"/>
                      <w:lang w:val="en-US" w:eastAsia="zh-CN"/>
                    </w:rPr>
                    <w:t>0.55</w:t>
                  </w:r>
                </w:p>
              </w:tc>
              <w:tc>
                <w:tcPr>
                  <w:tcW w:w="1684" w:type="dxa"/>
                  <w:noWrap w:val="0"/>
                  <w:vAlign w:val="center"/>
                </w:tcPr>
                <w:p>
                  <w:pPr>
                    <w:pStyle w:val="18"/>
                    <w:bidi w:val="0"/>
                    <w:rPr>
                      <w:rFonts w:hint="eastAsia"/>
                      <w:color w:val="auto"/>
                    </w:rPr>
                  </w:pPr>
                  <w:r>
                    <w:rPr>
                      <w:rFonts w:hint="eastAsia"/>
                      <w:color w:val="auto"/>
                      <w:lang w:val="en-US" w:eastAsia="zh-CN"/>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600</w:t>
                  </w:r>
                </w:p>
              </w:tc>
              <w:tc>
                <w:tcPr>
                  <w:tcW w:w="1620" w:type="dxa"/>
                  <w:noWrap w:val="0"/>
                  <w:vAlign w:val="center"/>
                </w:tcPr>
                <w:p>
                  <w:pPr>
                    <w:pStyle w:val="18"/>
                    <w:bidi w:val="0"/>
                    <w:rPr>
                      <w:color w:val="auto"/>
                    </w:rPr>
                  </w:pPr>
                  <w:r>
                    <w:rPr>
                      <w:rFonts w:hint="eastAsia"/>
                      <w:color w:val="auto"/>
                      <w:lang w:val="en-US" w:eastAsia="zh-CN"/>
                    </w:rPr>
                    <w:t>0.83</w:t>
                  </w:r>
                </w:p>
              </w:tc>
              <w:tc>
                <w:tcPr>
                  <w:tcW w:w="1725" w:type="dxa"/>
                  <w:noWrap w:val="0"/>
                  <w:vAlign w:val="center"/>
                </w:tcPr>
                <w:p>
                  <w:pPr>
                    <w:pStyle w:val="18"/>
                    <w:bidi w:val="0"/>
                    <w:rPr>
                      <w:color w:val="auto"/>
                    </w:rPr>
                  </w:pPr>
                  <w:r>
                    <w:rPr>
                      <w:rFonts w:hint="eastAsia"/>
                      <w:color w:val="auto"/>
                      <w:lang w:val="en-US" w:eastAsia="zh-CN"/>
                    </w:rPr>
                    <w:t>0.07</w:t>
                  </w:r>
                </w:p>
              </w:tc>
              <w:tc>
                <w:tcPr>
                  <w:tcW w:w="1684" w:type="dxa"/>
                  <w:noWrap w:val="0"/>
                  <w:vAlign w:val="center"/>
                </w:tcPr>
                <w:p>
                  <w:pPr>
                    <w:pStyle w:val="18"/>
                    <w:bidi w:val="0"/>
                    <w:rPr>
                      <w:rFonts w:hint="eastAsia"/>
                      <w:color w:val="auto"/>
                    </w:rPr>
                  </w:pPr>
                  <w:r>
                    <w:rPr>
                      <w:rFonts w:hint="eastAsia"/>
                      <w:color w:val="auto"/>
                      <w:lang w:val="en-US" w:eastAsia="zh-CN"/>
                    </w:rPr>
                    <w:t>0.46</w:t>
                  </w:r>
                </w:p>
              </w:tc>
              <w:tc>
                <w:tcPr>
                  <w:tcW w:w="1684" w:type="dxa"/>
                  <w:noWrap w:val="0"/>
                  <w:vAlign w:val="center"/>
                </w:tcPr>
                <w:p>
                  <w:pPr>
                    <w:pStyle w:val="18"/>
                    <w:bidi w:val="0"/>
                    <w:rPr>
                      <w:rFonts w:hint="eastAsia"/>
                      <w:color w:val="auto"/>
                    </w:rPr>
                  </w:pPr>
                  <w:r>
                    <w:rPr>
                      <w:rFonts w:hint="eastAsia"/>
                      <w:color w:val="auto"/>
                      <w:lang w:val="en-US" w:eastAsia="zh-CN"/>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700</w:t>
                  </w:r>
                </w:p>
              </w:tc>
              <w:tc>
                <w:tcPr>
                  <w:tcW w:w="1620" w:type="dxa"/>
                  <w:noWrap w:val="0"/>
                  <w:vAlign w:val="center"/>
                </w:tcPr>
                <w:p>
                  <w:pPr>
                    <w:pStyle w:val="18"/>
                    <w:bidi w:val="0"/>
                    <w:rPr>
                      <w:color w:val="auto"/>
                    </w:rPr>
                  </w:pPr>
                  <w:r>
                    <w:rPr>
                      <w:rFonts w:hint="eastAsia"/>
                      <w:color w:val="auto"/>
                      <w:lang w:val="en-US" w:eastAsia="zh-CN"/>
                    </w:rPr>
                    <w:t>0.71</w:t>
                  </w:r>
                </w:p>
              </w:tc>
              <w:tc>
                <w:tcPr>
                  <w:tcW w:w="1725" w:type="dxa"/>
                  <w:noWrap w:val="0"/>
                  <w:vAlign w:val="center"/>
                </w:tcPr>
                <w:p>
                  <w:pPr>
                    <w:pStyle w:val="18"/>
                    <w:bidi w:val="0"/>
                    <w:rPr>
                      <w:color w:val="auto"/>
                    </w:rPr>
                  </w:pPr>
                  <w:r>
                    <w:rPr>
                      <w:rFonts w:hint="eastAsia"/>
                      <w:color w:val="auto"/>
                      <w:lang w:val="en-US" w:eastAsia="zh-CN"/>
                    </w:rPr>
                    <w:t>0.06</w:t>
                  </w:r>
                </w:p>
              </w:tc>
              <w:tc>
                <w:tcPr>
                  <w:tcW w:w="1684" w:type="dxa"/>
                  <w:noWrap w:val="0"/>
                  <w:vAlign w:val="center"/>
                </w:tcPr>
                <w:p>
                  <w:pPr>
                    <w:pStyle w:val="18"/>
                    <w:bidi w:val="0"/>
                    <w:rPr>
                      <w:rFonts w:hint="eastAsia"/>
                      <w:color w:val="auto"/>
                    </w:rPr>
                  </w:pPr>
                  <w:r>
                    <w:rPr>
                      <w:rFonts w:hint="eastAsia"/>
                      <w:color w:val="auto"/>
                      <w:lang w:val="en-US" w:eastAsia="zh-CN"/>
                    </w:rPr>
                    <w:t>0.40</w:t>
                  </w:r>
                </w:p>
              </w:tc>
              <w:tc>
                <w:tcPr>
                  <w:tcW w:w="1684" w:type="dxa"/>
                  <w:noWrap w:val="0"/>
                  <w:vAlign w:val="center"/>
                </w:tcPr>
                <w:p>
                  <w:pPr>
                    <w:pStyle w:val="18"/>
                    <w:bidi w:val="0"/>
                    <w:rPr>
                      <w:rFonts w:hint="eastAsia"/>
                      <w:color w:val="auto"/>
                    </w:rPr>
                  </w:pPr>
                  <w:r>
                    <w:rPr>
                      <w:rFonts w:hint="eastAsia"/>
                      <w:color w:val="auto"/>
                      <w:lang w:val="en-US" w:eastAsia="zh-CN"/>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800</w:t>
                  </w:r>
                </w:p>
              </w:tc>
              <w:tc>
                <w:tcPr>
                  <w:tcW w:w="1620" w:type="dxa"/>
                  <w:noWrap w:val="0"/>
                  <w:vAlign w:val="center"/>
                </w:tcPr>
                <w:p>
                  <w:pPr>
                    <w:pStyle w:val="18"/>
                    <w:bidi w:val="0"/>
                    <w:rPr>
                      <w:color w:val="auto"/>
                    </w:rPr>
                  </w:pPr>
                  <w:r>
                    <w:rPr>
                      <w:rFonts w:hint="eastAsia"/>
                      <w:color w:val="auto"/>
                      <w:lang w:val="en-US" w:eastAsia="zh-CN"/>
                    </w:rPr>
                    <w:t>0.62</w:t>
                  </w:r>
                </w:p>
              </w:tc>
              <w:tc>
                <w:tcPr>
                  <w:tcW w:w="1725" w:type="dxa"/>
                  <w:noWrap w:val="0"/>
                  <w:vAlign w:val="center"/>
                </w:tcPr>
                <w:p>
                  <w:pPr>
                    <w:pStyle w:val="18"/>
                    <w:bidi w:val="0"/>
                    <w:rPr>
                      <w:color w:val="auto"/>
                    </w:rPr>
                  </w:pPr>
                  <w:r>
                    <w:rPr>
                      <w:rFonts w:hint="eastAsia"/>
                      <w:color w:val="auto"/>
                      <w:lang w:val="en-US" w:eastAsia="zh-CN"/>
                    </w:rPr>
                    <w:t>0.05</w:t>
                  </w:r>
                </w:p>
              </w:tc>
              <w:tc>
                <w:tcPr>
                  <w:tcW w:w="1684" w:type="dxa"/>
                  <w:noWrap w:val="0"/>
                  <w:vAlign w:val="center"/>
                </w:tcPr>
                <w:p>
                  <w:pPr>
                    <w:pStyle w:val="18"/>
                    <w:bidi w:val="0"/>
                    <w:rPr>
                      <w:rFonts w:hint="eastAsia"/>
                      <w:color w:val="auto"/>
                    </w:rPr>
                  </w:pPr>
                  <w:r>
                    <w:rPr>
                      <w:rFonts w:hint="eastAsia"/>
                      <w:color w:val="auto"/>
                      <w:lang w:val="en-US" w:eastAsia="zh-CN"/>
                    </w:rPr>
                    <w:t>0.35</w:t>
                  </w:r>
                </w:p>
              </w:tc>
              <w:tc>
                <w:tcPr>
                  <w:tcW w:w="1684" w:type="dxa"/>
                  <w:noWrap w:val="0"/>
                  <w:vAlign w:val="center"/>
                </w:tcPr>
                <w:p>
                  <w:pPr>
                    <w:pStyle w:val="18"/>
                    <w:bidi w:val="0"/>
                    <w:rPr>
                      <w:rFonts w:hint="eastAsia"/>
                      <w:color w:val="auto"/>
                    </w:rPr>
                  </w:pPr>
                  <w:r>
                    <w:rPr>
                      <w:rFonts w:hint="eastAsia"/>
                      <w:color w:val="auto"/>
                      <w:lang w:val="en-US" w:eastAsia="zh-CN"/>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900</w:t>
                  </w:r>
                </w:p>
              </w:tc>
              <w:tc>
                <w:tcPr>
                  <w:tcW w:w="1620" w:type="dxa"/>
                  <w:noWrap w:val="0"/>
                  <w:vAlign w:val="center"/>
                </w:tcPr>
                <w:p>
                  <w:pPr>
                    <w:pStyle w:val="18"/>
                    <w:bidi w:val="0"/>
                    <w:rPr>
                      <w:color w:val="auto"/>
                    </w:rPr>
                  </w:pPr>
                  <w:r>
                    <w:rPr>
                      <w:rFonts w:hint="eastAsia"/>
                      <w:color w:val="auto"/>
                      <w:lang w:val="en-US" w:eastAsia="zh-CN"/>
                    </w:rPr>
                    <w:t>0.55</w:t>
                  </w:r>
                </w:p>
              </w:tc>
              <w:tc>
                <w:tcPr>
                  <w:tcW w:w="1725" w:type="dxa"/>
                  <w:noWrap w:val="0"/>
                  <w:vAlign w:val="center"/>
                </w:tcPr>
                <w:p>
                  <w:pPr>
                    <w:pStyle w:val="18"/>
                    <w:bidi w:val="0"/>
                    <w:rPr>
                      <w:color w:val="auto"/>
                    </w:rPr>
                  </w:pPr>
                  <w:r>
                    <w:rPr>
                      <w:rFonts w:hint="eastAsia"/>
                      <w:color w:val="auto"/>
                      <w:lang w:val="en-US" w:eastAsia="zh-CN"/>
                    </w:rPr>
                    <w:t>0.05</w:t>
                  </w:r>
                </w:p>
              </w:tc>
              <w:tc>
                <w:tcPr>
                  <w:tcW w:w="1684" w:type="dxa"/>
                  <w:noWrap w:val="0"/>
                  <w:vAlign w:val="center"/>
                </w:tcPr>
                <w:p>
                  <w:pPr>
                    <w:pStyle w:val="18"/>
                    <w:bidi w:val="0"/>
                    <w:rPr>
                      <w:rFonts w:hint="eastAsia"/>
                      <w:color w:val="auto"/>
                    </w:rPr>
                  </w:pPr>
                  <w:r>
                    <w:rPr>
                      <w:rFonts w:hint="eastAsia"/>
                      <w:color w:val="auto"/>
                      <w:lang w:val="en-US" w:eastAsia="zh-CN"/>
                    </w:rPr>
                    <w:t>0.31</w:t>
                  </w:r>
                </w:p>
              </w:tc>
              <w:tc>
                <w:tcPr>
                  <w:tcW w:w="1684" w:type="dxa"/>
                  <w:noWrap w:val="0"/>
                  <w:vAlign w:val="center"/>
                </w:tcPr>
                <w:p>
                  <w:pPr>
                    <w:pStyle w:val="18"/>
                    <w:bidi w:val="0"/>
                    <w:rPr>
                      <w:rFonts w:hint="eastAsia"/>
                      <w:color w:val="auto"/>
                    </w:rPr>
                  </w:pPr>
                  <w:r>
                    <w:rPr>
                      <w:rFonts w:hint="eastAsia"/>
                      <w:color w:val="auto"/>
                      <w:lang w:val="en-US" w:eastAsia="zh-CN"/>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1000</w:t>
                  </w:r>
                </w:p>
              </w:tc>
              <w:tc>
                <w:tcPr>
                  <w:tcW w:w="1620" w:type="dxa"/>
                  <w:noWrap w:val="0"/>
                  <w:vAlign w:val="center"/>
                </w:tcPr>
                <w:p>
                  <w:pPr>
                    <w:pStyle w:val="18"/>
                    <w:bidi w:val="0"/>
                    <w:rPr>
                      <w:color w:val="auto"/>
                    </w:rPr>
                  </w:pPr>
                  <w:r>
                    <w:rPr>
                      <w:rFonts w:hint="eastAsia"/>
                      <w:color w:val="auto"/>
                      <w:lang w:val="en-US" w:eastAsia="zh-CN"/>
                    </w:rPr>
                    <w:t>0.49</w:t>
                  </w:r>
                </w:p>
              </w:tc>
              <w:tc>
                <w:tcPr>
                  <w:tcW w:w="1725" w:type="dxa"/>
                  <w:noWrap w:val="0"/>
                  <w:vAlign w:val="center"/>
                </w:tcPr>
                <w:p>
                  <w:pPr>
                    <w:pStyle w:val="18"/>
                    <w:bidi w:val="0"/>
                    <w:rPr>
                      <w:color w:val="auto"/>
                    </w:rPr>
                  </w:pPr>
                  <w:r>
                    <w:rPr>
                      <w:rFonts w:hint="eastAsia"/>
                      <w:color w:val="auto"/>
                      <w:lang w:val="en-US" w:eastAsia="zh-CN"/>
                    </w:rPr>
                    <w:t>0.04</w:t>
                  </w:r>
                </w:p>
              </w:tc>
              <w:tc>
                <w:tcPr>
                  <w:tcW w:w="1684" w:type="dxa"/>
                  <w:noWrap w:val="0"/>
                  <w:vAlign w:val="center"/>
                </w:tcPr>
                <w:p>
                  <w:pPr>
                    <w:pStyle w:val="18"/>
                    <w:bidi w:val="0"/>
                    <w:rPr>
                      <w:rFonts w:hint="eastAsia"/>
                      <w:color w:val="auto"/>
                    </w:rPr>
                  </w:pPr>
                  <w:r>
                    <w:rPr>
                      <w:rFonts w:hint="eastAsia"/>
                      <w:color w:val="auto"/>
                      <w:lang w:val="en-US" w:eastAsia="zh-CN"/>
                    </w:rPr>
                    <w:t>0.28</w:t>
                  </w:r>
                </w:p>
              </w:tc>
              <w:tc>
                <w:tcPr>
                  <w:tcW w:w="1684" w:type="dxa"/>
                  <w:noWrap w:val="0"/>
                  <w:vAlign w:val="center"/>
                </w:tcPr>
                <w:p>
                  <w:pPr>
                    <w:pStyle w:val="18"/>
                    <w:bidi w:val="0"/>
                    <w:rPr>
                      <w:rFonts w:hint="eastAsia"/>
                      <w:color w:val="auto"/>
                    </w:rPr>
                  </w:pPr>
                  <w:r>
                    <w:rPr>
                      <w:rFonts w:hint="eastAsia"/>
                      <w:color w:val="auto"/>
                      <w:lang w:val="en-US" w:eastAsia="zh-CN"/>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1100</w:t>
                  </w:r>
                </w:p>
              </w:tc>
              <w:tc>
                <w:tcPr>
                  <w:tcW w:w="1620" w:type="dxa"/>
                  <w:noWrap w:val="0"/>
                  <w:vAlign w:val="center"/>
                </w:tcPr>
                <w:p>
                  <w:pPr>
                    <w:pStyle w:val="18"/>
                    <w:bidi w:val="0"/>
                    <w:rPr>
                      <w:color w:val="auto"/>
                    </w:rPr>
                  </w:pPr>
                  <w:r>
                    <w:rPr>
                      <w:rFonts w:hint="eastAsia"/>
                      <w:color w:val="auto"/>
                      <w:lang w:val="en-US" w:eastAsia="zh-CN"/>
                    </w:rPr>
                    <w:t>0.44</w:t>
                  </w:r>
                </w:p>
              </w:tc>
              <w:tc>
                <w:tcPr>
                  <w:tcW w:w="1725" w:type="dxa"/>
                  <w:noWrap w:val="0"/>
                  <w:vAlign w:val="center"/>
                </w:tcPr>
                <w:p>
                  <w:pPr>
                    <w:pStyle w:val="18"/>
                    <w:bidi w:val="0"/>
                    <w:rPr>
                      <w:color w:val="auto"/>
                    </w:rPr>
                  </w:pPr>
                  <w:r>
                    <w:rPr>
                      <w:rFonts w:hint="eastAsia"/>
                      <w:color w:val="auto"/>
                      <w:lang w:val="en-US" w:eastAsia="zh-CN"/>
                    </w:rPr>
                    <w:t>0.04</w:t>
                  </w:r>
                </w:p>
              </w:tc>
              <w:tc>
                <w:tcPr>
                  <w:tcW w:w="1684" w:type="dxa"/>
                  <w:noWrap w:val="0"/>
                  <w:vAlign w:val="center"/>
                </w:tcPr>
                <w:p>
                  <w:pPr>
                    <w:pStyle w:val="18"/>
                    <w:bidi w:val="0"/>
                    <w:rPr>
                      <w:rFonts w:hint="eastAsia"/>
                      <w:color w:val="auto"/>
                    </w:rPr>
                  </w:pPr>
                  <w:r>
                    <w:rPr>
                      <w:rFonts w:hint="eastAsia"/>
                      <w:color w:val="auto"/>
                      <w:lang w:val="en-US" w:eastAsia="zh-CN"/>
                    </w:rPr>
                    <w:t>0.25</w:t>
                  </w:r>
                </w:p>
              </w:tc>
              <w:tc>
                <w:tcPr>
                  <w:tcW w:w="1684" w:type="dxa"/>
                  <w:noWrap w:val="0"/>
                  <w:vAlign w:val="center"/>
                </w:tcPr>
                <w:p>
                  <w:pPr>
                    <w:pStyle w:val="18"/>
                    <w:bidi w:val="0"/>
                    <w:rPr>
                      <w:rFonts w:hint="eastAsia"/>
                      <w:color w:val="auto"/>
                    </w:rPr>
                  </w:pPr>
                  <w:r>
                    <w:rPr>
                      <w:rFonts w:hint="eastAsia"/>
                      <w:color w:val="auto"/>
                      <w:lang w:val="en-US" w:eastAsia="zh-CN"/>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1200</w:t>
                  </w:r>
                </w:p>
              </w:tc>
              <w:tc>
                <w:tcPr>
                  <w:tcW w:w="1620" w:type="dxa"/>
                  <w:noWrap w:val="0"/>
                  <w:vAlign w:val="center"/>
                </w:tcPr>
                <w:p>
                  <w:pPr>
                    <w:pStyle w:val="18"/>
                    <w:bidi w:val="0"/>
                    <w:rPr>
                      <w:color w:val="auto"/>
                    </w:rPr>
                  </w:pPr>
                  <w:r>
                    <w:rPr>
                      <w:rFonts w:hint="eastAsia"/>
                      <w:color w:val="auto"/>
                      <w:lang w:val="en-US" w:eastAsia="zh-CN"/>
                    </w:rPr>
                    <w:t>0.40</w:t>
                  </w:r>
                </w:p>
              </w:tc>
              <w:tc>
                <w:tcPr>
                  <w:tcW w:w="1725" w:type="dxa"/>
                  <w:noWrap w:val="0"/>
                  <w:vAlign w:val="center"/>
                </w:tcPr>
                <w:p>
                  <w:pPr>
                    <w:pStyle w:val="18"/>
                    <w:bidi w:val="0"/>
                    <w:rPr>
                      <w:color w:val="auto"/>
                    </w:rPr>
                  </w:pPr>
                  <w:r>
                    <w:rPr>
                      <w:rFonts w:hint="eastAsia"/>
                      <w:color w:val="auto"/>
                      <w:lang w:val="en-US" w:eastAsia="zh-CN"/>
                    </w:rPr>
                    <w:t>0.03</w:t>
                  </w:r>
                </w:p>
              </w:tc>
              <w:tc>
                <w:tcPr>
                  <w:tcW w:w="1684" w:type="dxa"/>
                  <w:noWrap w:val="0"/>
                  <w:vAlign w:val="center"/>
                </w:tcPr>
                <w:p>
                  <w:pPr>
                    <w:pStyle w:val="18"/>
                    <w:bidi w:val="0"/>
                    <w:rPr>
                      <w:rFonts w:hint="eastAsia"/>
                      <w:color w:val="auto"/>
                    </w:rPr>
                  </w:pPr>
                  <w:r>
                    <w:rPr>
                      <w:rFonts w:hint="eastAsia"/>
                      <w:color w:val="auto"/>
                      <w:lang w:val="en-US" w:eastAsia="zh-CN"/>
                    </w:rPr>
                    <w:t>0.22</w:t>
                  </w:r>
                </w:p>
              </w:tc>
              <w:tc>
                <w:tcPr>
                  <w:tcW w:w="1684" w:type="dxa"/>
                  <w:noWrap w:val="0"/>
                  <w:vAlign w:val="center"/>
                </w:tcPr>
                <w:p>
                  <w:pPr>
                    <w:pStyle w:val="18"/>
                    <w:bidi w:val="0"/>
                    <w:rPr>
                      <w:rFonts w:hint="eastAsia"/>
                      <w:color w:val="auto"/>
                    </w:rPr>
                  </w:pPr>
                  <w:r>
                    <w:rPr>
                      <w:rFonts w:hint="eastAsia"/>
                      <w:color w:val="auto"/>
                      <w:lang w:val="en-US" w:eastAsia="zh-CN"/>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1300</w:t>
                  </w:r>
                </w:p>
              </w:tc>
              <w:tc>
                <w:tcPr>
                  <w:tcW w:w="1620" w:type="dxa"/>
                  <w:noWrap w:val="0"/>
                  <w:vAlign w:val="center"/>
                </w:tcPr>
                <w:p>
                  <w:pPr>
                    <w:pStyle w:val="18"/>
                    <w:bidi w:val="0"/>
                    <w:rPr>
                      <w:color w:val="auto"/>
                    </w:rPr>
                  </w:pPr>
                  <w:r>
                    <w:rPr>
                      <w:rFonts w:hint="eastAsia"/>
                      <w:color w:val="auto"/>
                      <w:lang w:val="en-US" w:eastAsia="zh-CN"/>
                    </w:rPr>
                    <w:t>0.37</w:t>
                  </w:r>
                </w:p>
              </w:tc>
              <w:tc>
                <w:tcPr>
                  <w:tcW w:w="1725" w:type="dxa"/>
                  <w:noWrap w:val="0"/>
                  <w:vAlign w:val="center"/>
                </w:tcPr>
                <w:p>
                  <w:pPr>
                    <w:pStyle w:val="18"/>
                    <w:bidi w:val="0"/>
                    <w:rPr>
                      <w:color w:val="auto"/>
                    </w:rPr>
                  </w:pPr>
                  <w:r>
                    <w:rPr>
                      <w:rFonts w:hint="eastAsia"/>
                      <w:color w:val="auto"/>
                      <w:lang w:val="en-US" w:eastAsia="zh-CN"/>
                    </w:rPr>
                    <w:t>0.03</w:t>
                  </w:r>
                </w:p>
              </w:tc>
              <w:tc>
                <w:tcPr>
                  <w:tcW w:w="1684" w:type="dxa"/>
                  <w:noWrap w:val="0"/>
                  <w:vAlign w:val="center"/>
                </w:tcPr>
                <w:p>
                  <w:pPr>
                    <w:pStyle w:val="18"/>
                    <w:bidi w:val="0"/>
                    <w:rPr>
                      <w:rFonts w:hint="eastAsia"/>
                      <w:color w:val="auto"/>
                    </w:rPr>
                  </w:pPr>
                  <w:r>
                    <w:rPr>
                      <w:rFonts w:hint="eastAsia"/>
                      <w:color w:val="auto"/>
                      <w:lang w:val="en-US" w:eastAsia="zh-CN"/>
                    </w:rPr>
                    <w:t>0.21</w:t>
                  </w:r>
                </w:p>
              </w:tc>
              <w:tc>
                <w:tcPr>
                  <w:tcW w:w="1684" w:type="dxa"/>
                  <w:noWrap w:val="0"/>
                  <w:vAlign w:val="center"/>
                </w:tcPr>
                <w:p>
                  <w:pPr>
                    <w:pStyle w:val="18"/>
                    <w:bidi w:val="0"/>
                    <w:rPr>
                      <w:rFonts w:hint="eastAsia"/>
                      <w:color w:val="auto"/>
                    </w:rPr>
                  </w:pPr>
                  <w:r>
                    <w:rPr>
                      <w:rFonts w:hint="eastAsia"/>
                      <w:color w:val="auto"/>
                      <w:lang w:val="en-US" w:eastAsia="zh-CN"/>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1400</w:t>
                  </w:r>
                </w:p>
              </w:tc>
              <w:tc>
                <w:tcPr>
                  <w:tcW w:w="1620" w:type="dxa"/>
                  <w:noWrap w:val="0"/>
                  <w:vAlign w:val="center"/>
                </w:tcPr>
                <w:p>
                  <w:pPr>
                    <w:pStyle w:val="18"/>
                    <w:bidi w:val="0"/>
                    <w:rPr>
                      <w:color w:val="auto"/>
                    </w:rPr>
                  </w:pPr>
                  <w:r>
                    <w:rPr>
                      <w:rFonts w:hint="eastAsia"/>
                      <w:color w:val="auto"/>
                      <w:lang w:val="en-US" w:eastAsia="zh-CN"/>
                    </w:rPr>
                    <w:t>0.35</w:t>
                  </w:r>
                </w:p>
              </w:tc>
              <w:tc>
                <w:tcPr>
                  <w:tcW w:w="1725" w:type="dxa"/>
                  <w:noWrap w:val="0"/>
                  <w:vAlign w:val="center"/>
                </w:tcPr>
                <w:p>
                  <w:pPr>
                    <w:pStyle w:val="18"/>
                    <w:bidi w:val="0"/>
                    <w:rPr>
                      <w:color w:val="auto"/>
                    </w:rPr>
                  </w:pPr>
                  <w:r>
                    <w:rPr>
                      <w:rFonts w:hint="eastAsia"/>
                      <w:color w:val="auto"/>
                      <w:lang w:val="en-US" w:eastAsia="zh-CN"/>
                    </w:rPr>
                    <w:t>0.03</w:t>
                  </w:r>
                </w:p>
              </w:tc>
              <w:tc>
                <w:tcPr>
                  <w:tcW w:w="1684" w:type="dxa"/>
                  <w:noWrap w:val="0"/>
                  <w:vAlign w:val="center"/>
                </w:tcPr>
                <w:p>
                  <w:pPr>
                    <w:pStyle w:val="18"/>
                    <w:bidi w:val="0"/>
                    <w:rPr>
                      <w:rFonts w:hint="eastAsia"/>
                      <w:color w:val="auto"/>
                    </w:rPr>
                  </w:pPr>
                  <w:r>
                    <w:rPr>
                      <w:rFonts w:hint="eastAsia"/>
                      <w:color w:val="auto"/>
                      <w:lang w:val="en-US" w:eastAsia="zh-CN"/>
                    </w:rPr>
                    <w:t>0.20</w:t>
                  </w:r>
                </w:p>
              </w:tc>
              <w:tc>
                <w:tcPr>
                  <w:tcW w:w="1684" w:type="dxa"/>
                  <w:noWrap w:val="0"/>
                  <w:vAlign w:val="center"/>
                </w:tcPr>
                <w:p>
                  <w:pPr>
                    <w:pStyle w:val="18"/>
                    <w:bidi w:val="0"/>
                    <w:rPr>
                      <w:rFonts w:hint="eastAsia"/>
                      <w:color w:val="auto"/>
                    </w:rPr>
                  </w:pPr>
                  <w:r>
                    <w:rPr>
                      <w:rFonts w:hint="eastAsia"/>
                      <w:color w:val="auto"/>
                      <w:lang w:val="en-US" w:eastAsia="zh-CN"/>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1500</w:t>
                  </w:r>
                </w:p>
              </w:tc>
              <w:tc>
                <w:tcPr>
                  <w:tcW w:w="1620" w:type="dxa"/>
                  <w:noWrap w:val="0"/>
                  <w:vAlign w:val="center"/>
                </w:tcPr>
                <w:p>
                  <w:pPr>
                    <w:pStyle w:val="18"/>
                    <w:bidi w:val="0"/>
                    <w:rPr>
                      <w:color w:val="auto"/>
                    </w:rPr>
                  </w:pPr>
                  <w:r>
                    <w:rPr>
                      <w:rFonts w:hint="eastAsia"/>
                      <w:color w:val="auto"/>
                      <w:lang w:val="en-US" w:eastAsia="zh-CN"/>
                    </w:rPr>
                    <w:t>0.33</w:t>
                  </w:r>
                </w:p>
              </w:tc>
              <w:tc>
                <w:tcPr>
                  <w:tcW w:w="1725" w:type="dxa"/>
                  <w:noWrap w:val="0"/>
                  <w:vAlign w:val="center"/>
                </w:tcPr>
                <w:p>
                  <w:pPr>
                    <w:pStyle w:val="18"/>
                    <w:bidi w:val="0"/>
                    <w:rPr>
                      <w:color w:val="auto"/>
                    </w:rPr>
                  </w:pPr>
                  <w:r>
                    <w:rPr>
                      <w:rFonts w:hint="eastAsia"/>
                      <w:color w:val="auto"/>
                      <w:lang w:val="en-US" w:eastAsia="zh-CN"/>
                    </w:rPr>
                    <w:t>0.03</w:t>
                  </w:r>
                </w:p>
              </w:tc>
              <w:tc>
                <w:tcPr>
                  <w:tcW w:w="1684" w:type="dxa"/>
                  <w:noWrap w:val="0"/>
                  <w:vAlign w:val="center"/>
                </w:tcPr>
                <w:p>
                  <w:pPr>
                    <w:pStyle w:val="18"/>
                    <w:bidi w:val="0"/>
                    <w:rPr>
                      <w:rFonts w:hint="eastAsia"/>
                      <w:color w:val="auto"/>
                    </w:rPr>
                  </w:pPr>
                  <w:r>
                    <w:rPr>
                      <w:rFonts w:hint="eastAsia"/>
                      <w:color w:val="auto"/>
                      <w:lang w:val="en-US" w:eastAsia="zh-CN"/>
                    </w:rPr>
                    <w:t>0.19</w:t>
                  </w:r>
                </w:p>
              </w:tc>
              <w:tc>
                <w:tcPr>
                  <w:tcW w:w="1684" w:type="dxa"/>
                  <w:noWrap w:val="0"/>
                  <w:vAlign w:val="center"/>
                </w:tcPr>
                <w:p>
                  <w:pPr>
                    <w:pStyle w:val="18"/>
                    <w:bidi w:val="0"/>
                    <w:rPr>
                      <w:rFonts w:hint="eastAsia"/>
                      <w:color w:val="auto"/>
                    </w:rPr>
                  </w:pPr>
                  <w:r>
                    <w:rPr>
                      <w:rFonts w:hint="eastAsia"/>
                      <w:color w:val="auto"/>
                      <w:lang w:val="en-US" w:eastAsia="zh-CN"/>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1600</w:t>
                  </w:r>
                </w:p>
              </w:tc>
              <w:tc>
                <w:tcPr>
                  <w:tcW w:w="1620" w:type="dxa"/>
                  <w:noWrap w:val="0"/>
                  <w:vAlign w:val="center"/>
                </w:tcPr>
                <w:p>
                  <w:pPr>
                    <w:pStyle w:val="18"/>
                    <w:bidi w:val="0"/>
                    <w:rPr>
                      <w:color w:val="auto"/>
                    </w:rPr>
                  </w:pPr>
                  <w:r>
                    <w:rPr>
                      <w:rFonts w:hint="eastAsia"/>
                      <w:color w:val="auto"/>
                      <w:lang w:val="en-US" w:eastAsia="zh-CN"/>
                    </w:rPr>
                    <w:t>0.31</w:t>
                  </w:r>
                </w:p>
              </w:tc>
              <w:tc>
                <w:tcPr>
                  <w:tcW w:w="1725" w:type="dxa"/>
                  <w:noWrap w:val="0"/>
                  <w:vAlign w:val="center"/>
                </w:tcPr>
                <w:p>
                  <w:pPr>
                    <w:pStyle w:val="18"/>
                    <w:bidi w:val="0"/>
                    <w:rPr>
                      <w:color w:val="auto"/>
                    </w:rPr>
                  </w:pPr>
                  <w:r>
                    <w:rPr>
                      <w:rFonts w:hint="eastAsia"/>
                      <w:color w:val="auto"/>
                      <w:lang w:val="en-US" w:eastAsia="zh-CN"/>
                    </w:rPr>
                    <w:t>0.03</w:t>
                  </w:r>
                </w:p>
              </w:tc>
              <w:tc>
                <w:tcPr>
                  <w:tcW w:w="1684" w:type="dxa"/>
                  <w:noWrap w:val="0"/>
                  <w:vAlign w:val="center"/>
                </w:tcPr>
                <w:p>
                  <w:pPr>
                    <w:pStyle w:val="18"/>
                    <w:bidi w:val="0"/>
                    <w:rPr>
                      <w:rFonts w:hint="eastAsia"/>
                      <w:color w:val="auto"/>
                    </w:rPr>
                  </w:pPr>
                  <w:r>
                    <w:rPr>
                      <w:rFonts w:hint="eastAsia"/>
                      <w:color w:val="auto"/>
                      <w:lang w:val="en-US" w:eastAsia="zh-CN"/>
                    </w:rPr>
                    <w:t>0.18</w:t>
                  </w:r>
                </w:p>
              </w:tc>
              <w:tc>
                <w:tcPr>
                  <w:tcW w:w="1684" w:type="dxa"/>
                  <w:noWrap w:val="0"/>
                  <w:vAlign w:val="center"/>
                </w:tcPr>
                <w:p>
                  <w:pPr>
                    <w:pStyle w:val="18"/>
                    <w:bidi w:val="0"/>
                    <w:rPr>
                      <w:rFonts w:hint="eastAsia"/>
                      <w:color w:val="auto"/>
                    </w:rPr>
                  </w:pPr>
                  <w:r>
                    <w:rPr>
                      <w:rFonts w:hint="eastAsia"/>
                      <w:color w:val="auto"/>
                      <w:lang w:val="en-US" w:eastAsia="zh-CN"/>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1700</w:t>
                  </w:r>
                </w:p>
              </w:tc>
              <w:tc>
                <w:tcPr>
                  <w:tcW w:w="1620" w:type="dxa"/>
                  <w:noWrap w:val="0"/>
                  <w:vAlign w:val="center"/>
                </w:tcPr>
                <w:p>
                  <w:pPr>
                    <w:pStyle w:val="18"/>
                    <w:bidi w:val="0"/>
                    <w:rPr>
                      <w:color w:val="auto"/>
                    </w:rPr>
                  </w:pPr>
                  <w:r>
                    <w:rPr>
                      <w:rFonts w:hint="eastAsia"/>
                      <w:color w:val="auto"/>
                      <w:lang w:val="en-US" w:eastAsia="zh-CN"/>
                    </w:rPr>
                    <w:t>0.30</w:t>
                  </w:r>
                </w:p>
              </w:tc>
              <w:tc>
                <w:tcPr>
                  <w:tcW w:w="1725" w:type="dxa"/>
                  <w:noWrap w:val="0"/>
                  <w:vAlign w:val="center"/>
                </w:tcPr>
                <w:p>
                  <w:pPr>
                    <w:pStyle w:val="18"/>
                    <w:bidi w:val="0"/>
                    <w:rPr>
                      <w:color w:val="auto"/>
                    </w:rPr>
                  </w:pPr>
                  <w:r>
                    <w:rPr>
                      <w:rFonts w:hint="eastAsia"/>
                      <w:color w:val="auto"/>
                      <w:lang w:val="en-US" w:eastAsia="zh-CN"/>
                    </w:rPr>
                    <w:t>0.02</w:t>
                  </w:r>
                </w:p>
              </w:tc>
              <w:tc>
                <w:tcPr>
                  <w:tcW w:w="1684" w:type="dxa"/>
                  <w:noWrap w:val="0"/>
                  <w:vAlign w:val="center"/>
                </w:tcPr>
                <w:p>
                  <w:pPr>
                    <w:pStyle w:val="18"/>
                    <w:bidi w:val="0"/>
                    <w:rPr>
                      <w:rFonts w:hint="eastAsia"/>
                      <w:color w:val="auto"/>
                    </w:rPr>
                  </w:pPr>
                  <w:r>
                    <w:rPr>
                      <w:rFonts w:hint="eastAsia"/>
                      <w:color w:val="auto"/>
                      <w:lang w:val="en-US" w:eastAsia="zh-CN"/>
                    </w:rPr>
                    <w:t>0.17</w:t>
                  </w:r>
                </w:p>
              </w:tc>
              <w:tc>
                <w:tcPr>
                  <w:tcW w:w="1684" w:type="dxa"/>
                  <w:noWrap w:val="0"/>
                  <w:vAlign w:val="center"/>
                </w:tcPr>
                <w:p>
                  <w:pPr>
                    <w:pStyle w:val="18"/>
                    <w:bidi w:val="0"/>
                    <w:rPr>
                      <w:rFonts w:hint="eastAsia"/>
                      <w:color w:val="auto"/>
                    </w:rPr>
                  </w:pPr>
                  <w:r>
                    <w:rPr>
                      <w:rFonts w:hint="eastAsia"/>
                      <w:color w:val="auto"/>
                      <w:lang w:val="en-US" w:eastAsia="zh-CN"/>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1800</w:t>
                  </w:r>
                </w:p>
              </w:tc>
              <w:tc>
                <w:tcPr>
                  <w:tcW w:w="1620" w:type="dxa"/>
                  <w:noWrap w:val="0"/>
                  <w:vAlign w:val="center"/>
                </w:tcPr>
                <w:p>
                  <w:pPr>
                    <w:pStyle w:val="18"/>
                    <w:bidi w:val="0"/>
                    <w:rPr>
                      <w:color w:val="auto"/>
                    </w:rPr>
                  </w:pPr>
                  <w:r>
                    <w:rPr>
                      <w:rFonts w:hint="eastAsia"/>
                      <w:color w:val="auto"/>
                      <w:lang w:val="en-US" w:eastAsia="zh-CN"/>
                    </w:rPr>
                    <w:t>0.28</w:t>
                  </w:r>
                </w:p>
              </w:tc>
              <w:tc>
                <w:tcPr>
                  <w:tcW w:w="1725" w:type="dxa"/>
                  <w:noWrap w:val="0"/>
                  <w:vAlign w:val="center"/>
                </w:tcPr>
                <w:p>
                  <w:pPr>
                    <w:pStyle w:val="18"/>
                    <w:bidi w:val="0"/>
                    <w:rPr>
                      <w:color w:val="auto"/>
                    </w:rPr>
                  </w:pPr>
                  <w:r>
                    <w:rPr>
                      <w:rFonts w:hint="eastAsia"/>
                      <w:color w:val="auto"/>
                      <w:lang w:val="en-US" w:eastAsia="zh-CN"/>
                    </w:rPr>
                    <w:t>0.02</w:t>
                  </w:r>
                </w:p>
              </w:tc>
              <w:tc>
                <w:tcPr>
                  <w:tcW w:w="1684" w:type="dxa"/>
                  <w:noWrap w:val="0"/>
                  <w:vAlign w:val="center"/>
                </w:tcPr>
                <w:p>
                  <w:pPr>
                    <w:pStyle w:val="18"/>
                    <w:bidi w:val="0"/>
                    <w:rPr>
                      <w:rFonts w:hint="eastAsia"/>
                      <w:color w:val="auto"/>
                    </w:rPr>
                  </w:pPr>
                  <w:r>
                    <w:rPr>
                      <w:rFonts w:hint="eastAsia"/>
                      <w:color w:val="auto"/>
                      <w:lang w:val="en-US" w:eastAsia="zh-CN"/>
                    </w:rPr>
                    <w:t>0.16</w:t>
                  </w:r>
                </w:p>
              </w:tc>
              <w:tc>
                <w:tcPr>
                  <w:tcW w:w="1684" w:type="dxa"/>
                  <w:noWrap w:val="0"/>
                  <w:vAlign w:val="center"/>
                </w:tcPr>
                <w:p>
                  <w:pPr>
                    <w:pStyle w:val="18"/>
                    <w:bidi w:val="0"/>
                    <w:rPr>
                      <w:rFonts w:hint="eastAsia"/>
                      <w:color w:val="auto"/>
                    </w:rPr>
                  </w:pPr>
                  <w:r>
                    <w:rPr>
                      <w:rFonts w:hint="eastAsia"/>
                      <w:color w:val="auto"/>
                      <w:lang w:val="en-US" w:eastAsia="zh-CN"/>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1900</w:t>
                  </w:r>
                </w:p>
              </w:tc>
              <w:tc>
                <w:tcPr>
                  <w:tcW w:w="1620" w:type="dxa"/>
                  <w:noWrap w:val="0"/>
                  <w:vAlign w:val="center"/>
                </w:tcPr>
                <w:p>
                  <w:pPr>
                    <w:pStyle w:val="18"/>
                    <w:bidi w:val="0"/>
                    <w:rPr>
                      <w:color w:val="auto"/>
                    </w:rPr>
                  </w:pPr>
                  <w:r>
                    <w:rPr>
                      <w:rFonts w:hint="eastAsia"/>
                      <w:color w:val="auto"/>
                      <w:lang w:val="en-US" w:eastAsia="zh-CN"/>
                    </w:rPr>
                    <w:t>0.27</w:t>
                  </w:r>
                </w:p>
              </w:tc>
              <w:tc>
                <w:tcPr>
                  <w:tcW w:w="1725" w:type="dxa"/>
                  <w:noWrap w:val="0"/>
                  <w:vAlign w:val="center"/>
                </w:tcPr>
                <w:p>
                  <w:pPr>
                    <w:pStyle w:val="18"/>
                    <w:bidi w:val="0"/>
                    <w:rPr>
                      <w:color w:val="auto"/>
                    </w:rPr>
                  </w:pPr>
                  <w:r>
                    <w:rPr>
                      <w:rFonts w:hint="eastAsia"/>
                      <w:color w:val="auto"/>
                      <w:lang w:val="en-US" w:eastAsia="zh-CN"/>
                    </w:rPr>
                    <w:t>0.02</w:t>
                  </w:r>
                </w:p>
              </w:tc>
              <w:tc>
                <w:tcPr>
                  <w:tcW w:w="1684" w:type="dxa"/>
                  <w:noWrap w:val="0"/>
                  <w:vAlign w:val="center"/>
                </w:tcPr>
                <w:p>
                  <w:pPr>
                    <w:pStyle w:val="18"/>
                    <w:bidi w:val="0"/>
                    <w:rPr>
                      <w:rFonts w:hint="eastAsia"/>
                      <w:color w:val="auto"/>
                    </w:rPr>
                  </w:pPr>
                  <w:r>
                    <w:rPr>
                      <w:rFonts w:hint="eastAsia"/>
                      <w:color w:val="auto"/>
                      <w:lang w:val="en-US" w:eastAsia="zh-CN"/>
                    </w:rPr>
                    <w:t>0.15</w:t>
                  </w:r>
                </w:p>
              </w:tc>
              <w:tc>
                <w:tcPr>
                  <w:tcW w:w="1684" w:type="dxa"/>
                  <w:noWrap w:val="0"/>
                  <w:vAlign w:val="center"/>
                </w:tcPr>
                <w:p>
                  <w:pPr>
                    <w:pStyle w:val="18"/>
                    <w:bidi w:val="0"/>
                    <w:rPr>
                      <w:rFonts w:hint="eastAsia"/>
                      <w:color w:val="auto"/>
                    </w:rPr>
                  </w:pPr>
                  <w:r>
                    <w:rPr>
                      <w:rFonts w:hint="eastAsia"/>
                      <w:color w:val="auto"/>
                      <w:lang w:val="en-US" w:eastAsia="zh-CN"/>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2000</w:t>
                  </w:r>
                </w:p>
              </w:tc>
              <w:tc>
                <w:tcPr>
                  <w:tcW w:w="1620" w:type="dxa"/>
                  <w:noWrap w:val="0"/>
                  <w:vAlign w:val="center"/>
                </w:tcPr>
                <w:p>
                  <w:pPr>
                    <w:pStyle w:val="18"/>
                    <w:bidi w:val="0"/>
                    <w:rPr>
                      <w:color w:val="auto"/>
                    </w:rPr>
                  </w:pPr>
                  <w:r>
                    <w:rPr>
                      <w:rFonts w:hint="eastAsia"/>
                      <w:color w:val="auto"/>
                      <w:lang w:val="en-US" w:eastAsia="zh-CN"/>
                    </w:rPr>
                    <w:t>0.26</w:t>
                  </w:r>
                </w:p>
              </w:tc>
              <w:tc>
                <w:tcPr>
                  <w:tcW w:w="1725" w:type="dxa"/>
                  <w:noWrap w:val="0"/>
                  <w:vAlign w:val="center"/>
                </w:tcPr>
                <w:p>
                  <w:pPr>
                    <w:pStyle w:val="18"/>
                    <w:bidi w:val="0"/>
                    <w:rPr>
                      <w:color w:val="auto"/>
                    </w:rPr>
                  </w:pPr>
                  <w:r>
                    <w:rPr>
                      <w:rFonts w:hint="eastAsia"/>
                      <w:color w:val="auto"/>
                      <w:lang w:val="en-US" w:eastAsia="zh-CN"/>
                    </w:rPr>
                    <w:t>0.02</w:t>
                  </w:r>
                </w:p>
              </w:tc>
              <w:tc>
                <w:tcPr>
                  <w:tcW w:w="1684" w:type="dxa"/>
                  <w:noWrap w:val="0"/>
                  <w:vAlign w:val="center"/>
                </w:tcPr>
                <w:p>
                  <w:pPr>
                    <w:pStyle w:val="18"/>
                    <w:bidi w:val="0"/>
                    <w:rPr>
                      <w:rFonts w:hint="eastAsia"/>
                      <w:color w:val="auto"/>
                    </w:rPr>
                  </w:pPr>
                  <w:r>
                    <w:rPr>
                      <w:rFonts w:hint="eastAsia"/>
                      <w:color w:val="auto"/>
                      <w:lang w:val="en-US" w:eastAsia="zh-CN"/>
                    </w:rPr>
                    <w:t>0.14</w:t>
                  </w:r>
                </w:p>
              </w:tc>
              <w:tc>
                <w:tcPr>
                  <w:tcW w:w="1684" w:type="dxa"/>
                  <w:noWrap w:val="0"/>
                  <w:vAlign w:val="center"/>
                </w:tcPr>
                <w:p>
                  <w:pPr>
                    <w:pStyle w:val="18"/>
                    <w:bidi w:val="0"/>
                    <w:rPr>
                      <w:rFonts w:hint="eastAsia"/>
                      <w:color w:val="auto"/>
                    </w:rPr>
                  </w:pPr>
                  <w:r>
                    <w:rPr>
                      <w:rFonts w:hint="eastAsia"/>
                      <w:color w:val="auto"/>
                      <w:lang w:val="en-US" w:eastAsia="zh-CN"/>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2100</w:t>
                  </w:r>
                </w:p>
              </w:tc>
              <w:tc>
                <w:tcPr>
                  <w:tcW w:w="1620" w:type="dxa"/>
                  <w:noWrap w:val="0"/>
                  <w:vAlign w:val="center"/>
                </w:tcPr>
                <w:p>
                  <w:pPr>
                    <w:pStyle w:val="18"/>
                    <w:bidi w:val="0"/>
                    <w:rPr>
                      <w:color w:val="auto"/>
                    </w:rPr>
                  </w:pPr>
                  <w:r>
                    <w:rPr>
                      <w:rFonts w:hint="eastAsia"/>
                      <w:color w:val="auto"/>
                      <w:lang w:val="en-US" w:eastAsia="zh-CN"/>
                    </w:rPr>
                    <w:t>0.24</w:t>
                  </w:r>
                </w:p>
              </w:tc>
              <w:tc>
                <w:tcPr>
                  <w:tcW w:w="1725" w:type="dxa"/>
                  <w:noWrap w:val="0"/>
                  <w:vAlign w:val="center"/>
                </w:tcPr>
                <w:p>
                  <w:pPr>
                    <w:pStyle w:val="18"/>
                    <w:bidi w:val="0"/>
                    <w:rPr>
                      <w:color w:val="auto"/>
                    </w:rPr>
                  </w:pPr>
                  <w:r>
                    <w:rPr>
                      <w:rFonts w:hint="eastAsia"/>
                      <w:color w:val="auto"/>
                      <w:lang w:val="en-US" w:eastAsia="zh-CN"/>
                    </w:rPr>
                    <w:t>0.02</w:t>
                  </w:r>
                </w:p>
              </w:tc>
              <w:tc>
                <w:tcPr>
                  <w:tcW w:w="1684" w:type="dxa"/>
                  <w:noWrap w:val="0"/>
                  <w:vAlign w:val="center"/>
                </w:tcPr>
                <w:p>
                  <w:pPr>
                    <w:pStyle w:val="18"/>
                    <w:bidi w:val="0"/>
                    <w:rPr>
                      <w:rFonts w:hint="eastAsia"/>
                      <w:color w:val="auto"/>
                    </w:rPr>
                  </w:pPr>
                  <w:r>
                    <w:rPr>
                      <w:rFonts w:hint="eastAsia"/>
                      <w:color w:val="auto"/>
                      <w:lang w:val="en-US" w:eastAsia="zh-CN"/>
                    </w:rPr>
                    <w:t>0.14</w:t>
                  </w:r>
                </w:p>
              </w:tc>
              <w:tc>
                <w:tcPr>
                  <w:tcW w:w="1684" w:type="dxa"/>
                  <w:noWrap w:val="0"/>
                  <w:vAlign w:val="center"/>
                </w:tcPr>
                <w:p>
                  <w:pPr>
                    <w:pStyle w:val="18"/>
                    <w:bidi w:val="0"/>
                    <w:rPr>
                      <w:rFonts w:hint="eastAsia"/>
                      <w:color w:val="auto"/>
                    </w:rPr>
                  </w:pPr>
                  <w:r>
                    <w:rPr>
                      <w:rFonts w:hint="eastAsia"/>
                      <w:color w:val="auto"/>
                      <w:lang w:val="en-US" w:eastAsia="zh-CN"/>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color w:val="auto"/>
                    </w:rPr>
                  </w:pPr>
                  <w:r>
                    <w:rPr>
                      <w:rFonts w:hint="eastAsia"/>
                      <w:color w:val="auto"/>
                    </w:rPr>
                    <w:t>2200</w:t>
                  </w:r>
                </w:p>
              </w:tc>
              <w:tc>
                <w:tcPr>
                  <w:tcW w:w="1620" w:type="dxa"/>
                  <w:noWrap w:val="0"/>
                  <w:vAlign w:val="center"/>
                </w:tcPr>
                <w:p>
                  <w:pPr>
                    <w:pStyle w:val="18"/>
                    <w:bidi w:val="0"/>
                    <w:rPr>
                      <w:color w:val="auto"/>
                    </w:rPr>
                  </w:pPr>
                  <w:r>
                    <w:rPr>
                      <w:rFonts w:hint="eastAsia"/>
                      <w:color w:val="auto"/>
                      <w:lang w:val="en-US" w:eastAsia="zh-CN"/>
                    </w:rPr>
                    <w:t>0.23</w:t>
                  </w:r>
                </w:p>
              </w:tc>
              <w:tc>
                <w:tcPr>
                  <w:tcW w:w="1725" w:type="dxa"/>
                  <w:noWrap w:val="0"/>
                  <w:vAlign w:val="center"/>
                </w:tcPr>
                <w:p>
                  <w:pPr>
                    <w:pStyle w:val="18"/>
                    <w:bidi w:val="0"/>
                    <w:rPr>
                      <w:color w:val="auto"/>
                    </w:rPr>
                  </w:pPr>
                  <w:r>
                    <w:rPr>
                      <w:rFonts w:hint="eastAsia"/>
                      <w:color w:val="auto"/>
                      <w:lang w:val="en-US" w:eastAsia="zh-CN"/>
                    </w:rPr>
                    <w:t>0.02</w:t>
                  </w:r>
                </w:p>
              </w:tc>
              <w:tc>
                <w:tcPr>
                  <w:tcW w:w="1684" w:type="dxa"/>
                  <w:noWrap w:val="0"/>
                  <w:vAlign w:val="center"/>
                </w:tcPr>
                <w:p>
                  <w:pPr>
                    <w:pStyle w:val="18"/>
                    <w:bidi w:val="0"/>
                    <w:rPr>
                      <w:rFonts w:hint="eastAsia"/>
                      <w:color w:val="auto"/>
                    </w:rPr>
                  </w:pPr>
                  <w:r>
                    <w:rPr>
                      <w:rFonts w:hint="eastAsia"/>
                      <w:color w:val="auto"/>
                      <w:lang w:val="en-US" w:eastAsia="zh-CN"/>
                    </w:rPr>
                    <w:t>0.13</w:t>
                  </w:r>
                </w:p>
              </w:tc>
              <w:tc>
                <w:tcPr>
                  <w:tcW w:w="1684" w:type="dxa"/>
                  <w:noWrap w:val="0"/>
                  <w:vAlign w:val="center"/>
                </w:tcPr>
                <w:p>
                  <w:pPr>
                    <w:pStyle w:val="18"/>
                    <w:bidi w:val="0"/>
                    <w:rPr>
                      <w:rFonts w:hint="eastAsia"/>
                      <w:color w:val="auto"/>
                    </w:rPr>
                  </w:pPr>
                  <w:r>
                    <w:rPr>
                      <w:rFonts w:hint="eastAsia"/>
                      <w:color w:val="auto"/>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rFonts w:hint="default"/>
                      <w:color w:val="auto"/>
                      <w:lang w:val="en-US" w:eastAsia="zh-CN"/>
                    </w:rPr>
                  </w:pPr>
                  <w:r>
                    <w:rPr>
                      <w:rFonts w:hint="eastAsia"/>
                      <w:color w:val="auto"/>
                      <w:lang w:val="en-US" w:eastAsia="zh-CN"/>
                    </w:rPr>
                    <w:t>2300</w:t>
                  </w:r>
                </w:p>
              </w:tc>
              <w:tc>
                <w:tcPr>
                  <w:tcW w:w="1620" w:type="dxa"/>
                  <w:noWrap w:val="0"/>
                  <w:vAlign w:val="center"/>
                </w:tcPr>
                <w:p>
                  <w:pPr>
                    <w:pStyle w:val="18"/>
                    <w:bidi w:val="0"/>
                    <w:rPr>
                      <w:rFonts w:hint="default"/>
                      <w:color w:val="auto"/>
                      <w:lang w:val="en-US" w:eastAsia="zh-CN"/>
                    </w:rPr>
                  </w:pPr>
                  <w:r>
                    <w:rPr>
                      <w:rFonts w:hint="eastAsia"/>
                      <w:color w:val="auto"/>
                      <w:lang w:val="en-US" w:eastAsia="zh-CN"/>
                    </w:rPr>
                    <w:t>0.22</w:t>
                  </w:r>
                </w:p>
              </w:tc>
              <w:tc>
                <w:tcPr>
                  <w:tcW w:w="1725" w:type="dxa"/>
                  <w:noWrap w:val="0"/>
                  <w:vAlign w:val="center"/>
                </w:tcPr>
                <w:p>
                  <w:pPr>
                    <w:pStyle w:val="18"/>
                    <w:bidi w:val="0"/>
                    <w:rPr>
                      <w:rFonts w:hint="eastAsia"/>
                      <w:color w:val="auto"/>
                    </w:rPr>
                  </w:pPr>
                  <w:r>
                    <w:rPr>
                      <w:rFonts w:hint="eastAsia"/>
                      <w:color w:val="auto"/>
                      <w:lang w:val="en-US" w:eastAsia="zh-CN"/>
                    </w:rPr>
                    <w:t>0.02</w:t>
                  </w:r>
                </w:p>
              </w:tc>
              <w:tc>
                <w:tcPr>
                  <w:tcW w:w="1684" w:type="dxa"/>
                  <w:noWrap w:val="0"/>
                  <w:vAlign w:val="center"/>
                </w:tcPr>
                <w:p>
                  <w:pPr>
                    <w:pStyle w:val="18"/>
                    <w:bidi w:val="0"/>
                    <w:rPr>
                      <w:rFonts w:hint="eastAsia"/>
                      <w:color w:val="auto"/>
                      <w:lang w:val="en-US" w:eastAsia="zh-CN"/>
                    </w:rPr>
                  </w:pPr>
                  <w:r>
                    <w:rPr>
                      <w:rFonts w:hint="eastAsia"/>
                      <w:color w:val="auto"/>
                      <w:lang w:val="en-US" w:eastAsia="zh-CN"/>
                    </w:rPr>
                    <w:t>0.13</w:t>
                  </w:r>
                </w:p>
              </w:tc>
              <w:tc>
                <w:tcPr>
                  <w:tcW w:w="1684" w:type="dxa"/>
                  <w:noWrap w:val="0"/>
                  <w:vAlign w:val="center"/>
                </w:tcPr>
                <w:p>
                  <w:pPr>
                    <w:pStyle w:val="18"/>
                    <w:bidi w:val="0"/>
                    <w:rPr>
                      <w:rFonts w:hint="eastAsia"/>
                      <w:color w:val="auto"/>
                      <w:lang w:val="en-US" w:eastAsia="zh-CN"/>
                    </w:rPr>
                  </w:pPr>
                  <w:r>
                    <w:rPr>
                      <w:rFonts w:hint="eastAsia"/>
                      <w:color w:val="auto"/>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rFonts w:hint="default"/>
                      <w:color w:val="auto"/>
                      <w:lang w:val="en-US" w:eastAsia="zh-CN"/>
                    </w:rPr>
                  </w:pPr>
                  <w:r>
                    <w:rPr>
                      <w:rFonts w:hint="eastAsia"/>
                      <w:color w:val="auto"/>
                      <w:lang w:val="en-US" w:eastAsia="zh-CN"/>
                    </w:rPr>
                    <w:t>2400</w:t>
                  </w:r>
                </w:p>
              </w:tc>
              <w:tc>
                <w:tcPr>
                  <w:tcW w:w="1620" w:type="dxa"/>
                  <w:noWrap w:val="0"/>
                  <w:vAlign w:val="center"/>
                </w:tcPr>
                <w:p>
                  <w:pPr>
                    <w:pStyle w:val="18"/>
                    <w:bidi w:val="0"/>
                    <w:rPr>
                      <w:rFonts w:hint="default"/>
                      <w:color w:val="auto"/>
                      <w:lang w:val="en-US" w:eastAsia="zh-CN"/>
                    </w:rPr>
                  </w:pPr>
                  <w:r>
                    <w:rPr>
                      <w:rFonts w:hint="eastAsia"/>
                      <w:color w:val="auto"/>
                      <w:lang w:val="en-US" w:eastAsia="zh-CN"/>
                    </w:rPr>
                    <w:t>0.21</w:t>
                  </w:r>
                </w:p>
              </w:tc>
              <w:tc>
                <w:tcPr>
                  <w:tcW w:w="1725" w:type="dxa"/>
                  <w:noWrap w:val="0"/>
                  <w:vAlign w:val="center"/>
                </w:tcPr>
                <w:p>
                  <w:pPr>
                    <w:pStyle w:val="18"/>
                    <w:bidi w:val="0"/>
                    <w:rPr>
                      <w:rFonts w:hint="eastAsia"/>
                      <w:color w:val="auto"/>
                    </w:rPr>
                  </w:pPr>
                  <w:r>
                    <w:rPr>
                      <w:rFonts w:hint="eastAsia"/>
                      <w:color w:val="auto"/>
                      <w:lang w:val="en-US" w:eastAsia="zh-CN"/>
                    </w:rPr>
                    <w:t>0.02</w:t>
                  </w:r>
                </w:p>
              </w:tc>
              <w:tc>
                <w:tcPr>
                  <w:tcW w:w="1684" w:type="dxa"/>
                  <w:noWrap w:val="0"/>
                  <w:vAlign w:val="center"/>
                </w:tcPr>
                <w:p>
                  <w:pPr>
                    <w:pStyle w:val="18"/>
                    <w:bidi w:val="0"/>
                    <w:rPr>
                      <w:rFonts w:hint="eastAsia"/>
                      <w:color w:val="auto"/>
                      <w:lang w:val="en-US" w:eastAsia="zh-CN"/>
                    </w:rPr>
                  </w:pPr>
                  <w:r>
                    <w:rPr>
                      <w:rFonts w:hint="eastAsia"/>
                      <w:color w:val="auto"/>
                      <w:lang w:val="en-US" w:eastAsia="zh-CN"/>
                    </w:rPr>
                    <w:t>0.12</w:t>
                  </w:r>
                </w:p>
              </w:tc>
              <w:tc>
                <w:tcPr>
                  <w:tcW w:w="1684" w:type="dxa"/>
                  <w:noWrap w:val="0"/>
                  <w:vAlign w:val="center"/>
                </w:tcPr>
                <w:p>
                  <w:pPr>
                    <w:pStyle w:val="18"/>
                    <w:bidi w:val="0"/>
                    <w:rPr>
                      <w:rFonts w:hint="eastAsia"/>
                      <w:color w:val="auto"/>
                      <w:lang w:val="en-US" w:eastAsia="zh-CN"/>
                    </w:rPr>
                  </w:pPr>
                  <w:r>
                    <w:rPr>
                      <w:rFonts w:hint="eastAsia"/>
                      <w:color w:val="auto"/>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top"/>
                </w:tcPr>
                <w:p>
                  <w:pPr>
                    <w:pStyle w:val="18"/>
                    <w:bidi w:val="0"/>
                    <w:rPr>
                      <w:rFonts w:hint="default"/>
                      <w:color w:val="auto"/>
                      <w:lang w:val="en-US" w:eastAsia="zh-CN"/>
                    </w:rPr>
                  </w:pPr>
                  <w:r>
                    <w:rPr>
                      <w:rFonts w:hint="eastAsia"/>
                      <w:color w:val="auto"/>
                      <w:lang w:val="en-US" w:eastAsia="zh-CN"/>
                    </w:rPr>
                    <w:t>2500</w:t>
                  </w:r>
                </w:p>
              </w:tc>
              <w:tc>
                <w:tcPr>
                  <w:tcW w:w="1620" w:type="dxa"/>
                  <w:noWrap w:val="0"/>
                  <w:vAlign w:val="center"/>
                </w:tcPr>
                <w:p>
                  <w:pPr>
                    <w:pStyle w:val="18"/>
                    <w:bidi w:val="0"/>
                    <w:rPr>
                      <w:rFonts w:hint="default"/>
                      <w:color w:val="auto"/>
                      <w:lang w:val="en-US" w:eastAsia="zh-CN"/>
                    </w:rPr>
                  </w:pPr>
                  <w:r>
                    <w:rPr>
                      <w:rFonts w:hint="eastAsia"/>
                      <w:color w:val="auto"/>
                      <w:lang w:val="en-US" w:eastAsia="zh-CN"/>
                    </w:rPr>
                    <w:t>0.20</w:t>
                  </w:r>
                </w:p>
              </w:tc>
              <w:tc>
                <w:tcPr>
                  <w:tcW w:w="1725" w:type="dxa"/>
                  <w:noWrap w:val="0"/>
                  <w:vAlign w:val="center"/>
                </w:tcPr>
                <w:p>
                  <w:pPr>
                    <w:pStyle w:val="18"/>
                    <w:bidi w:val="0"/>
                    <w:rPr>
                      <w:rFonts w:hint="eastAsia"/>
                      <w:color w:val="auto"/>
                    </w:rPr>
                  </w:pPr>
                  <w:r>
                    <w:rPr>
                      <w:rFonts w:hint="eastAsia"/>
                      <w:color w:val="auto"/>
                      <w:lang w:val="en-US" w:eastAsia="zh-CN"/>
                    </w:rPr>
                    <w:t>0.02</w:t>
                  </w:r>
                </w:p>
              </w:tc>
              <w:tc>
                <w:tcPr>
                  <w:tcW w:w="1684" w:type="dxa"/>
                  <w:noWrap w:val="0"/>
                  <w:vAlign w:val="center"/>
                </w:tcPr>
                <w:p>
                  <w:pPr>
                    <w:pStyle w:val="18"/>
                    <w:bidi w:val="0"/>
                    <w:rPr>
                      <w:rFonts w:hint="eastAsia"/>
                      <w:color w:val="auto"/>
                      <w:lang w:val="en-US" w:eastAsia="zh-CN"/>
                    </w:rPr>
                  </w:pPr>
                  <w:r>
                    <w:rPr>
                      <w:rFonts w:hint="eastAsia"/>
                      <w:color w:val="auto"/>
                      <w:lang w:val="en-US" w:eastAsia="zh-CN"/>
                    </w:rPr>
                    <w:t>0.11</w:t>
                  </w:r>
                </w:p>
              </w:tc>
              <w:tc>
                <w:tcPr>
                  <w:tcW w:w="1684" w:type="dxa"/>
                  <w:noWrap w:val="0"/>
                  <w:vAlign w:val="center"/>
                </w:tcPr>
                <w:p>
                  <w:pPr>
                    <w:pStyle w:val="18"/>
                    <w:bidi w:val="0"/>
                    <w:rPr>
                      <w:rFonts w:hint="eastAsia"/>
                      <w:color w:val="auto"/>
                      <w:lang w:val="en-US" w:eastAsia="zh-CN"/>
                    </w:rPr>
                  </w:pPr>
                  <w:r>
                    <w:rPr>
                      <w:rFonts w:hint="eastAsia"/>
                      <w:color w:val="auto"/>
                      <w:lang w:val="en-US" w:eastAsia="zh-CN"/>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center"/>
                </w:tcPr>
                <w:p>
                  <w:pPr>
                    <w:pStyle w:val="18"/>
                    <w:bidi w:val="0"/>
                    <w:rPr>
                      <w:color w:val="auto"/>
                    </w:rPr>
                  </w:pPr>
                  <w:r>
                    <w:rPr>
                      <w:color w:val="auto"/>
                    </w:rPr>
                    <w:t>下风向最大落地浓度</w:t>
                  </w:r>
                </w:p>
              </w:tc>
              <w:tc>
                <w:tcPr>
                  <w:tcW w:w="1620" w:type="dxa"/>
                  <w:noWrap w:val="0"/>
                  <w:vAlign w:val="center"/>
                </w:tcPr>
                <w:p>
                  <w:pPr>
                    <w:pStyle w:val="18"/>
                    <w:bidi w:val="0"/>
                    <w:rPr>
                      <w:rFonts w:hint="default"/>
                      <w:color w:val="auto"/>
                      <w:lang w:val="en-US" w:eastAsia="zh-CN"/>
                    </w:rPr>
                  </w:pPr>
                  <w:r>
                    <w:rPr>
                      <w:rFonts w:hint="eastAsia"/>
                      <w:color w:val="auto"/>
                      <w:lang w:val="en-US" w:eastAsia="zh-CN"/>
                    </w:rPr>
                    <w:t>0.43</w:t>
                  </w:r>
                </w:p>
              </w:tc>
              <w:tc>
                <w:tcPr>
                  <w:tcW w:w="1725" w:type="dxa"/>
                  <w:noWrap w:val="0"/>
                  <w:vAlign w:val="center"/>
                </w:tcPr>
                <w:p>
                  <w:pPr>
                    <w:pStyle w:val="18"/>
                    <w:bidi w:val="0"/>
                    <w:rPr>
                      <w:rFonts w:hint="default"/>
                      <w:color w:val="auto"/>
                      <w:lang w:val="en-US" w:eastAsia="zh-CN"/>
                    </w:rPr>
                  </w:pPr>
                  <w:r>
                    <w:rPr>
                      <w:rFonts w:hint="eastAsia"/>
                      <w:color w:val="auto"/>
                      <w:lang w:val="en-US" w:eastAsia="zh-CN"/>
                    </w:rPr>
                    <w:t>5.17</w:t>
                  </w:r>
                </w:p>
              </w:tc>
              <w:tc>
                <w:tcPr>
                  <w:tcW w:w="1684" w:type="dxa"/>
                  <w:noWrap w:val="0"/>
                  <w:vAlign w:val="center"/>
                </w:tcPr>
                <w:p>
                  <w:pPr>
                    <w:pStyle w:val="18"/>
                    <w:bidi w:val="0"/>
                    <w:rPr>
                      <w:rFonts w:hint="default"/>
                      <w:color w:val="auto"/>
                      <w:lang w:val="en-US" w:eastAsia="zh-CN"/>
                    </w:rPr>
                  </w:pPr>
                  <w:r>
                    <w:rPr>
                      <w:rFonts w:hint="eastAsia"/>
                      <w:color w:val="auto"/>
                      <w:lang w:val="en-US" w:eastAsia="zh-CN"/>
                    </w:rPr>
                    <w:t>0.32</w:t>
                  </w:r>
                </w:p>
              </w:tc>
              <w:tc>
                <w:tcPr>
                  <w:tcW w:w="1684" w:type="dxa"/>
                  <w:noWrap w:val="0"/>
                  <w:vAlign w:val="center"/>
                </w:tcPr>
                <w:p>
                  <w:pPr>
                    <w:pStyle w:val="18"/>
                    <w:bidi w:val="0"/>
                    <w:rPr>
                      <w:rFonts w:hint="default"/>
                      <w:color w:val="auto"/>
                      <w:lang w:val="en-US" w:eastAsia="zh-CN"/>
                    </w:rPr>
                  </w:pPr>
                  <w:r>
                    <w:rPr>
                      <w:rFonts w:hint="eastAsia"/>
                      <w:color w:val="auto"/>
                      <w:lang w:val="en-US" w:eastAsia="zh-CN"/>
                    </w:rPr>
                    <w:t>2.91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 w:type="dxa"/>
                  <w:noWrap w:val="0"/>
                  <w:vAlign w:val="center"/>
                </w:tcPr>
                <w:p>
                  <w:pPr>
                    <w:pStyle w:val="18"/>
                    <w:bidi w:val="0"/>
                    <w:rPr>
                      <w:color w:val="auto"/>
                    </w:rPr>
                  </w:pPr>
                  <w:r>
                    <w:rPr>
                      <w:color w:val="auto"/>
                    </w:rPr>
                    <w:t>距污染源中心距离（m）</w:t>
                  </w:r>
                </w:p>
              </w:tc>
              <w:tc>
                <w:tcPr>
                  <w:tcW w:w="6713" w:type="dxa"/>
                  <w:gridSpan w:val="4"/>
                  <w:noWrap w:val="0"/>
                  <w:vAlign w:val="center"/>
                </w:tcPr>
                <w:p>
                  <w:pPr>
                    <w:pStyle w:val="18"/>
                    <w:bidi w:val="0"/>
                    <w:rPr>
                      <w:rFonts w:hint="eastAsia"/>
                      <w:color w:val="auto"/>
                      <w:lang w:val="en-US" w:eastAsia="zh-CN"/>
                    </w:rPr>
                  </w:pPr>
                  <w:r>
                    <w:rPr>
                      <w:rFonts w:hint="eastAsia"/>
                      <w:color w:val="auto"/>
                      <w:lang w:val="en-US" w:eastAsia="zh-CN"/>
                    </w:rPr>
                    <w:t>13</w:t>
                  </w:r>
                </w:p>
              </w:tc>
            </w:tr>
          </w:tbl>
          <w:p>
            <w:pPr>
              <w:adjustRightInd w:val="0"/>
              <w:snapToGrid w:val="0"/>
              <w:spacing w:line="360" w:lineRule="auto"/>
              <w:ind w:firstLine="480" w:firstLineChars="200"/>
              <w:rPr>
                <w:color w:val="auto"/>
              </w:rPr>
            </w:pPr>
            <w:r>
              <w:rPr>
                <w:rFonts w:hint="default"/>
                <w:color w:val="auto"/>
              </w:rPr>
              <w:t>项目</w:t>
            </w:r>
            <w:r>
              <w:rPr>
                <w:rFonts w:hint="default"/>
                <w:color w:val="auto"/>
                <w:lang w:eastAsia="zh-CN"/>
              </w:rPr>
              <w:t>生产车间</w:t>
            </w:r>
            <w:r>
              <w:rPr>
                <w:rFonts w:hint="eastAsia"/>
                <w:color w:val="auto"/>
                <w:lang w:eastAsia="zh-CN"/>
              </w:rPr>
              <w:t>有</w:t>
            </w:r>
            <w:r>
              <w:rPr>
                <w:rFonts w:hint="default"/>
                <w:color w:val="auto"/>
              </w:rPr>
              <w:t>组织废气</w:t>
            </w:r>
            <w:r>
              <w:rPr>
                <w:rFonts w:hint="default"/>
                <w:color w:val="auto"/>
                <w:lang w:eastAsia="zh-CN"/>
              </w:rPr>
              <w:t>排放的</w:t>
            </w:r>
            <w:r>
              <w:rPr>
                <w:rFonts w:hint="default"/>
                <w:color w:val="auto"/>
                <w:lang w:val="en-US" w:eastAsia="zh-CN"/>
              </w:rPr>
              <w:t>TSP、</w:t>
            </w:r>
            <w:r>
              <w:rPr>
                <w:rFonts w:hint="eastAsia"/>
                <w:color w:val="auto"/>
                <w:lang w:val="en-US" w:eastAsia="zh-CN"/>
              </w:rPr>
              <w:t>VOCs</w:t>
            </w:r>
            <w:r>
              <w:rPr>
                <w:rFonts w:hint="default"/>
                <w:color w:val="auto"/>
              </w:rPr>
              <w:t>下风向最大落地浓度为</w:t>
            </w:r>
            <w:r>
              <w:rPr>
                <w:rFonts w:hint="eastAsia"/>
                <w:color w:val="auto"/>
                <w:lang w:val="en-US" w:eastAsia="zh-CN"/>
              </w:rPr>
              <w:t>2.91</w:t>
            </w:r>
            <w:r>
              <w:rPr>
                <w:rFonts w:hint="default"/>
                <w:color w:val="auto"/>
                <w:lang w:val="en-US" w:eastAsia="zh-CN"/>
              </w:rPr>
              <w:t>u</w:t>
            </w:r>
            <w:r>
              <w:rPr>
                <w:rFonts w:hint="default"/>
                <w:color w:val="auto"/>
              </w:rPr>
              <w:t>g/</w:t>
            </w:r>
            <w:r>
              <w:rPr>
                <w:rFonts w:hint="eastAsia"/>
                <w:color w:val="auto"/>
                <w:lang w:val="en-US" w:eastAsia="zh-CN"/>
              </w:rPr>
              <w:t>m</w:t>
            </w:r>
            <w:r>
              <w:rPr>
                <w:rFonts w:hint="eastAsia"/>
                <w:color w:val="auto"/>
                <w:vertAlign w:val="superscript"/>
                <w:lang w:val="en-US" w:eastAsia="zh-CN"/>
              </w:rPr>
              <w:t>3</w:t>
            </w:r>
            <w:r>
              <w:rPr>
                <w:rFonts w:hint="default"/>
                <w:color w:val="auto"/>
              </w:rPr>
              <w:t>、</w:t>
            </w:r>
            <w:r>
              <w:rPr>
                <w:rFonts w:hint="eastAsia"/>
                <w:color w:val="auto"/>
                <w:lang w:val="en-US" w:eastAsia="zh-CN"/>
              </w:rPr>
              <w:t>5.17</w:t>
            </w:r>
            <w:r>
              <w:rPr>
                <w:rFonts w:hint="default"/>
                <w:color w:val="auto"/>
                <w:lang w:val="en-US" w:eastAsia="zh-CN"/>
              </w:rPr>
              <w:t>u</w:t>
            </w:r>
            <w:r>
              <w:rPr>
                <w:rFonts w:hint="default"/>
                <w:color w:val="auto"/>
              </w:rPr>
              <w:t>g/</w:t>
            </w:r>
            <w:r>
              <w:rPr>
                <w:rFonts w:hint="eastAsia"/>
                <w:color w:val="auto"/>
                <w:lang w:val="en-US" w:eastAsia="zh-CN"/>
              </w:rPr>
              <w:t>m</w:t>
            </w:r>
            <w:r>
              <w:rPr>
                <w:rFonts w:hint="eastAsia"/>
                <w:color w:val="auto"/>
                <w:vertAlign w:val="superscript"/>
                <w:lang w:val="en-US" w:eastAsia="zh-CN"/>
              </w:rPr>
              <w:t>3</w:t>
            </w:r>
            <w:r>
              <w:rPr>
                <w:rFonts w:hint="default"/>
                <w:color w:val="auto"/>
                <w:lang w:eastAsia="zh-CN"/>
              </w:rPr>
              <w:t>；最大地面落地浓度分别满足</w:t>
            </w:r>
            <w:r>
              <w:rPr>
                <w:rFonts w:hint="default"/>
                <w:color w:val="auto"/>
              </w:rPr>
              <w:t>《环境空气质量标准》</w:t>
            </w:r>
            <w:r>
              <w:rPr>
                <w:rFonts w:hint="eastAsia"/>
                <w:color w:val="auto"/>
                <w:lang w:eastAsia="zh-CN"/>
              </w:rPr>
              <w:t>（</w:t>
            </w:r>
            <w:r>
              <w:rPr>
                <w:rFonts w:hint="default"/>
                <w:color w:val="auto"/>
              </w:rPr>
              <w:t>GB3095-2012</w:t>
            </w:r>
            <w:r>
              <w:rPr>
                <w:rFonts w:hint="eastAsia"/>
                <w:color w:val="auto"/>
                <w:lang w:eastAsia="zh-CN"/>
              </w:rPr>
              <w:t>）</w:t>
            </w:r>
            <w:r>
              <w:rPr>
                <w:rFonts w:hint="default"/>
                <w:color w:val="auto"/>
              </w:rPr>
              <w:t>二级浓度限值</w:t>
            </w:r>
            <w:r>
              <w:rPr>
                <w:rFonts w:hint="default"/>
                <w:color w:val="auto"/>
                <w:lang w:eastAsia="zh-CN"/>
              </w:rPr>
              <w:t>（TSP≤900ug/</w:t>
            </w:r>
            <w:r>
              <w:rPr>
                <w:rFonts w:hint="eastAsia"/>
                <w:color w:val="auto"/>
                <w:lang w:val="en-US" w:eastAsia="zh-CN"/>
              </w:rPr>
              <w:t>m</w:t>
            </w:r>
            <w:r>
              <w:rPr>
                <w:rFonts w:hint="eastAsia"/>
                <w:color w:val="auto"/>
                <w:vertAlign w:val="superscript"/>
                <w:lang w:val="en-US" w:eastAsia="zh-CN"/>
              </w:rPr>
              <w:t>3</w:t>
            </w:r>
            <w:r>
              <w:rPr>
                <w:rFonts w:hint="default"/>
                <w:color w:val="auto"/>
                <w:lang w:eastAsia="zh-CN"/>
              </w:rPr>
              <w:t>）</w:t>
            </w:r>
            <w:r>
              <w:rPr>
                <w:rFonts w:hint="eastAsia"/>
                <w:color w:val="auto"/>
                <w:lang w:eastAsia="zh-CN"/>
              </w:rPr>
              <w:t>、</w:t>
            </w:r>
            <w:r>
              <w:rPr>
                <w:rFonts w:hint="eastAsia"/>
                <w:color w:val="auto"/>
                <w:lang w:val="en-US" w:eastAsia="zh-CN"/>
              </w:rPr>
              <w:t>《环境影响评价技术导则-大气环境》HJ2.2-2018附录D中关于TVOC限值要求</w:t>
            </w:r>
            <w:r>
              <w:rPr>
                <w:rFonts w:hint="default"/>
                <w:color w:val="auto"/>
                <w:lang w:eastAsia="zh-CN"/>
              </w:rPr>
              <w:t>（T</w:t>
            </w:r>
            <w:r>
              <w:rPr>
                <w:rFonts w:hint="eastAsia"/>
                <w:color w:val="auto"/>
                <w:lang w:val="en-US" w:eastAsia="zh-CN"/>
              </w:rPr>
              <w:t>VOC</w:t>
            </w:r>
            <w:r>
              <w:rPr>
                <w:rFonts w:hint="default"/>
                <w:color w:val="auto"/>
                <w:lang w:eastAsia="zh-CN"/>
              </w:rPr>
              <w:t>≤</w:t>
            </w:r>
            <w:r>
              <w:rPr>
                <w:rFonts w:hint="eastAsia"/>
                <w:color w:val="auto"/>
                <w:lang w:val="en-US" w:eastAsia="zh-CN"/>
              </w:rPr>
              <w:t>600</w:t>
            </w:r>
            <w:r>
              <w:rPr>
                <w:rFonts w:hint="default"/>
                <w:color w:val="auto"/>
                <w:lang w:eastAsia="zh-CN"/>
              </w:rPr>
              <w:t>ug/</w:t>
            </w:r>
            <w:r>
              <w:rPr>
                <w:rFonts w:hint="eastAsia"/>
                <w:color w:val="auto"/>
                <w:lang w:val="en-US" w:eastAsia="zh-CN"/>
              </w:rPr>
              <w:t>m</w:t>
            </w:r>
            <w:r>
              <w:rPr>
                <w:rFonts w:hint="eastAsia"/>
                <w:color w:val="auto"/>
                <w:vertAlign w:val="superscript"/>
                <w:lang w:val="en-US" w:eastAsia="zh-CN"/>
              </w:rPr>
              <w:t>3</w:t>
            </w:r>
            <w:r>
              <w:rPr>
                <w:rFonts w:hint="default"/>
                <w:color w:val="auto"/>
                <w:lang w:eastAsia="zh-CN"/>
              </w:rPr>
              <w:t>）。</w:t>
            </w:r>
            <w:r>
              <w:rPr>
                <w:rFonts w:hint="default"/>
                <w:color w:val="auto"/>
              </w:rPr>
              <w:t>最大占标率分别为</w:t>
            </w:r>
            <w:r>
              <w:rPr>
                <w:rFonts w:hint="eastAsia"/>
                <w:color w:val="auto"/>
                <w:lang w:val="en-US" w:eastAsia="zh-CN"/>
              </w:rPr>
              <w:t>0.32</w:t>
            </w:r>
            <w:r>
              <w:rPr>
                <w:rFonts w:hint="default"/>
                <w:color w:val="auto"/>
              </w:rPr>
              <w:t>%、</w:t>
            </w:r>
            <w:r>
              <w:rPr>
                <w:rFonts w:hint="default"/>
                <w:color w:val="auto"/>
                <w:lang w:val="en-US" w:eastAsia="zh-CN"/>
              </w:rPr>
              <w:t>0.</w:t>
            </w:r>
            <w:r>
              <w:rPr>
                <w:rFonts w:hint="eastAsia"/>
                <w:color w:val="auto"/>
                <w:lang w:val="en-US" w:eastAsia="zh-CN"/>
              </w:rPr>
              <w:t>43</w:t>
            </w:r>
            <w:r>
              <w:rPr>
                <w:rFonts w:hint="default"/>
                <w:color w:val="auto"/>
              </w:rPr>
              <w:t>%，最大地面落地浓度出现在距</w:t>
            </w:r>
            <w:r>
              <w:rPr>
                <w:rFonts w:hint="eastAsia"/>
                <w:color w:val="auto"/>
                <w:lang w:eastAsia="zh-CN"/>
              </w:rPr>
              <w:t>点</w:t>
            </w:r>
            <w:r>
              <w:rPr>
                <w:rFonts w:hint="default"/>
                <w:color w:val="auto"/>
              </w:rPr>
              <w:t>源</w:t>
            </w:r>
            <w:r>
              <w:rPr>
                <w:rFonts w:hint="eastAsia"/>
                <w:color w:val="auto"/>
                <w:lang w:val="en-US" w:eastAsia="zh-CN"/>
              </w:rPr>
              <w:t>13</w:t>
            </w:r>
            <w:r>
              <w:rPr>
                <w:rFonts w:hint="default"/>
                <w:color w:val="auto"/>
              </w:rPr>
              <w:t>m处。</w:t>
            </w:r>
            <w:r>
              <w:rPr>
                <w:rFonts w:hint="eastAsia"/>
                <w:color w:val="auto"/>
                <w:lang w:eastAsia="zh-CN"/>
              </w:rPr>
              <w:t>喷漆房有</w:t>
            </w:r>
            <w:r>
              <w:rPr>
                <w:rFonts w:hint="default"/>
                <w:color w:val="auto"/>
              </w:rPr>
              <w:t>组织排放的</w:t>
            </w:r>
            <w:r>
              <w:rPr>
                <w:rFonts w:hint="default"/>
                <w:color w:val="auto"/>
                <w:lang w:val="en-US" w:eastAsia="zh-CN"/>
              </w:rPr>
              <w:t>TSP</w:t>
            </w:r>
            <w:r>
              <w:rPr>
                <w:rFonts w:hint="default"/>
                <w:color w:val="auto"/>
              </w:rPr>
              <w:t>、</w:t>
            </w:r>
            <w:r>
              <w:rPr>
                <w:rFonts w:hint="eastAsia"/>
                <w:color w:val="auto"/>
                <w:lang w:eastAsia="zh-CN"/>
              </w:rPr>
              <w:t>VOC</w:t>
            </w:r>
            <w:r>
              <w:rPr>
                <w:rFonts w:hint="eastAsia"/>
                <w:color w:val="auto"/>
                <w:lang w:val="en-US" w:eastAsia="zh-CN"/>
              </w:rPr>
              <w:t>s</w:t>
            </w:r>
            <w:r>
              <w:rPr>
                <w:rFonts w:hint="default"/>
                <w:color w:val="auto"/>
              </w:rPr>
              <w:t>最大落地浓度均达到其相应环境质量标准，占标率均在10%以下，所以本项目喷漆车间无组织排放的漆雾、</w:t>
            </w:r>
            <w:r>
              <w:rPr>
                <w:rFonts w:hint="eastAsia"/>
                <w:color w:val="auto"/>
                <w:lang w:eastAsia="zh-CN"/>
              </w:rPr>
              <w:t>VOC</w:t>
            </w:r>
            <w:r>
              <w:rPr>
                <w:rFonts w:hint="eastAsia"/>
                <w:color w:val="auto"/>
                <w:lang w:val="en-US" w:eastAsia="zh-CN"/>
              </w:rPr>
              <w:t>s</w:t>
            </w:r>
            <w:r>
              <w:rPr>
                <w:rFonts w:hint="eastAsia"/>
                <w:color w:val="auto"/>
              </w:rPr>
              <w:t>对周围环境影响较小。</w:t>
            </w:r>
          </w:p>
          <w:p>
            <w:pPr>
              <w:spacing w:line="360" w:lineRule="auto"/>
              <w:ind w:firstLine="480" w:firstLineChars="200"/>
              <w:rPr>
                <w:color w:val="auto"/>
              </w:rPr>
            </w:pPr>
            <w:r>
              <w:rPr>
                <w:rFonts w:hint="eastAsia"/>
                <w:color w:val="auto"/>
                <w:lang w:eastAsia="zh-CN"/>
              </w:rPr>
              <w:t>②无组织排放废气预测结果见下表</w:t>
            </w:r>
            <w:r>
              <w:rPr>
                <w:color w:val="auto"/>
              </w:rPr>
              <w:t>。</w:t>
            </w:r>
          </w:p>
          <w:p>
            <w:pPr>
              <w:pStyle w:val="19"/>
              <w:bidi w:val="0"/>
              <w:rPr>
                <w:color w:val="auto"/>
              </w:rPr>
            </w:pPr>
            <w:r>
              <w:rPr>
                <w:color w:val="auto"/>
              </w:rPr>
              <w:t>表7-</w:t>
            </w:r>
            <w:r>
              <w:rPr>
                <w:rFonts w:hint="eastAsia"/>
                <w:color w:val="auto"/>
                <w:lang w:val="en-US" w:eastAsia="zh-CN"/>
              </w:rPr>
              <w:t>12</w:t>
            </w:r>
            <w:r>
              <w:rPr>
                <w:color w:val="auto"/>
              </w:rPr>
              <w:t xml:space="preserve">   废气估算模式计算结果表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7"/>
              <w:gridCol w:w="1637"/>
              <w:gridCol w:w="1309"/>
              <w:gridCol w:w="1568"/>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vMerge w:val="restart"/>
                  <w:noWrap w:val="0"/>
                  <w:vAlign w:val="center"/>
                </w:tcPr>
                <w:p>
                  <w:pPr>
                    <w:pStyle w:val="18"/>
                    <w:bidi w:val="0"/>
                    <w:rPr>
                      <w:color w:val="auto"/>
                    </w:rPr>
                  </w:pPr>
                  <w:r>
                    <w:rPr>
                      <w:color w:val="auto"/>
                    </w:rPr>
                    <w:t>下风向距离</w:t>
                  </w:r>
                </w:p>
              </w:tc>
              <w:tc>
                <w:tcPr>
                  <w:tcW w:w="2946" w:type="dxa"/>
                  <w:gridSpan w:val="2"/>
                  <w:noWrap w:val="0"/>
                  <w:vAlign w:val="center"/>
                </w:tcPr>
                <w:p>
                  <w:pPr>
                    <w:pStyle w:val="18"/>
                    <w:bidi w:val="0"/>
                    <w:rPr>
                      <w:rFonts w:hint="default"/>
                      <w:color w:val="auto"/>
                      <w:lang w:val="en-US" w:eastAsia="zh-CN"/>
                    </w:rPr>
                  </w:pPr>
                  <w:r>
                    <w:rPr>
                      <w:rFonts w:hint="eastAsia"/>
                      <w:color w:val="auto"/>
                      <w:lang w:val="en-US" w:eastAsia="zh-CN"/>
                    </w:rPr>
                    <w:t>TSP</w:t>
                  </w:r>
                </w:p>
              </w:tc>
              <w:tc>
                <w:tcPr>
                  <w:tcW w:w="2886" w:type="dxa"/>
                  <w:gridSpan w:val="2"/>
                  <w:noWrap w:val="0"/>
                  <w:vAlign w:val="center"/>
                </w:tcPr>
                <w:p>
                  <w:pPr>
                    <w:pStyle w:val="18"/>
                    <w:bidi w:val="0"/>
                    <w:rPr>
                      <w:rFonts w:hint="eastAsia"/>
                      <w:color w:val="auto"/>
                      <w:lang w:eastAsia="zh-CN"/>
                    </w:rPr>
                  </w:pPr>
                  <w:r>
                    <w:rPr>
                      <w:rFonts w:hint="eastAsia"/>
                      <w:color w:val="auto"/>
                      <w:lang w:eastAsia="zh-CN"/>
                    </w:rPr>
                    <w:t>VOC</w:t>
                  </w:r>
                  <w:r>
                    <w:rPr>
                      <w:rFonts w:hint="eastAsia"/>
                      <w:color w:val="auto"/>
                      <w:lang w:val="en-US" w:eastAsia="zh-CN"/>
                    </w:rPr>
                    <w: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vMerge w:val="continue"/>
                  <w:noWrap w:val="0"/>
                  <w:vAlign w:val="center"/>
                </w:tcPr>
                <w:p>
                  <w:pPr>
                    <w:pStyle w:val="18"/>
                    <w:bidi w:val="0"/>
                    <w:rPr>
                      <w:color w:val="auto"/>
                    </w:rPr>
                  </w:pPr>
                </w:p>
              </w:tc>
              <w:tc>
                <w:tcPr>
                  <w:tcW w:w="1637" w:type="dxa"/>
                  <w:noWrap w:val="0"/>
                  <w:vAlign w:val="center"/>
                </w:tcPr>
                <w:p>
                  <w:pPr>
                    <w:pStyle w:val="18"/>
                    <w:bidi w:val="0"/>
                    <w:rPr>
                      <w:color w:val="auto"/>
                    </w:rPr>
                  </w:pPr>
                  <w:r>
                    <w:rPr>
                      <w:color w:val="auto"/>
                    </w:rPr>
                    <w:t>下风向预测浓度mg/</w:t>
                  </w:r>
                  <w:r>
                    <w:rPr>
                      <w:rFonts w:hint="eastAsia"/>
                      <w:color w:val="auto"/>
                      <w:lang w:val="en-US" w:eastAsia="zh-CN"/>
                    </w:rPr>
                    <w:t>m</w:t>
                  </w:r>
                  <w:r>
                    <w:rPr>
                      <w:rFonts w:hint="eastAsia"/>
                      <w:color w:val="auto"/>
                      <w:vertAlign w:val="superscript"/>
                      <w:lang w:val="en-US" w:eastAsia="zh-CN"/>
                    </w:rPr>
                    <w:t>3</w:t>
                  </w:r>
                </w:p>
              </w:tc>
              <w:tc>
                <w:tcPr>
                  <w:tcW w:w="1309" w:type="dxa"/>
                  <w:noWrap w:val="0"/>
                  <w:vAlign w:val="center"/>
                </w:tcPr>
                <w:p>
                  <w:pPr>
                    <w:pStyle w:val="18"/>
                    <w:bidi w:val="0"/>
                    <w:rPr>
                      <w:color w:val="auto"/>
                    </w:rPr>
                  </w:pPr>
                  <w:r>
                    <w:rPr>
                      <w:color w:val="auto"/>
                    </w:rPr>
                    <w:t>浓度占标率%</w:t>
                  </w:r>
                </w:p>
              </w:tc>
              <w:tc>
                <w:tcPr>
                  <w:tcW w:w="1568" w:type="dxa"/>
                  <w:noWrap w:val="0"/>
                  <w:vAlign w:val="center"/>
                </w:tcPr>
                <w:p>
                  <w:pPr>
                    <w:pStyle w:val="18"/>
                    <w:bidi w:val="0"/>
                    <w:rPr>
                      <w:color w:val="auto"/>
                    </w:rPr>
                  </w:pPr>
                  <w:r>
                    <w:rPr>
                      <w:color w:val="auto"/>
                    </w:rPr>
                    <w:t>下风向预测浓度mg/</w:t>
                  </w:r>
                  <w:r>
                    <w:rPr>
                      <w:rFonts w:hint="eastAsia"/>
                      <w:color w:val="auto"/>
                      <w:lang w:val="en-US" w:eastAsia="zh-CN"/>
                    </w:rPr>
                    <w:t>m</w:t>
                  </w:r>
                  <w:r>
                    <w:rPr>
                      <w:rFonts w:hint="eastAsia"/>
                      <w:color w:val="auto"/>
                      <w:vertAlign w:val="superscript"/>
                      <w:lang w:val="en-US" w:eastAsia="zh-CN"/>
                    </w:rPr>
                    <w:t>3</w:t>
                  </w:r>
                </w:p>
              </w:tc>
              <w:tc>
                <w:tcPr>
                  <w:tcW w:w="1318" w:type="dxa"/>
                  <w:noWrap w:val="0"/>
                  <w:vAlign w:val="center"/>
                </w:tcPr>
                <w:p>
                  <w:pPr>
                    <w:pStyle w:val="18"/>
                    <w:bidi w:val="0"/>
                    <w:rPr>
                      <w:color w:val="auto"/>
                    </w:rPr>
                  </w:pPr>
                  <w:r>
                    <w:rPr>
                      <w:color w:val="auto"/>
                    </w:rPr>
                    <w:t>浓度占标率%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10</w:t>
                  </w:r>
                </w:p>
              </w:tc>
              <w:tc>
                <w:tcPr>
                  <w:tcW w:w="1637" w:type="dxa"/>
                  <w:noWrap w:val="0"/>
                  <w:vAlign w:val="center"/>
                </w:tcPr>
                <w:p>
                  <w:pPr>
                    <w:pStyle w:val="18"/>
                    <w:bidi w:val="0"/>
                    <w:rPr>
                      <w:color w:val="auto"/>
                    </w:rPr>
                  </w:pPr>
                  <w:r>
                    <w:rPr>
                      <w:rFonts w:hint="eastAsia"/>
                      <w:color w:val="auto"/>
                      <w:lang w:val="en-US" w:eastAsia="zh-CN"/>
                    </w:rPr>
                    <w:t>48.51</w:t>
                  </w:r>
                </w:p>
              </w:tc>
              <w:tc>
                <w:tcPr>
                  <w:tcW w:w="1309" w:type="dxa"/>
                  <w:noWrap w:val="0"/>
                  <w:vAlign w:val="center"/>
                </w:tcPr>
                <w:p>
                  <w:pPr>
                    <w:pStyle w:val="18"/>
                    <w:bidi w:val="0"/>
                    <w:rPr>
                      <w:color w:val="auto"/>
                    </w:rPr>
                  </w:pPr>
                  <w:r>
                    <w:rPr>
                      <w:rFonts w:hint="eastAsia"/>
                      <w:color w:val="auto"/>
                      <w:lang w:val="en-US" w:eastAsia="zh-CN"/>
                    </w:rPr>
                    <w:t>5.39</w:t>
                  </w:r>
                </w:p>
              </w:tc>
              <w:tc>
                <w:tcPr>
                  <w:tcW w:w="1568" w:type="dxa"/>
                  <w:noWrap w:val="0"/>
                  <w:vAlign w:val="center"/>
                </w:tcPr>
                <w:p>
                  <w:pPr>
                    <w:pStyle w:val="18"/>
                    <w:bidi w:val="0"/>
                    <w:rPr>
                      <w:rFonts w:hint="eastAsia"/>
                      <w:color w:val="auto"/>
                    </w:rPr>
                  </w:pPr>
                  <w:r>
                    <w:rPr>
                      <w:rFonts w:hint="eastAsia"/>
                      <w:color w:val="auto"/>
                      <w:lang w:val="en-US" w:eastAsia="zh-CN"/>
                    </w:rPr>
                    <w:t>16.48</w:t>
                  </w:r>
                </w:p>
              </w:tc>
              <w:tc>
                <w:tcPr>
                  <w:tcW w:w="1318" w:type="dxa"/>
                  <w:noWrap w:val="0"/>
                  <w:vAlign w:val="center"/>
                </w:tcPr>
                <w:p>
                  <w:pPr>
                    <w:pStyle w:val="18"/>
                    <w:bidi w:val="0"/>
                    <w:rPr>
                      <w:rFonts w:hint="eastAsia"/>
                      <w:color w:val="auto"/>
                    </w:rPr>
                  </w:pPr>
                  <w:r>
                    <w:rPr>
                      <w:rFonts w:hint="eastAsia"/>
                      <w:color w:val="auto"/>
                      <w:lang w:val="en-US" w:eastAsia="zh-CN"/>
                    </w:rPr>
                    <w:t>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100</w:t>
                  </w:r>
                </w:p>
              </w:tc>
              <w:tc>
                <w:tcPr>
                  <w:tcW w:w="1637" w:type="dxa"/>
                  <w:noWrap w:val="0"/>
                  <w:vAlign w:val="center"/>
                </w:tcPr>
                <w:p>
                  <w:pPr>
                    <w:pStyle w:val="18"/>
                    <w:bidi w:val="0"/>
                    <w:rPr>
                      <w:color w:val="auto"/>
                    </w:rPr>
                  </w:pPr>
                  <w:r>
                    <w:rPr>
                      <w:rFonts w:hint="eastAsia"/>
                      <w:color w:val="auto"/>
                      <w:lang w:val="en-US" w:eastAsia="zh-CN"/>
                    </w:rPr>
                    <w:t>72.64</w:t>
                  </w:r>
                </w:p>
              </w:tc>
              <w:tc>
                <w:tcPr>
                  <w:tcW w:w="1309" w:type="dxa"/>
                  <w:noWrap w:val="0"/>
                  <w:vAlign w:val="center"/>
                </w:tcPr>
                <w:p>
                  <w:pPr>
                    <w:pStyle w:val="18"/>
                    <w:bidi w:val="0"/>
                    <w:rPr>
                      <w:color w:val="auto"/>
                    </w:rPr>
                  </w:pPr>
                  <w:r>
                    <w:rPr>
                      <w:rFonts w:hint="eastAsia"/>
                      <w:color w:val="auto"/>
                      <w:lang w:val="en-US" w:eastAsia="zh-CN"/>
                    </w:rPr>
                    <w:t>8.07</w:t>
                  </w:r>
                </w:p>
              </w:tc>
              <w:tc>
                <w:tcPr>
                  <w:tcW w:w="1568" w:type="dxa"/>
                  <w:noWrap w:val="0"/>
                  <w:vAlign w:val="center"/>
                </w:tcPr>
                <w:p>
                  <w:pPr>
                    <w:pStyle w:val="18"/>
                    <w:bidi w:val="0"/>
                    <w:rPr>
                      <w:rFonts w:hint="eastAsia"/>
                      <w:color w:val="auto"/>
                    </w:rPr>
                  </w:pPr>
                  <w:r>
                    <w:rPr>
                      <w:rFonts w:hint="eastAsia"/>
                      <w:color w:val="auto"/>
                      <w:lang w:val="en-US" w:eastAsia="zh-CN"/>
                    </w:rPr>
                    <w:t>24.68</w:t>
                  </w:r>
                </w:p>
              </w:tc>
              <w:tc>
                <w:tcPr>
                  <w:tcW w:w="1318" w:type="dxa"/>
                  <w:noWrap w:val="0"/>
                  <w:vAlign w:val="center"/>
                </w:tcPr>
                <w:p>
                  <w:pPr>
                    <w:pStyle w:val="18"/>
                    <w:bidi w:val="0"/>
                    <w:rPr>
                      <w:rFonts w:hint="eastAsia"/>
                      <w:color w:val="auto"/>
                    </w:rPr>
                  </w:pPr>
                  <w:r>
                    <w:rPr>
                      <w:rFonts w:hint="eastAsia"/>
                      <w:color w:val="auto"/>
                      <w:lang w:val="en-US" w:eastAsia="zh-CN"/>
                    </w:rPr>
                    <w:t>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102</w:t>
                  </w:r>
                </w:p>
              </w:tc>
              <w:tc>
                <w:tcPr>
                  <w:tcW w:w="1637" w:type="dxa"/>
                  <w:noWrap w:val="0"/>
                  <w:vAlign w:val="center"/>
                </w:tcPr>
                <w:p>
                  <w:pPr>
                    <w:pStyle w:val="18"/>
                    <w:bidi w:val="0"/>
                    <w:rPr>
                      <w:color w:val="auto"/>
                    </w:rPr>
                  </w:pPr>
                  <w:r>
                    <w:rPr>
                      <w:rFonts w:hint="eastAsia"/>
                      <w:color w:val="auto"/>
                      <w:lang w:val="en-US" w:eastAsia="zh-CN"/>
                    </w:rPr>
                    <w:t>72.66</w:t>
                  </w:r>
                </w:p>
              </w:tc>
              <w:tc>
                <w:tcPr>
                  <w:tcW w:w="1309" w:type="dxa"/>
                  <w:noWrap w:val="0"/>
                  <w:vAlign w:val="center"/>
                </w:tcPr>
                <w:p>
                  <w:pPr>
                    <w:pStyle w:val="18"/>
                    <w:bidi w:val="0"/>
                    <w:rPr>
                      <w:color w:val="auto"/>
                    </w:rPr>
                  </w:pPr>
                  <w:r>
                    <w:rPr>
                      <w:rFonts w:hint="eastAsia"/>
                      <w:color w:val="auto"/>
                      <w:lang w:val="en-US" w:eastAsia="zh-CN"/>
                    </w:rPr>
                    <w:t>8.07</w:t>
                  </w:r>
                </w:p>
              </w:tc>
              <w:tc>
                <w:tcPr>
                  <w:tcW w:w="1568" w:type="dxa"/>
                  <w:noWrap w:val="0"/>
                  <w:vAlign w:val="center"/>
                </w:tcPr>
                <w:p>
                  <w:pPr>
                    <w:pStyle w:val="18"/>
                    <w:bidi w:val="0"/>
                    <w:rPr>
                      <w:rFonts w:hint="eastAsia"/>
                      <w:color w:val="auto"/>
                    </w:rPr>
                  </w:pPr>
                  <w:r>
                    <w:rPr>
                      <w:rFonts w:hint="eastAsia"/>
                      <w:color w:val="auto"/>
                      <w:lang w:val="en-US" w:eastAsia="zh-CN"/>
                    </w:rPr>
                    <w:t>24.69</w:t>
                  </w:r>
                </w:p>
              </w:tc>
              <w:tc>
                <w:tcPr>
                  <w:tcW w:w="1318" w:type="dxa"/>
                  <w:noWrap w:val="0"/>
                  <w:vAlign w:val="center"/>
                </w:tcPr>
                <w:p>
                  <w:pPr>
                    <w:pStyle w:val="18"/>
                    <w:bidi w:val="0"/>
                    <w:rPr>
                      <w:rFonts w:hint="eastAsia"/>
                      <w:color w:val="auto"/>
                    </w:rPr>
                  </w:pPr>
                  <w:r>
                    <w:rPr>
                      <w:rFonts w:hint="eastAsia"/>
                      <w:color w:val="auto"/>
                      <w:lang w:val="en-US" w:eastAsia="zh-CN"/>
                    </w:rPr>
                    <w:t>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200</w:t>
                  </w:r>
                </w:p>
              </w:tc>
              <w:tc>
                <w:tcPr>
                  <w:tcW w:w="1637" w:type="dxa"/>
                  <w:noWrap w:val="0"/>
                  <w:vAlign w:val="center"/>
                </w:tcPr>
                <w:p>
                  <w:pPr>
                    <w:pStyle w:val="18"/>
                    <w:bidi w:val="0"/>
                    <w:rPr>
                      <w:color w:val="auto"/>
                    </w:rPr>
                  </w:pPr>
                  <w:r>
                    <w:rPr>
                      <w:rFonts w:hint="eastAsia"/>
                      <w:color w:val="auto"/>
                      <w:lang w:val="en-US" w:eastAsia="zh-CN"/>
                    </w:rPr>
                    <w:t>56.90</w:t>
                  </w:r>
                </w:p>
              </w:tc>
              <w:tc>
                <w:tcPr>
                  <w:tcW w:w="1309" w:type="dxa"/>
                  <w:noWrap w:val="0"/>
                  <w:vAlign w:val="center"/>
                </w:tcPr>
                <w:p>
                  <w:pPr>
                    <w:pStyle w:val="18"/>
                    <w:bidi w:val="0"/>
                    <w:rPr>
                      <w:color w:val="auto"/>
                    </w:rPr>
                  </w:pPr>
                  <w:r>
                    <w:rPr>
                      <w:rFonts w:hint="eastAsia"/>
                      <w:color w:val="auto"/>
                      <w:lang w:val="en-US" w:eastAsia="zh-CN"/>
                    </w:rPr>
                    <w:t>6.32</w:t>
                  </w:r>
                </w:p>
              </w:tc>
              <w:tc>
                <w:tcPr>
                  <w:tcW w:w="1568" w:type="dxa"/>
                  <w:noWrap w:val="0"/>
                  <w:vAlign w:val="center"/>
                </w:tcPr>
                <w:p>
                  <w:pPr>
                    <w:pStyle w:val="18"/>
                    <w:bidi w:val="0"/>
                    <w:rPr>
                      <w:rFonts w:hint="eastAsia"/>
                      <w:color w:val="auto"/>
                    </w:rPr>
                  </w:pPr>
                  <w:r>
                    <w:rPr>
                      <w:rFonts w:hint="eastAsia"/>
                      <w:color w:val="auto"/>
                      <w:lang w:val="en-US" w:eastAsia="zh-CN"/>
                    </w:rPr>
                    <w:t>19.33</w:t>
                  </w:r>
                </w:p>
              </w:tc>
              <w:tc>
                <w:tcPr>
                  <w:tcW w:w="1318" w:type="dxa"/>
                  <w:noWrap w:val="0"/>
                  <w:vAlign w:val="center"/>
                </w:tcPr>
                <w:p>
                  <w:pPr>
                    <w:pStyle w:val="18"/>
                    <w:bidi w:val="0"/>
                    <w:rPr>
                      <w:rFonts w:hint="eastAsia"/>
                      <w:color w:val="auto"/>
                    </w:rPr>
                  </w:pPr>
                  <w:r>
                    <w:rPr>
                      <w:rFonts w:hint="eastAsia"/>
                      <w:color w:val="auto"/>
                      <w:lang w:val="en-US" w:eastAsia="zh-CN"/>
                    </w:rPr>
                    <w:t>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300</w:t>
                  </w:r>
                </w:p>
              </w:tc>
              <w:tc>
                <w:tcPr>
                  <w:tcW w:w="1637" w:type="dxa"/>
                  <w:noWrap w:val="0"/>
                  <w:vAlign w:val="center"/>
                </w:tcPr>
                <w:p>
                  <w:pPr>
                    <w:pStyle w:val="18"/>
                    <w:bidi w:val="0"/>
                    <w:rPr>
                      <w:color w:val="auto"/>
                    </w:rPr>
                  </w:pPr>
                  <w:r>
                    <w:rPr>
                      <w:rFonts w:hint="eastAsia"/>
                      <w:color w:val="auto"/>
                      <w:lang w:val="en-US" w:eastAsia="zh-CN"/>
                    </w:rPr>
                    <w:t>43.40</w:t>
                  </w:r>
                </w:p>
              </w:tc>
              <w:tc>
                <w:tcPr>
                  <w:tcW w:w="1309" w:type="dxa"/>
                  <w:noWrap w:val="0"/>
                  <w:vAlign w:val="center"/>
                </w:tcPr>
                <w:p>
                  <w:pPr>
                    <w:pStyle w:val="18"/>
                    <w:bidi w:val="0"/>
                    <w:rPr>
                      <w:color w:val="auto"/>
                    </w:rPr>
                  </w:pPr>
                  <w:r>
                    <w:rPr>
                      <w:rFonts w:hint="eastAsia"/>
                      <w:color w:val="auto"/>
                      <w:lang w:val="en-US" w:eastAsia="zh-CN"/>
                    </w:rPr>
                    <w:t>4.82</w:t>
                  </w:r>
                </w:p>
              </w:tc>
              <w:tc>
                <w:tcPr>
                  <w:tcW w:w="1568" w:type="dxa"/>
                  <w:noWrap w:val="0"/>
                  <w:vAlign w:val="center"/>
                </w:tcPr>
                <w:p>
                  <w:pPr>
                    <w:pStyle w:val="18"/>
                    <w:bidi w:val="0"/>
                    <w:rPr>
                      <w:rFonts w:hint="eastAsia"/>
                      <w:color w:val="auto"/>
                    </w:rPr>
                  </w:pPr>
                  <w:r>
                    <w:rPr>
                      <w:rFonts w:hint="eastAsia"/>
                      <w:color w:val="auto"/>
                      <w:lang w:val="en-US" w:eastAsia="zh-CN"/>
                    </w:rPr>
                    <w:t>14.74</w:t>
                  </w:r>
                </w:p>
              </w:tc>
              <w:tc>
                <w:tcPr>
                  <w:tcW w:w="1318" w:type="dxa"/>
                  <w:noWrap w:val="0"/>
                  <w:vAlign w:val="center"/>
                </w:tcPr>
                <w:p>
                  <w:pPr>
                    <w:pStyle w:val="18"/>
                    <w:bidi w:val="0"/>
                    <w:rPr>
                      <w:rFonts w:hint="eastAsia"/>
                      <w:color w:val="auto"/>
                    </w:rPr>
                  </w:pPr>
                  <w:r>
                    <w:rPr>
                      <w:rFonts w:hint="eastAsia"/>
                      <w:color w:val="auto"/>
                      <w:lang w:val="en-US" w:eastAsia="zh-CN"/>
                    </w:rPr>
                    <w:t>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400</w:t>
                  </w:r>
                </w:p>
              </w:tc>
              <w:tc>
                <w:tcPr>
                  <w:tcW w:w="1637" w:type="dxa"/>
                  <w:noWrap w:val="0"/>
                  <w:vAlign w:val="center"/>
                </w:tcPr>
                <w:p>
                  <w:pPr>
                    <w:pStyle w:val="18"/>
                    <w:bidi w:val="0"/>
                    <w:rPr>
                      <w:color w:val="auto"/>
                    </w:rPr>
                  </w:pPr>
                  <w:r>
                    <w:rPr>
                      <w:rFonts w:hint="eastAsia"/>
                      <w:color w:val="auto"/>
                      <w:lang w:val="en-US" w:eastAsia="zh-CN"/>
                    </w:rPr>
                    <w:t>35.31</w:t>
                  </w:r>
                </w:p>
              </w:tc>
              <w:tc>
                <w:tcPr>
                  <w:tcW w:w="1309" w:type="dxa"/>
                  <w:noWrap w:val="0"/>
                  <w:vAlign w:val="center"/>
                </w:tcPr>
                <w:p>
                  <w:pPr>
                    <w:pStyle w:val="18"/>
                    <w:bidi w:val="0"/>
                    <w:rPr>
                      <w:color w:val="auto"/>
                    </w:rPr>
                  </w:pPr>
                  <w:r>
                    <w:rPr>
                      <w:rFonts w:hint="eastAsia"/>
                      <w:color w:val="auto"/>
                      <w:lang w:val="en-US" w:eastAsia="zh-CN"/>
                    </w:rPr>
                    <w:t>3.92</w:t>
                  </w:r>
                </w:p>
              </w:tc>
              <w:tc>
                <w:tcPr>
                  <w:tcW w:w="1568" w:type="dxa"/>
                  <w:noWrap w:val="0"/>
                  <w:vAlign w:val="center"/>
                </w:tcPr>
                <w:p>
                  <w:pPr>
                    <w:pStyle w:val="18"/>
                    <w:bidi w:val="0"/>
                    <w:rPr>
                      <w:rFonts w:hint="eastAsia"/>
                      <w:color w:val="auto"/>
                    </w:rPr>
                  </w:pPr>
                  <w:r>
                    <w:rPr>
                      <w:rFonts w:hint="eastAsia"/>
                      <w:color w:val="auto"/>
                      <w:lang w:val="en-US" w:eastAsia="zh-CN"/>
                    </w:rPr>
                    <w:t>12.00</w:t>
                  </w:r>
                </w:p>
              </w:tc>
              <w:tc>
                <w:tcPr>
                  <w:tcW w:w="1318" w:type="dxa"/>
                  <w:noWrap w:val="0"/>
                  <w:vAlign w:val="center"/>
                </w:tcPr>
                <w:p>
                  <w:pPr>
                    <w:pStyle w:val="18"/>
                    <w:bidi w:val="0"/>
                    <w:rPr>
                      <w:rFonts w:hint="eastAsia"/>
                      <w:color w:val="auto"/>
                    </w:rPr>
                  </w:pPr>
                  <w:r>
                    <w:rPr>
                      <w:rFonts w:hint="eastAsia"/>
                      <w:color w:val="auto"/>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500</w:t>
                  </w:r>
                </w:p>
              </w:tc>
              <w:tc>
                <w:tcPr>
                  <w:tcW w:w="1637" w:type="dxa"/>
                  <w:noWrap w:val="0"/>
                  <w:vAlign w:val="center"/>
                </w:tcPr>
                <w:p>
                  <w:pPr>
                    <w:pStyle w:val="18"/>
                    <w:bidi w:val="0"/>
                    <w:rPr>
                      <w:color w:val="auto"/>
                    </w:rPr>
                  </w:pPr>
                  <w:r>
                    <w:rPr>
                      <w:rFonts w:hint="eastAsia"/>
                      <w:color w:val="auto"/>
                      <w:lang w:val="en-US" w:eastAsia="zh-CN"/>
                    </w:rPr>
                    <w:t>29.30</w:t>
                  </w:r>
                </w:p>
              </w:tc>
              <w:tc>
                <w:tcPr>
                  <w:tcW w:w="1309" w:type="dxa"/>
                  <w:noWrap w:val="0"/>
                  <w:vAlign w:val="center"/>
                </w:tcPr>
                <w:p>
                  <w:pPr>
                    <w:pStyle w:val="18"/>
                    <w:bidi w:val="0"/>
                    <w:rPr>
                      <w:color w:val="auto"/>
                    </w:rPr>
                  </w:pPr>
                  <w:r>
                    <w:rPr>
                      <w:rFonts w:hint="eastAsia"/>
                      <w:color w:val="auto"/>
                      <w:lang w:val="en-US" w:eastAsia="zh-CN"/>
                    </w:rPr>
                    <w:t>3.26</w:t>
                  </w:r>
                </w:p>
              </w:tc>
              <w:tc>
                <w:tcPr>
                  <w:tcW w:w="1568" w:type="dxa"/>
                  <w:noWrap w:val="0"/>
                  <w:vAlign w:val="center"/>
                </w:tcPr>
                <w:p>
                  <w:pPr>
                    <w:pStyle w:val="18"/>
                    <w:bidi w:val="0"/>
                    <w:rPr>
                      <w:rFonts w:hint="eastAsia"/>
                      <w:color w:val="auto"/>
                    </w:rPr>
                  </w:pPr>
                  <w:r>
                    <w:rPr>
                      <w:rFonts w:hint="eastAsia"/>
                      <w:color w:val="auto"/>
                      <w:lang w:val="en-US" w:eastAsia="zh-CN"/>
                    </w:rPr>
                    <w:t>9.95</w:t>
                  </w:r>
                </w:p>
              </w:tc>
              <w:tc>
                <w:tcPr>
                  <w:tcW w:w="1318" w:type="dxa"/>
                  <w:noWrap w:val="0"/>
                  <w:vAlign w:val="center"/>
                </w:tcPr>
                <w:p>
                  <w:pPr>
                    <w:pStyle w:val="18"/>
                    <w:bidi w:val="0"/>
                    <w:rPr>
                      <w:rFonts w:hint="eastAsia"/>
                      <w:color w:val="auto"/>
                    </w:rPr>
                  </w:pPr>
                  <w:r>
                    <w:rPr>
                      <w:rFonts w:hint="eastAsia"/>
                      <w:color w:val="auto"/>
                      <w:lang w:val="en-US" w:eastAsia="zh-CN"/>
                    </w:rPr>
                    <w:t>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600</w:t>
                  </w:r>
                </w:p>
              </w:tc>
              <w:tc>
                <w:tcPr>
                  <w:tcW w:w="1637" w:type="dxa"/>
                  <w:noWrap w:val="0"/>
                  <w:vAlign w:val="center"/>
                </w:tcPr>
                <w:p>
                  <w:pPr>
                    <w:pStyle w:val="18"/>
                    <w:bidi w:val="0"/>
                    <w:rPr>
                      <w:color w:val="auto"/>
                    </w:rPr>
                  </w:pPr>
                  <w:r>
                    <w:rPr>
                      <w:rFonts w:hint="eastAsia"/>
                      <w:color w:val="auto"/>
                      <w:lang w:val="en-US" w:eastAsia="zh-CN"/>
                    </w:rPr>
                    <w:t>24.75</w:t>
                  </w:r>
                </w:p>
              </w:tc>
              <w:tc>
                <w:tcPr>
                  <w:tcW w:w="1309" w:type="dxa"/>
                  <w:noWrap w:val="0"/>
                  <w:vAlign w:val="center"/>
                </w:tcPr>
                <w:p>
                  <w:pPr>
                    <w:pStyle w:val="18"/>
                    <w:bidi w:val="0"/>
                    <w:rPr>
                      <w:color w:val="auto"/>
                    </w:rPr>
                  </w:pPr>
                  <w:r>
                    <w:rPr>
                      <w:rFonts w:hint="eastAsia"/>
                      <w:color w:val="auto"/>
                      <w:lang w:val="en-US" w:eastAsia="zh-CN"/>
                    </w:rPr>
                    <w:t>2.75</w:t>
                  </w:r>
                </w:p>
              </w:tc>
              <w:tc>
                <w:tcPr>
                  <w:tcW w:w="1568" w:type="dxa"/>
                  <w:noWrap w:val="0"/>
                  <w:vAlign w:val="center"/>
                </w:tcPr>
                <w:p>
                  <w:pPr>
                    <w:pStyle w:val="18"/>
                    <w:bidi w:val="0"/>
                    <w:rPr>
                      <w:rFonts w:hint="eastAsia"/>
                      <w:color w:val="auto"/>
                    </w:rPr>
                  </w:pPr>
                  <w:r>
                    <w:rPr>
                      <w:rFonts w:hint="eastAsia"/>
                      <w:color w:val="auto"/>
                      <w:lang w:val="en-US" w:eastAsia="zh-CN"/>
                    </w:rPr>
                    <w:t>8.41</w:t>
                  </w:r>
                </w:p>
              </w:tc>
              <w:tc>
                <w:tcPr>
                  <w:tcW w:w="1318" w:type="dxa"/>
                  <w:noWrap w:val="0"/>
                  <w:vAlign w:val="center"/>
                </w:tcPr>
                <w:p>
                  <w:pPr>
                    <w:pStyle w:val="18"/>
                    <w:bidi w:val="0"/>
                    <w:rPr>
                      <w:rFonts w:hint="eastAsia"/>
                      <w:color w:val="auto"/>
                    </w:rPr>
                  </w:pPr>
                  <w:r>
                    <w:rPr>
                      <w:rFonts w:hint="eastAsia"/>
                      <w:color w:val="auto"/>
                      <w:lang w:val="en-US" w:eastAsia="zh-CN"/>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700</w:t>
                  </w:r>
                </w:p>
              </w:tc>
              <w:tc>
                <w:tcPr>
                  <w:tcW w:w="1637" w:type="dxa"/>
                  <w:noWrap w:val="0"/>
                  <w:vAlign w:val="center"/>
                </w:tcPr>
                <w:p>
                  <w:pPr>
                    <w:pStyle w:val="18"/>
                    <w:bidi w:val="0"/>
                    <w:rPr>
                      <w:color w:val="auto"/>
                    </w:rPr>
                  </w:pPr>
                  <w:r>
                    <w:rPr>
                      <w:rFonts w:hint="eastAsia"/>
                      <w:color w:val="auto"/>
                      <w:lang w:val="en-US" w:eastAsia="zh-CN"/>
                    </w:rPr>
                    <w:t>21.26</w:t>
                  </w:r>
                </w:p>
              </w:tc>
              <w:tc>
                <w:tcPr>
                  <w:tcW w:w="1309" w:type="dxa"/>
                  <w:noWrap w:val="0"/>
                  <w:vAlign w:val="center"/>
                </w:tcPr>
                <w:p>
                  <w:pPr>
                    <w:pStyle w:val="18"/>
                    <w:bidi w:val="0"/>
                    <w:rPr>
                      <w:color w:val="auto"/>
                    </w:rPr>
                  </w:pPr>
                  <w:r>
                    <w:rPr>
                      <w:rFonts w:hint="eastAsia"/>
                      <w:color w:val="auto"/>
                      <w:lang w:val="en-US" w:eastAsia="zh-CN"/>
                    </w:rPr>
                    <w:t>2.36</w:t>
                  </w:r>
                </w:p>
              </w:tc>
              <w:tc>
                <w:tcPr>
                  <w:tcW w:w="1568" w:type="dxa"/>
                  <w:noWrap w:val="0"/>
                  <w:vAlign w:val="center"/>
                </w:tcPr>
                <w:p>
                  <w:pPr>
                    <w:pStyle w:val="18"/>
                    <w:bidi w:val="0"/>
                    <w:rPr>
                      <w:rFonts w:hint="eastAsia"/>
                      <w:color w:val="auto"/>
                    </w:rPr>
                  </w:pPr>
                  <w:r>
                    <w:rPr>
                      <w:rFonts w:hint="eastAsia"/>
                      <w:color w:val="auto"/>
                      <w:lang w:val="en-US" w:eastAsia="zh-CN"/>
                    </w:rPr>
                    <w:t>7.22</w:t>
                  </w:r>
                </w:p>
              </w:tc>
              <w:tc>
                <w:tcPr>
                  <w:tcW w:w="1318" w:type="dxa"/>
                  <w:noWrap w:val="0"/>
                  <w:vAlign w:val="center"/>
                </w:tcPr>
                <w:p>
                  <w:pPr>
                    <w:pStyle w:val="18"/>
                    <w:bidi w:val="0"/>
                    <w:rPr>
                      <w:rFonts w:hint="eastAsia"/>
                      <w:color w:val="auto"/>
                    </w:rPr>
                  </w:pPr>
                  <w:r>
                    <w:rPr>
                      <w:rFonts w:hint="eastAsia"/>
                      <w:color w:val="auto"/>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800</w:t>
                  </w:r>
                </w:p>
              </w:tc>
              <w:tc>
                <w:tcPr>
                  <w:tcW w:w="1637" w:type="dxa"/>
                  <w:noWrap w:val="0"/>
                  <w:vAlign w:val="center"/>
                </w:tcPr>
                <w:p>
                  <w:pPr>
                    <w:pStyle w:val="18"/>
                    <w:bidi w:val="0"/>
                    <w:rPr>
                      <w:color w:val="auto"/>
                    </w:rPr>
                  </w:pPr>
                  <w:r>
                    <w:rPr>
                      <w:rFonts w:hint="eastAsia"/>
                      <w:color w:val="auto"/>
                      <w:lang w:val="en-US" w:eastAsia="zh-CN"/>
                    </w:rPr>
                    <w:t>18.53</w:t>
                  </w:r>
                </w:p>
              </w:tc>
              <w:tc>
                <w:tcPr>
                  <w:tcW w:w="1309" w:type="dxa"/>
                  <w:noWrap w:val="0"/>
                  <w:vAlign w:val="center"/>
                </w:tcPr>
                <w:p>
                  <w:pPr>
                    <w:pStyle w:val="18"/>
                    <w:bidi w:val="0"/>
                    <w:rPr>
                      <w:color w:val="auto"/>
                    </w:rPr>
                  </w:pPr>
                  <w:r>
                    <w:rPr>
                      <w:rFonts w:hint="eastAsia"/>
                      <w:color w:val="auto"/>
                      <w:lang w:val="en-US" w:eastAsia="zh-CN"/>
                    </w:rPr>
                    <w:t>2.06</w:t>
                  </w:r>
                </w:p>
              </w:tc>
              <w:tc>
                <w:tcPr>
                  <w:tcW w:w="1568" w:type="dxa"/>
                  <w:noWrap w:val="0"/>
                  <w:vAlign w:val="center"/>
                </w:tcPr>
                <w:p>
                  <w:pPr>
                    <w:pStyle w:val="18"/>
                    <w:bidi w:val="0"/>
                    <w:rPr>
                      <w:rFonts w:hint="eastAsia"/>
                      <w:color w:val="auto"/>
                    </w:rPr>
                  </w:pPr>
                  <w:r>
                    <w:rPr>
                      <w:rFonts w:hint="eastAsia"/>
                      <w:color w:val="auto"/>
                      <w:lang w:val="en-US" w:eastAsia="zh-CN"/>
                    </w:rPr>
                    <w:t>6.29</w:t>
                  </w:r>
                </w:p>
              </w:tc>
              <w:tc>
                <w:tcPr>
                  <w:tcW w:w="1318" w:type="dxa"/>
                  <w:noWrap w:val="0"/>
                  <w:vAlign w:val="center"/>
                </w:tcPr>
                <w:p>
                  <w:pPr>
                    <w:pStyle w:val="18"/>
                    <w:bidi w:val="0"/>
                    <w:rPr>
                      <w:rFonts w:hint="eastAsia"/>
                      <w:color w:val="auto"/>
                    </w:rPr>
                  </w:pPr>
                  <w:r>
                    <w:rPr>
                      <w:rFonts w:hint="eastAsia"/>
                      <w:color w:val="auto"/>
                      <w:lang w:val="en-US" w:eastAsia="zh-CN"/>
                    </w:rPr>
                    <w:t>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900</w:t>
                  </w:r>
                </w:p>
              </w:tc>
              <w:tc>
                <w:tcPr>
                  <w:tcW w:w="1637" w:type="dxa"/>
                  <w:noWrap w:val="0"/>
                  <w:vAlign w:val="center"/>
                </w:tcPr>
                <w:p>
                  <w:pPr>
                    <w:pStyle w:val="18"/>
                    <w:bidi w:val="0"/>
                    <w:rPr>
                      <w:color w:val="auto"/>
                    </w:rPr>
                  </w:pPr>
                  <w:r>
                    <w:rPr>
                      <w:rFonts w:hint="eastAsia"/>
                      <w:color w:val="auto"/>
                      <w:lang w:val="en-US" w:eastAsia="zh-CN"/>
                    </w:rPr>
                    <w:t>16.34</w:t>
                  </w:r>
                </w:p>
              </w:tc>
              <w:tc>
                <w:tcPr>
                  <w:tcW w:w="1309" w:type="dxa"/>
                  <w:noWrap w:val="0"/>
                  <w:vAlign w:val="center"/>
                </w:tcPr>
                <w:p>
                  <w:pPr>
                    <w:pStyle w:val="18"/>
                    <w:bidi w:val="0"/>
                    <w:rPr>
                      <w:color w:val="auto"/>
                    </w:rPr>
                  </w:pPr>
                  <w:r>
                    <w:rPr>
                      <w:rFonts w:hint="eastAsia"/>
                      <w:color w:val="auto"/>
                      <w:lang w:val="en-US" w:eastAsia="zh-CN"/>
                    </w:rPr>
                    <w:t>1.82</w:t>
                  </w:r>
                </w:p>
              </w:tc>
              <w:tc>
                <w:tcPr>
                  <w:tcW w:w="1568" w:type="dxa"/>
                  <w:noWrap w:val="0"/>
                  <w:vAlign w:val="center"/>
                </w:tcPr>
                <w:p>
                  <w:pPr>
                    <w:pStyle w:val="18"/>
                    <w:bidi w:val="0"/>
                    <w:rPr>
                      <w:rFonts w:hint="eastAsia"/>
                      <w:color w:val="auto"/>
                    </w:rPr>
                  </w:pPr>
                  <w:r>
                    <w:rPr>
                      <w:rFonts w:hint="eastAsia"/>
                      <w:color w:val="auto"/>
                      <w:lang w:val="en-US" w:eastAsia="zh-CN"/>
                    </w:rPr>
                    <w:t>5.55</w:t>
                  </w:r>
                </w:p>
              </w:tc>
              <w:tc>
                <w:tcPr>
                  <w:tcW w:w="1318" w:type="dxa"/>
                  <w:noWrap w:val="0"/>
                  <w:vAlign w:val="center"/>
                </w:tcPr>
                <w:p>
                  <w:pPr>
                    <w:pStyle w:val="18"/>
                    <w:bidi w:val="0"/>
                    <w:rPr>
                      <w:rFonts w:hint="eastAsia"/>
                      <w:color w:val="auto"/>
                    </w:rPr>
                  </w:pPr>
                  <w:r>
                    <w:rPr>
                      <w:rFonts w:hint="eastAsia"/>
                      <w:color w:val="auto"/>
                      <w:lang w:val="en-US" w:eastAsia="zh-CN"/>
                    </w:rPr>
                    <w:t>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1000</w:t>
                  </w:r>
                </w:p>
              </w:tc>
              <w:tc>
                <w:tcPr>
                  <w:tcW w:w="1637" w:type="dxa"/>
                  <w:noWrap w:val="0"/>
                  <w:vAlign w:val="center"/>
                </w:tcPr>
                <w:p>
                  <w:pPr>
                    <w:pStyle w:val="18"/>
                    <w:bidi w:val="0"/>
                    <w:rPr>
                      <w:color w:val="auto"/>
                    </w:rPr>
                  </w:pPr>
                  <w:r>
                    <w:rPr>
                      <w:rFonts w:hint="eastAsia"/>
                      <w:color w:val="auto"/>
                      <w:lang w:val="en-US" w:eastAsia="zh-CN"/>
                    </w:rPr>
                    <w:t>14.55</w:t>
                  </w:r>
                </w:p>
              </w:tc>
              <w:tc>
                <w:tcPr>
                  <w:tcW w:w="1309" w:type="dxa"/>
                  <w:noWrap w:val="0"/>
                  <w:vAlign w:val="center"/>
                </w:tcPr>
                <w:p>
                  <w:pPr>
                    <w:pStyle w:val="18"/>
                    <w:bidi w:val="0"/>
                    <w:rPr>
                      <w:color w:val="auto"/>
                    </w:rPr>
                  </w:pPr>
                  <w:r>
                    <w:rPr>
                      <w:rFonts w:hint="eastAsia"/>
                      <w:color w:val="auto"/>
                      <w:lang w:val="en-US" w:eastAsia="zh-CN"/>
                    </w:rPr>
                    <w:t>1.62</w:t>
                  </w:r>
                </w:p>
              </w:tc>
              <w:tc>
                <w:tcPr>
                  <w:tcW w:w="1568" w:type="dxa"/>
                  <w:noWrap w:val="0"/>
                  <w:vAlign w:val="center"/>
                </w:tcPr>
                <w:p>
                  <w:pPr>
                    <w:pStyle w:val="18"/>
                    <w:bidi w:val="0"/>
                    <w:rPr>
                      <w:rFonts w:hint="eastAsia"/>
                      <w:color w:val="auto"/>
                    </w:rPr>
                  </w:pPr>
                  <w:r>
                    <w:rPr>
                      <w:rFonts w:hint="eastAsia"/>
                      <w:color w:val="auto"/>
                      <w:lang w:val="en-US" w:eastAsia="zh-CN"/>
                    </w:rPr>
                    <w:t>4.94</w:t>
                  </w:r>
                </w:p>
              </w:tc>
              <w:tc>
                <w:tcPr>
                  <w:tcW w:w="1318" w:type="dxa"/>
                  <w:noWrap w:val="0"/>
                  <w:vAlign w:val="center"/>
                </w:tcPr>
                <w:p>
                  <w:pPr>
                    <w:pStyle w:val="18"/>
                    <w:bidi w:val="0"/>
                    <w:rPr>
                      <w:rFonts w:hint="eastAsia"/>
                      <w:color w:val="auto"/>
                    </w:rPr>
                  </w:pPr>
                  <w:r>
                    <w:rPr>
                      <w:rFonts w:hint="eastAsia"/>
                      <w:color w:val="auto"/>
                      <w:lang w:val="en-US" w:eastAsia="zh-CN"/>
                    </w:rPr>
                    <w:t>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1100</w:t>
                  </w:r>
                </w:p>
              </w:tc>
              <w:tc>
                <w:tcPr>
                  <w:tcW w:w="1637" w:type="dxa"/>
                  <w:noWrap w:val="0"/>
                  <w:vAlign w:val="center"/>
                </w:tcPr>
                <w:p>
                  <w:pPr>
                    <w:pStyle w:val="18"/>
                    <w:bidi w:val="0"/>
                    <w:rPr>
                      <w:color w:val="auto"/>
                    </w:rPr>
                  </w:pPr>
                  <w:r>
                    <w:rPr>
                      <w:rFonts w:hint="eastAsia"/>
                      <w:color w:val="auto"/>
                      <w:lang w:val="en-US" w:eastAsia="zh-CN"/>
                    </w:rPr>
                    <w:t>13.07</w:t>
                  </w:r>
                </w:p>
              </w:tc>
              <w:tc>
                <w:tcPr>
                  <w:tcW w:w="1309" w:type="dxa"/>
                  <w:noWrap w:val="0"/>
                  <w:vAlign w:val="center"/>
                </w:tcPr>
                <w:p>
                  <w:pPr>
                    <w:pStyle w:val="18"/>
                    <w:bidi w:val="0"/>
                    <w:rPr>
                      <w:color w:val="auto"/>
                    </w:rPr>
                  </w:pPr>
                  <w:r>
                    <w:rPr>
                      <w:rFonts w:hint="eastAsia"/>
                      <w:color w:val="auto"/>
                      <w:lang w:val="en-US" w:eastAsia="zh-CN"/>
                    </w:rPr>
                    <w:t>1.45</w:t>
                  </w:r>
                </w:p>
              </w:tc>
              <w:tc>
                <w:tcPr>
                  <w:tcW w:w="1568" w:type="dxa"/>
                  <w:noWrap w:val="0"/>
                  <w:vAlign w:val="center"/>
                </w:tcPr>
                <w:p>
                  <w:pPr>
                    <w:pStyle w:val="18"/>
                    <w:bidi w:val="0"/>
                    <w:rPr>
                      <w:rFonts w:hint="eastAsia"/>
                      <w:color w:val="auto"/>
                    </w:rPr>
                  </w:pPr>
                  <w:r>
                    <w:rPr>
                      <w:rFonts w:hint="eastAsia"/>
                      <w:color w:val="auto"/>
                      <w:lang w:val="en-US" w:eastAsia="zh-CN"/>
                    </w:rPr>
                    <w:t>4.44</w:t>
                  </w:r>
                </w:p>
              </w:tc>
              <w:tc>
                <w:tcPr>
                  <w:tcW w:w="1318" w:type="dxa"/>
                  <w:noWrap w:val="0"/>
                  <w:vAlign w:val="center"/>
                </w:tcPr>
                <w:p>
                  <w:pPr>
                    <w:pStyle w:val="18"/>
                    <w:bidi w:val="0"/>
                    <w:rPr>
                      <w:rFonts w:hint="eastAsia"/>
                      <w:color w:val="auto"/>
                    </w:rPr>
                  </w:pPr>
                  <w:r>
                    <w:rPr>
                      <w:rFonts w:hint="eastAsia"/>
                      <w:color w:val="auto"/>
                      <w:lang w:val="en-US" w:eastAsia="zh-CN"/>
                    </w:rPr>
                    <w:t>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1200</w:t>
                  </w:r>
                </w:p>
              </w:tc>
              <w:tc>
                <w:tcPr>
                  <w:tcW w:w="1637" w:type="dxa"/>
                  <w:noWrap w:val="0"/>
                  <w:vAlign w:val="center"/>
                </w:tcPr>
                <w:p>
                  <w:pPr>
                    <w:pStyle w:val="18"/>
                    <w:bidi w:val="0"/>
                    <w:rPr>
                      <w:color w:val="auto"/>
                    </w:rPr>
                  </w:pPr>
                  <w:r>
                    <w:rPr>
                      <w:rFonts w:hint="eastAsia"/>
                      <w:color w:val="auto"/>
                      <w:lang w:val="en-US" w:eastAsia="zh-CN"/>
                    </w:rPr>
                    <w:t>11.83</w:t>
                  </w:r>
                </w:p>
              </w:tc>
              <w:tc>
                <w:tcPr>
                  <w:tcW w:w="1309" w:type="dxa"/>
                  <w:noWrap w:val="0"/>
                  <w:vAlign w:val="center"/>
                </w:tcPr>
                <w:p>
                  <w:pPr>
                    <w:pStyle w:val="18"/>
                    <w:bidi w:val="0"/>
                    <w:rPr>
                      <w:color w:val="auto"/>
                    </w:rPr>
                  </w:pPr>
                  <w:r>
                    <w:rPr>
                      <w:rFonts w:hint="eastAsia"/>
                      <w:color w:val="auto"/>
                      <w:lang w:val="en-US" w:eastAsia="zh-CN"/>
                    </w:rPr>
                    <w:t>1.31</w:t>
                  </w:r>
                </w:p>
              </w:tc>
              <w:tc>
                <w:tcPr>
                  <w:tcW w:w="1568" w:type="dxa"/>
                  <w:noWrap w:val="0"/>
                  <w:vAlign w:val="center"/>
                </w:tcPr>
                <w:p>
                  <w:pPr>
                    <w:pStyle w:val="18"/>
                    <w:bidi w:val="0"/>
                    <w:rPr>
                      <w:rFonts w:hint="eastAsia"/>
                      <w:color w:val="auto"/>
                    </w:rPr>
                  </w:pPr>
                  <w:r>
                    <w:rPr>
                      <w:rFonts w:hint="eastAsia"/>
                      <w:color w:val="auto"/>
                      <w:lang w:val="en-US" w:eastAsia="zh-CN"/>
                    </w:rPr>
                    <w:t>4.02</w:t>
                  </w:r>
                </w:p>
              </w:tc>
              <w:tc>
                <w:tcPr>
                  <w:tcW w:w="1318" w:type="dxa"/>
                  <w:noWrap w:val="0"/>
                  <w:vAlign w:val="center"/>
                </w:tcPr>
                <w:p>
                  <w:pPr>
                    <w:pStyle w:val="18"/>
                    <w:bidi w:val="0"/>
                    <w:rPr>
                      <w:rFonts w:hint="eastAsia"/>
                      <w:color w:val="auto"/>
                    </w:rPr>
                  </w:pPr>
                  <w:r>
                    <w:rPr>
                      <w:rFonts w:hint="eastAsia"/>
                      <w:color w:val="auto"/>
                      <w:lang w:val="en-US" w:eastAsia="zh-CN"/>
                    </w:rPr>
                    <w:t>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1300</w:t>
                  </w:r>
                </w:p>
              </w:tc>
              <w:tc>
                <w:tcPr>
                  <w:tcW w:w="1637" w:type="dxa"/>
                  <w:noWrap w:val="0"/>
                  <w:vAlign w:val="center"/>
                </w:tcPr>
                <w:p>
                  <w:pPr>
                    <w:pStyle w:val="18"/>
                    <w:bidi w:val="0"/>
                    <w:rPr>
                      <w:color w:val="auto"/>
                    </w:rPr>
                  </w:pPr>
                  <w:r>
                    <w:rPr>
                      <w:rFonts w:hint="eastAsia"/>
                      <w:color w:val="auto"/>
                      <w:lang w:val="en-US" w:eastAsia="zh-CN"/>
                    </w:rPr>
                    <w:t>10.78</w:t>
                  </w:r>
                </w:p>
              </w:tc>
              <w:tc>
                <w:tcPr>
                  <w:tcW w:w="1309" w:type="dxa"/>
                  <w:noWrap w:val="0"/>
                  <w:vAlign w:val="center"/>
                </w:tcPr>
                <w:p>
                  <w:pPr>
                    <w:pStyle w:val="18"/>
                    <w:bidi w:val="0"/>
                    <w:rPr>
                      <w:color w:val="auto"/>
                    </w:rPr>
                  </w:pPr>
                  <w:r>
                    <w:rPr>
                      <w:rFonts w:hint="eastAsia"/>
                      <w:color w:val="auto"/>
                      <w:lang w:val="en-US" w:eastAsia="zh-CN"/>
                    </w:rPr>
                    <w:t>1.2</w:t>
                  </w:r>
                </w:p>
              </w:tc>
              <w:tc>
                <w:tcPr>
                  <w:tcW w:w="1568" w:type="dxa"/>
                  <w:noWrap w:val="0"/>
                  <w:vAlign w:val="center"/>
                </w:tcPr>
                <w:p>
                  <w:pPr>
                    <w:pStyle w:val="18"/>
                    <w:bidi w:val="0"/>
                    <w:rPr>
                      <w:rFonts w:hint="eastAsia"/>
                      <w:color w:val="auto"/>
                    </w:rPr>
                  </w:pPr>
                  <w:r>
                    <w:rPr>
                      <w:rFonts w:hint="eastAsia"/>
                      <w:color w:val="auto"/>
                      <w:lang w:val="en-US" w:eastAsia="zh-CN"/>
                    </w:rPr>
                    <w:t>3.66</w:t>
                  </w:r>
                </w:p>
              </w:tc>
              <w:tc>
                <w:tcPr>
                  <w:tcW w:w="1318" w:type="dxa"/>
                  <w:noWrap w:val="0"/>
                  <w:vAlign w:val="center"/>
                </w:tcPr>
                <w:p>
                  <w:pPr>
                    <w:pStyle w:val="18"/>
                    <w:bidi w:val="0"/>
                    <w:rPr>
                      <w:rFonts w:hint="eastAsia"/>
                      <w:color w:val="auto"/>
                    </w:rPr>
                  </w:pPr>
                  <w:r>
                    <w:rPr>
                      <w:rFonts w:hint="eastAsia"/>
                      <w:color w:val="auto"/>
                      <w:lang w:val="en-US" w:eastAsia="zh-CN"/>
                    </w:rPr>
                    <w:t>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1400</w:t>
                  </w:r>
                </w:p>
              </w:tc>
              <w:tc>
                <w:tcPr>
                  <w:tcW w:w="1637" w:type="dxa"/>
                  <w:noWrap w:val="0"/>
                  <w:vAlign w:val="center"/>
                </w:tcPr>
                <w:p>
                  <w:pPr>
                    <w:pStyle w:val="18"/>
                    <w:bidi w:val="0"/>
                    <w:rPr>
                      <w:color w:val="auto"/>
                    </w:rPr>
                  </w:pPr>
                  <w:r>
                    <w:rPr>
                      <w:rFonts w:hint="eastAsia"/>
                      <w:color w:val="auto"/>
                      <w:lang w:val="en-US" w:eastAsia="zh-CN"/>
                    </w:rPr>
                    <w:t>9.88</w:t>
                  </w:r>
                </w:p>
              </w:tc>
              <w:tc>
                <w:tcPr>
                  <w:tcW w:w="1309" w:type="dxa"/>
                  <w:noWrap w:val="0"/>
                  <w:vAlign w:val="center"/>
                </w:tcPr>
                <w:p>
                  <w:pPr>
                    <w:pStyle w:val="18"/>
                    <w:bidi w:val="0"/>
                    <w:rPr>
                      <w:color w:val="auto"/>
                    </w:rPr>
                  </w:pPr>
                  <w:r>
                    <w:rPr>
                      <w:rFonts w:hint="eastAsia"/>
                      <w:color w:val="auto"/>
                      <w:lang w:val="en-US" w:eastAsia="zh-CN"/>
                    </w:rPr>
                    <w:t>1.1</w:t>
                  </w:r>
                </w:p>
              </w:tc>
              <w:tc>
                <w:tcPr>
                  <w:tcW w:w="1568" w:type="dxa"/>
                  <w:noWrap w:val="0"/>
                  <w:vAlign w:val="center"/>
                </w:tcPr>
                <w:p>
                  <w:pPr>
                    <w:pStyle w:val="18"/>
                    <w:bidi w:val="0"/>
                    <w:rPr>
                      <w:rFonts w:hint="eastAsia"/>
                      <w:color w:val="auto"/>
                    </w:rPr>
                  </w:pPr>
                  <w:r>
                    <w:rPr>
                      <w:rFonts w:hint="eastAsia"/>
                      <w:color w:val="auto"/>
                      <w:lang w:val="en-US" w:eastAsia="zh-CN"/>
                    </w:rPr>
                    <w:t>3.36</w:t>
                  </w:r>
                </w:p>
              </w:tc>
              <w:tc>
                <w:tcPr>
                  <w:tcW w:w="1318" w:type="dxa"/>
                  <w:noWrap w:val="0"/>
                  <w:vAlign w:val="center"/>
                </w:tcPr>
                <w:p>
                  <w:pPr>
                    <w:pStyle w:val="18"/>
                    <w:bidi w:val="0"/>
                    <w:rPr>
                      <w:rFonts w:hint="eastAsia"/>
                      <w:color w:val="auto"/>
                    </w:rPr>
                  </w:pPr>
                  <w:r>
                    <w:rPr>
                      <w:rFonts w:hint="eastAsia"/>
                      <w:color w:val="auto"/>
                      <w:lang w:val="en-US" w:eastAsia="zh-CN"/>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1500</w:t>
                  </w:r>
                </w:p>
              </w:tc>
              <w:tc>
                <w:tcPr>
                  <w:tcW w:w="1637" w:type="dxa"/>
                  <w:noWrap w:val="0"/>
                  <w:vAlign w:val="center"/>
                </w:tcPr>
                <w:p>
                  <w:pPr>
                    <w:pStyle w:val="18"/>
                    <w:bidi w:val="0"/>
                    <w:rPr>
                      <w:color w:val="auto"/>
                    </w:rPr>
                  </w:pPr>
                  <w:r>
                    <w:rPr>
                      <w:rFonts w:hint="eastAsia"/>
                      <w:color w:val="auto"/>
                      <w:lang w:val="en-US" w:eastAsia="zh-CN"/>
                    </w:rPr>
                    <w:t>9.10</w:t>
                  </w:r>
                </w:p>
              </w:tc>
              <w:tc>
                <w:tcPr>
                  <w:tcW w:w="1309" w:type="dxa"/>
                  <w:noWrap w:val="0"/>
                  <w:vAlign w:val="center"/>
                </w:tcPr>
                <w:p>
                  <w:pPr>
                    <w:pStyle w:val="18"/>
                    <w:bidi w:val="0"/>
                    <w:rPr>
                      <w:color w:val="auto"/>
                    </w:rPr>
                  </w:pPr>
                  <w:r>
                    <w:rPr>
                      <w:rFonts w:hint="eastAsia"/>
                      <w:color w:val="auto"/>
                      <w:lang w:val="en-US" w:eastAsia="zh-CN"/>
                    </w:rPr>
                    <w:t>1.01</w:t>
                  </w:r>
                </w:p>
              </w:tc>
              <w:tc>
                <w:tcPr>
                  <w:tcW w:w="1568" w:type="dxa"/>
                  <w:noWrap w:val="0"/>
                  <w:vAlign w:val="center"/>
                </w:tcPr>
                <w:p>
                  <w:pPr>
                    <w:pStyle w:val="18"/>
                    <w:bidi w:val="0"/>
                    <w:rPr>
                      <w:rFonts w:hint="eastAsia"/>
                      <w:color w:val="auto"/>
                    </w:rPr>
                  </w:pPr>
                  <w:r>
                    <w:rPr>
                      <w:rFonts w:hint="eastAsia"/>
                      <w:color w:val="auto"/>
                      <w:lang w:val="en-US" w:eastAsia="zh-CN"/>
                    </w:rPr>
                    <w:t>3.09</w:t>
                  </w:r>
                </w:p>
              </w:tc>
              <w:tc>
                <w:tcPr>
                  <w:tcW w:w="1318" w:type="dxa"/>
                  <w:noWrap w:val="0"/>
                  <w:vAlign w:val="center"/>
                </w:tcPr>
                <w:p>
                  <w:pPr>
                    <w:pStyle w:val="18"/>
                    <w:bidi w:val="0"/>
                    <w:rPr>
                      <w:rFonts w:hint="eastAsia"/>
                      <w:color w:val="auto"/>
                    </w:rPr>
                  </w:pPr>
                  <w:r>
                    <w:rPr>
                      <w:rFonts w:hint="eastAsia"/>
                      <w:color w:val="auto"/>
                      <w:lang w:val="en-US" w:eastAsia="zh-CN"/>
                    </w:rPr>
                    <w:t>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1600</w:t>
                  </w:r>
                </w:p>
              </w:tc>
              <w:tc>
                <w:tcPr>
                  <w:tcW w:w="1637" w:type="dxa"/>
                  <w:noWrap w:val="0"/>
                  <w:vAlign w:val="center"/>
                </w:tcPr>
                <w:p>
                  <w:pPr>
                    <w:pStyle w:val="18"/>
                    <w:bidi w:val="0"/>
                    <w:rPr>
                      <w:color w:val="auto"/>
                    </w:rPr>
                  </w:pPr>
                  <w:r>
                    <w:rPr>
                      <w:rFonts w:hint="eastAsia"/>
                      <w:color w:val="auto"/>
                      <w:lang w:val="en-US" w:eastAsia="zh-CN"/>
                    </w:rPr>
                    <w:t>8.43</w:t>
                  </w:r>
                </w:p>
              </w:tc>
              <w:tc>
                <w:tcPr>
                  <w:tcW w:w="1309" w:type="dxa"/>
                  <w:noWrap w:val="0"/>
                  <w:vAlign w:val="center"/>
                </w:tcPr>
                <w:p>
                  <w:pPr>
                    <w:pStyle w:val="18"/>
                    <w:bidi w:val="0"/>
                    <w:rPr>
                      <w:color w:val="auto"/>
                    </w:rPr>
                  </w:pPr>
                  <w:r>
                    <w:rPr>
                      <w:rFonts w:hint="eastAsia"/>
                      <w:color w:val="auto"/>
                      <w:lang w:val="en-US" w:eastAsia="zh-CN"/>
                    </w:rPr>
                    <w:t>0.94</w:t>
                  </w:r>
                </w:p>
              </w:tc>
              <w:tc>
                <w:tcPr>
                  <w:tcW w:w="1568" w:type="dxa"/>
                  <w:noWrap w:val="0"/>
                  <w:vAlign w:val="center"/>
                </w:tcPr>
                <w:p>
                  <w:pPr>
                    <w:pStyle w:val="18"/>
                    <w:bidi w:val="0"/>
                    <w:rPr>
                      <w:rFonts w:hint="eastAsia"/>
                      <w:color w:val="auto"/>
                    </w:rPr>
                  </w:pPr>
                  <w:r>
                    <w:rPr>
                      <w:rFonts w:hint="eastAsia"/>
                      <w:color w:val="auto"/>
                      <w:lang w:val="en-US" w:eastAsia="zh-CN"/>
                    </w:rPr>
                    <w:t>2.86</w:t>
                  </w:r>
                </w:p>
              </w:tc>
              <w:tc>
                <w:tcPr>
                  <w:tcW w:w="1318" w:type="dxa"/>
                  <w:noWrap w:val="0"/>
                  <w:vAlign w:val="center"/>
                </w:tcPr>
                <w:p>
                  <w:pPr>
                    <w:pStyle w:val="18"/>
                    <w:bidi w:val="0"/>
                    <w:rPr>
                      <w:rFonts w:hint="eastAsia"/>
                      <w:color w:val="auto"/>
                    </w:rPr>
                  </w:pPr>
                  <w:r>
                    <w:rPr>
                      <w:rFonts w:hint="eastAsia"/>
                      <w:color w:val="auto"/>
                      <w:lang w:val="en-US" w:eastAsia="zh-CN"/>
                    </w:rPr>
                    <w:t>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1700</w:t>
                  </w:r>
                </w:p>
              </w:tc>
              <w:tc>
                <w:tcPr>
                  <w:tcW w:w="1637" w:type="dxa"/>
                  <w:noWrap w:val="0"/>
                  <w:vAlign w:val="center"/>
                </w:tcPr>
                <w:p>
                  <w:pPr>
                    <w:pStyle w:val="18"/>
                    <w:bidi w:val="0"/>
                    <w:rPr>
                      <w:color w:val="auto"/>
                    </w:rPr>
                  </w:pPr>
                  <w:r>
                    <w:rPr>
                      <w:rFonts w:hint="eastAsia"/>
                      <w:color w:val="auto"/>
                      <w:lang w:val="en-US" w:eastAsia="zh-CN"/>
                    </w:rPr>
                    <w:t>7.84</w:t>
                  </w:r>
                </w:p>
              </w:tc>
              <w:tc>
                <w:tcPr>
                  <w:tcW w:w="1309" w:type="dxa"/>
                  <w:noWrap w:val="0"/>
                  <w:vAlign w:val="center"/>
                </w:tcPr>
                <w:p>
                  <w:pPr>
                    <w:pStyle w:val="18"/>
                    <w:bidi w:val="0"/>
                    <w:rPr>
                      <w:color w:val="auto"/>
                    </w:rPr>
                  </w:pPr>
                  <w:r>
                    <w:rPr>
                      <w:rFonts w:hint="eastAsia"/>
                      <w:color w:val="auto"/>
                      <w:lang w:val="en-US" w:eastAsia="zh-CN"/>
                    </w:rPr>
                    <w:t>0.87</w:t>
                  </w:r>
                </w:p>
              </w:tc>
              <w:tc>
                <w:tcPr>
                  <w:tcW w:w="1568" w:type="dxa"/>
                  <w:noWrap w:val="0"/>
                  <w:vAlign w:val="center"/>
                </w:tcPr>
                <w:p>
                  <w:pPr>
                    <w:pStyle w:val="18"/>
                    <w:bidi w:val="0"/>
                    <w:rPr>
                      <w:rFonts w:hint="eastAsia"/>
                      <w:color w:val="auto"/>
                    </w:rPr>
                  </w:pPr>
                  <w:r>
                    <w:rPr>
                      <w:rFonts w:hint="eastAsia"/>
                      <w:color w:val="auto"/>
                      <w:lang w:val="en-US" w:eastAsia="zh-CN"/>
                    </w:rPr>
                    <w:t>2.66</w:t>
                  </w:r>
                </w:p>
              </w:tc>
              <w:tc>
                <w:tcPr>
                  <w:tcW w:w="1318" w:type="dxa"/>
                  <w:noWrap w:val="0"/>
                  <w:vAlign w:val="center"/>
                </w:tcPr>
                <w:p>
                  <w:pPr>
                    <w:pStyle w:val="18"/>
                    <w:bidi w:val="0"/>
                    <w:rPr>
                      <w:rFonts w:hint="eastAsia"/>
                      <w:color w:val="auto"/>
                    </w:rPr>
                  </w:pPr>
                  <w:r>
                    <w:rPr>
                      <w:rFonts w:hint="eastAsia"/>
                      <w:color w:val="auto"/>
                      <w:lang w:val="en-US" w:eastAsia="zh-CN"/>
                    </w:rPr>
                    <w:t>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1800</w:t>
                  </w:r>
                </w:p>
              </w:tc>
              <w:tc>
                <w:tcPr>
                  <w:tcW w:w="1637" w:type="dxa"/>
                  <w:noWrap w:val="0"/>
                  <w:vAlign w:val="center"/>
                </w:tcPr>
                <w:p>
                  <w:pPr>
                    <w:pStyle w:val="18"/>
                    <w:bidi w:val="0"/>
                    <w:rPr>
                      <w:color w:val="auto"/>
                    </w:rPr>
                  </w:pPr>
                  <w:r>
                    <w:rPr>
                      <w:rFonts w:hint="eastAsia"/>
                      <w:color w:val="auto"/>
                      <w:lang w:val="en-US" w:eastAsia="zh-CN"/>
                    </w:rPr>
                    <w:t>7.33</w:t>
                  </w:r>
                </w:p>
              </w:tc>
              <w:tc>
                <w:tcPr>
                  <w:tcW w:w="1309" w:type="dxa"/>
                  <w:noWrap w:val="0"/>
                  <w:vAlign w:val="center"/>
                </w:tcPr>
                <w:p>
                  <w:pPr>
                    <w:pStyle w:val="18"/>
                    <w:bidi w:val="0"/>
                    <w:rPr>
                      <w:color w:val="auto"/>
                    </w:rPr>
                  </w:pPr>
                  <w:r>
                    <w:rPr>
                      <w:rFonts w:hint="eastAsia"/>
                      <w:color w:val="auto"/>
                      <w:lang w:val="en-US" w:eastAsia="zh-CN"/>
                    </w:rPr>
                    <w:t>0.81</w:t>
                  </w:r>
                </w:p>
              </w:tc>
              <w:tc>
                <w:tcPr>
                  <w:tcW w:w="1568" w:type="dxa"/>
                  <w:noWrap w:val="0"/>
                  <w:vAlign w:val="center"/>
                </w:tcPr>
                <w:p>
                  <w:pPr>
                    <w:pStyle w:val="18"/>
                    <w:bidi w:val="0"/>
                    <w:rPr>
                      <w:rFonts w:hint="eastAsia"/>
                      <w:color w:val="auto"/>
                    </w:rPr>
                  </w:pPr>
                  <w:r>
                    <w:rPr>
                      <w:rFonts w:hint="eastAsia"/>
                      <w:color w:val="auto"/>
                      <w:lang w:val="en-US" w:eastAsia="zh-CN"/>
                    </w:rPr>
                    <w:t>2.49</w:t>
                  </w:r>
                </w:p>
              </w:tc>
              <w:tc>
                <w:tcPr>
                  <w:tcW w:w="1318" w:type="dxa"/>
                  <w:noWrap w:val="0"/>
                  <w:vAlign w:val="center"/>
                </w:tcPr>
                <w:p>
                  <w:pPr>
                    <w:pStyle w:val="18"/>
                    <w:bidi w:val="0"/>
                    <w:rPr>
                      <w:rFonts w:hint="eastAsia"/>
                      <w:color w:val="auto"/>
                    </w:rPr>
                  </w:pPr>
                  <w:r>
                    <w:rPr>
                      <w:rFonts w:hint="eastAsia"/>
                      <w:color w:val="auto"/>
                      <w:lang w:val="en-US" w:eastAsia="zh-CN"/>
                    </w:rPr>
                    <w:t>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1900</w:t>
                  </w:r>
                </w:p>
              </w:tc>
              <w:tc>
                <w:tcPr>
                  <w:tcW w:w="1637" w:type="dxa"/>
                  <w:noWrap w:val="0"/>
                  <w:vAlign w:val="center"/>
                </w:tcPr>
                <w:p>
                  <w:pPr>
                    <w:pStyle w:val="18"/>
                    <w:bidi w:val="0"/>
                    <w:rPr>
                      <w:color w:val="auto"/>
                    </w:rPr>
                  </w:pPr>
                  <w:r>
                    <w:rPr>
                      <w:rFonts w:hint="eastAsia"/>
                      <w:color w:val="auto"/>
                      <w:lang w:val="en-US" w:eastAsia="zh-CN"/>
                    </w:rPr>
                    <w:t>6.87</w:t>
                  </w:r>
                </w:p>
              </w:tc>
              <w:tc>
                <w:tcPr>
                  <w:tcW w:w="1309" w:type="dxa"/>
                  <w:noWrap w:val="0"/>
                  <w:vAlign w:val="center"/>
                </w:tcPr>
                <w:p>
                  <w:pPr>
                    <w:pStyle w:val="18"/>
                    <w:bidi w:val="0"/>
                    <w:rPr>
                      <w:color w:val="auto"/>
                    </w:rPr>
                  </w:pPr>
                  <w:r>
                    <w:rPr>
                      <w:rFonts w:hint="eastAsia"/>
                      <w:color w:val="auto"/>
                      <w:lang w:val="en-US" w:eastAsia="zh-CN"/>
                    </w:rPr>
                    <w:t>0.76</w:t>
                  </w:r>
                </w:p>
              </w:tc>
              <w:tc>
                <w:tcPr>
                  <w:tcW w:w="1568" w:type="dxa"/>
                  <w:noWrap w:val="0"/>
                  <w:vAlign w:val="center"/>
                </w:tcPr>
                <w:p>
                  <w:pPr>
                    <w:pStyle w:val="18"/>
                    <w:bidi w:val="0"/>
                    <w:rPr>
                      <w:rFonts w:hint="eastAsia"/>
                      <w:color w:val="auto"/>
                    </w:rPr>
                  </w:pPr>
                  <w:r>
                    <w:rPr>
                      <w:rFonts w:hint="eastAsia"/>
                      <w:color w:val="auto"/>
                      <w:lang w:val="en-US" w:eastAsia="zh-CN"/>
                    </w:rPr>
                    <w:t>2.33</w:t>
                  </w:r>
                </w:p>
              </w:tc>
              <w:tc>
                <w:tcPr>
                  <w:tcW w:w="1318" w:type="dxa"/>
                  <w:noWrap w:val="0"/>
                  <w:vAlign w:val="center"/>
                </w:tcPr>
                <w:p>
                  <w:pPr>
                    <w:pStyle w:val="18"/>
                    <w:bidi w:val="0"/>
                    <w:rPr>
                      <w:rFonts w:hint="eastAsia"/>
                      <w:color w:val="auto"/>
                    </w:rPr>
                  </w:pPr>
                  <w:r>
                    <w:rPr>
                      <w:rFonts w:hint="eastAsia"/>
                      <w:color w:val="auto"/>
                      <w:lang w:val="en-US" w:eastAsia="zh-CN"/>
                    </w:rPr>
                    <w:t>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2000</w:t>
                  </w:r>
                </w:p>
              </w:tc>
              <w:tc>
                <w:tcPr>
                  <w:tcW w:w="1637" w:type="dxa"/>
                  <w:noWrap w:val="0"/>
                  <w:vAlign w:val="center"/>
                </w:tcPr>
                <w:p>
                  <w:pPr>
                    <w:pStyle w:val="18"/>
                    <w:bidi w:val="0"/>
                    <w:rPr>
                      <w:color w:val="auto"/>
                    </w:rPr>
                  </w:pPr>
                  <w:r>
                    <w:rPr>
                      <w:rFonts w:hint="eastAsia"/>
                      <w:color w:val="auto"/>
                      <w:lang w:val="en-US" w:eastAsia="zh-CN"/>
                    </w:rPr>
                    <w:t>6.45</w:t>
                  </w:r>
                </w:p>
              </w:tc>
              <w:tc>
                <w:tcPr>
                  <w:tcW w:w="1309" w:type="dxa"/>
                  <w:noWrap w:val="0"/>
                  <w:vAlign w:val="center"/>
                </w:tcPr>
                <w:p>
                  <w:pPr>
                    <w:pStyle w:val="18"/>
                    <w:bidi w:val="0"/>
                    <w:rPr>
                      <w:color w:val="auto"/>
                    </w:rPr>
                  </w:pPr>
                  <w:r>
                    <w:rPr>
                      <w:rFonts w:hint="eastAsia"/>
                      <w:color w:val="auto"/>
                      <w:lang w:val="en-US" w:eastAsia="zh-CN"/>
                    </w:rPr>
                    <w:t>0.72</w:t>
                  </w:r>
                </w:p>
              </w:tc>
              <w:tc>
                <w:tcPr>
                  <w:tcW w:w="1568" w:type="dxa"/>
                  <w:noWrap w:val="0"/>
                  <w:vAlign w:val="center"/>
                </w:tcPr>
                <w:p>
                  <w:pPr>
                    <w:pStyle w:val="18"/>
                    <w:bidi w:val="0"/>
                    <w:rPr>
                      <w:rFonts w:hint="eastAsia"/>
                      <w:color w:val="auto"/>
                    </w:rPr>
                  </w:pPr>
                  <w:r>
                    <w:rPr>
                      <w:rFonts w:hint="eastAsia"/>
                      <w:color w:val="auto"/>
                      <w:lang w:val="en-US" w:eastAsia="zh-CN"/>
                    </w:rPr>
                    <w:t>2.19</w:t>
                  </w:r>
                </w:p>
              </w:tc>
              <w:tc>
                <w:tcPr>
                  <w:tcW w:w="1318" w:type="dxa"/>
                  <w:noWrap w:val="0"/>
                  <w:vAlign w:val="center"/>
                </w:tcPr>
                <w:p>
                  <w:pPr>
                    <w:pStyle w:val="18"/>
                    <w:bidi w:val="0"/>
                    <w:rPr>
                      <w:rFonts w:hint="eastAsia"/>
                      <w:color w:val="auto"/>
                    </w:rPr>
                  </w:pPr>
                  <w:r>
                    <w:rPr>
                      <w:rFonts w:hint="eastAsia"/>
                      <w:color w:val="auto"/>
                      <w:lang w:val="en-US" w:eastAsia="zh-CN"/>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2100</w:t>
                  </w:r>
                </w:p>
              </w:tc>
              <w:tc>
                <w:tcPr>
                  <w:tcW w:w="1637" w:type="dxa"/>
                  <w:noWrap w:val="0"/>
                  <w:vAlign w:val="center"/>
                </w:tcPr>
                <w:p>
                  <w:pPr>
                    <w:pStyle w:val="18"/>
                    <w:bidi w:val="0"/>
                    <w:rPr>
                      <w:color w:val="auto"/>
                    </w:rPr>
                  </w:pPr>
                  <w:r>
                    <w:rPr>
                      <w:rFonts w:hint="eastAsia"/>
                      <w:color w:val="auto"/>
                      <w:lang w:val="en-US" w:eastAsia="zh-CN"/>
                    </w:rPr>
                    <w:t>6.07</w:t>
                  </w:r>
                </w:p>
              </w:tc>
              <w:tc>
                <w:tcPr>
                  <w:tcW w:w="1309" w:type="dxa"/>
                  <w:noWrap w:val="0"/>
                  <w:vAlign w:val="center"/>
                </w:tcPr>
                <w:p>
                  <w:pPr>
                    <w:pStyle w:val="18"/>
                    <w:bidi w:val="0"/>
                    <w:rPr>
                      <w:color w:val="auto"/>
                    </w:rPr>
                  </w:pPr>
                  <w:r>
                    <w:rPr>
                      <w:rFonts w:hint="eastAsia"/>
                      <w:color w:val="auto"/>
                      <w:lang w:val="en-US" w:eastAsia="zh-CN"/>
                    </w:rPr>
                    <w:t>0.67</w:t>
                  </w:r>
                </w:p>
              </w:tc>
              <w:tc>
                <w:tcPr>
                  <w:tcW w:w="1568" w:type="dxa"/>
                  <w:noWrap w:val="0"/>
                  <w:vAlign w:val="center"/>
                </w:tcPr>
                <w:p>
                  <w:pPr>
                    <w:pStyle w:val="18"/>
                    <w:bidi w:val="0"/>
                    <w:rPr>
                      <w:rFonts w:hint="eastAsia"/>
                      <w:color w:val="auto"/>
                    </w:rPr>
                  </w:pPr>
                  <w:r>
                    <w:rPr>
                      <w:rFonts w:hint="eastAsia"/>
                      <w:color w:val="auto"/>
                      <w:lang w:val="en-US" w:eastAsia="zh-CN"/>
                    </w:rPr>
                    <w:t>2.06</w:t>
                  </w:r>
                </w:p>
              </w:tc>
              <w:tc>
                <w:tcPr>
                  <w:tcW w:w="1318" w:type="dxa"/>
                  <w:noWrap w:val="0"/>
                  <w:vAlign w:val="center"/>
                </w:tcPr>
                <w:p>
                  <w:pPr>
                    <w:pStyle w:val="18"/>
                    <w:bidi w:val="0"/>
                    <w:rPr>
                      <w:rFonts w:hint="eastAsia"/>
                      <w:color w:val="auto"/>
                    </w:rPr>
                  </w:pPr>
                  <w:r>
                    <w:rPr>
                      <w:rFonts w:hint="eastAsia"/>
                      <w:color w:val="auto"/>
                      <w:lang w:val="en-US" w:eastAsia="zh-CN"/>
                    </w:rPr>
                    <w:t>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color w:val="auto"/>
                    </w:rPr>
                  </w:pPr>
                  <w:r>
                    <w:rPr>
                      <w:rFonts w:hint="eastAsia"/>
                      <w:color w:val="auto"/>
                    </w:rPr>
                    <w:t>2200</w:t>
                  </w:r>
                </w:p>
              </w:tc>
              <w:tc>
                <w:tcPr>
                  <w:tcW w:w="1637" w:type="dxa"/>
                  <w:noWrap w:val="0"/>
                  <w:vAlign w:val="center"/>
                </w:tcPr>
                <w:p>
                  <w:pPr>
                    <w:pStyle w:val="18"/>
                    <w:bidi w:val="0"/>
                    <w:rPr>
                      <w:color w:val="auto"/>
                    </w:rPr>
                  </w:pPr>
                  <w:r>
                    <w:rPr>
                      <w:rFonts w:hint="eastAsia"/>
                      <w:color w:val="auto"/>
                      <w:lang w:val="en-US" w:eastAsia="zh-CN"/>
                    </w:rPr>
                    <w:t>5.73</w:t>
                  </w:r>
                </w:p>
              </w:tc>
              <w:tc>
                <w:tcPr>
                  <w:tcW w:w="1309" w:type="dxa"/>
                  <w:noWrap w:val="0"/>
                  <w:vAlign w:val="center"/>
                </w:tcPr>
                <w:p>
                  <w:pPr>
                    <w:pStyle w:val="18"/>
                    <w:bidi w:val="0"/>
                    <w:rPr>
                      <w:color w:val="auto"/>
                    </w:rPr>
                  </w:pPr>
                  <w:r>
                    <w:rPr>
                      <w:rFonts w:hint="eastAsia"/>
                      <w:color w:val="auto"/>
                      <w:lang w:val="en-US" w:eastAsia="zh-CN"/>
                    </w:rPr>
                    <w:t>0.64</w:t>
                  </w:r>
                </w:p>
              </w:tc>
              <w:tc>
                <w:tcPr>
                  <w:tcW w:w="1568" w:type="dxa"/>
                  <w:noWrap w:val="0"/>
                  <w:vAlign w:val="center"/>
                </w:tcPr>
                <w:p>
                  <w:pPr>
                    <w:pStyle w:val="18"/>
                    <w:bidi w:val="0"/>
                    <w:rPr>
                      <w:rFonts w:hint="eastAsia"/>
                      <w:color w:val="auto"/>
                    </w:rPr>
                  </w:pPr>
                  <w:r>
                    <w:rPr>
                      <w:rFonts w:hint="eastAsia"/>
                      <w:color w:val="auto"/>
                      <w:lang w:val="en-US" w:eastAsia="zh-CN"/>
                    </w:rPr>
                    <w:t>1.95</w:t>
                  </w:r>
                </w:p>
              </w:tc>
              <w:tc>
                <w:tcPr>
                  <w:tcW w:w="1318" w:type="dxa"/>
                  <w:noWrap w:val="0"/>
                  <w:vAlign w:val="center"/>
                </w:tcPr>
                <w:p>
                  <w:pPr>
                    <w:pStyle w:val="18"/>
                    <w:bidi w:val="0"/>
                    <w:rPr>
                      <w:rFonts w:hint="eastAsia"/>
                      <w:color w:val="auto"/>
                    </w:rPr>
                  </w:pPr>
                  <w:r>
                    <w:rPr>
                      <w:rFonts w:hint="eastAsia"/>
                      <w:color w:val="auto"/>
                      <w:lang w:val="en-US" w:eastAsia="zh-CN"/>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rFonts w:hint="default"/>
                      <w:color w:val="auto"/>
                      <w:lang w:val="en-US" w:eastAsia="zh-CN"/>
                    </w:rPr>
                  </w:pPr>
                  <w:r>
                    <w:rPr>
                      <w:rFonts w:hint="eastAsia"/>
                      <w:color w:val="auto"/>
                    </w:rPr>
                    <w:t>2300</w:t>
                  </w:r>
                </w:p>
              </w:tc>
              <w:tc>
                <w:tcPr>
                  <w:tcW w:w="1637" w:type="dxa"/>
                  <w:noWrap w:val="0"/>
                  <w:vAlign w:val="center"/>
                </w:tcPr>
                <w:p>
                  <w:pPr>
                    <w:pStyle w:val="18"/>
                    <w:bidi w:val="0"/>
                    <w:rPr>
                      <w:rFonts w:hint="default"/>
                      <w:color w:val="auto"/>
                      <w:lang w:val="en-US" w:eastAsia="zh-CN"/>
                    </w:rPr>
                  </w:pPr>
                  <w:r>
                    <w:rPr>
                      <w:rFonts w:hint="eastAsia"/>
                      <w:color w:val="auto"/>
                      <w:lang w:val="en-US" w:eastAsia="zh-CN"/>
                    </w:rPr>
                    <w:t>5.43</w:t>
                  </w:r>
                </w:p>
              </w:tc>
              <w:tc>
                <w:tcPr>
                  <w:tcW w:w="1309" w:type="dxa"/>
                  <w:noWrap w:val="0"/>
                  <w:vAlign w:val="center"/>
                </w:tcPr>
                <w:p>
                  <w:pPr>
                    <w:pStyle w:val="18"/>
                    <w:bidi w:val="0"/>
                    <w:rPr>
                      <w:rFonts w:hint="eastAsia"/>
                      <w:color w:val="auto"/>
                    </w:rPr>
                  </w:pPr>
                  <w:r>
                    <w:rPr>
                      <w:rFonts w:hint="eastAsia"/>
                      <w:color w:val="auto"/>
                      <w:lang w:val="en-US" w:eastAsia="zh-CN"/>
                    </w:rPr>
                    <w:t>0.6</w:t>
                  </w:r>
                </w:p>
              </w:tc>
              <w:tc>
                <w:tcPr>
                  <w:tcW w:w="1568" w:type="dxa"/>
                  <w:noWrap w:val="0"/>
                  <w:vAlign w:val="center"/>
                </w:tcPr>
                <w:p>
                  <w:pPr>
                    <w:pStyle w:val="18"/>
                    <w:bidi w:val="0"/>
                    <w:rPr>
                      <w:rFonts w:hint="eastAsia"/>
                      <w:color w:val="auto"/>
                      <w:lang w:val="en-US" w:eastAsia="zh-CN"/>
                    </w:rPr>
                  </w:pPr>
                  <w:r>
                    <w:rPr>
                      <w:rFonts w:hint="eastAsia"/>
                      <w:color w:val="auto"/>
                      <w:lang w:val="en-US" w:eastAsia="zh-CN"/>
                    </w:rPr>
                    <w:t>1.84</w:t>
                  </w:r>
                </w:p>
              </w:tc>
              <w:tc>
                <w:tcPr>
                  <w:tcW w:w="1318" w:type="dxa"/>
                  <w:noWrap w:val="0"/>
                  <w:vAlign w:val="center"/>
                </w:tcPr>
                <w:p>
                  <w:pPr>
                    <w:pStyle w:val="18"/>
                    <w:bidi w:val="0"/>
                    <w:rPr>
                      <w:rFonts w:hint="eastAsia"/>
                      <w:color w:val="auto"/>
                      <w:lang w:val="en-US" w:eastAsia="zh-CN"/>
                    </w:rPr>
                  </w:pPr>
                  <w:r>
                    <w:rPr>
                      <w:rFonts w:hint="eastAsia"/>
                      <w:color w:val="auto"/>
                      <w:lang w:val="en-US" w:eastAsia="zh-CN"/>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rFonts w:hint="default"/>
                      <w:color w:val="auto"/>
                      <w:lang w:val="en-US" w:eastAsia="zh-CN"/>
                    </w:rPr>
                  </w:pPr>
                  <w:r>
                    <w:rPr>
                      <w:rFonts w:hint="eastAsia"/>
                      <w:color w:val="auto"/>
                    </w:rPr>
                    <w:t>2400</w:t>
                  </w:r>
                </w:p>
              </w:tc>
              <w:tc>
                <w:tcPr>
                  <w:tcW w:w="1637" w:type="dxa"/>
                  <w:noWrap w:val="0"/>
                  <w:vAlign w:val="center"/>
                </w:tcPr>
                <w:p>
                  <w:pPr>
                    <w:pStyle w:val="18"/>
                    <w:bidi w:val="0"/>
                    <w:rPr>
                      <w:rFonts w:hint="default"/>
                      <w:color w:val="auto"/>
                      <w:lang w:val="en-US" w:eastAsia="zh-CN"/>
                    </w:rPr>
                  </w:pPr>
                  <w:r>
                    <w:rPr>
                      <w:rFonts w:hint="eastAsia"/>
                      <w:color w:val="auto"/>
                      <w:lang w:val="en-US" w:eastAsia="zh-CN"/>
                    </w:rPr>
                    <w:t>5.15</w:t>
                  </w:r>
                </w:p>
              </w:tc>
              <w:tc>
                <w:tcPr>
                  <w:tcW w:w="1309" w:type="dxa"/>
                  <w:noWrap w:val="0"/>
                  <w:vAlign w:val="center"/>
                </w:tcPr>
                <w:p>
                  <w:pPr>
                    <w:pStyle w:val="18"/>
                    <w:bidi w:val="0"/>
                    <w:rPr>
                      <w:rFonts w:hint="eastAsia"/>
                      <w:color w:val="auto"/>
                    </w:rPr>
                  </w:pPr>
                  <w:r>
                    <w:rPr>
                      <w:rFonts w:hint="eastAsia"/>
                      <w:color w:val="auto"/>
                      <w:lang w:val="en-US" w:eastAsia="zh-CN"/>
                    </w:rPr>
                    <w:t>0.57</w:t>
                  </w:r>
                </w:p>
              </w:tc>
              <w:tc>
                <w:tcPr>
                  <w:tcW w:w="1568" w:type="dxa"/>
                  <w:noWrap w:val="0"/>
                  <w:vAlign w:val="center"/>
                </w:tcPr>
                <w:p>
                  <w:pPr>
                    <w:pStyle w:val="18"/>
                    <w:bidi w:val="0"/>
                    <w:rPr>
                      <w:rFonts w:hint="eastAsia"/>
                      <w:color w:val="auto"/>
                      <w:lang w:val="en-US" w:eastAsia="zh-CN"/>
                    </w:rPr>
                  </w:pPr>
                  <w:r>
                    <w:rPr>
                      <w:rFonts w:hint="eastAsia"/>
                      <w:color w:val="auto"/>
                      <w:lang w:val="en-US" w:eastAsia="zh-CN"/>
                    </w:rPr>
                    <w:t>1.75</w:t>
                  </w:r>
                </w:p>
              </w:tc>
              <w:tc>
                <w:tcPr>
                  <w:tcW w:w="1318" w:type="dxa"/>
                  <w:noWrap w:val="0"/>
                  <w:vAlign w:val="center"/>
                </w:tcPr>
                <w:p>
                  <w:pPr>
                    <w:pStyle w:val="18"/>
                    <w:bidi w:val="0"/>
                    <w:rPr>
                      <w:rFonts w:hint="eastAsia"/>
                      <w:color w:val="auto"/>
                      <w:lang w:val="en-US" w:eastAsia="zh-CN"/>
                    </w:rPr>
                  </w:pPr>
                  <w:r>
                    <w:rPr>
                      <w:rFonts w:hint="eastAsia"/>
                      <w:color w:val="auto"/>
                      <w:lang w:val="en-US" w:eastAsia="zh-CN"/>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top"/>
                </w:tcPr>
                <w:p>
                  <w:pPr>
                    <w:pStyle w:val="18"/>
                    <w:bidi w:val="0"/>
                    <w:rPr>
                      <w:rFonts w:hint="default"/>
                      <w:color w:val="auto"/>
                      <w:lang w:val="en-US" w:eastAsia="zh-CN"/>
                    </w:rPr>
                  </w:pPr>
                  <w:r>
                    <w:rPr>
                      <w:rFonts w:hint="eastAsia"/>
                      <w:color w:val="auto"/>
                    </w:rPr>
                    <w:t>2500</w:t>
                  </w:r>
                </w:p>
              </w:tc>
              <w:tc>
                <w:tcPr>
                  <w:tcW w:w="1637" w:type="dxa"/>
                  <w:noWrap w:val="0"/>
                  <w:vAlign w:val="center"/>
                </w:tcPr>
                <w:p>
                  <w:pPr>
                    <w:pStyle w:val="18"/>
                    <w:bidi w:val="0"/>
                    <w:rPr>
                      <w:rFonts w:hint="default"/>
                      <w:color w:val="auto"/>
                      <w:lang w:val="en-US" w:eastAsia="zh-CN"/>
                    </w:rPr>
                  </w:pPr>
                  <w:r>
                    <w:rPr>
                      <w:rFonts w:hint="eastAsia"/>
                      <w:color w:val="auto"/>
                      <w:lang w:val="en-US" w:eastAsia="zh-CN"/>
                    </w:rPr>
                    <w:t>4.89</w:t>
                  </w:r>
                </w:p>
              </w:tc>
              <w:tc>
                <w:tcPr>
                  <w:tcW w:w="1309" w:type="dxa"/>
                  <w:noWrap w:val="0"/>
                  <w:vAlign w:val="center"/>
                </w:tcPr>
                <w:p>
                  <w:pPr>
                    <w:pStyle w:val="18"/>
                    <w:bidi w:val="0"/>
                    <w:rPr>
                      <w:rFonts w:hint="eastAsia"/>
                      <w:color w:val="auto"/>
                    </w:rPr>
                  </w:pPr>
                  <w:r>
                    <w:rPr>
                      <w:rFonts w:hint="eastAsia"/>
                      <w:color w:val="auto"/>
                      <w:lang w:val="en-US" w:eastAsia="zh-CN"/>
                    </w:rPr>
                    <w:t>0.54</w:t>
                  </w:r>
                </w:p>
              </w:tc>
              <w:tc>
                <w:tcPr>
                  <w:tcW w:w="1568" w:type="dxa"/>
                  <w:noWrap w:val="0"/>
                  <w:vAlign w:val="center"/>
                </w:tcPr>
                <w:p>
                  <w:pPr>
                    <w:pStyle w:val="18"/>
                    <w:bidi w:val="0"/>
                    <w:rPr>
                      <w:rFonts w:hint="eastAsia"/>
                      <w:color w:val="auto"/>
                      <w:lang w:val="en-US" w:eastAsia="zh-CN"/>
                    </w:rPr>
                  </w:pPr>
                  <w:r>
                    <w:rPr>
                      <w:rFonts w:hint="eastAsia"/>
                      <w:color w:val="auto"/>
                      <w:lang w:val="en-US" w:eastAsia="zh-CN"/>
                    </w:rPr>
                    <w:t>1.66</w:t>
                  </w:r>
                </w:p>
              </w:tc>
              <w:tc>
                <w:tcPr>
                  <w:tcW w:w="1318" w:type="dxa"/>
                  <w:noWrap w:val="0"/>
                  <w:vAlign w:val="center"/>
                </w:tcPr>
                <w:p>
                  <w:pPr>
                    <w:pStyle w:val="18"/>
                    <w:bidi w:val="0"/>
                    <w:rPr>
                      <w:rFonts w:hint="eastAsia"/>
                      <w:color w:val="auto"/>
                      <w:lang w:val="en-US" w:eastAsia="zh-CN"/>
                    </w:rPr>
                  </w:pPr>
                  <w:r>
                    <w:rPr>
                      <w:rFonts w:hint="eastAsia"/>
                      <w:color w:val="auto"/>
                      <w:lang w:val="en-US" w:eastAsia="zh-CN"/>
                    </w:rPr>
                    <w:t>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center"/>
                </w:tcPr>
                <w:p>
                  <w:pPr>
                    <w:pStyle w:val="18"/>
                    <w:bidi w:val="0"/>
                    <w:spacing w:line="240" w:lineRule="auto"/>
                    <w:rPr>
                      <w:color w:val="auto"/>
                    </w:rPr>
                  </w:pPr>
                  <w:r>
                    <w:rPr>
                      <w:color w:val="auto"/>
                    </w:rPr>
                    <w:t>下风向最大落地浓度</w:t>
                  </w:r>
                </w:p>
              </w:tc>
              <w:tc>
                <w:tcPr>
                  <w:tcW w:w="1637" w:type="dxa"/>
                  <w:noWrap w:val="0"/>
                  <w:vAlign w:val="center"/>
                </w:tcPr>
                <w:p>
                  <w:pPr>
                    <w:pStyle w:val="18"/>
                    <w:bidi w:val="0"/>
                    <w:ind w:right="0" w:rightChars="0" w:firstLine="0" w:firstLineChars="0"/>
                    <w:rPr>
                      <w:color w:val="auto"/>
                    </w:rPr>
                  </w:pPr>
                  <w:r>
                    <w:rPr>
                      <w:rFonts w:hint="eastAsia"/>
                      <w:color w:val="auto"/>
                      <w:lang w:val="en-US" w:eastAsia="zh-CN"/>
                    </w:rPr>
                    <w:t>72.66</w:t>
                  </w:r>
                </w:p>
              </w:tc>
              <w:tc>
                <w:tcPr>
                  <w:tcW w:w="1309" w:type="dxa"/>
                  <w:noWrap w:val="0"/>
                  <w:vAlign w:val="center"/>
                </w:tcPr>
                <w:p>
                  <w:pPr>
                    <w:pStyle w:val="18"/>
                    <w:bidi w:val="0"/>
                    <w:ind w:right="0" w:rightChars="0" w:firstLine="0" w:firstLineChars="0"/>
                    <w:rPr>
                      <w:color w:val="auto"/>
                    </w:rPr>
                  </w:pPr>
                  <w:r>
                    <w:rPr>
                      <w:rFonts w:hint="eastAsia"/>
                      <w:color w:val="auto"/>
                      <w:lang w:val="en-US" w:eastAsia="zh-CN"/>
                    </w:rPr>
                    <w:t>8.07</w:t>
                  </w:r>
                </w:p>
              </w:tc>
              <w:tc>
                <w:tcPr>
                  <w:tcW w:w="1568" w:type="dxa"/>
                  <w:noWrap w:val="0"/>
                  <w:vAlign w:val="center"/>
                </w:tcPr>
                <w:p>
                  <w:pPr>
                    <w:pStyle w:val="18"/>
                    <w:bidi w:val="0"/>
                    <w:ind w:right="0" w:rightChars="0" w:firstLine="0" w:firstLineChars="0"/>
                    <w:rPr>
                      <w:rFonts w:hint="eastAsia"/>
                      <w:color w:val="auto"/>
                    </w:rPr>
                  </w:pPr>
                  <w:r>
                    <w:rPr>
                      <w:rFonts w:hint="eastAsia"/>
                      <w:color w:val="auto"/>
                      <w:lang w:val="en-US" w:eastAsia="zh-CN"/>
                    </w:rPr>
                    <w:t>24.69</w:t>
                  </w:r>
                </w:p>
              </w:tc>
              <w:tc>
                <w:tcPr>
                  <w:tcW w:w="1318" w:type="dxa"/>
                  <w:noWrap w:val="0"/>
                  <w:vAlign w:val="center"/>
                </w:tcPr>
                <w:p>
                  <w:pPr>
                    <w:pStyle w:val="18"/>
                    <w:bidi w:val="0"/>
                    <w:ind w:right="0" w:rightChars="0" w:firstLine="0" w:firstLineChars="0"/>
                    <w:rPr>
                      <w:rFonts w:hint="eastAsia"/>
                      <w:color w:val="auto"/>
                    </w:rPr>
                  </w:pPr>
                  <w:r>
                    <w:rPr>
                      <w:rFonts w:hint="eastAsia"/>
                      <w:color w:val="auto"/>
                      <w:lang w:val="en-US" w:eastAsia="zh-CN"/>
                    </w:rPr>
                    <w:t>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7" w:type="dxa"/>
                  <w:noWrap w:val="0"/>
                  <w:vAlign w:val="center"/>
                </w:tcPr>
                <w:p>
                  <w:pPr>
                    <w:pStyle w:val="18"/>
                    <w:bidi w:val="0"/>
                    <w:spacing w:line="240" w:lineRule="auto"/>
                    <w:rPr>
                      <w:color w:val="auto"/>
                    </w:rPr>
                  </w:pPr>
                  <w:r>
                    <w:rPr>
                      <w:color w:val="auto"/>
                    </w:rPr>
                    <w:t>距污染源中心距离（m）</w:t>
                  </w:r>
                </w:p>
              </w:tc>
              <w:tc>
                <w:tcPr>
                  <w:tcW w:w="5832" w:type="dxa"/>
                  <w:gridSpan w:val="4"/>
                  <w:noWrap w:val="0"/>
                  <w:vAlign w:val="center"/>
                </w:tcPr>
                <w:p>
                  <w:pPr>
                    <w:pStyle w:val="18"/>
                    <w:bidi w:val="0"/>
                    <w:spacing w:line="240" w:lineRule="auto"/>
                    <w:rPr>
                      <w:rFonts w:hint="default"/>
                      <w:color w:val="auto"/>
                      <w:lang w:val="en-US" w:eastAsia="zh-CN"/>
                    </w:rPr>
                  </w:pPr>
                  <w:r>
                    <w:rPr>
                      <w:rFonts w:hint="eastAsia"/>
                      <w:color w:val="auto"/>
                      <w:lang w:val="en-US" w:eastAsia="zh-CN"/>
                    </w:rPr>
                    <w:t>102</w:t>
                  </w:r>
                </w:p>
              </w:tc>
            </w:tr>
          </w:tbl>
          <w:p>
            <w:pPr>
              <w:adjustRightInd w:val="0"/>
              <w:snapToGrid w:val="0"/>
              <w:spacing w:line="360" w:lineRule="auto"/>
              <w:ind w:firstLine="480" w:firstLineChars="200"/>
              <w:rPr>
                <w:color w:val="auto"/>
              </w:rPr>
            </w:pPr>
            <w:r>
              <w:rPr>
                <w:rFonts w:hint="default"/>
                <w:color w:val="auto"/>
              </w:rPr>
              <w:t>根据上表可知，项目</w:t>
            </w:r>
            <w:r>
              <w:rPr>
                <w:rFonts w:hint="default"/>
                <w:color w:val="auto"/>
                <w:lang w:eastAsia="zh-CN"/>
              </w:rPr>
              <w:t>生产车间无</w:t>
            </w:r>
            <w:r>
              <w:rPr>
                <w:rFonts w:hint="default"/>
                <w:color w:val="auto"/>
              </w:rPr>
              <w:t>组织废气</w:t>
            </w:r>
            <w:r>
              <w:rPr>
                <w:rFonts w:hint="default"/>
                <w:color w:val="auto"/>
                <w:lang w:eastAsia="zh-CN"/>
              </w:rPr>
              <w:t>排放的</w:t>
            </w:r>
            <w:r>
              <w:rPr>
                <w:rFonts w:hint="default"/>
                <w:color w:val="auto"/>
                <w:lang w:val="en-US" w:eastAsia="zh-CN"/>
              </w:rPr>
              <w:t>TSP、</w:t>
            </w:r>
            <w:r>
              <w:rPr>
                <w:rFonts w:hint="eastAsia"/>
                <w:color w:val="auto"/>
                <w:lang w:val="en-US" w:eastAsia="zh-CN"/>
              </w:rPr>
              <w:t>挥发性有机物（VOCs）</w:t>
            </w:r>
            <w:r>
              <w:rPr>
                <w:rFonts w:hint="default"/>
                <w:color w:val="auto"/>
              </w:rPr>
              <w:t>下风向最大落地浓度为</w:t>
            </w:r>
            <w:r>
              <w:rPr>
                <w:rFonts w:hint="eastAsia"/>
                <w:color w:val="auto"/>
                <w:lang w:val="en-US" w:eastAsia="zh-CN"/>
              </w:rPr>
              <w:t>72.66</w:t>
            </w:r>
            <w:r>
              <w:rPr>
                <w:rFonts w:hint="default"/>
                <w:color w:val="auto"/>
                <w:lang w:val="en-US" w:eastAsia="zh-CN"/>
              </w:rPr>
              <w:t>u</w:t>
            </w:r>
            <w:r>
              <w:rPr>
                <w:rFonts w:hint="default"/>
                <w:color w:val="auto"/>
              </w:rPr>
              <w:t>g/</w:t>
            </w:r>
            <w:r>
              <w:rPr>
                <w:rFonts w:hint="eastAsia"/>
                <w:color w:val="auto"/>
                <w:lang w:val="en-US" w:eastAsia="zh-CN"/>
              </w:rPr>
              <w:t>m</w:t>
            </w:r>
            <w:r>
              <w:rPr>
                <w:rFonts w:hint="eastAsia"/>
                <w:color w:val="auto"/>
                <w:vertAlign w:val="superscript"/>
                <w:lang w:val="en-US" w:eastAsia="zh-CN"/>
              </w:rPr>
              <w:t>3</w:t>
            </w:r>
            <w:r>
              <w:rPr>
                <w:rFonts w:hint="default"/>
                <w:color w:val="auto"/>
              </w:rPr>
              <w:t>、</w:t>
            </w:r>
            <w:r>
              <w:rPr>
                <w:rFonts w:hint="eastAsia"/>
                <w:color w:val="auto"/>
                <w:lang w:val="en-US" w:eastAsia="zh-CN"/>
              </w:rPr>
              <w:t>24.69</w:t>
            </w:r>
            <w:r>
              <w:rPr>
                <w:rFonts w:hint="default"/>
                <w:color w:val="auto"/>
                <w:lang w:val="en-US" w:eastAsia="zh-CN"/>
              </w:rPr>
              <w:t>u</w:t>
            </w:r>
            <w:r>
              <w:rPr>
                <w:rFonts w:hint="default"/>
                <w:color w:val="auto"/>
              </w:rPr>
              <w:t>g/</w:t>
            </w:r>
            <w:r>
              <w:rPr>
                <w:rFonts w:hint="eastAsia"/>
                <w:color w:val="auto"/>
                <w:lang w:val="en-US" w:eastAsia="zh-CN"/>
              </w:rPr>
              <w:t>m</w:t>
            </w:r>
            <w:r>
              <w:rPr>
                <w:rFonts w:hint="eastAsia"/>
                <w:color w:val="auto"/>
                <w:vertAlign w:val="superscript"/>
                <w:lang w:val="en-US" w:eastAsia="zh-CN"/>
              </w:rPr>
              <w:t>3</w:t>
            </w:r>
            <w:r>
              <w:rPr>
                <w:rFonts w:hint="default"/>
                <w:color w:val="auto"/>
                <w:lang w:eastAsia="zh-CN"/>
              </w:rPr>
              <w:t>；最大地面落地浓度分别满足《环境空气质量标准》(GB3095-2012)二级标准要求（TSP≤900ug/</w:t>
            </w:r>
            <w:r>
              <w:rPr>
                <w:rFonts w:hint="eastAsia"/>
                <w:color w:val="auto"/>
                <w:lang w:val="en-US" w:eastAsia="zh-CN"/>
              </w:rPr>
              <w:t>m</w:t>
            </w:r>
            <w:r>
              <w:rPr>
                <w:rFonts w:hint="eastAsia"/>
                <w:color w:val="auto"/>
                <w:vertAlign w:val="superscript"/>
                <w:lang w:val="en-US" w:eastAsia="zh-CN"/>
              </w:rPr>
              <w:t>3</w:t>
            </w:r>
            <w:r>
              <w:rPr>
                <w:rFonts w:hint="default"/>
                <w:color w:val="auto"/>
                <w:lang w:eastAsia="zh-CN"/>
              </w:rPr>
              <w:t>）、</w:t>
            </w:r>
            <w:r>
              <w:rPr>
                <w:rFonts w:hint="eastAsia"/>
                <w:color w:val="auto"/>
                <w:lang w:val="en-US" w:eastAsia="zh-CN"/>
              </w:rPr>
              <w:t>《环境影响评价技术导则-大气环境》HJ2.2-2018附录D中关于TVOC限值要求</w:t>
            </w:r>
            <w:r>
              <w:rPr>
                <w:rFonts w:hint="default"/>
                <w:color w:val="auto"/>
                <w:lang w:eastAsia="zh-CN"/>
              </w:rPr>
              <w:t>（T</w:t>
            </w:r>
            <w:r>
              <w:rPr>
                <w:rFonts w:hint="eastAsia"/>
                <w:color w:val="auto"/>
                <w:lang w:val="en-US" w:eastAsia="zh-CN"/>
              </w:rPr>
              <w:t>VOC</w:t>
            </w:r>
            <w:r>
              <w:rPr>
                <w:rFonts w:hint="default"/>
                <w:color w:val="auto"/>
                <w:lang w:eastAsia="zh-CN"/>
              </w:rPr>
              <w:t>≤</w:t>
            </w:r>
            <w:r>
              <w:rPr>
                <w:rFonts w:hint="eastAsia"/>
                <w:color w:val="auto"/>
                <w:lang w:val="en-US" w:eastAsia="zh-CN"/>
              </w:rPr>
              <w:t>600</w:t>
            </w:r>
            <w:r>
              <w:rPr>
                <w:rFonts w:hint="default"/>
                <w:color w:val="auto"/>
                <w:lang w:eastAsia="zh-CN"/>
              </w:rPr>
              <w:t>ug/</w:t>
            </w:r>
            <w:r>
              <w:rPr>
                <w:rFonts w:hint="eastAsia"/>
                <w:color w:val="auto"/>
                <w:lang w:val="en-US" w:eastAsia="zh-CN"/>
              </w:rPr>
              <w:t>m</w:t>
            </w:r>
            <w:r>
              <w:rPr>
                <w:rFonts w:hint="eastAsia"/>
                <w:color w:val="auto"/>
                <w:vertAlign w:val="superscript"/>
                <w:lang w:val="en-US" w:eastAsia="zh-CN"/>
              </w:rPr>
              <w:t>3</w:t>
            </w:r>
            <w:r>
              <w:rPr>
                <w:rFonts w:hint="default"/>
                <w:color w:val="auto"/>
                <w:lang w:eastAsia="zh-CN"/>
              </w:rPr>
              <w:t>）。</w:t>
            </w:r>
            <w:r>
              <w:rPr>
                <w:rFonts w:hint="default"/>
                <w:color w:val="auto"/>
              </w:rPr>
              <w:t>最大占标率分别为</w:t>
            </w:r>
            <w:r>
              <w:rPr>
                <w:rFonts w:hint="eastAsia"/>
                <w:color w:val="auto"/>
                <w:lang w:val="en-US" w:eastAsia="zh-CN"/>
              </w:rPr>
              <w:t>8.07</w:t>
            </w:r>
            <w:r>
              <w:rPr>
                <w:rFonts w:hint="default"/>
                <w:color w:val="auto"/>
              </w:rPr>
              <w:t>%、</w:t>
            </w:r>
            <w:r>
              <w:rPr>
                <w:rFonts w:hint="eastAsia"/>
                <w:color w:val="auto"/>
                <w:lang w:val="en-US" w:eastAsia="zh-CN"/>
              </w:rPr>
              <w:t>2.06</w:t>
            </w:r>
            <w:r>
              <w:rPr>
                <w:rFonts w:hint="default"/>
                <w:color w:val="auto"/>
              </w:rPr>
              <w:t>%，最大地面落地浓度出现在距面源</w:t>
            </w:r>
            <w:r>
              <w:rPr>
                <w:rFonts w:hint="default"/>
                <w:color w:val="auto"/>
                <w:lang w:val="en-US" w:eastAsia="zh-CN"/>
              </w:rPr>
              <w:t>102</w:t>
            </w:r>
            <w:r>
              <w:rPr>
                <w:rFonts w:hint="default"/>
                <w:color w:val="auto"/>
              </w:rPr>
              <w:t>m处。</w:t>
            </w:r>
            <w:r>
              <w:rPr>
                <w:rFonts w:hint="default"/>
                <w:color w:val="auto"/>
                <w:lang w:eastAsia="zh-CN"/>
              </w:rPr>
              <w:t>生产</w:t>
            </w:r>
            <w:r>
              <w:rPr>
                <w:rFonts w:hint="default"/>
                <w:color w:val="auto"/>
              </w:rPr>
              <w:t>车间无组织排放的</w:t>
            </w:r>
            <w:r>
              <w:rPr>
                <w:rFonts w:hint="default"/>
                <w:color w:val="auto"/>
                <w:lang w:val="en-US" w:eastAsia="zh-CN"/>
              </w:rPr>
              <w:t>TSP</w:t>
            </w:r>
            <w:r>
              <w:rPr>
                <w:rFonts w:hint="default"/>
                <w:color w:val="auto"/>
              </w:rPr>
              <w:t>、</w:t>
            </w:r>
            <w:r>
              <w:rPr>
                <w:rFonts w:hint="eastAsia"/>
                <w:color w:val="auto"/>
                <w:lang w:eastAsia="zh-CN"/>
              </w:rPr>
              <w:t>VOC</w:t>
            </w:r>
            <w:r>
              <w:rPr>
                <w:rFonts w:hint="eastAsia"/>
                <w:color w:val="auto"/>
                <w:lang w:val="en-US" w:eastAsia="zh-CN"/>
              </w:rPr>
              <w:t>s</w:t>
            </w:r>
            <w:r>
              <w:rPr>
                <w:rFonts w:hint="default"/>
                <w:color w:val="auto"/>
              </w:rPr>
              <w:t>最大落地浓度均达到其相应环境质量标准，占标率均在10%以下，所以本项目喷漆车间无组织排放的漆雾、</w:t>
            </w:r>
            <w:r>
              <w:rPr>
                <w:rFonts w:hint="eastAsia"/>
                <w:color w:val="auto"/>
                <w:lang w:eastAsia="zh-CN"/>
              </w:rPr>
              <w:t>VOC</w:t>
            </w:r>
            <w:r>
              <w:rPr>
                <w:rFonts w:hint="eastAsia"/>
                <w:color w:val="auto"/>
                <w:lang w:val="en-US" w:eastAsia="zh-CN"/>
              </w:rPr>
              <w:t>s</w:t>
            </w:r>
            <w:r>
              <w:rPr>
                <w:rFonts w:hint="eastAsia"/>
                <w:color w:val="auto"/>
              </w:rPr>
              <w:t>对周围环境影响较小</w:t>
            </w:r>
            <w:r>
              <w:rPr>
                <w:color w:val="auto"/>
              </w:rPr>
              <w:t>。</w:t>
            </w:r>
          </w:p>
          <w:p>
            <w:pPr>
              <w:adjustRightInd w:val="0"/>
              <w:snapToGrid w:val="0"/>
              <w:spacing w:line="360" w:lineRule="auto"/>
              <w:ind w:firstLine="480"/>
              <w:rPr>
                <w:color w:val="auto"/>
              </w:rPr>
            </w:pPr>
            <w:r>
              <w:rPr>
                <w:rFonts w:hint="eastAsia"/>
                <w:color w:val="auto"/>
                <w:lang w:eastAsia="zh-CN"/>
              </w:rPr>
              <w:t>（</w:t>
            </w:r>
            <w:r>
              <w:rPr>
                <w:rFonts w:hint="eastAsia"/>
                <w:color w:val="auto"/>
                <w:lang w:val="en-US" w:eastAsia="zh-CN"/>
              </w:rPr>
              <w:t>8</w:t>
            </w:r>
            <w:r>
              <w:rPr>
                <w:rFonts w:hint="eastAsia"/>
                <w:color w:val="auto"/>
                <w:lang w:eastAsia="zh-CN"/>
              </w:rPr>
              <w:t>）</w:t>
            </w:r>
            <w:r>
              <w:rPr>
                <w:color w:val="auto"/>
              </w:rPr>
              <w:t>大气环境防护距离</w:t>
            </w:r>
          </w:p>
          <w:p>
            <w:pPr>
              <w:adjustRightInd w:val="0"/>
              <w:snapToGrid w:val="0"/>
              <w:spacing w:line="360" w:lineRule="auto"/>
              <w:ind w:firstLine="480" w:firstLineChars="200"/>
              <w:rPr>
                <w:rFonts w:hint="eastAsia"/>
                <w:color w:val="auto"/>
                <w:lang w:eastAsia="zh-CN"/>
              </w:rPr>
            </w:pPr>
            <w:r>
              <w:rPr>
                <w:rFonts w:hint="eastAsia"/>
                <w:color w:val="auto"/>
                <w:lang w:eastAsia="zh-CN"/>
              </w:rPr>
              <w:t>本次项目大气评价等级为二级，按照《环境影响评价技术导则一大气环境》（HJ2.2-2018）规定8.7.5要求“对于项目厂界浓度满足大气污染物厂界浓度限值，但厂界外大气污染物短期贡献浓度超过环境质量浓度限值的，可以自厂界向外设置一定范围的大气环境防护区域，以确保大气环境防护区域外的污染物贡献浓度满足环境质量标准”，根据预测结果，本项目无组织排放的TSP、</w:t>
            </w:r>
            <w:r>
              <w:rPr>
                <w:rFonts w:hint="eastAsia"/>
                <w:color w:val="auto"/>
                <w:lang w:val="en-US" w:eastAsia="zh-CN"/>
              </w:rPr>
              <w:t>VOCs</w:t>
            </w:r>
            <w:r>
              <w:rPr>
                <w:rFonts w:hint="eastAsia"/>
                <w:color w:val="auto"/>
                <w:lang w:eastAsia="zh-CN"/>
              </w:rPr>
              <w:t>最大地面落地浓度分别满足《环境空气质量标准》(GB3095-2012)二级标准要求（TSP≤900ug/</w:t>
            </w:r>
            <w:r>
              <w:rPr>
                <w:rFonts w:hint="eastAsia"/>
                <w:color w:val="auto"/>
                <w:lang w:val="en-US" w:eastAsia="zh-CN"/>
              </w:rPr>
              <w:t>m</w:t>
            </w:r>
            <w:r>
              <w:rPr>
                <w:rFonts w:hint="eastAsia"/>
                <w:color w:val="auto"/>
                <w:vertAlign w:val="superscript"/>
                <w:lang w:val="en-US" w:eastAsia="zh-CN"/>
              </w:rPr>
              <w:t>3</w:t>
            </w:r>
            <w:r>
              <w:rPr>
                <w:rFonts w:hint="eastAsia"/>
                <w:color w:val="auto"/>
                <w:lang w:eastAsia="zh-CN"/>
              </w:rPr>
              <w:t>）、</w:t>
            </w:r>
            <w:r>
              <w:rPr>
                <w:rFonts w:hint="eastAsia"/>
                <w:color w:val="auto"/>
                <w:lang w:val="en-US" w:eastAsia="zh-CN"/>
              </w:rPr>
              <w:t>《环境影响评价技术导则-大气环境》HJ2.2-2018附录D中关于TVOC限值要求</w:t>
            </w:r>
            <w:r>
              <w:rPr>
                <w:rFonts w:hint="default"/>
                <w:color w:val="auto"/>
                <w:lang w:eastAsia="zh-CN"/>
              </w:rPr>
              <w:t>（T</w:t>
            </w:r>
            <w:r>
              <w:rPr>
                <w:rFonts w:hint="eastAsia"/>
                <w:color w:val="auto"/>
                <w:lang w:val="en-US" w:eastAsia="zh-CN"/>
              </w:rPr>
              <w:t>VOC</w:t>
            </w:r>
            <w:r>
              <w:rPr>
                <w:rFonts w:hint="default"/>
                <w:color w:val="auto"/>
                <w:lang w:eastAsia="zh-CN"/>
              </w:rPr>
              <w:t>≤</w:t>
            </w:r>
            <w:r>
              <w:rPr>
                <w:rFonts w:hint="eastAsia"/>
                <w:color w:val="auto"/>
                <w:lang w:val="en-US" w:eastAsia="zh-CN"/>
              </w:rPr>
              <w:t>600</w:t>
            </w:r>
            <w:r>
              <w:rPr>
                <w:rFonts w:hint="default"/>
                <w:color w:val="auto"/>
                <w:lang w:eastAsia="zh-CN"/>
              </w:rPr>
              <w:t>ug/</w:t>
            </w:r>
            <w:r>
              <w:rPr>
                <w:rFonts w:hint="eastAsia"/>
                <w:color w:val="auto"/>
                <w:lang w:val="en-US" w:eastAsia="zh-CN"/>
              </w:rPr>
              <w:t>m</w:t>
            </w:r>
            <w:r>
              <w:rPr>
                <w:rFonts w:hint="eastAsia"/>
                <w:color w:val="auto"/>
                <w:vertAlign w:val="superscript"/>
                <w:lang w:val="en-US" w:eastAsia="zh-CN"/>
              </w:rPr>
              <w:t>3</w:t>
            </w:r>
            <w:r>
              <w:rPr>
                <w:rFonts w:hint="default"/>
                <w:color w:val="auto"/>
                <w:lang w:eastAsia="zh-CN"/>
              </w:rPr>
              <w:t>）</w:t>
            </w:r>
            <w:r>
              <w:rPr>
                <w:rFonts w:hint="eastAsia"/>
                <w:color w:val="auto"/>
                <w:lang w:eastAsia="zh-CN"/>
              </w:rPr>
              <w:t>，故无需计算大气环境防护距离，无需设置大气环境防护区域。</w:t>
            </w:r>
          </w:p>
          <w:p>
            <w:pPr>
              <w:pStyle w:val="9"/>
              <w:adjustRightInd w:val="0"/>
              <w:snapToGrid w:val="0"/>
              <w:spacing w:line="360" w:lineRule="auto"/>
              <w:ind w:firstLine="0" w:firstLineChars="0"/>
              <w:rPr>
                <w:rFonts w:hint="default"/>
                <w:color w:val="auto"/>
              </w:rPr>
            </w:pPr>
            <w:r>
              <w:rPr>
                <w:rFonts w:hint="default"/>
                <w:color w:val="auto"/>
              </w:rPr>
              <w:t xml:space="preserve">    2、水环境影响分析</w:t>
            </w:r>
          </w:p>
          <w:p>
            <w:pPr>
              <w:keepNext w:val="0"/>
              <w:keepLines w:val="0"/>
              <w:widowControl/>
              <w:suppressLineNumbers w:val="0"/>
              <w:spacing w:line="360" w:lineRule="auto"/>
              <w:ind w:firstLine="480" w:firstLineChars="200"/>
              <w:jc w:val="left"/>
              <w:rPr>
                <w:rFonts w:hint="default"/>
                <w:color w:val="auto"/>
              </w:rPr>
            </w:pPr>
            <w:r>
              <w:rPr>
                <w:rFonts w:hint="eastAsia"/>
                <w:color w:val="auto"/>
                <w:lang w:eastAsia="zh-CN"/>
              </w:rPr>
              <w:t>本项目运营期五生产废水产生，项目区不设食宿，生活用水主要为饮用水，员工上厕使用园区公共卫生间，项目区无生活污水产生及排放，本项目运营期废水对周围环境影响小</w:t>
            </w:r>
            <w:r>
              <w:rPr>
                <w:rFonts w:hint="eastAsia"/>
                <w:color w:val="auto"/>
              </w:rPr>
              <w:t>。</w:t>
            </w:r>
          </w:p>
          <w:p>
            <w:pPr>
              <w:spacing w:line="360" w:lineRule="auto"/>
              <w:rPr>
                <w:rFonts w:hint="default"/>
                <w:color w:val="auto"/>
              </w:rPr>
            </w:pPr>
            <w:r>
              <w:rPr>
                <w:rFonts w:hint="default"/>
                <w:color w:val="auto"/>
              </w:rPr>
              <w:t>3、声环境影响分析</w:t>
            </w:r>
          </w:p>
          <w:p>
            <w:pPr>
              <w:spacing w:line="360" w:lineRule="auto"/>
              <w:rPr>
                <w:rFonts w:hint="default"/>
                <w:color w:val="auto"/>
              </w:rPr>
            </w:pPr>
            <w:r>
              <w:rPr>
                <w:rFonts w:hint="default"/>
                <w:color w:val="auto"/>
              </w:rPr>
              <w:t>1</w:t>
            </w:r>
            <w:r>
              <w:rPr>
                <w:rFonts w:hint="default"/>
                <w:color w:val="auto"/>
                <w:lang w:eastAsia="zh-CN"/>
              </w:rPr>
              <w:t>）</w:t>
            </w:r>
            <w:r>
              <w:rPr>
                <w:rFonts w:hint="default"/>
                <w:color w:val="auto"/>
              </w:rPr>
              <w:t>项目设备噪声产生情况</w:t>
            </w:r>
          </w:p>
          <w:p>
            <w:pPr>
              <w:spacing w:line="360" w:lineRule="auto"/>
              <w:rPr>
                <w:rFonts w:hint="default"/>
                <w:color w:val="auto"/>
              </w:rPr>
            </w:pPr>
            <w:r>
              <w:rPr>
                <w:rFonts w:hint="default"/>
                <w:color w:val="auto"/>
              </w:rPr>
              <w:t>项目营运期噪声主要为设备噪声，其中设备噪声源为</w:t>
            </w:r>
            <w:r>
              <w:rPr>
                <w:rFonts w:hint="eastAsia"/>
                <w:color w:val="auto"/>
                <w:lang w:eastAsia="zh-CN"/>
              </w:rPr>
              <w:t>剪板机、折弯机、液压机、卷板机等</w:t>
            </w:r>
            <w:r>
              <w:rPr>
                <w:rFonts w:hint="default"/>
                <w:color w:val="auto"/>
              </w:rPr>
              <w:t>，其主要噪声源强见表</w:t>
            </w:r>
            <w:r>
              <w:rPr>
                <w:rFonts w:hint="eastAsia"/>
                <w:color w:val="auto"/>
                <w:lang w:val="en-US" w:eastAsia="zh-CN"/>
              </w:rPr>
              <w:t>7-13</w:t>
            </w:r>
            <w:r>
              <w:rPr>
                <w:rFonts w:hint="default"/>
                <w:color w:val="auto"/>
                <w:lang w:val="en-US" w:eastAsia="zh-CN"/>
              </w:rPr>
              <w:t>。</w:t>
            </w:r>
          </w:p>
          <w:p>
            <w:pPr>
              <w:pStyle w:val="19"/>
              <w:bidi w:val="0"/>
              <w:rPr>
                <w:rFonts w:hint="default"/>
                <w:color w:val="auto"/>
              </w:rPr>
            </w:pPr>
            <w:r>
              <w:rPr>
                <w:rFonts w:hint="default"/>
                <w:color w:val="auto"/>
              </w:rPr>
              <w:t>表</w:t>
            </w:r>
            <w:r>
              <w:rPr>
                <w:rFonts w:hint="eastAsia"/>
                <w:color w:val="auto"/>
                <w:lang w:val="en-US" w:eastAsia="zh-CN"/>
              </w:rPr>
              <w:t>7-13</w:t>
            </w:r>
            <w:r>
              <w:rPr>
                <w:rFonts w:hint="default"/>
                <w:color w:val="auto"/>
              </w:rPr>
              <w:t xml:space="preserve">  运营期各类噪声源强及治理措施</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2222"/>
              <w:gridCol w:w="1100"/>
              <w:gridCol w:w="1913"/>
              <w:gridCol w:w="2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rPr>
                      <w:rFonts w:hint="eastAsia"/>
                      <w:color w:val="auto"/>
                      <w:lang w:val="en-US" w:eastAsia="zh-CN"/>
                    </w:rPr>
                  </w:pPr>
                  <w:r>
                    <w:rPr>
                      <w:rFonts w:hint="eastAsia"/>
                      <w:color w:val="auto"/>
                      <w:lang w:val="en-US" w:eastAsia="zh-CN"/>
                    </w:rPr>
                    <w:t>序号</w:t>
                  </w:r>
                </w:p>
              </w:tc>
              <w:tc>
                <w:tcPr>
                  <w:tcW w:w="1339" w:type="pct"/>
                  <w:noWrap w:val="0"/>
                  <w:vAlign w:val="center"/>
                </w:tcPr>
                <w:p>
                  <w:pPr>
                    <w:pStyle w:val="18"/>
                    <w:bidi w:val="0"/>
                    <w:rPr>
                      <w:rFonts w:hint="eastAsia"/>
                      <w:color w:val="auto"/>
                      <w:lang w:val="en-US" w:eastAsia="zh-CN"/>
                    </w:rPr>
                  </w:pPr>
                  <w:r>
                    <w:rPr>
                      <w:rFonts w:hint="eastAsia"/>
                      <w:color w:val="auto"/>
                      <w:lang w:val="en-US" w:eastAsia="zh-CN"/>
                    </w:rPr>
                    <w:t>设备名称</w:t>
                  </w:r>
                </w:p>
              </w:tc>
              <w:tc>
                <w:tcPr>
                  <w:tcW w:w="663" w:type="pct"/>
                  <w:noWrap w:val="0"/>
                  <w:vAlign w:val="center"/>
                </w:tcPr>
                <w:p>
                  <w:pPr>
                    <w:pStyle w:val="18"/>
                    <w:bidi w:val="0"/>
                    <w:rPr>
                      <w:rFonts w:hint="eastAsia"/>
                      <w:color w:val="auto"/>
                      <w:lang w:val="en-US" w:eastAsia="zh-CN"/>
                    </w:rPr>
                  </w:pPr>
                  <w:r>
                    <w:rPr>
                      <w:rFonts w:hint="eastAsia"/>
                      <w:color w:val="auto"/>
                      <w:lang w:val="en-US" w:eastAsia="zh-CN"/>
                    </w:rPr>
                    <w:t>数量</w:t>
                  </w:r>
                </w:p>
              </w:tc>
              <w:tc>
                <w:tcPr>
                  <w:tcW w:w="1153" w:type="pct"/>
                  <w:noWrap w:val="0"/>
                  <w:vAlign w:val="center"/>
                </w:tcPr>
                <w:p>
                  <w:pPr>
                    <w:pStyle w:val="18"/>
                    <w:bidi w:val="0"/>
                    <w:rPr>
                      <w:rFonts w:hint="eastAsia"/>
                      <w:color w:val="auto"/>
                      <w:lang w:val="en-US" w:eastAsia="zh-CN"/>
                    </w:rPr>
                  </w:pPr>
                  <w:r>
                    <w:rPr>
                      <w:rFonts w:hint="eastAsia"/>
                      <w:color w:val="auto"/>
                      <w:lang w:val="en-US" w:eastAsia="zh-CN"/>
                    </w:rPr>
                    <w:t>源强</w:t>
                  </w:r>
                </w:p>
              </w:tc>
              <w:tc>
                <w:tcPr>
                  <w:tcW w:w="1415" w:type="pct"/>
                  <w:noWrap w:val="0"/>
                  <w:vAlign w:val="center"/>
                </w:tcPr>
                <w:p>
                  <w:pPr>
                    <w:pStyle w:val="18"/>
                    <w:bidi w:val="0"/>
                    <w:rPr>
                      <w:rFonts w:hint="eastAsia"/>
                      <w:color w:val="auto"/>
                      <w:lang w:val="en-US" w:eastAsia="zh-CN"/>
                    </w:rPr>
                  </w:pPr>
                  <w:r>
                    <w:rPr>
                      <w:rFonts w:hint="eastAsia"/>
                      <w:color w:val="auto"/>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rPr>
                      <w:rFonts w:hint="default"/>
                      <w:color w:val="auto"/>
                      <w:lang w:val="en-US" w:eastAsia="zh-CN"/>
                    </w:rPr>
                  </w:pPr>
                  <w:r>
                    <w:rPr>
                      <w:rFonts w:hint="eastAsia"/>
                      <w:color w:val="auto"/>
                      <w:lang w:val="en-US" w:eastAsia="zh-CN"/>
                    </w:rPr>
                    <w:t>1</w:t>
                  </w:r>
                </w:p>
              </w:tc>
              <w:tc>
                <w:tcPr>
                  <w:tcW w:w="1339" w:type="pct"/>
                  <w:noWrap w:val="0"/>
                  <w:vAlign w:val="center"/>
                </w:tcPr>
                <w:p>
                  <w:pPr>
                    <w:pStyle w:val="18"/>
                    <w:bidi w:val="0"/>
                    <w:rPr>
                      <w:rFonts w:hint="eastAsia"/>
                      <w:color w:val="auto"/>
                      <w:lang w:val="en-US" w:eastAsia="zh-CN"/>
                    </w:rPr>
                  </w:pPr>
                  <w:r>
                    <w:rPr>
                      <w:rFonts w:hint="eastAsia"/>
                      <w:color w:val="auto"/>
                      <w:lang w:val="en-US" w:eastAsia="zh-CN"/>
                    </w:rPr>
                    <w:t>液压闸式剪板机</w:t>
                  </w:r>
                </w:p>
              </w:tc>
              <w:tc>
                <w:tcPr>
                  <w:tcW w:w="663" w:type="pct"/>
                  <w:noWrap w:val="0"/>
                  <w:vAlign w:val="center"/>
                </w:tcPr>
                <w:p>
                  <w:pPr>
                    <w:pStyle w:val="18"/>
                    <w:bidi w:val="0"/>
                    <w:rPr>
                      <w:rFonts w:hint="default"/>
                      <w:color w:val="auto"/>
                      <w:lang w:val="en-US" w:eastAsia="zh-CN"/>
                    </w:rPr>
                  </w:pPr>
                  <w:r>
                    <w:rPr>
                      <w:rFonts w:hint="eastAsia"/>
                      <w:color w:val="auto"/>
                      <w:lang w:val="en-US" w:eastAsia="zh-CN"/>
                    </w:rPr>
                    <w:t>1台</w:t>
                  </w:r>
                </w:p>
              </w:tc>
              <w:tc>
                <w:tcPr>
                  <w:tcW w:w="1153" w:type="pct"/>
                  <w:noWrap w:val="0"/>
                  <w:vAlign w:val="center"/>
                </w:tcPr>
                <w:p>
                  <w:pPr>
                    <w:pStyle w:val="18"/>
                    <w:bidi w:val="0"/>
                    <w:rPr>
                      <w:rFonts w:hint="default"/>
                      <w:color w:val="auto"/>
                      <w:lang w:val="en-US" w:eastAsia="zh-CN"/>
                    </w:rPr>
                  </w:pPr>
                  <w:r>
                    <w:rPr>
                      <w:rFonts w:hint="eastAsia"/>
                      <w:color w:val="auto"/>
                      <w:lang w:val="en-US" w:eastAsia="zh-CN"/>
                    </w:rPr>
                    <w:t>85</w:t>
                  </w:r>
                </w:p>
              </w:tc>
              <w:tc>
                <w:tcPr>
                  <w:tcW w:w="1415" w:type="pct"/>
                  <w:vMerge w:val="restart"/>
                  <w:noWrap w:val="0"/>
                  <w:vAlign w:val="center"/>
                </w:tcPr>
                <w:p>
                  <w:pPr>
                    <w:pStyle w:val="18"/>
                    <w:bidi w:val="0"/>
                    <w:rPr>
                      <w:rFonts w:hint="eastAsia"/>
                      <w:color w:val="auto"/>
                      <w:lang w:val="en-US" w:eastAsia="zh-CN"/>
                    </w:rPr>
                  </w:pPr>
                  <w:r>
                    <w:rPr>
                      <w:rFonts w:hint="eastAsia"/>
                      <w:color w:val="auto"/>
                      <w:lang w:val="en-US" w:eastAsia="zh-CN"/>
                    </w:rPr>
                    <w:t>低噪声设备、基础减震、车间隔声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rPr>
                      <w:rFonts w:hint="default"/>
                      <w:color w:val="auto"/>
                      <w:lang w:val="en-US" w:eastAsia="zh-CN"/>
                    </w:rPr>
                  </w:pPr>
                  <w:r>
                    <w:rPr>
                      <w:rFonts w:hint="eastAsia"/>
                      <w:color w:val="auto"/>
                      <w:lang w:val="en-US" w:eastAsia="zh-CN"/>
                    </w:rPr>
                    <w:t>2</w:t>
                  </w:r>
                </w:p>
              </w:tc>
              <w:tc>
                <w:tcPr>
                  <w:tcW w:w="1339" w:type="pct"/>
                  <w:noWrap w:val="0"/>
                  <w:vAlign w:val="center"/>
                </w:tcPr>
                <w:p>
                  <w:pPr>
                    <w:pStyle w:val="18"/>
                    <w:bidi w:val="0"/>
                    <w:rPr>
                      <w:rFonts w:hint="eastAsia"/>
                      <w:color w:val="auto"/>
                      <w:lang w:val="en-US" w:eastAsia="zh-CN"/>
                    </w:rPr>
                  </w:pPr>
                  <w:r>
                    <w:rPr>
                      <w:rFonts w:hint="eastAsia"/>
                      <w:color w:val="auto"/>
                      <w:lang w:val="en-US" w:eastAsia="zh-CN"/>
                    </w:rPr>
                    <w:t>液压板料折弯机</w:t>
                  </w:r>
                </w:p>
              </w:tc>
              <w:tc>
                <w:tcPr>
                  <w:tcW w:w="663" w:type="pct"/>
                  <w:noWrap w:val="0"/>
                  <w:vAlign w:val="center"/>
                </w:tcPr>
                <w:p>
                  <w:pPr>
                    <w:pStyle w:val="18"/>
                    <w:bidi w:val="0"/>
                    <w:rPr>
                      <w:rFonts w:hint="default"/>
                      <w:color w:val="auto"/>
                      <w:lang w:val="en-US" w:eastAsia="zh-CN"/>
                    </w:rPr>
                  </w:pPr>
                  <w:r>
                    <w:rPr>
                      <w:rFonts w:hint="eastAsia"/>
                      <w:color w:val="auto"/>
                      <w:lang w:val="en-US" w:eastAsia="zh-CN"/>
                    </w:rPr>
                    <w:t>1台</w:t>
                  </w:r>
                </w:p>
              </w:tc>
              <w:tc>
                <w:tcPr>
                  <w:tcW w:w="1153" w:type="pct"/>
                  <w:noWrap w:val="0"/>
                  <w:vAlign w:val="center"/>
                </w:tcPr>
                <w:p>
                  <w:pPr>
                    <w:pStyle w:val="18"/>
                    <w:bidi w:val="0"/>
                    <w:rPr>
                      <w:rFonts w:hint="default"/>
                      <w:color w:val="auto"/>
                      <w:lang w:val="en-US" w:eastAsia="zh-CN"/>
                    </w:rPr>
                  </w:pPr>
                  <w:r>
                    <w:rPr>
                      <w:rFonts w:hint="eastAsia"/>
                      <w:color w:val="auto"/>
                      <w:lang w:val="en-US" w:eastAsia="zh-CN"/>
                    </w:rPr>
                    <w:t>90</w:t>
                  </w:r>
                </w:p>
              </w:tc>
              <w:tc>
                <w:tcPr>
                  <w:tcW w:w="1415"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rPr>
                      <w:rFonts w:hint="default"/>
                      <w:color w:val="auto"/>
                      <w:lang w:val="en-US" w:eastAsia="zh-CN"/>
                    </w:rPr>
                  </w:pPr>
                  <w:r>
                    <w:rPr>
                      <w:rFonts w:hint="eastAsia"/>
                      <w:color w:val="auto"/>
                      <w:lang w:val="en-US" w:eastAsia="zh-CN"/>
                    </w:rPr>
                    <w:t>3</w:t>
                  </w:r>
                </w:p>
              </w:tc>
              <w:tc>
                <w:tcPr>
                  <w:tcW w:w="1339" w:type="pct"/>
                  <w:noWrap w:val="0"/>
                  <w:vAlign w:val="center"/>
                </w:tcPr>
                <w:p>
                  <w:pPr>
                    <w:pStyle w:val="18"/>
                    <w:bidi w:val="0"/>
                    <w:rPr>
                      <w:rFonts w:hint="eastAsia"/>
                      <w:color w:val="auto"/>
                      <w:lang w:val="en-US" w:eastAsia="zh-CN"/>
                    </w:rPr>
                  </w:pPr>
                  <w:r>
                    <w:rPr>
                      <w:rFonts w:hint="eastAsia"/>
                      <w:color w:val="auto"/>
                      <w:lang w:val="en-US" w:eastAsia="zh-CN"/>
                    </w:rPr>
                    <w:t>开式固定压力机</w:t>
                  </w:r>
                </w:p>
              </w:tc>
              <w:tc>
                <w:tcPr>
                  <w:tcW w:w="663" w:type="pct"/>
                  <w:noWrap w:val="0"/>
                  <w:vAlign w:val="center"/>
                </w:tcPr>
                <w:p>
                  <w:pPr>
                    <w:pStyle w:val="18"/>
                    <w:bidi w:val="0"/>
                    <w:rPr>
                      <w:rFonts w:hint="default"/>
                      <w:color w:val="auto"/>
                      <w:lang w:val="en-US" w:eastAsia="zh-CN"/>
                    </w:rPr>
                  </w:pPr>
                  <w:r>
                    <w:rPr>
                      <w:rFonts w:hint="eastAsia"/>
                      <w:color w:val="auto"/>
                      <w:lang w:val="en-US" w:eastAsia="zh-CN"/>
                    </w:rPr>
                    <w:t>3台</w:t>
                  </w:r>
                </w:p>
              </w:tc>
              <w:tc>
                <w:tcPr>
                  <w:tcW w:w="1153" w:type="pct"/>
                  <w:noWrap w:val="0"/>
                  <w:vAlign w:val="center"/>
                </w:tcPr>
                <w:p>
                  <w:pPr>
                    <w:pStyle w:val="18"/>
                    <w:bidi w:val="0"/>
                    <w:rPr>
                      <w:rFonts w:hint="default"/>
                      <w:color w:val="auto"/>
                      <w:lang w:val="en-US" w:eastAsia="zh-CN"/>
                    </w:rPr>
                  </w:pPr>
                  <w:r>
                    <w:rPr>
                      <w:rFonts w:hint="eastAsia"/>
                      <w:color w:val="auto"/>
                      <w:lang w:val="en-US" w:eastAsia="zh-CN"/>
                    </w:rPr>
                    <w:t>90</w:t>
                  </w:r>
                </w:p>
              </w:tc>
              <w:tc>
                <w:tcPr>
                  <w:tcW w:w="1415"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rPr>
                      <w:rFonts w:hint="default"/>
                      <w:color w:val="auto"/>
                      <w:lang w:val="en-US" w:eastAsia="zh-CN"/>
                    </w:rPr>
                  </w:pPr>
                  <w:r>
                    <w:rPr>
                      <w:rFonts w:hint="eastAsia"/>
                      <w:color w:val="auto"/>
                      <w:lang w:val="en-US" w:eastAsia="zh-CN"/>
                    </w:rPr>
                    <w:t>4</w:t>
                  </w:r>
                </w:p>
              </w:tc>
              <w:tc>
                <w:tcPr>
                  <w:tcW w:w="1339" w:type="pct"/>
                  <w:noWrap w:val="0"/>
                  <w:vAlign w:val="center"/>
                </w:tcPr>
                <w:p>
                  <w:pPr>
                    <w:pStyle w:val="18"/>
                    <w:bidi w:val="0"/>
                    <w:rPr>
                      <w:rFonts w:hint="eastAsia"/>
                      <w:color w:val="auto"/>
                      <w:lang w:val="en-US" w:eastAsia="zh-CN"/>
                    </w:rPr>
                  </w:pPr>
                  <w:r>
                    <w:rPr>
                      <w:rFonts w:hint="eastAsia"/>
                      <w:color w:val="auto"/>
                      <w:lang w:val="en-US" w:eastAsia="zh-CN"/>
                    </w:rPr>
                    <w:t>液压矫正机</w:t>
                  </w:r>
                </w:p>
              </w:tc>
              <w:tc>
                <w:tcPr>
                  <w:tcW w:w="663" w:type="pct"/>
                  <w:noWrap w:val="0"/>
                  <w:vAlign w:val="center"/>
                </w:tcPr>
                <w:p>
                  <w:pPr>
                    <w:pStyle w:val="18"/>
                    <w:bidi w:val="0"/>
                    <w:rPr>
                      <w:rFonts w:hint="default"/>
                      <w:color w:val="auto"/>
                      <w:lang w:val="en-US" w:eastAsia="zh-CN"/>
                    </w:rPr>
                  </w:pPr>
                  <w:r>
                    <w:rPr>
                      <w:rFonts w:hint="eastAsia"/>
                      <w:color w:val="auto"/>
                      <w:lang w:val="en-US" w:eastAsia="zh-CN"/>
                    </w:rPr>
                    <w:t>1台</w:t>
                  </w:r>
                </w:p>
              </w:tc>
              <w:tc>
                <w:tcPr>
                  <w:tcW w:w="1153" w:type="pct"/>
                  <w:noWrap w:val="0"/>
                  <w:vAlign w:val="center"/>
                </w:tcPr>
                <w:p>
                  <w:pPr>
                    <w:pStyle w:val="18"/>
                    <w:bidi w:val="0"/>
                    <w:rPr>
                      <w:rFonts w:hint="default"/>
                      <w:color w:val="auto"/>
                      <w:lang w:val="en-US" w:eastAsia="zh-CN"/>
                    </w:rPr>
                  </w:pPr>
                  <w:r>
                    <w:rPr>
                      <w:rFonts w:hint="eastAsia"/>
                      <w:color w:val="auto"/>
                      <w:lang w:val="en-US" w:eastAsia="zh-CN"/>
                    </w:rPr>
                    <w:t>80</w:t>
                  </w:r>
                </w:p>
              </w:tc>
              <w:tc>
                <w:tcPr>
                  <w:tcW w:w="1415"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rPr>
                      <w:rFonts w:hint="default"/>
                      <w:color w:val="auto"/>
                      <w:lang w:val="en-US" w:eastAsia="zh-CN"/>
                    </w:rPr>
                  </w:pPr>
                  <w:r>
                    <w:rPr>
                      <w:rFonts w:hint="eastAsia"/>
                      <w:color w:val="auto"/>
                      <w:lang w:val="en-US" w:eastAsia="zh-CN"/>
                    </w:rPr>
                    <w:t>5</w:t>
                  </w:r>
                </w:p>
              </w:tc>
              <w:tc>
                <w:tcPr>
                  <w:tcW w:w="1339" w:type="pct"/>
                  <w:noWrap w:val="0"/>
                  <w:vAlign w:val="center"/>
                </w:tcPr>
                <w:p>
                  <w:pPr>
                    <w:pStyle w:val="18"/>
                    <w:bidi w:val="0"/>
                    <w:rPr>
                      <w:rFonts w:hint="eastAsia"/>
                      <w:color w:val="auto"/>
                      <w:lang w:val="en-US" w:eastAsia="zh-CN"/>
                    </w:rPr>
                  </w:pPr>
                  <w:r>
                    <w:rPr>
                      <w:rFonts w:hint="eastAsia"/>
                      <w:color w:val="auto"/>
                      <w:lang w:val="en-US" w:eastAsia="zh-CN"/>
                    </w:rPr>
                    <w:t>摇臂钻床</w:t>
                  </w:r>
                </w:p>
              </w:tc>
              <w:tc>
                <w:tcPr>
                  <w:tcW w:w="663" w:type="pct"/>
                  <w:noWrap w:val="0"/>
                  <w:vAlign w:val="center"/>
                </w:tcPr>
                <w:p>
                  <w:pPr>
                    <w:pStyle w:val="18"/>
                    <w:bidi w:val="0"/>
                    <w:rPr>
                      <w:rFonts w:hint="default"/>
                      <w:color w:val="auto"/>
                      <w:lang w:val="en-US" w:eastAsia="zh-CN"/>
                    </w:rPr>
                  </w:pPr>
                  <w:r>
                    <w:rPr>
                      <w:rFonts w:hint="eastAsia"/>
                      <w:color w:val="auto"/>
                      <w:lang w:val="en-US" w:eastAsia="zh-CN"/>
                    </w:rPr>
                    <w:t>1台</w:t>
                  </w:r>
                </w:p>
              </w:tc>
              <w:tc>
                <w:tcPr>
                  <w:tcW w:w="1153" w:type="pct"/>
                  <w:noWrap w:val="0"/>
                  <w:vAlign w:val="center"/>
                </w:tcPr>
                <w:p>
                  <w:pPr>
                    <w:pStyle w:val="18"/>
                    <w:bidi w:val="0"/>
                    <w:rPr>
                      <w:rFonts w:hint="default"/>
                      <w:color w:val="auto"/>
                      <w:lang w:val="en-US" w:eastAsia="zh-CN"/>
                    </w:rPr>
                  </w:pPr>
                  <w:r>
                    <w:rPr>
                      <w:rFonts w:hint="eastAsia"/>
                      <w:color w:val="auto"/>
                      <w:lang w:val="en-US" w:eastAsia="zh-CN"/>
                    </w:rPr>
                    <w:t>80</w:t>
                  </w:r>
                </w:p>
              </w:tc>
              <w:tc>
                <w:tcPr>
                  <w:tcW w:w="1415"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rPr>
                      <w:rFonts w:hint="default"/>
                      <w:color w:val="auto"/>
                      <w:lang w:val="en-US" w:eastAsia="zh-CN"/>
                    </w:rPr>
                  </w:pPr>
                  <w:r>
                    <w:rPr>
                      <w:rFonts w:hint="eastAsia"/>
                      <w:color w:val="auto"/>
                      <w:lang w:val="en-US" w:eastAsia="zh-CN"/>
                    </w:rPr>
                    <w:t>6</w:t>
                  </w:r>
                </w:p>
              </w:tc>
              <w:tc>
                <w:tcPr>
                  <w:tcW w:w="1339" w:type="pct"/>
                  <w:noWrap w:val="0"/>
                  <w:vAlign w:val="center"/>
                </w:tcPr>
                <w:p>
                  <w:pPr>
                    <w:pStyle w:val="18"/>
                    <w:bidi w:val="0"/>
                    <w:rPr>
                      <w:rFonts w:hint="eastAsia"/>
                      <w:color w:val="auto"/>
                      <w:lang w:val="en-US" w:eastAsia="zh-CN"/>
                    </w:rPr>
                  </w:pPr>
                  <w:r>
                    <w:rPr>
                      <w:rFonts w:hint="eastAsia"/>
                      <w:color w:val="auto"/>
                      <w:lang w:val="en-US" w:eastAsia="zh-CN"/>
                    </w:rPr>
                    <w:t>卷板机</w:t>
                  </w:r>
                </w:p>
              </w:tc>
              <w:tc>
                <w:tcPr>
                  <w:tcW w:w="663" w:type="pct"/>
                  <w:noWrap w:val="0"/>
                  <w:vAlign w:val="center"/>
                </w:tcPr>
                <w:p>
                  <w:pPr>
                    <w:pStyle w:val="18"/>
                    <w:bidi w:val="0"/>
                    <w:rPr>
                      <w:rFonts w:hint="default"/>
                      <w:color w:val="auto"/>
                      <w:lang w:val="en-US" w:eastAsia="zh-CN"/>
                    </w:rPr>
                  </w:pPr>
                  <w:r>
                    <w:rPr>
                      <w:rFonts w:hint="eastAsia"/>
                      <w:color w:val="auto"/>
                      <w:lang w:val="en-US" w:eastAsia="zh-CN"/>
                    </w:rPr>
                    <w:t>1台</w:t>
                  </w:r>
                </w:p>
              </w:tc>
              <w:tc>
                <w:tcPr>
                  <w:tcW w:w="1153" w:type="pct"/>
                  <w:noWrap w:val="0"/>
                  <w:vAlign w:val="center"/>
                </w:tcPr>
                <w:p>
                  <w:pPr>
                    <w:pStyle w:val="18"/>
                    <w:bidi w:val="0"/>
                    <w:rPr>
                      <w:rFonts w:hint="default"/>
                      <w:color w:val="auto"/>
                      <w:lang w:val="en-US" w:eastAsia="zh-CN"/>
                    </w:rPr>
                  </w:pPr>
                  <w:r>
                    <w:rPr>
                      <w:rFonts w:hint="eastAsia"/>
                      <w:color w:val="auto"/>
                      <w:lang w:val="en-US" w:eastAsia="zh-CN"/>
                    </w:rPr>
                    <w:t>85</w:t>
                  </w:r>
                </w:p>
              </w:tc>
              <w:tc>
                <w:tcPr>
                  <w:tcW w:w="1415"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rPr>
                      <w:rFonts w:hint="default"/>
                      <w:color w:val="auto"/>
                      <w:lang w:val="en-US" w:eastAsia="zh-CN"/>
                    </w:rPr>
                  </w:pPr>
                  <w:r>
                    <w:rPr>
                      <w:rFonts w:hint="eastAsia"/>
                      <w:color w:val="auto"/>
                      <w:lang w:val="en-US" w:eastAsia="zh-CN"/>
                    </w:rPr>
                    <w:t>7</w:t>
                  </w:r>
                </w:p>
              </w:tc>
              <w:tc>
                <w:tcPr>
                  <w:tcW w:w="1339" w:type="pct"/>
                  <w:noWrap w:val="0"/>
                  <w:vAlign w:val="center"/>
                </w:tcPr>
                <w:p>
                  <w:pPr>
                    <w:pStyle w:val="18"/>
                    <w:bidi w:val="0"/>
                    <w:rPr>
                      <w:rFonts w:hint="eastAsia"/>
                      <w:color w:val="auto"/>
                      <w:lang w:val="en-US" w:eastAsia="zh-CN"/>
                    </w:rPr>
                  </w:pPr>
                  <w:r>
                    <w:rPr>
                      <w:rFonts w:hint="eastAsia"/>
                      <w:color w:val="auto"/>
                      <w:lang w:val="en-US" w:eastAsia="zh-CN"/>
                    </w:rPr>
                    <w:t>四柱液压机</w:t>
                  </w:r>
                </w:p>
              </w:tc>
              <w:tc>
                <w:tcPr>
                  <w:tcW w:w="663" w:type="pct"/>
                  <w:noWrap w:val="0"/>
                  <w:vAlign w:val="center"/>
                </w:tcPr>
                <w:p>
                  <w:pPr>
                    <w:pStyle w:val="18"/>
                    <w:bidi w:val="0"/>
                    <w:rPr>
                      <w:rFonts w:hint="default"/>
                      <w:color w:val="auto"/>
                      <w:lang w:val="en-US" w:eastAsia="zh-CN"/>
                    </w:rPr>
                  </w:pPr>
                  <w:r>
                    <w:rPr>
                      <w:rFonts w:hint="eastAsia"/>
                      <w:color w:val="auto"/>
                      <w:lang w:val="en-US" w:eastAsia="zh-CN"/>
                    </w:rPr>
                    <w:t>1台</w:t>
                  </w:r>
                </w:p>
              </w:tc>
              <w:tc>
                <w:tcPr>
                  <w:tcW w:w="1153" w:type="pct"/>
                  <w:noWrap w:val="0"/>
                  <w:vAlign w:val="center"/>
                </w:tcPr>
                <w:p>
                  <w:pPr>
                    <w:pStyle w:val="18"/>
                    <w:bidi w:val="0"/>
                    <w:rPr>
                      <w:rFonts w:hint="default"/>
                      <w:color w:val="auto"/>
                      <w:lang w:val="en-US" w:eastAsia="zh-CN"/>
                    </w:rPr>
                  </w:pPr>
                  <w:r>
                    <w:rPr>
                      <w:rFonts w:hint="eastAsia"/>
                      <w:color w:val="auto"/>
                      <w:lang w:val="en-US" w:eastAsia="zh-CN"/>
                    </w:rPr>
                    <w:t>85</w:t>
                  </w:r>
                </w:p>
              </w:tc>
              <w:tc>
                <w:tcPr>
                  <w:tcW w:w="1415"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rPr>
                      <w:rFonts w:hint="default"/>
                      <w:color w:val="auto"/>
                      <w:lang w:val="en-US" w:eastAsia="zh-CN"/>
                    </w:rPr>
                  </w:pPr>
                  <w:r>
                    <w:rPr>
                      <w:rFonts w:hint="eastAsia"/>
                      <w:color w:val="auto"/>
                      <w:lang w:val="en-US" w:eastAsia="zh-CN"/>
                    </w:rPr>
                    <w:t>8</w:t>
                  </w:r>
                </w:p>
              </w:tc>
              <w:tc>
                <w:tcPr>
                  <w:tcW w:w="1339" w:type="pct"/>
                  <w:noWrap w:val="0"/>
                  <w:vAlign w:val="center"/>
                </w:tcPr>
                <w:p>
                  <w:pPr>
                    <w:pStyle w:val="18"/>
                    <w:bidi w:val="0"/>
                    <w:rPr>
                      <w:rFonts w:hint="eastAsia"/>
                      <w:color w:val="auto"/>
                      <w:lang w:val="en-US" w:eastAsia="zh-CN"/>
                    </w:rPr>
                  </w:pPr>
                  <w:r>
                    <w:rPr>
                      <w:rFonts w:hint="eastAsia"/>
                      <w:color w:val="auto"/>
                      <w:lang w:val="en-US" w:eastAsia="zh-CN"/>
                    </w:rPr>
                    <w:t>数控自动化切割机</w:t>
                  </w:r>
                </w:p>
              </w:tc>
              <w:tc>
                <w:tcPr>
                  <w:tcW w:w="663" w:type="pct"/>
                  <w:noWrap w:val="0"/>
                  <w:vAlign w:val="center"/>
                </w:tcPr>
                <w:p>
                  <w:pPr>
                    <w:pStyle w:val="18"/>
                    <w:bidi w:val="0"/>
                    <w:rPr>
                      <w:rFonts w:hint="default"/>
                      <w:color w:val="auto"/>
                      <w:lang w:val="en-US" w:eastAsia="zh-CN"/>
                    </w:rPr>
                  </w:pPr>
                  <w:r>
                    <w:rPr>
                      <w:rFonts w:hint="eastAsia"/>
                      <w:color w:val="auto"/>
                      <w:lang w:val="en-US" w:eastAsia="zh-CN"/>
                    </w:rPr>
                    <w:t>1套</w:t>
                  </w:r>
                </w:p>
              </w:tc>
              <w:tc>
                <w:tcPr>
                  <w:tcW w:w="1153" w:type="pct"/>
                  <w:noWrap w:val="0"/>
                  <w:vAlign w:val="center"/>
                </w:tcPr>
                <w:p>
                  <w:pPr>
                    <w:pStyle w:val="18"/>
                    <w:bidi w:val="0"/>
                    <w:rPr>
                      <w:rFonts w:hint="default"/>
                      <w:color w:val="auto"/>
                      <w:lang w:val="en-US" w:eastAsia="zh-CN"/>
                    </w:rPr>
                  </w:pPr>
                  <w:r>
                    <w:rPr>
                      <w:rFonts w:hint="eastAsia"/>
                      <w:color w:val="auto"/>
                      <w:lang w:val="en-US" w:eastAsia="zh-CN"/>
                    </w:rPr>
                    <w:t>90</w:t>
                  </w:r>
                </w:p>
              </w:tc>
              <w:tc>
                <w:tcPr>
                  <w:tcW w:w="1415"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rPr>
                      <w:rFonts w:hint="default"/>
                      <w:color w:val="auto"/>
                      <w:lang w:val="en-US" w:eastAsia="zh-CN"/>
                    </w:rPr>
                  </w:pPr>
                  <w:r>
                    <w:rPr>
                      <w:rFonts w:hint="eastAsia"/>
                      <w:color w:val="auto"/>
                      <w:lang w:val="en-US" w:eastAsia="zh-CN"/>
                    </w:rPr>
                    <w:t>9</w:t>
                  </w:r>
                </w:p>
              </w:tc>
              <w:tc>
                <w:tcPr>
                  <w:tcW w:w="1339" w:type="pct"/>
                  <w:noWrap w:val="0"/>
                  <w:vAlign w:val="center"/>
                </w:tcPr>
                <w:p>
                  <w:pPr>
                    <w:pStyle w:val="18"/>
                    <w:bidi w:val="0"/>
                    <w:rPr>
                      <w:rFonts w:hint="default"/>
                      <w:color w:val="auto"/>
                      <w:lang w:val="en-US" w:eastAsia="zh-CN"/>
                    </w:rPr>
                  </w:pPr>
                  <w:r>
                    <w:rPr>
                      <w:rFonts w:hint="eastAsia"/>
                      <w:color w:val="auto"/>
                      <w:lang w:val="en-US" w:eastAsia="zh-CN"/>
                    </w:rPr>
                    <w:t>焊机</w:t>
                  </w:r>
                </w:p>
              </w:tc>
              <w:tc>
                <w:tcPr>
                  <w:tcW w:w="663" w:type="pct"/>
                  <w:noWrap w:val="0"/>
                  <w:vAlign w:val="center"/>
                </w:tcPr>
                <w:p>
                  <w:pPr>
                    <w:pStyle w:val="18"/>
                    <w:bidi w:val="0"/>
                    <w:rPr>
                      <w:rFonts w:hint="default"/>
                      <w:color w:val="auto"/>
                      <w:lang w:val="en-US" w:eastAsia="zh-CN"/>
                    </w:rPr>
                  </w:pPr>
                  <w:r>
                    <w:rPr>
                      <w:rFonts w:hint="eastAsia"/>
                      <w:color w:val="auto"/>
                      <w:lang w:val="en-US" w:eastAsia="zh-CN"/>
                    </w:rPr>
                    <w:t>20套</w:t>
                  </w:r>
                </w:p>
              </w:tc>
              <w:tc>
                <w:tcPr>
                  <w:tcW w:w="1153" w:type="pct"/>
                  <w:noWrap w:val="0"/>
                  <w:vAlign w:val="center"/>
                </w:tcPr>
                <w:p>
                  <w:pPr>
                    <w:pStyle w:val="18"/>
                    <w:bidi w:val="0"/>
                    <w:rPr>
                      <w:rFonts w:hint="default"/>
                      <w:color w:val="auto"/>
                      <w:lang w:val="en-US" w:eastAsia="zh-CN"/>
                    </w:rPr>
                  </w:pPr>
                  <w:r>
                    <w:rPr>
                      <w:rFonts w:hint="eastAsia"/>
                      <w:color w:val="auto"/>
                      <w:lang w:val="en-US" w:eastAsia="zh-CN"/>
                    </w:rPr>
                    <w:t>75</w:t>
                  </w:r>
                </w:p>
              </w:tc>
              <w:tc>
                <w:tcPr>
                  <w:tcW w:w="1415"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rPr>
                      <w:rFonts w:hint="default"/>
                      <w:color w:val="auto"/>
                      <w:lang w:val="en-US" w:eastAsia="zh-CN"/>
                    </w:rPr>
                  </w:pPr>
                  <w:r>
                    <w:rPr>
                      <w:rFonts w:hint="eastAsia"/>
                      <w:color w:val="auto"/>
                      <w:lang w:val="en-US" w:eastAsia="zh-CN"/>
                    </w:rPr>
                    <w:t>10</w:t>
                  </w:r>
                </w:p>
              </w:tc>
              <w:tc>
                <w:tcPr>
                  <w:tcW w:w="1339" w:type="pct"/>
                  <w:noWrap w:val="0"/>
                  <w:vAlign w:val="center"/>
                </w:tcPr>
                <w:p>
                  <w:pPr>
                    <w:pStyle w:val="18"/>
                    <w:bidi w:val="0"/>
                    <w:rPr>
                      <w:rFonts w:hint="eastAsia"/>
                      <w:color w:val="auto"/>
                      <w:lang w:val="en-US" w:eastAsia="zh-CN"/>
                    </w:rPr>
                  </w:pPr>
                  <w:r>
                    <w:rPr>
                      <w:rFonts w:hint="eastAsia"/>
                      <w:color w:val="auto"/>
                      <w:lang w:val="en-US" w:eastAsia="zh-CN"/>
                    </w:rPr>
                    <w:t>手持切割机</w:t>
                  </w:r>
                </w:p>
              </w:tc>
              <w:tc>
                <w:tcPr>
                  <w:tcW w:w="663" w:type="pct"/>
                  <w:noWrap w:val="0"/>
                  <w:vAlign w:val="center"/>
                </w:tcPr>
                <w:p>
                  <w:pPr>
                    <w:pStyle w:val="18"/>
                    <w:bidi w:val="0"/>
                    <w:rPr>
                      <w:rFonts w:hint="default"/>
                      <w:color w:val="auto"/>
                      <w:lang w:val="en-US" w:eastAsia="zh-CN"/>
                    </w:rPr>
                  </w:pPr>
                  <w:r>
                    <w:rPr>
                      <w:rFonts w:hint="eastAsia"/>
                      <w:color w:val="auto"/>
                      <w:lang w:val="en-US" w:eastAsia="zh-CN"/>
                    </w:rPr>
                    <w:t>10套</w:t>
                  </w:r>
                </w:p>
              </w:tc>
              <w:tc>
                <w:tcPr>
                  <w:tcW w:w="1153" w:type="pct"/>
                  <w:noWrap w:val="0"/>
                  <w:vAlign w:val="center"/>
                </w:tcPr>
                <w:p>
                  <w:pPr>
                    <w:pStyle w:val="18"/>
                    <w:bidi w:val="0"/>
                    <w:rPr>
                      <w:rFonts w:hint="default"/>
                      <w:color w:val="auto"/>
                      <w:lang w:val="en-US" w:eastAsia="zh-CN"/>
                    </w:rPr>
                  </w:pPr>
                  <w:r>
                    <w:rPr>
                      <w:rFonts w:hint="eastAsia"/>
                      <w:color w:val="auto"/>
                      <w:lang w:val="en-US" w:eastAsia="zh-CN"/>
                    </w:rPr>
                    <w:t>85</w:t>
                  </w:r>
                </w:p>
              </w:tc>
              <w:tc>
                <w:tcPr>
                  <w:tcW w:w="1415"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ind w:right="0" w:rightChars="0"/>
                    <w:rPr>
                      <w:rFonts w:hint="default"/>
                      <w:color w:val="auto"/>
                      <w:lang w:val="en-US" w:eastAsia="zh-CN"/>
                    </w:rPr>
                  </w:pPr>
                  <w:r>
                    <w:rPr>
                      <w:rFonts w:hint="eastAsia"/>
                      <w:color w:val="auto"/>
                      <w:lang w:val="en-US" w:eastAsia="zh-CN"/>
                    </w:rPr>
                    <w:t>11</w:t>
                  </w:r>
                </w:p>
              </w:tc>
              <w:tc>
                <w:tcPr>
                  <w:tcW w:w="1339" w:type="pct"/>
                  <w:noWrap w:val="0"/>
                  <w:vAlign w:val="center"/>
                </w:tcPr>
                <w:p>
                  <w:pPr>
                    <w:pStyle w:val="18"/>
                    <w:bidi w:val="0"/>
                    <w:ind w:right="0" w:rightChars="0"/>
                    <w:rPr>
                      <w:rFonts w:hint="eastAsia"/>
                      <w:color w:val="auto"/>
                      <w:lang w:val="en-US" w:eastAsia="zh-CN"/>
                    </w:rPr>
                  </w:pPr>
                  <w:r>
                    <w:rPr>
                      <w:rFonts w:hint="eastAsia"/>
                      <w:color w:val="auto"/>
                      <w:lang w:val="en-US" w:eastAsia="zh-CN"/>
                    </w:rPr>
                    <w:t>行吊</w:t>
                  </w:r>
                </w:p>
              </w:tc>
              <w:tc>
                <w:tcPr>
                  <w:tcW w:w="663" w:type="pct"/>
                  <w:noWrap w:val="0"/>
                  <w:vAlign w:val="center"/>
                </w:tcPr>
                <w:p>
                  <w:pPr>
                    <w:pStyle w:val="18"/>
                    <w:bidi w:val="0"/>
                    <w:ind w:right="0" w:rightChars="0"/>
                    <w:rPr>
                      <w:rFonts w:hint="eastAsia"/>
                      <w:color w:val="auto"/>
                      <w:lang w:val="en-US" w:eastAsia="zh-CN"/>
                    </w:rPr>
                  </w:pPr>
                  <w:r>
                    <w:rPr>
                      <w:rFonts w:hint="eastAsia"/>
                      <w:color w:val="auto"/>
                      <w:lang w:val="en-US" w:eastAsia="zh-CN"/>
                    </w:rPr>
                    <w:t>6台</w:t>
                  </w:r>
                </w:p>
              </w:tc>
              <w:tc>
                <w:tcPr>
                  <w:tcW w:w="1153" w:type="pct"/>
                  <w:noWrap w:val="0"/>
                  <w:vAlign w:val="center"/>
                </w:tcPr>
                <w:p>
                  <w:pPr>
                    <w:pStyle w:val="18"/>
                    <w:bidi w:val="0"/>
                    <w:ind w:right="0" w:rightChars="0"/>
                    <w:rPr>
                      <w:rFonts w:hint="default"/>
                      <w:color w:val="auto"/>
                      <w:lang w:val="en-US" w:eastAsia="zh-CN"/>
                    </w:rPr>
                  </w:pPr>
                  <w:r>
                    <w:rPr>
                      <w:rFonts w:hint="eastAsia"/>
                      <w:color w:val="auto"/>
                      <w:lang w:val="en-US" w:eastAsia="zh-CN"/>
                    </w:rPr>
                    <w:t>80</w:t>
                  </w:r>
                </w:p>
              </w:tc>
              <w:tc>
                <w:tcPr>
                  <w:tcW w:w="1415" w:type="pct"/>
                  <w:vMerge w:val="continue"/>
                  <w:noWrap w:val="0"/>
                  <w:vAlign w:val="center"/>
                </w:tcPr>
                <w:p>
                  <w:pPr>
                    <w:pStyle w:val="18"/>
                    <w:bidi w:val="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noWrap w:val="0"/>
                  <w:vAlign w:val="center"/>
                </w:tcPr>
                <w:p>
                  <w:pPr>
                    <w:pStyle w:val="18"/>
                    <w:bidi w:val="0"/>
                    <w:ind w:right="0" w:rightChars="0"/>
                    <w:rPr>
                      <w:rFonts w:hint="default"/>
                      <w:color w:val="auto"/>
                      <w:lang w:val="en-US" w:eastAsia="zh-CN"/>
                    </w:rPr>
                  </w:pPr>
                  <w:r>
                    <w:rPr>
                      <w:rFonts w:hint="eastAsia"/>
                      <w:color w:val="auto"/>
                      <w:lang w:val="en-US" w:eastAsia="zh-CN"/>
                    </w:rPr>
                    <w:t>12</w:t>
                  </w:r>
                </w:p>
              </w:tc>
              <w:tc>
                <w:tcPr>
                  <w:tcW w:w="1339" w:type="pct"/>
                  <w:noWrap w:val="0"/>
                  <w:vAlign w:val="center"/>
                </w:tcPr>
                <w:p>
                  <w:pPr>
                    <w:pStyle w:val="18"/>
                    <w:bidi w:val="0"/>
                    <w:ind w:right="0" w:rightChars="0"/>
                    <w:rPr>
                      <w:rFonts w:hint="eastAsia"/>
                      <w:color w:val="auto"/>
                      <w:lang w:val="en-US" w:eastAsia="zh-CN"/>
                    </w:rPr>
                  </w:pPr>
                  <w:r>
                    <w:rPr>
                      <w:rFonts w:hint="eastAsia"/>
                      <w:color w:val="auto"/>
                      <w:lang w:val="en-US" w:eastAsia="zh-CN"/>
                    </w:rPr>
                    <w:t>空压机</w:t>
                  </w:r>
                </w:p>
              </w:tc>
              <w:tc>
                <w:tcPr>
                  <w:tcW w:w="663" w:type="pct"/>
                  <w:noWrap w:val="0"/>
                  <w:vAlign w:val="center"/>
                </w:tcPr>
                <w:p>
                  <w:pPr>
                    <w:pStyle w:val="18"/>
                    <w:bidi w:val="0"/>
                    <w:ind w:right="0" w:rightChars="0"/>
                    <w:rPr>
                      <w:rFonts w:hint="eastAsia"/>
                      <w:color w:val="auto"/>
                      <w:lang w:val="en-US" w:eastAsia="zh-CN"/>
                    </w:rPr>
                  </w:pPr>
                  <w:r>
                    <w:rPr>
                      <w:rFonts w:hint="eastAsia"/>
                      <w:color w:val="auto"/>
                      <w:lang w:val="en-US" w:eastAsia="zh-CN"/>
                    </w:rPr>
                    <w:t>1台</w:t>
                  </w:r>
                </w:p>
              </w:tc>
              <w:tc>
                <w:tcPr>
                  <w:tcW w:w="1153" w:type="pct"/>
                  <w:noWrap w:val="0"/>
                  <w:vAlign w:val="center"/>
                </w:tcPr>
                <w:p>
                  <w:pPr>
                    <w:pStyle w:val="18"/>
                    <w:bidi w:val="0"/>
                    <w:ind w:right="0" w:rightChars="0"/>
                    <w:rPr>
                      <w:rFonts w:hint="default"/>
                      <w:color w:val="auto"/>
                      <w:lang w:val="en-US" w:eastAsia="zh-CN"/>
                    </w:rPr>
                  </w:pPr>
                  <w:r>
                    <w:rPr>
                      <w:rFonts w:hint="eastAsia"/>
                      <w:color w:val="auto"/>
                      <w:lang w:val="en-US" w:eastAsia="zh-CN"/>
                    </w:rPr>
                    <w:t>90</w:t>
                  </w:r>
                </w:p>
              </w:tc>
              <w:tc>
                <w:tcPr>
                  <w:tcW w:w="1415" w:type="pct"/>
                  <w:vMerge w:val="continue"/>
                  <w:noWrap w:val="0"/>
                  <w:vAlign w:val="center"/>
                </w:tcPr>
                <w:p>
                  <w:pPr>
                    <w:pStyle w:val="18"/>
                    <w:bidi w:val="0"/>
                    <w:rPr>
                      <w:rFonts w:hint="eastAsia"/>
                      <w:color w:val="auto"/>
                      <w:lang w:val="en-US" w:eastAsia="zh-CN"/>
                    </w:rPr>
                  </w:pPr>
                </w:p>
              </w:tc>
            </w:tr>
          </w:tbl>
          <w:p>
            <w:pPr>
              <w:spacing w:line="360" w:lineRule="auto"/>
              <w:ind w:firstLine="480" w:firstLineChars="200"/>
              <w:rPr>
                <w:rFonts w:hint="default"/>
                <w:color w:val="auto"/>
              </w:rPr>
            </w:pPr>
            <w:r>
              <w:rPr>
                <w:rFonts w:hint="default"/>
                <w:color w:val="auto"/>
              </w:rPr>
              <w:t>项目拟采用将设备安置于车间内，</w:t>
            </w:r>
            <w:r>
              <w:rPr>
                <w:rFonts w:hint="default"/>
                <w:color w:val="auto"/>
                <w:lang w:eastAsia="zh-CN"/>
              </w:rPr>
              <w:t>通过遮挡衰减</w:t>
            </w:r>
            <w:r>
              <w:rPr>
                <w:rFonts w:hint="default"/>
                <w:color w:val="auto"/>
              </w:rPr>
              <w:t>，距离衰减来降低噪声对周围环境的影响。</w:t>
            </w:r>
          </w:p>
          <w:p>
            <w:pPr>
              <w:spacing w:line="360" w:lineRule="auto"/>
              <w:rPr>
                <w:rFonts w:hint="default"/>
                <w:color w:val="auto"/>
              </w:rPr>
            </w:pPr>
            <w:r>
              <w:rPr>
                <w:rFonts w:hint="default"/>
                <w:color w:val="auto"/>
              </w:rPr>
              <w:t>2）噪声叠加结果</w:t>
            </w:r>
          </w:p>
          <w:p>
            <w:pPr>
              <w:spacing w:line="360" w:lineRule="auto"/>
              <w:ind w:firstLine="480" w:firstLineChars="200"/>
              <w:rPr>
                <w:rFonts w:hint="default"/>
                <w:color w:val="auto"/>
                <w:lang w:eastAsia="zh-CN"/>
              </w:rPr>
            </w:pPr>
            <w:r>
              <w:rPr>
                <w:rFonts w:hint="default"/>
                <w:color w:val="auto"/>
                <w:lang w:eastAsia="zh-CN"/>
              </w:rPr>
              <w:t>A.预测因子</w:t>
            </w:r>
          </w:p>
          <w:p>
            <w:pPr>
              <w:spacing w:line="360" w:lineRule="auto"/>
              <w:ind w:firstLine="480" w:firstLineChars="200"/>
              <w:rPr>
                <w:rFonts w:hint="default"/>
                <w:color w:val="auto"/>
              </w:rPr>
            </w:pPr>
            <w:r>
              <w:rPr>
                <w:rFonts w:hint="default"/>
                <w:color w:val="auto"/>
              </w:rPr>
              <w:t>预测因子为厂界噪声LAeq。</w:t>
            </w:r>
          </w:p>
          <w:p>
            <w:pPr>
              <w:spacing w:line="360" w:lineRule="auto"/>
              <w:ind w:firstLine="480" w:firstLineChars="200"/>
              <w:rPr>
                <w:rFonts w:hint="default"/>
                <w:color w:val="auto"/>
                <w:lang w:eastAsia="zh-CN"/>
              </w:rPr>
            </w:pPr>
            <w:bookmarkStart w:id="88" w:name="_Toc279752064"/>
            <w:bookmarkStart w:id="89" w:name="_Toc266436926"/>
            <w:bookmarkStart w:id="90" w:name="_Toc23985"/>
            <w:r>
              <w:rPr>
                <w:rFonts w:hint="default"/>
                <w:color w:val="auto"/>
                <w:lang w:eastAsia="zh-CN"/>
              </w:rPr>
              <w:t>B.预测模式</w:t>
            </w:r>
            <w:bookmarkEnd w:id="88"/>
            <w:bookmarkEnd w:id="89"/>
            <w:bookmarkEnd w:id="90"/>
          </w:p>
          <w:p>
            <w:pPr>
              <w:spacing w:line="360" w:lineRule="auto"/>
              <w:ind w:firstLine="480" w:firstLineChars="200"/>
              <w:rPr>
                <w:rFonts w:hint="default"/>
                <w:color w:val="auto"/>
                <w:lang w:eastAsia="zh-CN"/>
              </w:rPr>
            </w:pPr>
            <w:bookmarkStart w:id="91" w:name="_Toc191998319"/>
            <w:bookmarkStart w:id="92" w:name="_Toc227575400"/>
            <w:bookmarkStart w:id="93" w:name="_Toc188836952"/>
            <w:bookmarkStart w:id="94" w:name="_Toc193167157"/>
            <w:bookmarkStart w:id="95" w:name="_Toc243373957"/>
            <w:r>
              <w:rPr>
                <w:rFonts w:hint="default"/>
                <w:color w:val="auto"/>
                <w:lang w:eastAsia="zh-CN"/>
              </w:rPr>
              <w:t>①噪声衰减公式</w:t>
            </w:r>
          </w:p>
          <w:p>
            <w:pPr>
              <w:spacing w:line="360" w:lineRule="auto"/>
              <w:ind w:firstLine="480" w:firstLineChars="200"/>
              <w:rPr>
                <w:rFonts w:hint="default"/>
                <w:color w:val="auto"/>
              </w:rPr>
            </w:pPr>
            <w:r>
              <w:rPr>
                <w:rFonts w:hint="default"/>
                <w:color w:val="auto"/>
              </w:rPr>
              <w:t>L2</w:t>
            </w:r>
            <w:r>
              <w:rPr>
                <w:rFonts w:hint="default"/>
                <w:color w:val="auto"/>
                <w:lang w:val="en-IE"/>
              </w:rPr>
              <w:t>＝</w:t>
            </w:r>
            <w:r>
              <w:rPr>
                <w:rFonts w:hint="default"/>
                <w:color w:val="auto"/>
              </w:rPr>
              <w:t>L1</w:t>
            </w:r>
            <w:r>
              <w:rPr>
                <w:rFonts w:hint="default"/>
                <w:color w:val="auto"/>
                <w:lang w:val="en-IE"/>
              </w:rPr>
              <w:t>－</w:t>
            </w:r>
            <w:r>
              <w:rPr>
                <w:rFonts w:hint="default"/>
                <w:color w:val="auto"/>
              </w:rPr>
              <w:t>20lgr2/r1－△L</w:t>
            </w:r>
            <w:bookmarkEnd w:id="91"/>
            <w:bookmarkEnd w:id="92"/>
            <w:bookmarkEnd w:id="93"/>
            <w:bookmarkEnd w:id="94"/>
            <w:bookmarkEnd w:id="95"/>
          </w:p>
          <w:p>
            <w:pPr>
              <w:spacing w:line="360" w:lineRule="auto"/>
              <w:ind w:firstLine="480" w:firstLineChars="200"/>
              <w:rPr>
                <w:rFonts w:hint="default"/>
                <w:color w:val="auto"/>
              </w:rPr>
            </w:pPr>
            <w:r>
              <w:rPr>
                <w:rFonts w:hint="default"/>
                <w:color w:val="auto"/>
              </w:rPr>
              <w:t>式中：L2——距声源r2处声源值[dB(A)]；</w:t>
            </w:r>
          </w:p>
          <w:p>
            <w:pPr>
              <w:spacing w:line="360" w:lineRule="auto"/>
              <w:ind w:firstLine="480" w:firstLineChars="200"/>
              <w:rPr>
                <w:rFonts w:hint="default"/>
                <w:color w:val="auto"/>
              </w:rPr>
            </w:pPr>
            <w:r>
              <w:rPr>
                <w:rFonts w:hint="default"/>
                <w:color w:val="auto"/>
              </w:rPr>
              <w:t xml:space="preserve">      L1——距声源r1处声源值[dB(A)]；</w:t>
            </w:r>
          </w:p>
          <w:p>
            <w:pPr>
              <w:spacing w:line="360" w:lineRule="auto"/>
              <w:ind w:firstLine="480" w:firstLineChars="200"/>
              <w:rPr>
                <w:rFonts w:hint="default"/>
                <w:color w:val="auto"/>
              </w:rPr>
            </w:pPr>
            <w:r>
              <w:rPr>
                <w:rFonts w:hint="default"/>
                <w:color w:val="auto"/>
              </w:rPr>
              <w:t xml:space="preserve">      r2、r1——与声源的距离(m)；</w:t>
            </w:r>
          </w:p>
          <w:p>
            <w:pPr>
              <w:spacing w:line="360" w:lineRule="auto"/>
              <w:ind w:firstLine="480" w:firstLineChars="200"/>
              <w:rPr>
                <w:rFonts w:hint="default"/>
                <w:color w:val="auto"/>
              </w:rPr>
            </w:pPr>
            <w:r>
              <w:rPr>
                <w:rFonts w:hint="default"/>
                <w:color w:val="auto"/>
              </w:rPr>
              <w:t xml:space="preserve">      △L——场界围墙引起的衰减量。</w:t>
            </w:r>
          </w:p>
          <w:p>
            <w:pPr>
              <w:spacing w:line="360" w:lineRule="auto"/>
              <w:ind w:firstLine="480" w:firstLineChars="200"/>
              <w:rPr>
                <w:rFonts w:hint="default"/>
                <w:color w:val="auto"/>
              </w:rPr>
            </w:pPr>
            <w:r>
              <w:rPr>
                <w:rFonts w:hint="default"/>
                <w:color w:val="auto"/>
              </w:rPr>
              <w:t>关于</w:t>
            </w:r>
            <w:r>
              <w:rPr>
                <w:rFonts w:hint="default"/>
                <w:color w:val="auto"/>
              </w:rPr>
              <w:sym w:font="Symbol" w:char="F044"/>
            </w:r>
            <w:r>
              <w:rPr>
                <w:rFonts w:hint="default"/>
                <w:color w:val="auto"/>
              </w:rPr>
              <w:t>L的取值，其影响因素很多，据工程特点忽略天气、温度、地面状况等因素，主要考虑建筑反射等，本项目取</w:t>
            </w:r>
            <w:r>
              <w:rPr>
                <w:rFonts w:hint="default"/>
                <w:color w:val="auto"/>
                <w:lang w:val="en-US" w:eastAsia="zh-CN"/>
              </w:rPr>
              <w:t>15</w:t>
            </w:r>
            <w:r>
              <w:rPr>
                <w:rFonts w:hint="default"/>
                <w:color w:val="auto"/>
              </w:rPr>
              <w:t>dB(A)。</w:t>
            </w:r>
          </w:p>
          <w:p>
            <w:pPr>
              <w:spacing w:line="360" w:lineRule="auto"/>
              <w:ind w:firstLine="480" w:firstLineChars="200"/>
              <w:rPr>
                <w:rFonts w:hint="default"/>
                <w:color w:val="auto"/>
              </w:rPr>
            </w:pPr>
            <w:r>
              <w:rPr>
                <w:rFonts w:hint="default"/>
                <w:color w:val="auto"/>
                <w:lang w:eastAsia="zh-CN"/>
              </w:rPr>
              <w:t>②</w:t>
            </w:r>
            <w:r>
              <w:rPr>
                <w:rFonts w:hint="default"/>
                <w:color w:val="auto"/>
              </w:rPr>
              <w:t>噪声</w:t>
            </w:r>
            <w:r>
              <w:rPr>
                <w:rFonts w:hint="default"/>
                <w:color w:val="auto"/>
                <w:lang w:eastAsia="zh-CN"/>
              </w:rPr>
              <w:t>叠加</w:t>
            </w:r>
            <w:r>
              <w:rPr>
                <w:rFonts w:hint="default"/>
                <w:color w:val="auto"/>
              </w:rPr>
              <w:t>公式</w:t>
            </w:r>
          </w:p>
          <w:p>
            <w:pPr>
              <w:spacing w:line="360" w:lineRule="auto"/>
              <w:ind w:firstLine="480" w:firstLineChars="200"/>
              <w:rPr>
                <w:rFonts w:hint="default"/>
                <w:color w:val="auto"/>
              </w:rPr>
            </w:pPr>
            <w:r>
              <w:rPr>
                <w:rFonts w:hint="default"/>
                <w:color w:val="auto"/>
              </w:rPr>
              <w:object>
                <v:shape id="_x0000_i1028" o:spt="75" type="#_x0000_t75" style="height:33pt;width:105pt;" o:ole="t" filled="f" o:preferrelative="t" stroked="f" coordsize="21600,21600">
                  <v:path/>
                  <v:fill on="f" focussize="0,0"/>
                  <v:stroke on="f"/>
                  <v:imagedata r:id="rId18" o:title=""/>
                  <o:lock v:ext="edit" aspectratio="t"/>
                  <w10:wrap type="none"/>
                  <w10:anchorlock/>
                </v:shape>
                <o:OLEObject Type="Embed" ProgID="Equation.3" ShapeID="_x0000_i1028" DrawAspect="Content" ObjectID="_1468075728" r:id="rId17">
                  <o:LockedField>false</o:LockedField>
                </o:OLEObject>
              </w:object>
            </w:r>
          </w:p>
          <w:p>
            <w:pPr>
              <w:spacing w:line="360" w:lineRule="auto"/>
              <w:ind w:firstLine="480" w:firstLineChars="200"/>
              <w:rPr>
                <w:rFonts w:hint="default"/>
                <w:color w:val="auto"/>
              </w:rPr>
            </w:pPr>
            <w:r>
              <w:rPr>
                <w:rFonts w:hint="default"/>
                <w:color w:val="auto"/>
              </w:rPr>
              <w:t>式中：Li——第i个声源的噪声值，dB(A)；</w:t>
            </w:r>
          </w:p>
          <w:p>
            <w:pPr>
              <w:spacing w:line="360" w:lineRule="auto"/>
              <w:ind w:firstLine="480" w:firstLineChars="200"/>
              <w:rPr>
                <w:rFonts w:hint="default"/>
                <w:color w:val="auto"/>
              </w:rPr>
            </w:pPr>
            <w:r>
              <w:rPr>
                <w:rFonts w:hint="default"/>
                <w:color w:val="auto"/>
              </w:rPr>
              <w:t xml:space="preserve">      L——某点噪声总叠加值，dB(A)；</w:t>
            </w:r>
          </w:p>
          <w:p>
            <w:pPr>
              <w:spacing w:line="360" w:lineRule="auto"/>
              <w:ind w:firstLine="480" w:firstLineChars="200"/>
              <w:rPr>
                <w:rFonts w:hint="default"/>
                <w:color w:val="auto"/>
              </w:rPr>
            </w:pPr>
            <w:r>
              <w:rPr>
                <w:rFonts w:hint="default"/>
                <w:color w:val="auto"/>
              </w:rPr>
              <w:t xml:space="preserve">      n——声源个数。</w:t>
            </w:r>
          </w:p>
          <w:p>
            <w:pPr>
              <w:spacing w:line="360" w:lineRule="auto"/>
              <w:ind w:firstLine="480" w:firstLineChars="200"/>
              <w:rPr>
                <w:rFonts w:hint="default"/>
                <w:color w:val="auto"/>
                <w:lang w:eastAsia="zh-CN"/>
              </w:rPr>
            </w:pPr>
            <w:bookmarkStart w:id="96" w:name="_Toc279752065"/>
            <w:bookmarkStart w:id="97" w:name="_Toc266436927"/>
            <w:bookmarkStart w:id="98" w:name="_Toc1724"/>
            <w:r>
              <w:rPr>
                <w:rFonts w:hint="default"/>
                <w:color w:val="auto"/>
                <w:lang w:eastAsia="zh-CN"/>
              </w:rPr>
              <w:t>C.</w:t>
            </w:r>
            <w:bookmarkEnd w:id="96"/>
            <w:bookmarkEnd w:id="97"/>
            <w:r>
              <w:rPr>
                <w:rFonts w:hint="default"/>
                <w:color w:val="auto"/>
                <w:lang w:eastAsia="zh-CN"/>
              </w:rPr>
              <w:t>厂界噪声预测结果</w:t>
            </w:r>
            <w:bookmarkEnd w:id="98"/>
          </w:p>
          <w:p>
            <w:pPr>
              <w:spacing w:line="360" w:lineRule="auto"/>
              <w:ind w:firstLine="480" w:firstLineChars="200"/>
              <w:rPr>
                <w:rFonts w:hint="default"/>
                <w:color w:val="auto"/>
              </w:rPr>
            </w:pPr>
            <w:r>
              <w:rPr>
                <w:rFonts w:hint="default"/>
                <w:color w:val="auto"/>
              </w:rPr>
              <w:t>根据项目执行标准要求，厂界噪声按《工业企业厂界环境噪声排放标准》（GB12348-2008）2类标准要求考虑，其标准值如下：昼间：LAeq≤60dB(A) 、夜间：LAeq≤50dB(A)。</w:t>
            </w:r>
          </w:p>
          <w:p>
            <w:pPr>
              <w:spacing w:line="360" w:lineRule="auto"/>
              <w:ind w:firstLine="480" w:firstLineChars="200"/>
              <w:rPr>
                <w:rFonts w:hint="default"/>
                <w:color w:val="auto"/>
              </w:rPr>
            </w:pPr>
            <w:r>
              <w:rPr>
                <w:rFonts w:hint="default"/>
                <w:color w:val="auto"/>
              </w:rPr>
              <w:t>根据 HJ2.4-2009《环境影响评价技术导则 声环境》9.2条规定，“进行边界噪声评价时，新建建设项目以工程噪声贡献值作为评价量；改扩建建设项目以工程噪声贡献值与受到现有工程影响的边界噪声值叠加后的预测值作为评价量。”本项目为新建项目，以工程噪声贡献值作为评价量。</w:t>
            </w:r>
          </w:p>
          <w:p>
            <w:pPr>
              <w:spacing w:line="360" w:lineRule="auto"/>
              <w:ind w:firstLine="480" w:firstLineChars="200"/>
              <w:rPr>
                <w:rFonts w:hint="default"/>
                <w:color w:val="auto"/>
              </w:rPr>
            </w:pPr>
            <w:r>
              <w:rPr>
                <w:rFonts w:hint="default"/>
                <w:color w:val="auto"/>
              </w:rPr>
              <w:t xml:space="preserve">本次噪声预测根据主要产噪声设备的平面布置进行叠加预测，根据项目总平面图，各预测结果汇总见下表： </w:t>
            </w:r>
          </w:p>
          <w:p>
            <w:pPr>
              <w:pStyle w:val="19"/>
              <w:bidi w:val="0"/>
              <w:rPr>
                <w:rFonts w:hint="default"/>
                <w:color w:val="auto"/>
                <w:lang w:val="zh-CN"/>
              </w:rPr>
            </w:pPr>
            <w:r>
              <w:rPr>
                <w:rFonts w:hint="default"/>
                <w:color w:val="auto"/>
              </w:rPr>
              <w:t>表7-</w:t>
            </w:r>
            <w:r>
              <w:rPr>
                <w:rFonts w:hint="eastAsia"/>
                <w:color w:val="auto"/>
                <w:lang w:val="en-US" w:eastAsia="zh-CN"/>
              </w:rPr>
              <w:t>14</w:t>
            </w:r>
            <w:r>
              <w:rPr>
                <w:rFonts w:hint="default"/>
                <w:color w:val="auto"/>
              </w:rPr>
              <w:t xml:space="preserve">  </w:t>
            </w:r>
            <w:r>
              <w:rPr>
                <w:rFonts w:hint="eastAsia"/>
                <w:color w:val="auto"/>
                <w:lang w:val="zh-CN"/>
              </w:rPr>
              <w:t>个厂界噪声预测结果</w:t>
            </w:r>
            <w:r>
              <w:rPr>
                <w:rFonts w:hint="default"/>
                <w:color w:val="auto"/>
                <w:lang w:val="zh-CN"/>
              </w:rPr>
              <w:t xml:space="preserve">   单位：dB（A）</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noWrap w:val="0"/>
                  <w:vAlign w:val="top"/>
                </w:tcPr>
                <w:p>
                  <w:pPr>
                    <w:pStyle w:val="18"/>
                    <w:bidi w:val="0"/>
                    <w:rPr>
                      <w:rFonts w:hint="eastAsia"/>
                      <w:color w:val="auto"/>
                      <w:lang w:eastAsia="zh-CN"/>
                    </w:rPr>
                  </w:pPr>
                  <w:r>
                    <w:rPr>
                      <w:rFonts w:hint="eastAsia"/>
                      <w:color w:val="auto"/>
                      <w:lang w:eastAsia="zh-CN"/>
                    </w:rPr>
                    <w:t>预测编号</w:t>
                  </w:r>
                </w:p>
              </w:tc>
              <w:tc>
                <w:tcPr>
                  <w:tcW w:w="2076" w:type="dxa"/>
                  <w:noWrap w:val="0"/>
                  <w:vAlign w:val="top"/>
                </w:tcPr>
                <w:p>
                  <w:pPr>
                    <w:pStyle w:val="18"/>
                    <w:bidi w:val="0"/>
                    <w:rPr>
                      <w:rFonts w:hint="eastAsia"/>
                      <w:color w:val="auto"/>
                      <w:lang w:eastAsia="zh-CN"/>
                    </w:rPr>
                  </w:pPr>
                  <w:r>
                    <w:rPr>
                      <w:rFonts w:hint="eastAsia"/>
                      <w:color w:val="auto"/>
                      <w:lang w:eastAsia="zh-CN"/>
                    </w:rPr>
                    <w:t>预测贡献值</w:t>
                  </w:r>
                </w:p>
              </w:tc>
              <w:tc>
                <w:tcPr>
                  <w:tcW w:w="2077" w:type="dxa"/>
                  <w:noWrap w:val="0"/>
                  <w:vAlign w:val="top"/>
                </w:tcPr>
                <w:p>
                  <w:pPr>
                    <w:pStyle w:val="18"/>
                    <w:bidi w:val="0"/>
                    <w:rPr>
                      <w:rFonts w:hint="eastAsia"/>
                      <w:color w:val="auto"/>
                      <w:lang w:eastAsia="zh-CN"/>
                    </w:rPr>
                  </w:pPr>
                  <w:r>
                    <w:rPr>
                      <w:rFonts w:hint="eastAsia"/>
                      <w:color w:val="auto"/>
                      <w:lang w:eastAsia="zh-CN"/>
                    </w:rPr>
                    <w:t>标准限值</w:t>
                  </w:r>
                </w:p>
              </w:tc>
              <w:tc>
                <w:tcPr>
                  <w:tcW w:w="2077" w:type="dxa"/>
                  <w:noWrap w:val="0"/>
                  <w:vAlign w:val="top"/>
                </w:tcPr>
                <w:p>
                  <w:pPr>
                    <w:pStyle w:val="18"/>
                    <w:bidi w:val="0"/>
                    <w:rPr>
                      <w:rFonts w:hint="eastAsia"/>
                      <w:color w:val="auto"/>
                      <w:lang w:eastAsia="zh-CN"/>
                    </w:rPr>
                  </w:pPr>
                  <w:r>
                    <w:rPr>
                      <w:rFonts w:hint="eastAsia"/>
                      <w:color w:val="auto"/>
                      <w:lang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noWrap w:val="0"/>
                  <w:vAlign w:val="top"/>
                </w:tcPr>
                <w:p>
                  <w:pPr>
                    <w:pStyle w:val="18"/>
                    <w:bidi w:val="0"/>
                    <w:rPr>
                      <w:rFonts w:hint="eastAsia"/>
                      <w:color w:val="auto"/>
                      <w:lang w:eastAsia="zh-CN"/>
                    </w:rPr>
                  </w:pPr>
                  <w:r>
                    <w:rPr>
                      <w:rFonts w:hint="eastAsia"/>
                      <w:color w:val="auto"/>
                      <w:lang w:eastAsia="zh-CN"/>
                    </w:rPr>
                    <w:t>东厂界</w:t>
                  </w:r>
                </w:p>
              </w:tc>
              <w:tc>
                <w:tcPr>
                  <w:tcW w:w="2076" w:type="dxa"/>
                  <w:noWrap w:val="0"/>
                  <w:vAlign w:val="top"/>
                </w:tcPr>
                <w:p>
                  <w:pPr>
                    <w:pStyle w:val="18"/>
                    <w:bidi w:val="0"/>
                    <w:rPr>
                      <w:rFonts w:hint="default"/>
                      <w:color w:val="auto"/>
                      <w:lang w:val="en-US" w:eastAsia="zh-CN"/>
                    </w:rPr>
                  </w:pPr>
                  <w:r>
                    <w:rPr>
                      <w:rFonts w:hint="eastAsia"/>
                      <w:color w:val="auto"/>
                      <w:lang w:val="en-US" w:eastAsia="zh-CN"/>
                    </w:rPr>
                    <w:t>41</w:t>
                  </w:r>
                </w:p>
              </w:tc>
              <w:tc>
                <w:tcPr>
                  <w:tcW w:w="2077" w:type="dxa"/>
                  <w:noWrap w:val="0"/>
                  <w:vAlign w:val="top"/>
                </w:tcPr>
                <w:p>
                  <w:pPr>
                    <w:pStyle w:val="18"/>
                    <w:bidi w:val="0"/>
                    <w:rPr>
                      <w:rFonts w:hint="default"/>
                      <w:color w:val="auto"/>
                      <w:lang w:val="en-US" w:eastAsia="zh-CN"/>
                    </w:rPr>
                  </w:pPr>
                  <w:r>
                    <w:rPr>
                      <w:rFonts w:hint="eastAsia"/>
                      <w:color w:val="auto"/>
                      <w:lang w:val="en-US" w:eastAsia="zh-CN"/>
                    </w:rPr>
                    <w:t>65</w:t>
                  </w:r>
                </w:p>
              </w:tc>
              <w:tc>
                <w:tcPr>
                  <w:tcW w:w="2077" w:type="dxa"/>
                  <w:noWrap w:val="0"/>
                  <w:vAlign w:val="top"/>
                </w:tcPr>
                <w:p>
                  <w:pPr>
                    <w:pStyle w:val="18"/>
                    <w:bidi w:val="0"/>
                    <w:rPr>
                      <w:rFonts w:hint="eastAsia"/>
                      <w:color w:val="auto"/>
                      <w:lang w:eastAsia="zh-CN"/>
                    </w:rPr>
                  </w:pPr>
                  <w:r>
                    <w:rPr>
                      <w:rFonts w:hint="eastAsia"/>
                      <w:color w:val="auto"/>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noWrap w:val="0"/>
                  <w:vAlign w:val="top"/>
                </w:tcPr>
                <w:p>
                  <w:pPr>
                    <w:pStyle w:val="18"/>
                    <w:bidi w:val="0"/>
                    <w:rPr>
                      <w:rFonts w:hint="eastAsia"/>
                      <w:color w:val="auto"/>
                      <w:lang w:eastAsia="zh-CN"/>
                    </w:rPr>
                  </w:pPr>
                  <w:r>
                    <w:rPr>
                      <w:rFonts w:hint="eastAsia"/>
                      <w:color w:val="auto"/>
                      <w:lang w:eastAsia="zh-CN"/>
                    </w:rPr>
                    <w:t>南厂界</w:t>
                  </w:r>
                </w:p>
              </w:tc>
              <w:tc>
                <w:tcPr>
                  <w:tcW w:w="2076" w:type="dxa"/>
                  <w:noWrap w:val="0"/>
                  <w:vAlign w:val="top"/>
                </w:tcPr>
                <w:p>
                  <w:pPr>
                    <w:pStyle w:val="18"/>
                    <w:bidi w:val="0"/>
                    <w:rPr>
                      <w:rFonts w:hint="default"/>
                      <w:color w:val="auto"/>
                      <w:lang w:val="en-US" w:eastAsia="zh-CN"/>
                    </w:rPr>
                  </w:pPr>
                  <w:r>
                    <w:rPr>
                      <w:rFonts w:hint="eastAsia"/>
                      <w:color w:val="auto"/>
                      <w:lang w:val="en-US" w:eastAsia="zh-CN"/>
                    </w:rPr>
                    <w:t>56</w:t>
                  </w:r>
                </w:p>
              </w:tc>
              <w:tc>
                <w:tcPr>
                  <w:tcW w:w="2077" w:type="dxa"/>
                  <w:noWrap w:val="0"/>
                  <w:vAlign w:val="top"/>
                </w:tcPr>
                <w:p>
                  <w:pPr>
                    <w:pStyle w:val="18"/>
                    <w:bidi w:val="0"/>
                    <w:rPr>
                      <w:rFonts w:hint="default"/>
                      <w:color w:val="auto"/>
                      <w:lang w:val="en-US" w:eastAsia="zh-CN"/>
                    </w:rPr>
                  </w:pPr>
                  <w:r>
                    <w:rPr>
                      <w:rFonts w:hint="eastAsia"/>
                      <w:color w:val="auto"/>
                      <w:lang w:val="en-US" w:eastAsia="zh-CN"/>
                    </w:rPr>
                    <w:t>65</w:t>
                  </w:r>
                </w:p>
              </w:tc>
              <w:tc>
                <w:tcPr>
                  <w:tcW w:w="2077" w:type="dxa"/>
                  <w:noWrap w:val="0"/>
                  <w:vAlign w:val="top"/>
                </w:tcPr>
                <w:p>
                  <w:pPr>
                    <w:pStyle w:val="18"/>
                    <w:bidi w:val="0"/>
                    <w:rPr>
                      <w:rFonts w:hint="eastAsia"/>
                      <w:color w:val="auto"/>
                      <w:lang w:eastAsia="zh-CN"/>
                    </w:rPr>
                  </w:pPr>
                  <w:r>
                    <w:rPr>
                      <w:rFonts w:hint="eastAsia"/>
                      <w:color w:val="auto"/>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noWrap w:val="0"/>
                  <w:vAlign w:val="top"/>
                </w:tcPr>
                <w:p>
                  <w:pPr>
                    <w:pStyle w:val="18"/>
                    <w:bidi w:val="0"/>
                    <w:rPr>
                      <w:rFonts w:hint="eastAsia"/>
                      <w:color w:val="auto"/>
                      <w:lang w:eastAsia="zh-CN"/>
                    </w:rPr>
                  </w:pPr>
                  <w:r>
                    <w:rPr>
                      <w:rFonts w:hint="eastAsia"/>
                      <w:color w:val="auto"/>
                      <w:lang w:eastAsia="zh-CN"/>
                    </w:rPr>
                    <w:t>西厂界</w:t>
                  </w:r>
                </w:p>
              </w:tc>
              <w:tc>
                <w:tcPr>
                  <w:tcW w:w="2076" w:type="dxa"/>
                  <w:noWrap w:val="0"/>
                  <w:vAlign w:val="top"/>
                </w:tcPr>
                <w:p>
                  <w:pPr>
                    <w:pStyle w:val="18"/>
                    <w:bidi w:val="0"/>
                    <w:rPr>
                      <w:rFonts w:hint="default"/>
                      <w:color w:val="auto"/>
                      <w:lang w:val="en-US" w:eastAsia="zh-CN"/>
                    </w:rPr>
                  </w:pPr>
                  <w:r>
                    <w:rPr>
                      <w:rFonts w:hint="eastAsia"/>
                      <w:color w:val="auto"/>
                      <w:lang w:val="en-US" w:eastAsia="zh-CN"/>
                    </w:rPr>
                    <w:t>55</w:t>
                  </w:r>
                </w:p>
              </w:tc>
              <w:tc>
                <w:tcPr>
                  <w:tcW w:w="2077" w:type="dxa"/>
                  <w:noWrap w:val="0"/>
                  <w:vAlign w:val="top"/>
                </w:tcPr>
                <w:p>
                  <w:pPr>
                    <w:pStyle w:val="18"/>
                    <w:bidi w:val="0"/>
                    <w:rPr>
                      <w:rFonts w:hint="default"/>
                      <w:color w:val="auto"/>
                      <w:lang w:val="en-US" w:eastAsia="zh-CN"/>
                    </w:rPr>
                  </w:pPr>
                  <w:r>
                    <w:rPr>
                      <w:rFonts w:hint="eastAsia"/>
                      <w:color w:val="auto"/>
                      <w:lang w:val="en-US" w:eastAsia="zh-CN"/>
                    </w:rPr>
                    <w:t>65</w:t>
                  </w:r>
                </w:p>
              </w:tc>
              <w:tc>
                <w:tcPr>
                  <w:tcW w:w="2077" w:type="dxa"/>
                  <w:noWrap w:val="0"/>
                  <w:vAlign w:val="top"/>
                </w:tcPr>
                <w:p>
                  <w:pPr>
                    <w:pStyle w:val="18"/>
                    <w:bidi w:val="0"/>
                    <w:rPr>
                      <w:rFonts w:hint="eastAsia"/>
                      <w:color w:val="auto"/>
                      <w:lang w:eastAsia="zh-CN"/>
                    </w:rPr>
                  </w:pPr>
                  <w:r>
                    <w:rPr>
                      <w:rFonts w:hint="eastAsia"/>
                      <w:color w:val="auto"/>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6" w:type="dxa"/>
                  <w:noWrap w:val="0"/>
                  <w:vAlign w:val="top"/>
                </w:tcPr>
                <w:p>
                  <w:pPr>
                    <w:pStyle w:val="18"/>
                    <w:bidi w:val="0"/>
                    <w:rPr>
                      <w:rFonts w:hint="eastAsia"/>
                      <w:color w:val="auto"/>
                      <w:lang w:eastAsia="zh-CN"/>
                    </w:rPr>
                  </w:pPr>
                  <w:r>
                    <w:rPr>
                      <w:rFonts w:hint="eastAsia"/>
                      <w:color w:val="auto"/>
                      <w:lang w:eastAsia="zh-CN"/>
                    </w:rPr>
                    <w:t>北厂界</w:t>
                  </w:r>
                </w:p>
              </w:tc>
              <w:tc>
                <w:tcPr>
                  <w:tcW w:w="2076" w:type="dxa"/>
                  <w:noWrap w:val="0"/>
                  <w:vAlign w:val="top"/>
                </w:tcPr>
                <w:p>
                  <w:pPr>
                    <w:pStyle w:val="18"/>
                    <w:bidi w:val="0"/>
                    <w:rPr>
                      <w:rFonts w:hint="default"/>
                      <w:color w:val="auto"/>
                      <w:lang w:val="en-US" w:eastAsia="zh-CN"/>
                    </w:rPr>
                  </w:pPr>
                  <w:r>
                    <w:rPr>
                      <w:rFonts w:hint="eastAsia"/>
                      <w:color w:val="auto"/>
                      <w:lang w:val="en-US" w:eastAsia="zh-CN"/>
                    </w:rPr>
                    <w:t>53</w:t>
                  </w:r>
                </w:p>
              </w:tc>
              <w:tc>
                <w:tcPr>
                  <w:tcW w:w="2077" w:type="dxa"/>
                  <w:noWrap w:val="0"/>
                  <w:vAlign w:val="top"/>
                </w:tcPr>
                <w:p>
                  <w:pPr>
                    <w:pStyle w:val="18"/>
                    <w:bidi w:val="0"/>
                    <w:rPr>
                      <w:rFonts w:hint="default"/>
                      <w:color w:val="auto"/>
                      <w:lang w:val="en-US" w:eastAsia="zh-CN"/>
                    </w:rPr>
                  </w:pPr>
                  <w:r>
                    <w:rPr>
                      <w:rFonts w:hint="eastAsia"/>
                      <w:color w:val="auto"/>
                      <w:lang w:val="en-US" w:eastAsia="zh-CN"/>
                    </w:rPr>
                    <w:t>65</w:t>
                  </w:r>
                </w:p>
              </w:tc>
              <w:tc>
                <w:tcPr>
                  <w:tcW w:w="2077" w:type="dxa"/>
                  <w:noWrap w:val="0"/>
                  <w:vAlign w:val="top"/>
                </w:tcPr>
                <w:p>
                  <w:pPr>
                    <w:pStyle w:val="18"/>
                    <w:bidi w:val="0"/>
                    <w:rPr>
                      <w:rFonts w:hint="eastAsia"/>
                      <w:color w:val="auto"/>
                      <w:lang w:eastAsia="zh-CN"/>
                    </w:rPr>
                  </w:pPr>
                  <w:r>
                    <w:rPr>
                      <w:rFonts w:hint="eastAsia"/>
                      <w:color w:val="auto"/>
                      <w:lang w:eastAsia="zh-CN"/>
                    </w:rPr>
                    <w:t>达标</w:t>
                  </w:r>
                </w:p>
              </w:tc>
            </w:tr>
          </w:tbl>
          <w:p>
            <w:pPr>
              <w:spacing w:line="360" w:lineRule="auto"/>
              <w:ind w:firstLine="480" w:firstLineChars="200"/>
              <w:rPr>
                <w:rFonts w:hint="default"/>
                <w:color w:val="auto"/>
              </w:rPr>
            </w:pPr>
            <w:r>
              <w:rPr>
                <w:rFonts w:hint="default"/>
                <w:color w:val="auto"/>
              </w:rPr>
              <w:t>由上表可知，项目运营期各厂界噪声贡献值范围为 41dB(A)～56dB(A)，昼间叠加值范围为57.47dB(A)～59.34dB(A)，项目夜间不生产，故厂界噪声贡献值均满足《工业企业厂界环境噪声排放标准》（GB12348-2008）3 类标准要求（昼间 65dB(A)）。</w:t>
            </w:r>
          </w:p>
          <w:p>
            <w:pPr>
              <w:spacing w:line="360" w:lineRule="auto"/>
              <w:ind w:firstLine="480" w:firstLineChars="200"/>
              <w:rPr>
                <w:rFonts w:hint="default"/>
                <w:color w:val="auto"/>
              </w:rPr>
            </w:pPr>
            <w:r>
              <w:rPr>
                <w:rFonts w:hint="default"/>
                <w:color w:val="auto"/>
              </w:rPr>
              <w:t>项目周边200m范围内无声环境敏感点，项目运营期噪声对周边声环境敏感点无影响。根据噪声预测分析，项目加强管理，严格执行夜间不生产规定，昼间噪声排放能满足《工业企业厂界环境噪声排放标准》（GB12348-2008）3 类标准，对周围环境影响较小</w:t>
            </w:r>
            <w:r>
              <w:rPr>
                <w:rFonts w:hint="default"/>
                <w:color w:val="auto"/>
                <w:lang w:eastAsia="zh-CN"/>
              </w:rPr>
              <w:t>。</w:t>
            </w:r>
          </w:p>
          <w:p>
            <w:pPr>
              <w:spacing w:line="360" w:lineRule="auto"/>
              <w:rPr>
                <w:rFonts w:hint="default"/>
                <w:color w:val="auto"/>
              </w:rPr>
            </w:pPr>
            <w:r>
              <w:rPr>
                <w:rFonts w:hint="default"/>
                <w:color w:val="auto"/>
              </w:rPr>
              <w:t>4、固废环境影响分析</w:t>
            </w:r>
          </w:p>
          <w:p>
            <w:pPr>
              <w:spacing w:line="360" w:lineRule="auto"/>
              <w:ind w:firstLine="480" w:firstLineChars="200"/>
              <w:rPr>
                <w:rFonts w:hint="eastAsia"/>
                <w:color w:val="auto"/>
                <w:lang w:eastAsia="zh-CN"/>
              </w:rPr>
            </w:pPr>
            <w:r>
              <w:rPr>
                <w:rFonts w:hint="default"/>
                <w:color w:val="auto"/>
              </w:rPr>
              <w:t>（</w:t>
            </w:r>
            <w:r>
              <w:rPr>
                <w:rFonts w:hint="eastAsia"/>
                <w:color w:val="auto"/>
                <w:lang w:val="en-US" w:eastAsia="zh-CN"/>
              </w:rPr>
              <w:t>1</w:t>
            </w:r>
            <w:r>
              <w:rPr>
                <w:rFonts w:hint="default"/>
                <w:color w:val="auto"/>
              </w:rPr>
              <w:t>）项目固废处置</w:t>
            </w:r>
            <w:r>
              <w:rPr>
                <w:rFonts w:hint="eastAsia"/>
                <w:color w:val="auto"/>
                <w:lang w:eastAsia="zh-CN"/>
              </w:rPr>
              <w:t>措施</w:t>
            </w:r>
          </w:p>
          <w:p>
            <w:pPr>
              <w:spacing w:line="360" w:lineRule="auto"/>
              <w:ind w:firstLine="480" w:firstLineChars="200"/>
              <w:rPr>
                <w:rFonts w:hint="default"/>
                <w:color w:val="auto"/>
              </w:rPr>
            </w:pPr>
            <w:r>
              <w:rPr>
                <w:rFonts w:hint="default"/>
                <w:color w:val="auto"/>
              </w:rPr>
              <w:t>项目运营期产生的固废主要有边角废料、收集的机加工粉尘、焊接焊渣、废包装材料、废矿物油、废</w:t>
            </w:r>
            <w:r>
              <w:rPr>
                <w:rFonts w:hint="eastAsia"/>
                <w:color w:val="auto"/>
                <w:lang w:eastAsia="zh-CN"/>
              </w:rPr>
              <w:t>过滤棉、废活性炭</w:t>
            </w:r>
            <w:r>
              <w:rPr>
                <w:rFonts w:hint="default"/>
                <w:color w:val="auto"/>
              </w:rPr>
              <w:t>、废原料桶、生活垃圾。</w:t>
            </w:r>
          </w:p>
          <w:p>
            <w:pPr>
              <w:spacing w:line="360" w:lineRule="auto"/>
              <w:ind w:firstLine="480" w:firstLineChars="200"/>
              <w:rPr>
                <w:rFonts w:hint="default"/>
                <w:color w:val="auto"/>
              </w:rPr>
            </w:pPr>
            <w:r>
              <w:rPr>
                <w:rFonts w:hint="default"/>
                <w:color w:val="auto"/>
              </w:rPr>
              <w:t>1）一般工业固废</w:t>
            </w:r>
          </w:p>
          <w:p>
            <w:pPr>
              <w:spacing w:line="360" w:lineRule="auto"/>
              <w:ind w:firstLine="480" w:firstLineChars="200"/>
              <w:rPr>
                <w:rFonts w:hint="default"/>
                <w:color w:val="auto"/>
              </w:rPr>
            </w:pPr>
            <w:r>
              <w:rPr>
                <w:rFonts w:hint="default"/>
                <w:color w:val="auto"/>
              </w:rPr>
              <w:t>项目生产过程产生的角废料、焊渣、机加工过程回收的粉尘、</w:t>
            </w:r>
            <w:r>
              <w:rPr>
                <w:rFonts w:hint="eastAsia"/>
                <w:color w:val="auto"/>
                <w:lang w:eastAsia="zh-CN"/>
              </w:rPr>
              <w:t>废弃包装材料</w:t>
            </w:r>
            <w:r>
              <w:rPr>
                <w:rFonts w:hint="default"/>
                <w:color w:val="auto"/>
              </w:rPr>
              <w:t>等</w:t>
            </w:r>
            <w:r>
              <w:rPr>
                <w:rFonts w:hint="eastAsia"/>
                <w:color w:val="auto"/>
                <w:lang w:eastAsia="zh-CN"/>
              </w:rPr>
              <w:t>可回收</w:t>
            </w:r>
            <w:r>
              <w:rPr>
                <w:rFonts w:hint="default"/>
                <w:color w:val="auto"/>
              </w:rPr>
              <w:t>固废总量为</w:t>
            </w:r>
            <w:r>
              <w:rPr>
                <w:rFonts w:hint="eastAsia"/>
                <w:color w:val="auto"/>
                <w:lang w:val="en-US" w:eastAsia="zh-CN"/>
              </w:rPr>
              <w:t>31.026</w:t>
            </w:r>
            <w:r>
              <w:rPr>
                <w:rFonts w:hint="default"/>
                <w:color w:val="auto"/>
              </w:rPr>
              <w:t>t/a，主要成分为金属</w:t>
            </w:r>
            <w:r>
              <w:rPr>
                <w:rFonts w:hint="eastAsia"/>
                <w:color w:val="auto"/>
                <w:lang w:eastAsia="zh-CN"/>
              </w:rPr>
              <w:t>，收集后外售</w:t>
            </w:r>
            <w:r>
              <w:rPr>
                <w:rFonts w:hint="default"/>
                <w:color w:val="auto"/>
              </w:rPr>
              <w:t>。</w:t>
            </w:r>
          </w:p>
          <w:p>
            <w:pPr>
              <w:spacing w:line="360" w:lineRule="auto"/>
              <w:ind w:firstLine="480" w:firstLineChars="200"/>
              <w:rPr>
                <w:rFonts w:hint="default"/>
                <w:color w:val="auto"/>
              </w:rPr>
            </w:pPr>
            <w:r>
              <w:rPr>
                <w:rFonts w:hint="default"/>
                <w:color w:val="auto"/>
              </w:rPr>
              <w:t>项目运营过程中废包装材料产生量约为</w:t>
            </w:r>
            <w:r>
              <w:rPr>
                <w:rFonts w:hint="eastAsia"/>
                <w:color w:val="auto"/>
                <w:lang w:val="en-US" w:eastAsia="zh-CN"/>
              </w:rPr>
              <w:t>0.2</w:t>
            </w:r>
            <w:r>
              <w:rPr>
                <w:rFonts w:hint="default"/>
                <w:color w:val="auto"/>
              </w:rPr>
              <w:t>t/a，主要成分为纸质、塑料等，集中收集</w:t>
            </w:r>
            <w:r>
              <w:rPr>
                <w:rFonts w:hint="eastAsia"/>
                <w:color w:val="auto"/>
                <w:lang w:eastAsia="zh-CN"/>
              </w:rPr>
              <w:t>后外售</w:t>
            </w:r>
            <w:r>
              <w:rPr>
                <w:rFonts w:hint="default"/>
                <w:color w:val="auto"/>
              </w:rPr>
              <w:t>。</w:t>
            </w:r>
          </w:p>
          <w:p>
            <w:pPr>
              <w:spacing w:line="360" w:lineRule="auto"/>
              <w:ind w:firstLine="480" w:firstLineChars="200"/>
              <w:rPr>
                <w:rFonts w:hint="default"/>
                <w:color w:val="auto"/>
              </w:rPr>
            </w:pPr>
            <w:r>
              <w:rPr>
                <w:rFonts w:hint="default"/>
                <w:color w:val="auto"/>
              </w:rPr>
              <w:t>2）生活垃圾：运营期产生的生活垃圾集中收集于垃圾桶内，定期由环卫部门清运处置。</w:t>
            </w:r>
          </w:p>
          <w:p>
            <w:pPr>
              <w:spacing w:line="360" w:lineRule="auto"/>
              <w:ind w:firstLine="480" w:firstLineChars="200"/>
              <w:rPr>
                <w:rFonts w:hint="default"/>
                <w:color w:val="auto"/>
              </w:rPr>
            </w:pPr>
            <w:r>
              <w:rPr>
                <w:rFonts w:hint="default"/>
                <w:color w:val="auto"/>
              </w:rPr>
              <w:t>3）危险废物</w:t>
            </w:r>
          </w:p>
          <w:p>
            <w:pPr>
              <w:spacing w:line="360" w:lineRule="auto"/>
              <w:ind w:firstLine="480" w:firstLineChars="200"/>
              <w:rPr>
                <w:rFonts w:hint="default"/>
                <w:color w:val="auto"/>
              </w:rPr>
            </w:pPr>
            <w:r>
              <w:rPr>
                <w:rFonts w:hint="default"/>
                <w:color w:val="auto"/>
              </w:rPr>
              <w:t>根据工程分析，项目机修过程废</w:t>
            </w:r>
            <w:r>
              <w:rPr>
                <w:rFonts w:hint="eastAsia"/>
                <w:color w:val="auto"/>
                <w:lang w:eastAsia="zh-CN"/>
              </w:rPr>
              <w:t>机</w:t>
            </w:r>
            <w:r>
              <w:rPr>
                <w:rFonts w:hint="default"/>
                <w:color w:val="auto"/>
              </w:rPr>
              <w:t>油产生量为</w:t>
            </w:r>
            <w:r>
              <w:rPr>
                <w:rFonts w:hint="eastAsia"/>
                <w:color w:val="auto"/>
                <w:lang w:val="en-US" w:eastAsia="zh-CN"/>
              </w:rPr>
              <w:t>0.2</w:t>
            </w:r>
            <w:r>
              <w:rPr>
                <w:rFonts w:hint="default"/>
                <w:color w:val="auto"/>
              </w:rPr>
              <w:t>t/a，废漆料桶产生量为</w:t>
            </w:r>
            <w:r>
              <w:rPr>
                <w:rFonts w:hint="eastAsia"/>
                <w:color w:val="auto"/>
                <w:lang w:val="en-US" w:eastAsia="zh-CN"/>
              </w:rPr>
              <w:t>0.36</w:t>
            </w:r>
            <w:r>
              <w:rPr>
                <w:rFonts w:hint="default"/>
                <w:color w:val="auto"/>
              </w:rPr>
              <w:t>t/a，喷漆废气处理设施废</w:t>
            </w:r>
            <w:r>
              <w:rPr>
                <w:rFonts w:hint="eastAsia"/>
                <w:color w:val="auto"/>
                <w:lang w:eastAsia="zh-CN"/>
              </w:rPr>
              <w:t>过滤棉</w:t>
            </w:r>
            <w:r>
              <w:rPr>
                <w:rFonts w:hint="default"/>
                <w:color w:val="auto"/>
              </w:rPr>
              <w:t>产生量为0.</w:t>
            </w:r>
            <w:r>
              <w:rPr>
                <w:rFonts w:hint="eastAsia"/>
                <w:color w:val="auto"/>
                <w:lang w:val="en-US" w:eastAsia="zh-CN"/>
              </w:rPr>
              <w:t>264</w:t>
            </w:r>
            <w:r>
              <w:rPr>
                <w:rFonts w:hint="default"/>
                <w:color w:val="auto"/>
              </w:rPr>
              <w:t>t/a</w:t>
            </w:r>
            <w:r>
              <w:rPr>
                <w:rFonts w:hint="eastAsia"/>
                <w:color w:val="auto"/>
                <w:lang w:eastAsia="zh-CN"/>
              </w:rPr>
              <w:t>、废活性炭产生量为</w:t>
            </w:r>
            <w:r>
              <w:rPr>
                <w:rFonts w:hint="eastAsia"/>
                <w:color w:val="auto"/>
                <w:lang w:val="en-US" w:eastAsia="zh-CN"/>
              </w:rPr>
              <w:t>0.97t/a</w:t>
            </w:r>
            <w:r>
              <w:rPr>
                <w:rFonts w:hint="default"/>
                <w:color w:val="auto"/>
              </w:rPr>
              <w:t>。废</w:t>
            </w:r>
            <w:r>
              <w:rPr>
                <w:rFonts w:hint="eastAsia"/>
                <w:color w:val="auto"/>
                <w:lang w:eastAsia="zh-CN"/>
              </w:rPr>
              <w:t>机</w:t>
            </w:r>
            <w:r>
              <w:rPr>
                <w:rFonts w:hint="default"/>
                <w:color w:val="auto"/>
              </w:rPr>
              <w:t>油、废漆料桶、喷漆废气处理设施产生的废</w:t>
            </w:r>
            <w:r>
              <w:rPr>
                <w:rFonts w:hint="eastAsia"/>
                <w:color w:val="auto"/>
                <w:lang w:eastAsia="zh-CN"/>
              </w:rPr>
              <w:t>过滤棉、废活性炭</w:t>
            </w:r>
            <w:r>
              <w:rPr>
                <w:rFonts w:hint="default"/>
                <w:color w:val="auto"/>
              </w:rPr>
              <w:t>均属于危险废物，拟分类、分区收集暂存于危险废物暂存间，</w:t>
            </w:r>
            <w:r>
              <w:rPr>
                <w:rFonts w:hint="eastAsia"/>
                <w:color w:val="auto"/>
                <w:lang w:eastAsia="zh-CN"/>
              </w:rPr>
              <w:t>其中废过滤棉、废活性炭交由有资质的单位进行处理；废机油收集后作为设备润滑使用；废原料桶交由有资质的单位进行处理</w:t>
            </w:r>
            <w:r>
              <w:rPr>
                <w:rFonts w:hint="default"/>
                <w:color w:val="auto"/>
              </w:rPr>
              <w:t>。</w:t>
            </w:r>
          </w:p>
          <w:p>
            <w:pPr>
              <w:spacing w:line="360" w:lineRule="auto"/>
              <w:ind w:firstLine="480" w:firstLineChars="200"/>
              <w:rPr>
                <w:rFonts w:hint="default"/>
                <w:color w:val="auto"/>
              </w:rPr>
            </w:pPr>
            <w:r>
              <w:rPr>
                <w:rFonts w:hint="default"/>
                <w:color w:val="auto"/>
              </w:rPr>
              <w:t>（2）危险废物暂存间选址及设计要求</w:t>
            </w:r>
          </w:p>
          <w:p>
            <w:pPr>
              <w:spacing w:line="360" w:lineRule="auto"/>
              <w:ind w:firstLine="480" w:firstLineChars="200"/>
              <w:rPr>
                <w:rFonts w:hint="default"/>
                <w:color w:val="auto"/>
              </w:rPr>
            </w:pPr>
            <w:r>
              <w:rPr>
                <w:rFonts w:hint="default"/>
                <w:color w:val="auto"/>
              </w:rPr>
              <w:t>本项目拟在</w:t>
            </w:r>
            <w:r>
              <w:rPr>
                <w:rFonts w:hint="eastAsia"/>
                <w:color w:val="auto"/>
                <w:lang w:eastAsia="zh-CN"/>
              </w:rPr>
              <w:t>喷漆车间北</w:t>
            </w:r>
            <w:r>
              <w:rPr>
                <w:rFonts w:hint="default"/>
                <w:color w:val="auto"/>
              </w:rPr>
              <w:t>侧建设</w:t>
            </w:r>
            <w:r>
              <w:rPr>
                <w:rFonts w:hint="eastAsia"/>
                <w:color w:val="auto"/>
                <w:lang w:val="en-US" w:eastAsia="zh-CN"/>
              </w:rPr>
              <w:t>1</w:t>
            </w:r>
            <w:r>
              <w:rPr>
                <w:rFonts w:hint="default"/>
                <w:color w:val="auto"/>
              </w:rPr>
              <w:t>间</w:t>
            </w:r>
            <w:r>
              <w:rPr>
                <w:rFonts w:hint="eastAsia"/>
                <w:color w:val="auto"/>
                <w:lang w:val="en-US" w:eastAsia="zh-CN"/>
              </w:rPr>
              <w:t>8m</w:t>
            </w:r>
            <w:r>
              <w:rPr>
                <w:rFonts w:hint="eastAsia"/>
                <w:color w:val="auto"/>
                <w:vertAlign w:val="superscript"/>
                <w:lang w:val="en-US" w:eastAsia="zh-CN"/>
              </w:rPr>
              <w:t>2</w:t>
            </w:r>
            <w:r>
              <w:rPr>
                <w:rFonts w:hint="default"/>
                <w:color w:val="auto"/>
              </w:rPr>
              <w:t>的危险废物暂存间，危险废物暂存间建设需严格按照《危险废物贮存污染控制标准》（GB 18597-2001）进行，具体如下：</w:t>
            </w:r>
          </w:p>
          <w:p>
            <w:pPr>
              <w:spacing w:line="360" w:lineRule="auto"/>
              <w:ind w:firstLine="480" w:firstLineChars="200"/>
              <w:rPr>
                <w:rFonts w:hint="default"/>
                <w:color w:val="auto"/>
              </w:rPr>
            </w:pPr>
            <w:r>
              <w:rPr>
                <w:rFonts w:hint="default"/>
                <w:color w:val="auto"/>
              </w:rPr>
              <w:t>1）危险废物集中贮存设施的选址。</w:t>
            </w:r>
          </w:p>
          <w:p>
            <w:pPr>
              <w:spacing w:line="360" w:lineRule="auto"/>
              <w:ind w:firstLine="480" w:firstLineChars="200"/>
              <w:rPr>
                <w:rFonts w:hint="default"/>
                <w:color w:val="auto"/>
              </w:rPr>
            </w:pPr>
            <w:r>
              <w:rPr>
                <w:rFonts w:hint="default"/>
                <w:color w:val="auto"/>
              </w:rPr>
              <w:t>①地质结构稳定，地震烈度不超过</w:t>
            </w:r>
            <w:r>
              <w:rPr>
                <w:rFonts w:hint="eastAsia"/>
                <w:color w:val="auto"/>
                <w:lang w:val="en-US" w:eastAsia="zh-CN"/>
              </w:rPr>
              <w:t>7</w:t>
            </w:r>
            <w:r>
              <w:rPr>
                <w:rFonts w:hint="default"/>
                <w:color w:val="auto"/>
              </w:rPr>
              <w:t>度的区域内。</w:t>
            </w:r>
          </w:p>
          <w:p>
            <w:pPr>
              <w:spacing w:line="360" w:lineRule="auto"/>
              <w:ind w:firstLine="480" w:firstLineChars="200"/>
              <w:rPr>
                <w:rFonts w:hint="default"/>
                <w:color w:val="auto"/>
              </w:rPr>
            </w:pPr>
            <w:r>
              <w:rPr>
                <w:rFonts w:hint="default"/>
                <w:color w:val="auto"/>
              </w:rPr>
              <w:t>②设施底部必须高于地下水最高水位。</w:t>
            </w:r>
          </w:p>
          <w:p>
            <w:pPr>
              <w:spacing w:line="360" w:lineRule="auto"/>
              <w:ind w:firstLine="480" w:firstLineChars="200"/>
              <w:rPr>
                <w:rFonts w:hint="default"/>
                <w:color w:val="auto"/>
              </w:rPr>
            </w:pPr>
            <w:r>
              <w:rPr>
                <w:rFonts w:hint="default"/>
                <w:color w:val="auto"/>
              </w:rPr>
              <w:t>③应避免建在溶洞区或易遭受严重自然灾害如洪水、滑坡，泥石流、潮汐等影响的地区。</w:t>
            </w:r>
          </w:p>
          <w:p>
            <w:pPr>
              <w:spacing w:line="360" w:lineRule="auto"/>
              <w:ind w:firstLine="480" w:firstLineChars="200"/>
              <w:rPr>
                <w:rFonts w:hint="default"/>
                <w:color w:val="auto"/>
              </w:rPr>
            </w:pPr>
            <w:r>
              <w:rPr>
                <w:rFonts w:hint="default"/>
                <w:color w:val="auto"/>
              </w:rPr>
              <w:t>④应建在易燃、易爆等危险品仓库、高压输电线路防护区域以外。</w:t>
            </w:r>
          </w:p>
          <w:p>
            <w:pPr>
              <w:spacing w:line="360" w:lineRule="auto"/>
              <w:ind w:firstLine="480" w:firstLineChars="200"/>
              <w:rPr>
                <w:rFonts w:hint="default"/>
                <w:color w:val="auto"/>
              </w:rPr>
            </w:pPr>
            <w:r>
              <w:rPr>
                <w:rFonts w:hint="default"/>
                <w:color w:val="auto"/>
              </w:rPr>
              <w:t>2）危险废物贮存设施（仓库式）的设计原则</w:t>
            </w:r>
          </w:p>
          <w:p>
            <w:pPr>
              <w:spacing w:line="360" w:lineRule="auto"/>
              <w:ind w:firstLine="480" w:firstLineChars="200"/>
              <w:rPr>
                <w:rFonts w:hint="default"/>
                <w:color w:val="auto"/>
              </w:rPr>
            </w:pPr>
            <w:r>
              <w:rPr>
                <w:rFonts w:hint="default"/>
                <w:color w:val="auto"/>
              </w:rPr>
              <w:t>①地面与裙脚要用坚固、防渗的材料建造，建筑材料必须与危险废物相容。</w:t>
            </w:r>
          </w:p>
          <w:p>
            <w:pPr>
              <w:spacing w:line="360" w:lineRule="auto"/>
              <w:ind w:firstLine="480" w:firstLineChars="200"/>
              <w:rPr>
                <w:rFonts w:hint="default"/>
                <w:color w:val="auto"/>
              </w:rPr>
            </w:pPr>
            <w:r>
              <w:rPr>
                <w:rFonts w:hint="default"/>
                <w:color w:val="auto"/>
              </w:rPr>
              <w:t>②必须有泄漏液体收集装置、气体导出口及气体净化装置。</w:t>
            </w:r>
          </w:p>
          <w:p>
            <w:pPr>
              <w:spacing w:line="360" w:lineRule="auto"/>
              <w:ind w:firstLine="480" w:firstLineChars="200"/>
              <w:rPr>
                <w:rFonts w:hint="default"/>
                <w:color w:val="auto"/>
              </w:rPr>
            </w:pPr>
            <w:r>
              <w:rPr>
                <w:rFonts w:hint="default"/>
                <w:color w:val="auto"/>
              </w:rPr>
              <w:t>③设施内要有安全照明设施和观察窗口。</w:t>
            </w:r>
          </w:p>
          <w:p>
            <w:pPr>
              <w:spacing w:line="360" w:lineRule="auto"/>
              <w:ind w:firstLine="480" w:firstLineChars="200"/>
              <w:rPr>
                <w:rFonts w:hint="default"/>
                <w:color w:val="auto"/>
              </w:rPr>
            </w:pPr>
            <w:r>
              <w:rPr>
                <w:rFonts w:hint="default"/>
                <w:color w:val="auto"/>
              </w:rPr>
              <w:t>④用以存放装载液体、半固体危险废物容器的地方，必须有耐腐蚀的硬化地面，且表面无裂隙。</w:t>
            </w:r>
          </w:p>
          <w:p>
            <w:pPr>
              <w:spacing w:line="360" w:lineRule="auto"/>
              <w:ind w:firstLine="480" w:firstLineChars="200"/>
              <w:rPr>
                <w:rFonts w:hint="default"/>
                <w:color w:val="auto"/>
              </w:rPr>
            </w:pPr>
            <w:r>
              <w:rPr>
                <w:rFonts w:hint="default"/>
                <w:color w:val="auto"/>
              </w:rPr>
              <w:t>⑤应设计堵截泄漏的裙脚，地面与裙脚所围建的容积不低于堵截最大容器的最大储量或总储量的五分之一。</w:t>
            </w:r>
          </w:p>
          <w:p>
            <w:pPr>
              <w:spacing w:line="360" w:lineRule="auto"/>
              <w:ind w:firstLine="480" w:firstLineChars="200"/>
              <w:rPr>
                <w:rFonts w:hint="default"/>
                <w:color w:val="auto"/>
              </w:rPr>
            </w:pPr>
            <w:r>
              <w:rPr>
                <w:rFonts w:hint="default"/>
                <w:color w:val="auto"/>
              </w:rPr>
              <w:t>⑥不相容的危险废物必须分开存放，并设有隔离间隔断。</w:t>
            </w:r>
          </w:p>
          <w:p>
            <w:pPr>
              <w:spacing w:line="360" w:lineRule="auto"/>
              <w:ind w:firstLine="480" w:firstLineChars="200"/>
              <w:rPr>
                <w:rFonts w:hint="default"/>
                <w:color w:val="auto"/>
              </w:rPr>
            </w:pPr>
            <w:r>
              <w:rPr>
                <w:rFonts w:hint="default"/>
                <w:color w:val="auto"/>
              </w:rPr>
              <w:t>3）危险废物的堆放</w:t>
            </w:r>
          </w:p>
          <w:p>
            <w:pPr>
              <w:spacing w:line="360" w:lineRule="auto"/>
              <w:ind w:firstLine="480" w:firstLineChars="200"/>
              <w:rPr>
                <w:rFonts w:hint="default"/>
                <w:color w:val="auto"/>
              </w:rPr>
            </w:pPr>
            <w:r>
              <w:rPr>
                <w:rFonts w:hint="default"/>
                <w:color w:val="auto"/>
              </w:rPr>
              <w:t>①基础必须防渗，防渗层为至少1m厚粘土层（渗透系数≤10-7cm/s），或2mm厚高密度聚乙烯，或至少2mm厚的其他人工材料，渗透系数≤10-10cm/s。</w:t>
            </w:r>
          </w:p>
          <w:p>
            <w:pPr>
              <w:spacing w:line="360" w:lineRule="auto"/>
              <w:ind w:firstLine="480" w:firstLineChars="200"/>
              <w:rPr>
                <w:rFonts w:hint="default"/>
                <w:color w:val="auto"/>
              </w:rPr>
            </w:pPr>
            <w:r>
              <w:rPr>
                <w:rFonts w:hint="default"/>
                <w:color w:val="auto"/>
              </w:rPr>
              <w:t>②堆放危险废物的高度应根据地面承载能力确定。</w:t>
            </w:r>
          </w:p>
          <w:p>
            <w:pPr>
              <w:spacing w:line="360" w:lineRule="auto"/>
              <w:ind w:firstLine="480" w:firstLineChars="200"/>
              <w:rPr>
                <w:rFonts w:hint="default"/>
                <w:color w:val="auto"/>
              </w:rPr>
            </w:pPr>
            <w:r>
              <w:rPr>
                <w:rFonts w:hint="default"/>
                <w:color w:val="auto"/>
              </w:rPr>
              <w:t>③衬里放在一个基础或底座上。</w:t>
            </w:r>
          </w:p>
          <w:p>
            <w:pPr>
              <w:spacing w:line="360" w:lineRule="auto"/>
              <w:ind w:firstLine="480" w:firstLineChars="200"/>
              <w:rPr>
                <w:rFonts w:hint="default"/>
                <w:color w:val="auto"/>
              </w:rPr>
            </w:pPr>
            <w:r>
              <w:rPr>
                <w:rFonts w:hint="default"/>
                <w:color w:val="auto"/>
              </w:rPr>
              <w:t>④衬里要能够覆盖危险废物或其溶出物可能涉及到的范围。</w:t>
            </w:r>
          </w:p>
          <w:p>
            <w:pPr>
              <w:spacing w:line="360" w:lineRule="auto"/>
              <w:ind w:firstLine="480" w:firstLineChars="200"/>
              <w:rPr>
                <w:rFonts w:hint="default"/>
                <w:color w:val="auto"/>
              </w:rPr>
            </w:pPr>
            <w:r>
              <w:rPr>
                <w:rFonts w:hint="default"/>
                <w:color w:val="auto"/>
              </w:rPr>
              <w:t>⑤衬里材料与堆放危险废物相容。</w:t>
            </w:r>
          </w:p>
          <w:p>
            <w:pPr>
              <w:spacing w:line="360" w:lineRule="auto"/>
              <w:ind w:firstLine="480" w:firstLineChars="200"/>
              <w:rPr>
                <w:rFonts w:hint="default"/>
                <w:color w:val="auto"/>
              </w:rPr>
            </w:pPr>
            <w:r>
              <w:rPr>
                <w:rFonts w:hint="default"/>
                <w:color w:val="auto"/>
              </w:rPr>
              <w:t>⑥在衬里上设计、建造浸出液收集清除系统。</w:t>
            </w:r>
          </w:p>
          <w:p>
            <w:pPr>
              <w:spacing w:line="360" w:lineRule="auto"/>
              <w:ind w:firstLine="480" w:firstLineChars="200"/>
              <w:rPr>
                <w:rFonts w:hint="default"/>
                <w:color w:val="auto"/>
              </w:rPr>
            </w:pPr>
            <w:r>
              <w:rPr>
                <w:rFonts w:hint="default"/>
                <w:color w:val="auto"/>
              </w:rPr>
              <w:t>⑦不相容的危险废物不能堆放在一起。</w:t>
            </w:r>
          </w:p>
          <w:p>
            <w:pPr>
              <w:spacing w:line="360" w:lineRule="auto"/>
              <w:ind w:firstLine="480" w:firstLineChars="200"/>
              <w:rPr>
                <w:rFonts w:hint="default"/>
                <w:color w:val="auto"/>
              </w:rPr>
            </w:pPr>
            <w:r>
              <w:rPr>
                <w:rFonts w:hint="default"/>
                <w:color w:val="auto"/>
              </w:rPr>
              <w:t>⑧总贮存量不超过300kg（L）的危险废物要放入符合标准的容器内，加上标签，容器放入坚固的柜或箱中，柜或箱应设多个直径不少于30mm的排气孔。不相容危险废物要分别存放或存放在不渗透间隔分开的区域内，每个部分都应有防漏裙脚或储漏盘，防漏裙脚或储漏盘的材料要与危险废物相容。</w:t>
            </w:r>
          </w:p>
          <w:p>
            <w:pPr>
              <w:spacing w:line="360" w:lineRule="auto"/>
              <w:ind w:firstLine="480" w:firstLineChars="200"/>
              <w:rPr>
                <w:rFonts w:hint="default"/>
                <w:color w:val="auto"/>
              </w:rPr>
            </w:pPr>
            <w:r>
              <w:rPr>
                <w:rFonts w:hint="default"/>
                <w:color w:val="auto"/>
              </w:rPr>
              <w:t>（3）危险废物贮存容器</w:t>
            </w:r>
          </w:p>
          <w:p>
            <w:pPr>
              <w:spacing w:line="360" w:lineRule="auto"/>
              <w:ind w:firstLine="480" w:firstLineChars="200"/>
              <w:rPr>
                <w:rFonts w:hint="default"/>
                <w:color w:val="auto"/>
              </w:rPr>
            </w:pPr>
            <w:r>
              <w:rPr>
                <w:rFonts w:hint="default"/>
                <w:color w:val="auto"/>
              </w:rPr>
              <w:t>危险废物贮存容器需满足《危险废物贮存污染控制标准》（GB 18597-2001）要求，具体如下：</w:t>
            </w:r>
          </w:p>
          <w:p>
            <w:pPr>
              <w:spacing w:line="360" w:lineRule="auto"/>
              <w:ind w:firstLine="480" w:firstLineChars="200"/>
              <w:rPr>
                <w:rFonts w:hint="eastAsia"/>
                <w:color w:val="auto"/>
                <w:lang w:eastAsia="zh-CN"/>
              </w:rPr>
            </w:pPr>
            <w:r>
              <w:rPr>
                <w:rFonts w:hint="default"/>
                <w:color w:val="auto"/>
              </w:rPr>
              <w:t>1）应当使用符合标准的容器盛装危险废物</w:t>
            </w:r>
            <w:r>
              <w:rPr>
                <w:rFonts w:hint="eastAsia"/>
                <w:color w:val="auto"/>
                <w:lang w:eastAsia="zh-CN"/>
              </w:rPr>
              <w:t>；</w:t>
            </w:r>
          </w:p>
          <w:p>
            <w:pPr>
              <w:spacing w:line="360" w:lineRule="auto"/>
              <w:ind w:firstLine="480" w:firstLineChars="200"/>
              <w:rPr>
                <w:rFonts w:hint="default"/>
                <w:color w:val="auto"/>
              </w:rPr>
            </w:pPr>
            <w:r>
              <w:rPr>
                <w:rFonts w:hint="default"/>
                <w:color w:val="auto"/>
              </w:rPr>
              <w:t>2）装载危险废物的容器及材质要满足相应的强度要求。</w:t>
            </w:r>
          </w:p>
          <w:p>
            <w:pPr>
              <w:spacing w:line="360" w:lineRule="auto"/>
              <w:ind w:firstLine="480" w:firstLineChars="200"/>
              <w:rPr>
                <w:rFonts w:hint="default"/>
                <w:color w:val="auto"/>
              </w:rPr>
            </w:pPr>
            <w:r>
              <w:rPr>
                <w:rFonts w:hint="default"/>
                <w:color w:val="auto"/>
              </w:rPr>
              <w:t>3）装载危险废物的容器必须完好无损。</w:t>
            </w:r>
          </w:p>
          <w:p>
            <w:pPr>
              <w:spacing w:line="360" w:lineRule="auto"/>
              <w:ind w:firstLine="480" w:firstLineChars="200"/>
              <w:rPr>
                <w:rFonts w:hint="default"/>
                <w:color w:val="auto"/>
              </w:rPr>
            </w:pPr>
            <w:r>
              <w:rPr>
                <w:rFonts w:hint="default"/>
                <w:color w:val="auto"/>
              </w:rPr>
              <w:t>4）盛装危险废物的容器材质和衬里要与危险废物相容（不相互反应）。</w:t>
            </w:r>
          </w:p>
          <w:p>
            <w:pPr>
              <w:spacing w:line="360" w:lineRule="auto"/>
              <w:ind w:firstLine="480" w:firstLineChars="200"/>
              <w:rPr>
                <w:rFonts w:hint="default"/>
                <w:color w:val="auto"/>
              </w:rPr>
            </w:pPr>
            <w:r>
              <w:rPr>
                <w:rFonts w:hint="default"/>
                <w:color w:val="auto"/>
              </w:rPr>
              <w:t>5）液体危险废物可注入开孔直径不超过70mm并有放气孔的桶中。</w:t>
            </w:r>
          </w:p>
          <w:p>
            <w:pPr>
              <w:spacing w:line="360" w:lineRule="auto"/>
              <w:ind w:firstLine="480" w:firstLineChars="200"/>
              <w:rPr>
                <w:rFonts w:hint="default"/>
                <w:color w:val="auto"/>
              </w:rPr>
            </w:pPr>
            <w:r>
              <w:rPr>
                <w:rFonts w:hint="default"/>
                <w:color w:val="auto"/>
              </w:rPr>
              <w:t>（4）危险废物贮存设施的运行与管理</w:t>
            </w:r>
          </w:p>
          <w:p>
            <w:pPr>
              <w:spacing w:line="360" w:lineRule="auto"/>
              <w:ind w:firstLine="480" w:firstLineChars="200"/>
              <w:rPr>
                <w:rFonts w:hint="default"/>
                <w:color w:val="auto"/>
              </w:rPr>
            </w:pPr>
            <w:r>
              <w:rPr>
                <w:rFonts w:hint="default"/>
                <w:color w:val="auto"/>
              </w:rPr>
              <w:t>危险废物贮存设施的运行与管理需满足《危险废物贮存污染控制标准》（GB18597-2001）要求，具体如下：</w:t>
            </w:r>
          </w:p>
          <w:p>
            <w:pPr>
              <w:spacing w:line="360" w:lineRule="auto"/>
              <w:ind w:firstLine="480" w:firstLineChars="200"/>
              <w:rPr>
                <w:rFonts w:hint="default"/>
                <w:color w:val="auto"/>
              </w:rPr>
            </w:pPr>
            <w:r>
              <w:rPr>
                <w:rFonts w:hint="default"/>
                <w:color w:val="auto"/>
              </w:rPr>
              <w:t>1）从事危险废物贮存的单位，必须得到有资质单位出具的该危险废物样品物理和化学性质的分析报告，认定可以贮存后，方可接收。</w:t>
            </w:r>
          </w:p>
          <w:p>
            <w:pPr>
              <w:spacing w:line="360" w:lineRule="auto"/>
              <w:ind w:firstLine="480" w:firstLineChars="200"/>
              <w:rPr>
                <w:rFonts w:hint="default"/>
                <w:color w:val="auto"/>
              </w:rPr>
            </w:pPr>
            <w:r>
              <w:rPr>
                <w:rFonts w:hint="default"/>
                <w:color w:val="auto"/>
              </w:rPr>
              <w:t>2）不得接收未粘贴标签或标签没按规定填写的危险废物，</w:t>
            </w:r>
          </w:p>
          <w:p>
            <w:pPr>
              <w:spacing w:line="360" w:lineRule="auto"/>
              <w:ind w:firstLine="480" w:firstLineChars="200"/>
              <w:rPr>
                <w:rFonts w:hint="default"/>
                <w:color w:val="auto"/>
              </w:rPr>
            </w:pPr>
            <w:r>
              <w:rPr>
                <w:rFonts w:hint="default"/>
                <w:color w:val="auto"/>
              </w:rPr>
              <w:t>3）盛装在容器内的同类危险废物可以堆叠存放。</w:t>
            </w:r>
          </w:p>
          <w:p>
            <w:pPr>
              <w:spacing w:line="360" w:lineRule="auto"/>
              <w:ind w:firstLine="480" w:firstLineChars="200"/>
              <w:rPr>
                <w:rFonts w:hint="default"/>
                <w:color w:val="auto"/>
              </w:rPr>
            </w:pPr>
            <w:r>
              <w:rPr>
                <w:rFonts w:hint="default"/>
                <w:color w:val="auto"/>
              </w:rPr>
              <w:t>4）每个堆间应留有搬运通道。</w:t>
            </w:r>
          </w:p>
          <w:p>
            <w:pPr>
              <w:spacing w:line="360" w:lineRule="auto"/>
              <w:ind w:firstLine="480" w:firstLineChars="200"/>
              <w:rPr>
                <w:rFonts w:hint="default"/>
                <w:color w:val="auto"/>
              </w:rPr>
            </w:pPr>
            <w:r>
              <w:rPr>
                <w:rFonts w:hint="default"/>
                <w:color w:val="auto"/>
              </w:rPr>
              <w:t>5）不得将不相容的废物混合或合并存放。禁止将不相容（相互反应）的危险废物在同一容器内混装。无法装入常用容器的危险废物可用防漏胶袋等盛装。</w:t>
            </w:r>
          </w:p>
          <w:p>
            <w:pPr>
              <w:spacing w:line="360" w:lineRule="auto"/>
              <w:ind w:firstLine="480" w:firstLineChars="200"/>
              <w:rPr>
                <w:rFonts w:hint="default"/>
                <w:color w:val="auto"/>
              </w:rPr>
            </w:pPr>
            <w:r>
              <w:rPr>
                <w:rFonts w:hint="eastAsia"/>
                <w:color w:val="auto"/>
                <w:lang w:val="en-US" w:eastAsia="zh-CN"/>
              </w:rPr>
              <w:t>6</w:t>
            </w:r>
            <w:r>
              <w:rPr>
                <w:rFonts w:hint="default"/>
                <w:color w:val="auto"/>
              </w:rPr>
              <w:t>）危险废物产生者和危险废物贮存设施经营者均须作好危险废物情况的记录，记录上须注明危险废物的名称、来源、数量、特性和包装容器的类别、入库日期、存放库位、废物出库日期及接收单位名称。危险废物的记录和货单在危险废物回取后应继续保留</w:t>
            </w:r>
            <w:r>
              <w:rPr>
                <w:rFonts w:hint="eastAsia"/>
                <w:color w:val="auto"/>
                <w:lang w:val="en-US" w:eastAsia="zh-CN"/>
              </w:rPr>
              <w:t>3</w:t>
            </w:r>
            <w:r>
              <w:rPr>
                <w:rFonts w:hint="default"/>
                <w:color w:val="auto"/>
              </w:rPr>
              <w:t>a。</w:t>
            </w:r>
          </w:p>
          <w:p>
            <w:pPr>
              <w:spacing w:line="360" w:lineRule="auto"/>
              <w:ind w:firstLine="480" w:firstLineChars="200"/>
              <w:rPr>
                <w:rFonts w:hint="default"/>
                <w:color w:val="auto"/>
              </w:rPr>
            </w:pPr>
            <w:r>
              <w:rPr>
                <w:rFonts w:hint="eastAsia"/>
                <w:color w:val="auto"/>
                <w:lang w:val="en-US" w:eastAsia="zh-CN"/>
              </w:rPr>
              <w:t>7</w:t>
            </w:r>
            <w:r>
              <w:rPr>
                <w:rFonts w:hint="default"/>
                <w:color w:val="auto"/>
              </w:rPr>
              <w:t>）必须定期对所贮存的危险废物包装容器及贮存设施进行检查，发现破损，应及时采取措施清理更换。</w:t>
            </w:r>
          </w:p>
          <w:p>
            <w:pPr>
              <w:spacing w:line="360" w:lineRule="auto"/>
              <w:ind w:firstLine="480" w:firstLineChars="200"/>
              <w:rPr>
                <w:rFonts w:hint="default"/>
                <w:color w:val="auto"/>
              </w:rPr>
            </w:pPr>
            <w:r>
              <w:rPr>
                <w:rFonts w:hint="eastAsia"/>
                <w:color w:val="auto"/>
                <w:lang w:val="en-US" w:eastAsia="zh-CN"/>
              </w:rPr>
              <w:t>8</w:t>
            </w:r>
            <w:r>
              <w:rPr>
                <w:rFonts w:hint="default"/>
                <w:color w:val="auto"/>
              </w:rPr>
              <w:t>）危险废物贮存设施都必须按 GB15562.2 的规定设置警示标志。</w:t>
            </w:r>
          </w:p>
          <w:p>
            <w:pPr>
              <w:spacing w:line="360" w:lineRule="auto"/>
              <w:ind w:firstLine="480" w:firstLineChars="200"/>
              <w:rPr>
                <w:rFonts w:hint="default"/>
                <w:color w:val="auto"/>
              </w:rPr>
            </w:pPr>
            <w:r>
              <w:rPr>
                <w:rFonts w:hint="eastAsia"/>
                <w:color w:val="auto"/>
                <w:lang w:val="en-US" w:eastAsia="zh-CN"/>
              </w:rPr>
              <w:t>9</w:t>
            </w:r>
            <w:r>
              <w:rPr>
                <w:rFonts w:hint="default"/>
                <w:color w:val="auto"/>
              </w:rPr>
              <w:t>）危险废物贮存设施周围应设置围墙或其他防护栅栏。</w:t>
            </w:r>
          </w:p>
          <w:p>
            <w:pPr>
              <w:spacing w:line="360" w:lineRule="auto"/>
              <w:ind w:firstLine="480" w:firstLineChars="200"/>
              <w:rPr>
                <w:rFonts w:hint="default"/>
                <w:color w:val="auto"/>
              </w:rPr>
            </w:pPr>
            <w:r>
              <w:rPr>
                <w:rFonts w:hint="default"/>
                <w:color w:val="auto"/>
              </w:rPr>
              <w:t>环评要求建设单位必须按照危险废物暂存间选址及设计要求、危险废物贮存容器的相关要求和危险废物贮存设施的运行及管理要求来进行危险废物暂存间的设计、建设以及管理，以满足《危险废物贮存污染控制标准》（GB 18597-2001）中的相关规定。</w:t>
            </w:r>
          </w:p>
          <w:p>
            <w:pPr>
              <w:spacing w:line="360" w:lineRule="auto"/>
              <w:ind w:firstLine="480"/>
              <w:rPr>
                <w:rFonts w:hint="eastAsia"/>
                <w:color w:val="auto"/>
                <w:lang w:eastAsia="zh-CN"/>
              </w:rPr>
            </w:pPr>
            <w:r>
              <w:rPr>
                <w:rFonts w:hint="default"/>
                <w:color w:val="auto"/>
              </w:rPr>
              <w:t>综上分析，项目运营期固体废弃物能做到 100%合理处置，对环境的影响较</w:t>
            </w:r>
            <w:r>
              <w:rPr>
                <w:rFonts w:hint="eastAsia"/>
                <w:color w:val="auto"/>
                <w:lang w:eastAsia="zh-CN"/>
              </w:rPr>
              <w:t>小。</w:t>
            </w:r>
          </w:p>
          <w:p>
            <w:pPr>
              <w:bidi w:val="0"/>
              <w:rPr>
                <w:rFonts w:hint="default"/>
                <w:color w:val="auto"/>
              </w:rPr>
            </w:pPr>
            <w:r>
              <w:rPr>
                <w:rFonts w:hint="default"/>
                <w:color w:val="auto"/>
              </w:rPr>
              <w:t>三 、环境风险分析</w:t>
            </w:r>
          </w:p>
          <w:p>
            <w:pPr>
              <w:spacing w:line="360" w:lineRule="auto"/>
              <w:ind w:firstLine="480" w:firstLineChars="200"/>
              <w:rPr>
                <w:rFonts w:hint="default"/>
                <w:color w:val="auto"/>
                <w:lang w:val="en-US" w:eastAsia="zh-CN"/>
              </w:rPr>
            </w:pPr>
            <w:r>
              <w:rPr>
                <w:rFonts w:hint="eastAsia"/>
                <w:color w:val="auto"/>
                <w:lang w:val="en-US" w:eastAsia="zh-CN"/>
              </w:rPr>
              <w:t>1、物质识别</w:t>
            </w:r>
          </w:p>
          <w:p>
            <w:pPr>
              <w:spacing w:line="360" w:lineRule="auto"/>
              <w:ind w:firstLine="480" w:firstLineChars="200"/>
              <w:rPr>
                <w:rFonts w:hint="default"/>
                <w:color w:val="auto"/>
                <w:lang w:val="en-US" w:eastAsia="zh-CN"/>
              </w:rPr>
            </w:pPr>
            <w:r>
              <w:rPr>
                <w:rFonts w:hint="default"/>
                <w:color w:val="auto"/>
                <w:lang w:val="en-US" w:eastAsia="zh-CN"/>
              </w:rPr>
              <w:t>本项目为金属制品制造行业，主要原辅料为钢材、水性漆、</w:t>
            </w:r>
            <w:r>
              <w:rPr>
                <w:rFonts w:hint="eastAsia"/>
                <w:color w:val="auto"/>
                <w:lang w:val="en-US" w:eastAsia="zh-CN"/>
              </w:rPr>
              <w:t>天然气</w:t>
            </w:r>
            <w:r>
              <w:rPr>
                <w:rFonts w:hint="default"/>
                <w:color w:val="auto"/>
                <w:lang w:val="en-US" w:eastAsia="zh-CN"/>
              </w:rPr>
              <w:t>、氧气、二氧化碳、矿物油等，产品为钢结构。</w:t>
            </w:r>
          </w:p>
          <w:p>
            <w:pPr>
              <w:spacing w:line="360" w:lineRule="auto"/>
              <w:ind w:firstLine="480" w:firstLineChars="200"/>
              <w:rPr>
                <w:rFonts w:hint="default"/>
                <w:color w:val="auto"/>
              </w:rPr>
            </w:pPr>
            <w:r>
              <w:rPr>
                <w:rFonts w:hint="default"/>
                <w:color w:val="auto"/>
                <w:lang w:val="en-US" w:eastAsia="zh-CN"/>
              </w:rPr>
              <w:t>项目涉及的以上物质理化特征分析如表</w:t>
            </w:r>
            <w:r>
              <w:rPr>
                <w:rFonts w:hint="eastAsia"/>
                <w:color w:val="auto"/>
                <w:lang w:val="en-US" w:eastAsia="zh-CN"/>
              </w:rPr>
              <w:t>1</w:t>
            </w:r>
            <w:r>
              <w:rPr>
                <w:rFonts w:hint="default"/>
                <w:color w:val="auto"/>
                <w:lang w:val="en-US" w:eastAsia="zh-CN"/>
              </w:rPr>
              <w:t>-5，根据分析，项目可能涉及的危险化学品为二氧化碳、氧气、矿物油</w:t>
            </w:r>
            <w:r>
              <w:rPr>
                <w:rFonts w:hint="default"/>
                <w:color w:val="auto"/>
                <w:lang w:eastAsia="zh-CN"/>
              </w:rPr>
              <w:t>。</w:t>
            </w:r>
          </w:p>
          <w:p>
            <w:pPr>
              <w:numPr>
                <w:ilvl w:val="0"/>
                <w:numId w:val="3"/>
              </w:numPr>
              <w:spacing w:line="360" w:lineRule="auto"/>
              <w:ind w:firstLine="480" w:firstLineChars="200"/>
              <w:rPr>
                <w:rFonts w:hint="eastAsia"/>
                <w:color w:val="auto"/>
                <w:lang w:val="en-US" w:eastAsia="zh-CN"/>
              </w:rPr>
            </w:pPr>
            <w:r>
              <w:rPr>
                <w:rFonts w:hint="eastAsia"/>
                <w:color w:val="auto"/>
                <w:lang w:val="en-US" w:eastAsia="zh-CN"/>
              </w:rPr>
              <w:t>风险潜势初判</w:t>
            </w:r>
          </w:p>
          <w:p>
            <w:pPr>
              <w:spacing w:line="360" w:lineRule="auto"/>
              <w:ind w:firstLine="480" w:firstLineChars="200"/>
              <w:rPr>
                <w:rFonts w:hint="default"/>
                <w:color w:val="auto"/>
                <w:lang w:val="en-US" w:eastAsia="zh-CN"/>
              </w:rPr>
            </w:pPr>
            <w:r>
              <w:rPr>
                <w:rFonts w:hint="default"/>
                <w:color w:val="auto"/>
                <w:lang w:val="en-US" w:eastAsia="zh-CN"/>
              </w:rPr>
              <w:t>根据《建设项目环境风险评价技术导则》（HJ/T169 一 2018）</w:t>
            </w:r>
            <w:r>
              <w:rPr>
                <w:rFonts w:hint="eastAsia"/>
                <w:color w:val="auto"/>
                <w:lang w:val="en-US" w:eastAsia="zh-CN"/>
              </w:rPr>
              <w:t>，</w:t>
            </w:r>
            <w:r>
              <w:rPr>
                <w:rFonts w:hint="default"/>
                <w:color w:val="auto"/>
                <w:lang w:val="en-US" w:eastAsia="zh-CN"/>
              </w:rPr>
              <w:t>危险物质及工艺系统危害性（P）应根据危险物质数量与临界量的比值（Q）和行业及生产工艺（M）确定。根据《建设项目环境风险评价技术导则》（HJ/T169-2018）附录 C，Q按下式进行计算：</w:t>
            </w:r>
          </w:p>
          <w:p>
            <w:pPr>
              <w:pStyle w:val="2"/>
              <w:rPr>
                <w:rFonts w:hint="default"/>
                <w:color w:val="auto"/>
                <w:lang w:val="en-US" w:eastAsia="zh-CN"/>
              </w:rPr>
            </w:pPr>
            <w:r>
              <w:rPr>
                <w:rFonts w:hint="default"/>
                <w:color w:val="auto"/>
                <w:lang w:val="en-US" w:eastAsia="zh-CN"/>
              </w:rPr>
              <w:object>
                <v:shape id="_x0000_i1029" o:spt="75" type="#_x0000_t75" style="height:35pt;width:116pt;" o:ole="t" filled="f" o:preferrelative="t" stroked="f" coordsize="21600,21600">
                  <v:path/>
                  <v:fill on="f" focussize="0,0"/>
                  <v:stroke on="f"/>
                  <v:imagedata r:id="rId20" o:title=""/>
                  <o:lock v:ext="edit" aspectratio="t"/>
                  <w10:wrap type="none"/>
                  <w10:anchorlock/>
                </v:shape>
                <o:OLEObject Type="Embed" ProgID="Equation.KSEE3" ShapeID="_x0000_i1029" DrawAspect="Content" ObjectID="_1468075729" r:id="rId19">
                  <o:LockedField>false</o:LockedField>
                </o:OLEObject>
              </w:object>
            </w:r>
          </w:p>
          <w:p>
            <w:pPr>
              <w:spacing w:line="360" w:lineRule="auto"/>
              <w:ind w:firstLine="480" w:firstLineChars="200"/>
              <w:rPr>
                <w:rFonts w:hint="default"/>
                <w:color w:val="auto"/>
                <w:lang w:val="en-US" w:eastAsia="zh-CN"/>
              </w:rPr>
            </w:pPr>
            <w:r>
              <w:rPr>
                <w:rFonts w:hint="default"/>
                <w:color w:val="auto"/>
                <w:lang w:val="en-US" w:eastAsia="zh-CN"/>
              </w:rPr>
              <w:t>式中：</w:t>
            </w:r>
            <w:r>
              <w:rPr>
                <w:rFonts w:hint="eastAsia"/>
                <w:color w:val="auto"/>
                <w:lang w:val="en-US" w:eastAsia="zh-CN"/>
              </w:rPr>
              <w:t>q1</w:t>
            </w:r>
            <w:r>
              <w:rPr>
                <w:rFonts w:hint="default"/>
                <w:color w:val="auto"/>
                <w:lang w:val="en-US" w:eastAsia="zh-CN"/>
              </w:rPr>
              <w:t>，q</w:t>
            </w:r>
            <w:r>
              <w:rPr>
                <w:rFonts w:hint="eastAsia"/>
                <w:color w:val="auto"/>
                <w:lang w:val="en-US" w:eastAsia="zh-CN"/>
              </w:rPr>
              <w:t>2</w:t>
            </w:r>
            <w:r>
              <w:rPr>
                <w:rFonts w:hint="default"/>
                <w:color w:val="auto"/>
                <w:lang w:val="en-US" w:eastAsia="zh-CN"/>
              </w:rPr>
              <w:t xml:space="preserve"> ，.......，q</w:t>
            </w:r>
            <w:r>
              <w:rPr>
                <w:rFonts w:hint="eastAsia"/>
                <w:color w:val="auto"/>
                <w:lang w:val="en-US" w:eastAsia="zh-CN"/>
              </w:rPr>
              <w:t>n</w:t>
            </w:r>
            <w:r>
              <w:rPr>
                <w:rFonts w:hint="default"/>
                <w:color w:val="auto"/>
                <w:lang w:val="en-US" w:eastAsia="zh-CN"/>
              </w:rPr>
              <w:t xml:space="preserve"> —每种危险物质的最大存在总量，t；</w:t>
            </w:r>
          </w:p>
          <w:p>
            <w:pPr>
              <w:spacing w:line="360" w:lineRule="auto"/>
              <w:ind w:firstLine="1200" w:firstLineChars="500"/>
              <w:rPr>
                <w:rFonts w:hint="default"/>
                <w:color w:val="auto"/>
                <w:lang w:val="en-US" w:eastAsia="zh-CN"/>
              </w:rPr>
            </w:pPr>
            <w:r>
              <w:rPr>
                <w:rFonts w:hint="default"/>
                <w:color w:val="auto"/>
                <w:lang w:val="en-US" w:eastAsia="zh-CN"/>
              </w:rPr>
              <w:t xml:space="preserve">Q </w:t>
            </w:r>
            <w:r>
              <w:rPr>
                <w:rFonts w:hint="eastAsia"/>
                <w:color w:val="auto"/>
                <w:lang w:val="en-US" w:eastAsia="zh-CN"/>
              </w:rPr>
              <w:t>1</w:t>
            </w:r>
            <w:r>
              <w:rPr>
                <w:rFonts w:hint="default"/>
                <w:color w:val="auto"/>
                <w:lang w:val="en-US" w:eastAsia="zh-CN"/>
              </w:rPr>
              <w:t xml:space="preserve">，Q </w:t>
            </w:r>
            <w:r>
              <w:rPr>
                <w:rFonts w:hint="eastAsia"/>
                <w:color w:val="auto"/>
                <w:lang w:val="en-US" w:eastAsia="zh-CN"/>
              </w:rPr>
              <w:t>2</w:t>
            </w:r>
            <w:r>
              <w:rPr>
                <w:rFonts w:hint="default"/>
                <w:color w:val="auto"/>
                <w:lang w:val="en-US" w:eastAsia="zh-CN"/>
              </w:rPr>
              <w:t>，.......，Q n —每种危险物质的临界量，t；</w:t>
            </w:r>
          </w:p>
          <w:p>
            <w:pPr>
              <w:spacing w:line="360" w:lineRule="auto"/>
              <w:ind w:firstLine="480" w:firstLineChars="200"/>
              <w:rPr>
                <w:rFonts w:hint="default"/>
                <w:color w:val="auto"/>
                <w:lang w:val="en-US" w:eastAsia="zh-CN"/>
              </w:rPr>
            </w:pPr>
            <w:r>
              <w:rPr>
                <w:rFonts w:hint="default"/>
                <w:color w:val="auto"/>
                <w:lang w:val="en-US" w:eastAsia="zh-CN"/>
              </w:rPr>
              <w:t>当Q＜1时，该项目环境风险潜势为Ⅰ。</w:t>
            </w:r>
          </w:p>
          <w:p>
            <w:pPr>
              <w:spacing w:line="360" w:lineRule="auto"/>
              <w:ind w:firstLine="480" w:firstLineChars="200"/>
              <w:rPr>
                <w:rFonts w:hint="default"/>
                <w:color w:val="auto"/>
                <w:lang w:val="en-US" w:eastAsia="zh-CN"/>
              </w:rPr>
            </w:pPr>
            <w:r>
              <w:rPr>
                <w:rFonts w:hint="default"/>
                <w:color w:val="auto"/>
                <w:lang w:val="en-US" w:eastAsia="zh-CN"/>
              </w:rPr>
              <w:t>当Q≥1时，将Q值划分为：（1）1≤Q＜10；（2）10≤Q＜100；（3）Q≥100。</w:t>
            </w:r>
          </w:p>
          <w:p>
            <w:pPr>
              <w:spacing w:line="360" w:lineRule="auto"/>
              <w:ind w:firstLine="480" w:firstLineChars="200"/>
              <w:rPr>
                <w:rFonts w:hint="default"/>
                <w:color w:val="auto"/>
                <w:lang w:val="en-US" w:eastAsia="zh-CN"/>
              </w:rPr>
            </w:pPr>
            <w:r>
              <w:rPr>
                <w:rFonts w:hint="default"/>
                <w:color w:val="auto"/>
                <w:lang w:val="en-US" w:eastAsia="zh-CN"/>
              </w:rPr>
              <w:t>本项目</w:t>
            </w:r>
            <w:r>
              <w:rPr>
                <w:rFonts w:hint="eastAsia"/>
                <w:color w:val="auto"/>
                <w:lang w:val="en-US" w:eastAsia="zh-CN"/>
              </w:rPr>
              <w:t>Q</w:t>
            </w:r>
            <w:r>
              <w:rPr>
                <w:rFonts w:hint="default"/>
                <w:color w:val="auto"/>
                <w:lang w:val="en-US" w:eastAsia="zh-CN"/>
              </w:rPr>
              <w:t>值确定情况如下表所示。</w:t>
            </w:r>
          </w:p>
          <w:p>
            <w:pPr>
              <w:pStyle w:val="19"/>
              <w:bidi w:val="0"/>
              <w:rPr>
                <w:rFonts w:hint="eastAsia"/>
                <w:color w:val="auto"/>
                <w:lang w:val="en-US" w:eastAsia="zh-CN"/>
              </w:rPr>
            </w:pPr>
            <w:r>
              <w:rPr>
                <w:rFonts w:hint="eastAsia"/>
                <w:color w:val="auto"/>
                <w:lang w:val="en-US" w:eastAsia="zh-CN"/>
              </w:rPr>
              <w:t>表7-15 项目Q值确定</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8"/>
              <w:gridCol w:w="1370"/>
              <w:gridCol w:w="1659"/>
              <w:gridCol w:w="1659"/>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8" w:type="dxa"/>
                  <w:noWrap w:val="0"/>
                  <w:vAlign w:val="top"/>
                </w:tcPr>
                <w:p>
                  <w:pPr>
                    <w:pStyle w:val="18"/>
                    <w:bidi w:val="0"/>
                    <w:rPr>
                      <w:rFonts w:hint="default"/>
                      <w:color w:val="auto"/>
                      <w:lang w:val="en-US" w:eastAsia="zh-CN"/>
                    </w:rPr>
                  </w:pPr>
                  <w:r>
                    <w:rPr>
                      <w:rFonts w:hint="eastAsia"/>
                      <w:color w:val="auto"/>
                      <w:lang w:val="en-US" w:eastAsia="zh-CN"/>
                    </w:rPr>
                    <w:t>物质名称</w:t>
                  </w:r>
                </w:p>
              </w:tc>
              <w:tc>
                <w:tcPr>
                  <w:tcW w:w="1370" w:type="dxa"/>
                  <w:noWrap w:val="0"/>
                  <w:vAlign w:val="top"/>
                </w:tcPr>
                <w:p>
                  <w:pPr>
                    <w:pStyle w:val="18"/>
                    <w:bidi w:val="0"/>
                    <w:rPr>
                      <w:rFonts w:hint="default"/>
                      <w:color w:val="auto"/>
                      <w:lang w:val="en-US" w:eastAsia="zh-CN"/>
                    </w:rPr>
                  </w:pPr>
                  <w:r>
                    <w:rPr>
                      <w:rFonts w:hint="eastAsia"/>
                      <w:color w:val="auto"/>
                      <w:lang w:val="en-US" w:eastAsia="zh-CN"/>
                    </w:rPr>
                    <w:t>CAS号</w:t>
                  </w:r>
                </w:p>
              </w:tc>
              <w:tc>
                <w:tcPr>
                  <w:tcW w:w="1659" w:type="dxa"/>
                  <w:noWrap w:val="0"/>
                  <w:vAlign w:val="top"/>
                </w:tcPr>
                <w:p>
                  <w:pPr>
                    <w:pStyle w:val="18"/>
                    <w:bidi w:val="0"/>
                    <w:rPr>
                      <w:rFonts w:hint="default"/>
                      <w:color w:val="auto"/>
                      <w:lang w:val="en-US" w:eastAsia="zh-CN"/>
                    </w:rPr>
                  </w:pPr>
                  <w:r>
                    <w:rPr>
                      <w:rFonts w:hint="eastAsia"/>
                      <w:color w:val="auto"/>
                      <w:lang w:val="en-US" w:eastAsia="zh-CN"/>
                    </w:rPr>
                    <w:t>最大储量qn/t</w:t>
                  </w:r>
                </w:p>
              </w:tc>
              <w:tc>
                <w:tcPr>
                  <w:tcW w:w="1659" w:type="dxa"/>
                  <w:noWrap w:val="0"/>
                  <w:vAlign w:val="top"/>
                </w:tcPr>
                <w:p>
                  <w:pPr>
                    <w:pStyle w:val="18"/>
                    <w:bidi w:val="0"/>
                    <w:rPr>
                      <w:rFonts w:hint="default"/>
                      <w:color w:val="auto"/>
                      <w:lang w:val="en-US" w:eastAsia="zh-CN"/>
                    </w:rPr>
                  </w:pPr>
                  <w:r>
                    <w:rPr>
                      <w:rFonts w:hint="eastAsia"/>
                      <w:color w:val="auto"/>
                      <w:lang w:val="en-US" w:eastAsia="zh-CN"/>
                    </w:rPr>
                    <w:t>临界量Qn/t</w:t>
                  </w:r>
                </w:p>
              </w:tc>
              <w:tc>
                <w:tcPr>
                  <w:tcW w:w="1660" w:type="dxa"/>
                  <w:noWrap w:val="0"/>
                  <w:vAlign w:val="top"/>
                </w:tcPr>
                <w:p>
                  <w:pPr>
                    <w:pStyle w:val="18"/>
                    <w:bidi w:val="0"/>
                    <w:rPr>
                      <w:rFonts w:hint="default"/>
                      <w:color w:val="auto"/>
                      <w:lang w:val="en-US" w:eastAsia="zh-CN"/>
                    </w:rPr>
                  </w:pPr>
                  <w:r>
                    <w:rPr>
                      <w:rFonts w:hint="eastAsia"/>
                      <w:color w:val="auto"/>
                      <w:lang w:val="en-US" w:eastAsia="zh-CN"/>
                    </w:rPr>
                    <w:t>q/Q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8" w:type="dxa"/>
                  <w:noWrap w:val="0"/>
                  <w:vAlign w:val="top"/>
                </w:tcPr>
                <w:p>
                  <w:pPr>
                    <w:pStyle w:val="18"/>
                    <w:bidi w:val="0"/>
                    <w:rPr>
                      <w:rFonts w:hint="default"/>
                      <w:color w:val="auto"/>
                      <w:lang w:val="en-US" w:eastAsia="zh-CN"/>
                    </w:rPr>
                  </w:pPr>
                  <w:r>
                    <w:rPr>
                      <w:rFonts w:hint="eastAsia"/>
                      <w:color w:val="auto"/>
                      <w:lang w:val="en-US" w:eastAsia="zh-CN"/>
                    </w:rPr>
                    <w:t>水性漆</w:t>
                  </w:r>
                </w:p>
              </w:tc>
              <w:tc>
                <w:tcPr>
                  <w:tcW w:w="6348" w:type="dxa"/>
                  <w:gridSpan w:val="4"/>
                  <w:noWrap w:val="0"/>
                  <w:vAlign w:val="top"/>
                </w:tcPr>
                <w:p>
                  <w:pPr>
                    <w:pStyle w:val="18"/>
                    <w:bidi w:val="0"/>
                    <w:rPr>
                      <w:rFonts w:hint="default"/>
                      <w:color w:val="auto"/>
                      <w:lang w:val="en-US" w:eastAsia="zh-CN"/>
                    </w:rPr>
                  </w:pPr>
                  <w:r>
                    <w:rPr>
                      <w:rFonts w:hint="eastAsia"/>
                      <w:color w:val="auto"/>
                      <w:lang w:val="en-US" w:eastAsia="zh-CN"/>
                    </w:rPr>
                    <w:t>非重大危险源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8" w:type="dxa"/>
                  <w:noWrap w:val="0"/>
                  <w:vAlign w:val="top"/>
                </w:tcPr>
                <w:p>
                  <w:pPr>
                    <w:pStyle w:val="18"/>
                    <w:bidi w:val="0"/>
                    <w:rPr>
                      <w:rFonts w:hint="default"/>
                      <w:color w:val="auto"/>
                      <w:lang w:val="en-US" w:eastAsia="zh-CN"/>
                    </w:rPr>
                  </w:pPr>
                  <w:r>
                    <w:rPr>
                      <w:rFonts w:hint="eastAsia"/>
                      <w:color w:val="auto"/>
                      <w:lang w:val="en-US" w:eastAsia="zh-CN"/>
                    </w:rPr>
                    <w:t>二氧化碳</w:t>
                  </w:r>
                </w:p>
              </w:tc>
              <w:tc>
                <w:tcPr>
                  <w:tcW w:w="6348" w:type="dxa"/>
                  <w:gridSpan w:val="4"/>
                  <w:noWrap w:val="0"/>
                  <w:vAlign w:val="top"/>
                </w:tcPr>
                <w:p>
                  <w:pPr>
                    <w:pStyle w:val="18"/>
                    <w:bidi w:val="0"/>
                    <w:rPr>
                      <w:rFonts w:hint="default"/>
                      <w:color w:val="auto"/>
                      <w:lang w:val="en-US" w:eastAsia="zh-CN"/>
                    </w:rPr>
                  </w:pPr>
                  <w:r>
                    <w:rPr>
                      <w:rFonts w:hint="eastAsia"/>
                      <w:color w:val="auto"/>
                      <w:lang w:val="en-US" w:eastAsia="zh-CN"/>
                    </w:rPr>
                    <w:t>非重大危险源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8" w:type="dxa"/>
                  <w:noWrap w:val="0"/>
                  <w:vAlign w:val="top"/>
                </w:tcPr>
                <w:p>
                  <w:pPr>
                    <w:pStyle w:val="18"/>
                    <w:bidi w:val="0"/>
                    <w:rPr>
                      <w:rFonts w:hint="default"/>
                      <w:color w:val="auto"/>
                      <w:lang w:val="en-US" w:eastAsia="zh-CN"/>
                    </w:rPr>
                  </w:pPr>
                  <w:r>
                    <w:rPr>
                      <w:rFonts w:hint="eastAsia"/>
                      <w:color w:val="auto"/>
                      <w:lang w:val="en-US" w:eastAsia="zh-CN"/>
                    </w:rPr>
                    <w:t>氧气</w:t>
                  </w:r>
                </w:p>
              </w:tc>
              <w:tc>
                <w:tcPr>
                  <w:tcW w:w="6348" w:type="dxa"/>
                  <w:gridSpan w:val="4"/>
                  <w:noWrap w:val="0"/>
                  <w:vAlign w:val="top"/>
                </w:tcPr>
                <w:p>
                  <w:pPr>
                    <w:pStyle w:val="18"/>
                    <w:bidi w:val="0"/>
                    <w:rPr>
                      <w:rFonts w:hint="default"/>
                      <w:color w:val="auto"/>
                      <w:lang w:val="en-US" w:eastAsia="zh-CN"/>
                    </w:rPr>
                  </w:pPr>
                  <w:r>
                    <w:rPr>
                      <w:rFonts w:hint="eastAsia"/>
                      <w:color w:val="auto"/>
                      <w:lang w:val="en-US" w:eastAsia="zh-CN"/>
                    </w:rPr>
                    <w:t>非重大危险源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8" w:type="dxa"/>
                  <w:noWrap w:val="0"/>
                  <w:vAlign w:val="top"/>
                </w:tcPr>
                <w:p>
                  <w:pPr>
                    <w:pStyle w:val="18"/>
                    <w:bidi w:val="0"/>
                    <w:rPr>
                      <w:rFonts w:hint="default"/>
                      <w:color w:val="auto"/>
                      <w:lang w:val="en-US" w:eastAsia="zh-CN"/>
                    </w:rPr>
                  </w:pPr>
                  <w:r>
                    <w:rPr>
                      <w:rFonts w:hint="eastAsia"/>
                      <w:color w:val="auto"/>
                      <w:lang w:val="en-US" w:eastAsia="zh-CN"/>
                    </w:rPr>
                    <w:t>天然气（石油气）</w:t>
                  </w:r>
                </w:p>
              </w:tc>
              <w:tc>
                <w:tcPr>
                  <w:tcW w:w="1370" w:type="dxa"/>
                  <w:noWrap w:val="0"/>
                  <w:vAlign w:val="top"/>
                </w:tcPr>
                <w:p>
                  <w:pPr>
                    <w:pStyle w:val="18"/>
                    <w:bidi w:val="0"/>
                    <w:rPr>
                      <w:rFonts w:hint="default"/>
                      <w:color w:val="auto"/>
                      <w:lang w:val="en-US" w:eastAsia="zh-CN"/>
                    </w:rPr>
                  </w:pPr>
                  <w:r>
                    <w:rPr>
                      <w:rFonts w:hint="eastAsia"/>
                      <w:color w:val="auto"/>
                      <w:lang w:val="en-US" w:eastAsia="zh-CN"/>
                    </w:rPr>
                    <w:t>68476-85-7</w:t>
                  </w:r>
                </w:p>
              </w:tc>
              <w:tc>
                <w:tcPr>
                  <w:tcW w:w="1659" w:type="dxa"/>
                  <w:noWrap w:val="0"/>
                  <w:vAlign w:val="top"/>
                </w:tcPr>
                <w:p>
                  <w:pPr>
                    <w:pStyle w:val="18"/>
                    <w:bidi w:val="0"/>
                    <w:rPr>
                      <w:rFonts w:hint="default"/>
                      <w:color w:val="auto"/>
                      <w:lang w:val="en-US" w:eastAsia="zh-CN"/>
                    </w:rPr>
                  </w:pPr>
                  <w:r>
                    <w:rPr>
                      <w:rFonts w:hint="eastAsia"/>
                      <w:color w:val="auto"/>
                      <w:lang w:val="en-US" w:eastAsia="zh-CN"/>
                    </w:rPr>
                    <w:t>0.5</w:t>
                  </w:r>
                </w:p>
              </w:tc>
              <w:tc>
                <w:tcPr>
                  <w:tcW w:w="1659" w:type="dxa"/>
                  <w:noWrap w:val="0"/>
                  <w:vAlign w:val="top"/>
                </w:tcPr>
                <w:p>
                  <w:pPr>
                    <w:pStyle w:val="18"/>
                    <w:bidi w:val="0"/>
                    <w:rPr>
                      <w:rFonts w:hint="default"/>
                      <w:color w:val="auto"/>
                      <w:lang w:val="en-US" w:eastAsia="zh-CN"/>
                    </w:rPr>
                  </w:pPr>
                  <w:r>
                    <w:rPr>
                      <w:rFonts w:hint="eastAsia"/>
                      <w:color w:val="auto"/>
                      <w:lang w:val="en-US" w:eastAsia="zh-CN"/>
                    </w:rPr>
                    <w:t>10</w:t>
                  </w:r>
                </w:p>
              </w:tc>
              <w:tc>
                <w:tcPr>
                  <w:tcW w:w="1660" w:type="dxa"/>
                  <w:noWrap w:val="0"/>
                  <w:vAlign w:val="top"/>
                </w:tcPr>
                <w:p>
                  <w:pPr>
                    <w:pStyle w:val="18"/>
                    <w:bidi w:val="0"/>
                    <w:rPr>
                      <w:rFonts w:hint="default"/>
                      <w:color w:val="auto"/>
                      <w:lang w:val="en-US" w:eastAsia="zh-CN"/>
                    </w:rPr>
                  </w:pPr>
                  <w:r>
                    <w:rPr>
                      <w:rFonts w:hint="eastAsia"/>
                      <w:color w:val="auto"/>
                      <w:lang w:val="en-US" w:eastAsia="zh-CN"/>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8" w:type="dxa"/>
                  <w:noWrap w:val="0"/>
                  <w:vAlign w:val="top"/>
                </w:tcPr>
                <w:p>
                  <w:pPr>
                    <w:pStyle w:val="18"/>
                    <w:bidi w:val="0"/>
                    <w:rPr>
                      <w:rFonts w:hint="default"/>
                      <w:color w:val="auto"/>
                      <w:lang w:val="en-US" w:eastAsia="zh-CN"/>
                    </w:rPr>
                  </w:pPr>
                  <w:r>
                    <w:rPr>
                      <w:rFonts w:hint="eastAsia"/>
                      <w:color w:val="auto"/>
                      <w:lang w:val="en-US" w:eastAsia="zh-CN"/>
                    </w:rPr>
                    <w:t>废机油（油类物质）</w:t>
                  </w:r>
                </w:p>
              </w:tc>
              <w:tc>
                <w:tcPr>
                  <w:tcW w:w="1370" w:type="dxa"/>
                  <w:noWrap w:val="0"/>
                  <w:vAlign w:val="top"/>
                </w:tcPr>
                <w:p>
                  <w:pPr>
                    <w:pStyle w:val="18"/>
                    <w:bidi w:val="0"/>
                    <w:rPr>
                      <w:rFonts w:hint="default"/>
                      <w:color w:val="auto"/>
                      <w:lang w:val="en-US" w:eastAsia="zh-CN"/>
                    </w:rPr>
                  </w:pPr>
                  <w:r>
                    <w:rPr>
                      <w:rFonts w:hint="eastAsia"/>
                      <w:color w:val="auto"/>
                      <w:lang w:val="en-US" w:eastAsia="zh-CN"/>
                    </w:rPr>
                    <w:t>/</w:t>
                  </w:r>
                </w:p>
              </w:tc>
              <w:tc>
                <w:tcPr>
                  <w:tcW w:w="1659" w:type="dxa"/>
                  <w:noWrap w:val="0"/>
                  <w:vAlign w:val="top"/>
                </w:tcPr>
                <w:p>
                  <w:pPr>
                    <w:pStyle w:val="18"/>
                    <w:bidi w:val="0"/>
                    <w:rPr>
                      <w:rFonts w:hint="default"/>
                      <w:color w:val="auto"/>
                      <w:lang w:val="en-US" w:eastAsia="zh-CN"/>
                    </w:rPr>
                  </w:pPr>
                  <w:r>
                    <w:rPr>
                      <w:rFonts w:hint="eastAsia"/>
                      <w:color w:val="auto"/>
                      <w:lang w:val="en-US" w:eastAsia="zh-CN"/>
                    </w:rPr>
                    <w:t>0.2</w:t>
                  </w:r>
                </w:p>
              </w:tc>
              <w:tc>
                <w:tcPr>
                  <w:tcW w:w="1659" w:type="dxa"/>
                  <w:noWrap w:val="0"/>
                  <w:vAlign w:val="top"/>
                </w:tcPr>
                <w:p>
                  <w:pPr>
                    <w:pStyle w:val="18"/>
                    <w:bidi w:val="0"/>
                    <w:rPr>
                      <w:rFonts w:hint="default"/>
                      <w:color w:val="auto"/>
                      <w:lang w:val="en-US" w:eastAsia="zh-CN"/>
                    </w:rPr>
                  </w:pPr>
                  <w:r>
                    <w:rPr>
                      <w:rFonts w:hint="eastAsia"/>
                      <w:color w:val="auto"/>
                      <w:lang w:val="en-US" w:eastAsia="zh-CN"/>
                    </w:rPr>
                    <w:t>2500</w:t>
                  </w:r>
                </w:p>
              </w:tc>
              <w:tc>
                <w:tcPr>
                  <w:tcW w:w="1660" w:type="dxa"/>
                  <w:noWrap w:val="0"/>
                  <w:vAlign w:val="top"/>
                </w:tcPr>
                <w:p>
                  <w:pPr>
                    <w:pStyle w:val="18"/>
                    <w:bidi w:val="0"/>
                    <w:rPr>
                      <w:rFonts w:hint="default"/>
                      <w:color w:val="auto"/>
                      <w:lang w:val="en-US" w:eastAsia="zh-CN"/>
                    </w:rPr>
                  </w:pPr>
                  <w:r>
                    <w:rPr>
                      <w:rFonts w:hint="eastAsia"/>
                      <w:color w:val="auto"/>
                      <w:lang w:val="en-US" w:eastAsia="zh-CN"/>
                    </w:rPr>
                    <w:t>8×10-5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6" w:type="dxa"/>
                  <w:gridSpan w:val="4"/>
                  <w:noWrap w:val="0"/>
                  <w:vAlign w:val="top"/>
                </w:tcPr>
                <w:p>
                  <w:pPr>
                    <w:pStyle w:val="18"/>
                    <w:bidi w:val="0"/>
                    <w:rPr>
                      <w:rFonts w:hint="default"/>
                      <w:color w:val="auto"/>
                      <w:lang w:val="en-US" w:eastAsia="zh-CN"/>
                    </w:rPr>
                  </w:pPr>
                  <w:r>
                    <w:rPr>
                      <w:rFonts w:hint="eastAsia"/>
                      <w:color w:val="auto"/>
                      <w:lang w:val="en-US" w:eastAsia="zh-CN"/>
                    </w:rPr>
                    <w:t>Q值</w:t>
                  </w:r>
                </w:p>
              </w:tc>
              <w:tc>
                <w:tcPr>
                  <w:tcW w:w="1660" w:type="dxa"/>
                  <w:noWrap w:val="0"/>
                  <w:vAlign w:val="top"/>
                </w:tcPr>
                <w:p>
                  <w:pPr>
                    <w:pStyle w:val="18"/>
                    <w:bidi w:val="0"/>
                    <w:rPr>
                      <w:rFonts w:hint="default"/>
                      <w:color w:val="auto"/>
                      <w:lang w:val="en-US" w:eastAsia="zh-CN"/>
                    </w:rPr>
                  </w:pPr>
                  <w:r>
                    <w:rPr>
                      <w:rFonts w:hint="eastAsia"/>
                      <w:color w:val="auto"/>
                      <w:lang w:val="en-US" w:eastAsia="zh-CN"/>
                    </w:rPr>
                    <w:t>0.05</w:t>
                  </w:r>
                </w:p>
              </w:tc>
            </w:tr>
          </w:tbl>
          <w:p>
            <w:pPr>
              <w:ind w:firstLine="480" w:firstLineChars="200"/>
              <w:rPr>
                <w:rFonts w:hint="default"/>
                <w:color w:val="auto"/>
                <w:lang w:val="en-US" w:eastAsia="zh-CN"/>
              </w:rPr>
            </w:pPr>
            <w:r>
              <w:rPr>
                <w:rFonts w:hint="default"/>
                <w:color w:val="auto"/>
                <w:lang w:val="en-US" w:eastAsia="zh-CN"/>
              </w:rPr>
              <w:t>经计算，项目Q值为0.</w:t>
            </w:r>
            <w:r>
              <w:rPr>
                <w:rFonts w:hint="eastAsia"/>
                <w:color w:val="auto"/>
                <w:lang w:val="en-US" w:eastAsia="zh-CN"/>
              </w:rPr>
              <w:t>05</w:t>
            </w:r>
            <w:r>
              <w:rPr>
                <w:rFonts w:hint="default"/>
                <w:color w:val="auto"/>
                <w:lang w:val="en-US" w:eastAsia="zh-CN"/>
              </w:rPr>
              <w:t>＜1。因此，本项目环境风险潜势直接判断为Ⅰ。</w:t>
            </w:r>
          </w:p>
          <w:p>
            <w:pPr>
              <w:numPr>
                <w:ilvl w:val="0"/>
                <w:numId w:val="0"/>
              </w:numPr>
              <w:spacing w:line="360" w:lineRule="auto"/>
              <w:ind w:firstLine="480" w:firstLineChars="200"/>
              <w:rPr>
                <w:rFonts w:hint="default"/>
                <w:color w:val="auto"/>
                <w:lang w:eastAsia="zh-CN"/>
              </w:rPr>
            </w:pPr>
            <w:r>
              <w:rPr>
                <w:rFonts w:hint="default"/>
                <w:color w:val="auto"/>
                <w:lang w:eastAsia="zh-CN"/>
              </w:rPr>
              <w:t>3 、评价等级确定</w:t>
            </w:r>
          </w:p>
          <w:p>
            <w:pPr>
              <w:spacing w:line="360" w:lineRule="auto"/>
              <w:ind w:firstLine="480" w:firstLineChars="200"/>
              <w:rPr>
                <w:rFonts w:hint="default"/>
                <w:color w:val="auto"/>
                <w:lang w:val="en-US" w:eastAsia="zh-CN"/>
              </w:rPr>
            </w:pPr>
            <w:r>
              <w:rPr>
                <w:rFonts w:hint="default"/>
                <w:color w:val="auto"/>
                <w:lang w:val="en-US" w:eastAsia="zh-CN"/>
              </w:rPr>
              <w:t>根据《建设项目环境风险评价技术导则》（HJ/T169-2018）表1划分标准，本项目环境风险潜势为I，因此，环境风险评价工作等级为简单分析。</w:t>
            </w:r>
          </w:p>
          <w:p>
            <w:pPr>
              <w:pStyle w:val="19"/>
              <w:bidi w:val="0"/>
              <w:rPr>
                <w:rFonts w:hint="eastAsia"/>
                <w:color w:val="auto"/>
                <w:lang w:val="en-US" w:eastAsia="zh-CN"/>
              </w:rPr>
            </w:pPr>
            <w:r>
              <w:rPr>
                <w:rFonts w:hint="eastAsia"/>
                <w:color w:val="auto"/>
                <w:lang w:eastAsia="zh-CN"/>
              </w:rPr>
              <w:t>表</w:t>
            </w:r>
            <w:r>
              <w:rPr>
                <w:rFonts w:hint="eastAsia"/>
                <w:color w:val="auto"/>
                <w:lang w:val="en-US" w:eastAsia="zh-CN"/>
              </w:rPr>
              <w:t>7-16 评价工作等级划分</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659"/>
              <w:gridCol w:w="1659"/>
              <w:gridCol w:w="1659"/>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pPr>
                    <w:pStyle w:val="18"/>
                    <w:bidi w:val="0"/>
                    <w:rPr>
                      <w:rFonts w:hint="default"/>
                      <w:color w:val="auto"/>
                      <w:lang w:val="en-US" w:eastAsia="zh-CN"/>
                    </w:rPr>
                  </w:pPr>
                  <w:r>
                    <w:rPr>
                      <w:rFonts w:hint="eastAsia"/>
                      <w:color w:val="auto"/>
                      <w:lang w:val="en-US" w:eastAsia="zh-CN"/>
                    </w:rPr>
                    <w:t>环境风险潜势</w:t>
                  </w:r>
                </w:p>
              </w:tc>
              <w:tc>
                <w:tcPr>
                  <w:tcW w:w="1659" w:type="dxa"/>
                  <w:noWrap w:val="0"/>
                  <w:vAlign w:val="top"/>
                </w:tcPr>
                <w:p>
                  <w:pPr>
                    <w:pStyle w:val="18"/>
                    <w:bidi w:val="0"/>
                    <w:rPr>
                      <w:rFonts w:hint="default"/>
                      <w:color w:val="auto"/>
                      <w:lang w:val="en-US" w:eastAsia="zh-CN"/>
                    </w:rPr>
                  </w:pPr>
                  <w:r>
                    <w:rPr>
                      <w:rFonts w:hint="eastAsia"/>
                      <w:color w:val="auto"/>
                      <w:lang w:val="en-US" w:eastAsia="zh-CN"/>
                    </w:rPr>
                    <w:t>Ⅳ、Ⅳ+</w:t>
                  </w:r>
                </w:p>
              </w:tc>
              <w:tc>
                <w:tcPr>
                  <w:tcW w:w="1659" w:type="dxa"/>
                  <w:noWrap w:val="0"/>
                  <w:vAlign w:val="top"/>
                </w:tcPr>
                <w:p>
                  <w:pPr>
                    <w:pStyle w:val="18"/>
                    <w:bidi w:val="0"/>
                    <w:rPr>
                      <w:rFonts w:hint="default"/>
                      <w:color w:val="auto"/>
                      <w:lang w:val="en-US" w:eastAsia="zh-CN"/>
                    </w:rPr>
                  </w:pPr>
                  <w:r>
                    <w:rPr>
                      <w:rFonts w:hint="eastAsia"/>
                      <w:color w:val="auto"/>
                      <w:lang w:val="en-US" w:eastAsia="zh-CN"/>
                    </w:rPr>
                    <w:t>Ⅲ</w:t>
                  </w:r>
                </w:p>
              </w:tc>
              <w:tc>
                <w:tcPr>
                  <w:tcW w:w="1659" w:type="dxa"/>
                  <w:noWrap w:val="0"/>
                  <w:vAlign w:val="top"/>
                </w:tcPr>
                <w:p>
                  <w:pPr>
                    <w:pStyle w:val="18"/>
                    <w:bidi w:val="0"/>
                    <w:rPr>
                      <w:rFonts w:hint="default"/>
                      <w:color w:val="auto"/>
                      <w:lang w:val="en-US" w:eastAsia="zh-CN"/>
                    </w:rPr>
                  </w:pPr>
                  <w:r>
                    <w:rPr>
                      <w:rFonts w:hint="eastAsia"/>
                      <w:color w:val="auto"/>
                      <w:lang w:val="en-US" w:eastAsia="zh-CN"/>
                    </w:rPr>
                    <w:t>Ⅱ</w:t>
                  </w:r>
                </w:p>
              </w:tc>
              <w:tc>
                <w:tcPr>
                  <w:tcW w:w="1660" w:type="dxa"/>
                  <w:noWrap w:val="0"/>
                  <w:vAlign w:val="top"/>
                </w:tcPr>
                <w:p>
                  <w:pPr>
                    <w:pStyle w:val="18"/>
                    <w:bidi w:val="0"/>
                    <w:rPr>
                      <w:rFonts w:hint="default"/>
                      <w:color w:val="auto"/>
                      <w:lang w:val="en-US" w:eastAsia="zh-CN"/>
                    </w:rPr>
                  </w:pPr>
                  <w:r>
                    <w:rPr>
                      <w:rFonts w:hint="eastAsia"/>
                      <w:color w:val="auto"/>
                      <w:lang w:val="en-US" w:eastAsia="zh-CN"/>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pPr>
                    <w:pStyle w:val="18"/>
                    <w:bidi w:val="0"/>
                    <w:rPr>
                      <w:rFonts w:hint="default"/>
                      <w:color w:val="auto"/>
                      <w:lang w:val="en-US" w:eastAsia="zh-CN"/>
                    </w:rPr>
                  </w:pPr>
                  <w:r>
                    <w:rPr>
                      <w:rFonts w:hint="eastAsia"/>
                      <w:color w:val="auto"/>
                      <w:lang w:val="en-US" w:eastAsia="zh-CN"/>
                    </w:rPr>
                    <w:t>评价工作等级</w:t>
                  </w:r>
                </w:p>
              </w:tc>
              <w:tc>
                <w:tcPr>
                  <w:tcW w:w="1659" w:type="dxa"/>
                  <w:noWrap w:val="0"/>
                  <w:vAlign w:val="top"/>
                </w:tcPr>
                <w:p>
                  <w:pPr>
                    <w:pStyle w:val="18"/>
                    <w:bidi w:val="0"/>
                    <w:rPr>
                      <w:rFonts w:hint="default"/>
                      <w:color w:val="auto"/>
                      <w:lang w:val="en-US" w:eastAsia="zh-CN"/>
                    </w:rPr>
                  </w:pPr>
                  <w:r>
                    <w:rPr>
                      <w:rFonts w:hint="eastAsia"/>
                      <w:color w:val="auto"/>
                      <w:lang w:val="en-US" w:eastAsia="zh-CN"/>
                    </w:rPr>
                    <w:t>一</w:t>
                  </w:r>
                </w:p>
              </w:tc>
              <w:tc>
                <w:tcPr>
                  <w:tcW w:w="1659" w:type="dxa"/>
                  <w:noWrap w:val="0"/>
                  <w:vAlign w:val="top"/>
                </w:tcPr>
                <w:p>
                  <w:pPr>
                    <w:pStyle w:val="18"/>
                    <w:bidi w:val="0"/>
                    <w:rPr>
                      <w:rFonts w:hint="default"/>
                      <w:color w:val="auto"/>
                      <w:lang w:val="en-US" w:eastAsia="zh-CN"/>
                    </w:rPr>
                  </w:pPr>
                  <w:r>
                    <w:rPr>
                      <w:rFonts w:hint="eastAsia"/>
                      <w:color w:val="auto"/>
                      <w:lang w:val="en-US" w:eastAsia="zh-CN"/>
                    </w:rPr>
                    <w:t>二</w:t>
                  </w:r>
                </w:p>
              </w:tc>
              <w:tc>
                <w:tcPr>
                  <w:tcW w:w="1659" w:type="dxa"/>
                  <w:noWrap w:val="0"/>
                  <w:vAlign w:val="top"/>
                </w:tcPr>
                <w:p>
                  <w:pPr>
                    <w:pStyle w:val="18"/>
                    <w:bidi w:val="0"/>
                    <w:rPr>
                      <w:rFonts w:hint="default"/>
                      <w:color w:val="auto"/>
                      <w:lang w:val="en-US" w:eastAsia="zh-CN"/>
                    </w:rPr>
                  </w:pPr>
                  <w:r>
                    <w:rPr>
                      <w:rFonts w:hint="eastAsia"/>
                      <w:color w:val="auto"/>
                      <w:lang w:val="en-US" w:eastAsia="zh-CN"/>
                    </w:rPr>
                    <w:t>三</w:t>
                  </w:r>
                </w:p>
              </w:tc>
              <w:tc>
                <w:tcPr>
                  <w:tcW w:w="1660" w:type="dxa"/>
                  <w:noWrap w:val="0"/>
                  <w:vAlign w:val="top"/>
                </w:tcPr>
                <w:p>
                  <w:pPr>
                    <w:pStyle w:val="18"/>
                    <w:bidi w:val="0"/>
                    <w:rPr>
                      <w:rFonts w:hint="default"/>
                      <w:color w:val="auto"/>
                      <w:lang w:val="en-US" w:eastAsia="zh-CN"/>
                    </w:rPr>
                  </w:pPr>
                  <w:r>
                    <w:rPr>
                      <w:rFonts w:hint="eastAsia"/>
                      <w:color w:val="auto"/>
                      <w:lang w:val="en-US" w:eastAsia="zh-CN"/>
                    </w:rPr>
                    <w:t>简单分析a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5"/>
                  <w:noWrap w:val="0"/>
                  <w:vAlign w:val="top"/>
                </w:tcPr>
                <w:p>
                  <w:pPr>
                    <w:pStyle w:val="18"/>
                    <w:bidi w:val="0"/>
                    <w:jc w:val="left"/>
                    <w:rPr>
                      <w:rFonts w:hint="default"/>
                      <w:color w:val="auto"/>
                      <w:lang w:val="en-US" w:eastAsia="zh-CN"/>
                    </w:rPr>
                  </w:pPr>
                  <w:r>
                    <w:rPr>
                      <w:rFonts w:hint="default"/>
                      <w:color w:val="auto"/>
                      <w:lang w:val="en-US" w:eastAsia="zh-CN"/>
                    </w:rPr>
                    <w:t>a 是相对于详细评价工作内容而言，在描述危险物质、环境影响途径、环境危害后果、风险防范措施等方面给出定性的说明。见附录A</w:t>
                  </w:r>
                </w:p>
              </w:tc>
            </w:tr>
          </w:tbl>
          <w:p>
            <w:pPr>
              <w:spacing w:line="360" w:lineRule="auto"/>
              <w:ind w:firstLine="480" w:firstLineChars="200"/>
              <w:rPr>
                <w:rFonts w:hint="default"/>
                <w:color w:val="auto"/>
                <w:lang w:val="en-US" w:eastAsia="zh-CN"/>
              </w:rPr>
            </w:pPr>
            <w:r>
              <w:rPr>
                <w:rFonts w:hint="default"/>
                <w:color w:val="auto"/>
                <w:lang w:val="en-US" w:eastAsia="zh-CN"/>
              </w:rPr>
              <w:t>4 、环境风险事故类型及环境影响</w:t>
            </w:r>
          </w:p>
          <w:p>
            <w:pPr>
              <w:spacing w:line="360" w:lineRule="auto"/>
              <w:ind w:firstLine="480" w:firstLineChars="200"/>
              <w:rPr>
                <w:rFonts w:hint="default"/>
                <w:color w:val="auto"/>
                <w:lang w:val="en-US" w:eastAsia="zh-CN"/>
              </w:rPr>
            </w:pPr>
            <w:r>
              <w:rPr>
                <w:rFonts w:hint="eastAsia"/>
                <w:color w:val="auto"/>
                <w:lang w:val="en-US" w:eastAsia="zh-CN"/>
              </w:rPr>
              <w:t>1）</w:t>
            </w:r>
            <w:r>
              <w:rPr>
                <w:rFonts w:hint="default"/>
                <w:color w:val="auto"/>
                <w:lang w:val="en-US" w:eastAsia="zh-CN"/>
              </w:rPr>
              <w:t>矿物油在储存及使用过程中，由于操作不当、管理不善等原因造成泄漏，危险化学品泄漏，造成土壤、地下水污染。若泄露矿物油在遇到明火的情况下继而发生火灾事故，产生废气等二次污染物，对区域大气环境造成污染；危险化学品氧气、</w:t>
            </w:r>
            <w:r>
              <w:rPr>
                <w:rFonts w:hint="eastAsia"/>
                <w:color w:val="auto"/>
                <w:lang w:val="en-US" w:eastAsia="zh-CN"/>
              </w:rPr>
              <w:t>天然气</w:t>
            </w:r>
            <w:r>
              <w:rPr>
                <w:rFonts w:hint="default"/>
                <w:color w:val="auto"/>
                <w:lang w:val="en-US" w:eastAsia="zh-CN"/>
              </w:rPr>
              <w:t>因明火或发生碰撞、使用不当等原因造成爆炸事故。</w:t>
            </w:r>
          </w:p>
          <w:p>
            <w:pPr>
              <w:spacing w:line="360" w:lineRule="auto"/>
              <w:ind w:firstLine="480" w:firstLineChars="200"/>
              <w:rPr>
                <w:rFonts w:hint="default"/>
                <w:color w:val="auto"/>
              </w:rPr>
            </w:pPr>
            <w:r>
              <w:rPr>
                <w:rFonts w:hint="eastAsia"/>
                <w:color w:val="auto"/>
                <w:lang w:val="en-US" w:eastAsia="zh-CN"/>
              </w:rPr>
              <w:t>2</w:t>
            </w:r>
            <w:r>
              <w:rPr>
                <w:rFonts w:hint="default"/>
                <w:color w:val="auto"/>
                <w:lang w:eastAsia="zh-CN"/>
              </w:rPr>
              <w:t>）</w:t>
            </w:r>
            <w:r>
              <w:rPr>
                <w:rFonts w:hint="default"/>
                <w:color w:val="auto"/>
              </w:rPr>
              <w:t>氧气瓶</w:t>
            </w:r>
            <w:r>
              <w:rPr>
                <w:rFonts w:hint="default"/>
                <w:color w:val="auto"/>
                <w:lang w:eastAsia="zh-CN"/>
              </w:rPr>
              <w:t>、乙炔瓶、二氧化碳气瓶</w:t>
            </w:r>
            <w:r>
              <w:rPr>
                <w:rFonts w:hint="default"/>
                <w:color w:val="auto"/>
              </w:rPr>
              <w:t>附件损坏、丢失。氧气瓶的附件中有瓶阀、手轮、瓶帽和防震胶圈。瓶帽是为了防止气瓶瓶阀在搬运过程中被撞击而损坏，甚至被撞断使气体高速喷出，推动瓶阀和手轮向前高速飞动造成伤亡事故。</w:t>
            </w:r>
            <w:r>
              <w:rPr>
                <w:rFonts w:hint="default"/>
                <w:color w:val="auto"/>
                <w:lang w:eastAsia="zh-CN"/>
              </w:rPr>
              <w:t>氧气瓶和乙炔瓶</w:t>
            </w:r>
            <w:r>
              <w:rPr>
                <w:rFonts w:hint="default"/>
                <w:color w:val="auto"/>
              </w:rPr>
              <w:t>如果一旦附件损坏，又遇到明火时就存在安全事故</w:t>
            </w:r>
            <w:r>
              <w:rPr>
                <w:rFonts w:hint="default"/>
                <w:color w:val="auto"/>
                <w:lang w:eastAsia="zh-CN"/>
              </w:rPr>
              <w:t>隐患</w:t>
            </w:r>
            <w:r>
              <w:rPr>
                <w:rFonts w:hint="default"/>
                <w:color w:val="auto"/>
              </w:rPr>
              <w:t>。</w:t>
            </w:r>
          </w:p>
          <w:p>
            <w:pPr>
              <w:widowControl/>
              <w:spacing w:line="360" w:lineRule="auto"/>
              <w:ind w:firstLine="480" w:firstLineChars="200"/>
              <w:jc w:val="left"/>
              <w:rPr>
                <w:rFonts w:hint="default"/>
                <w:color w:val="auto"/>
              </w:rPr>
            </w:pPr>
            <w:r>
              <w:rPr>
                <w:rFonts w:hint="eastAsia"/>
                <w:color w:val="auto"/>
                <w:lang w:val="en-US" w:eastAsia="zh-CN"/>
              </w:rPr>
              <w:t>3</w:t>
            </w:r>
            <w:r>
              <w:rPr>
                <w:rFonts w:hint="default"/>
                <w:color w:val="auto"/>
                <w:lang w:eastAsia="zh-CN"/>
              </w:rPr>
              <w:t>）储气瓶</w:t>
            </w:r>
            <w:r>
              <w:rPr>
                <w:rFonts w:hint="default"/>
                <w:color w:val="auto"/>
              </w:rPr>
              <w:t>太阳暴晒。</w:t>
            </w:r>
            <w:r>
              <w:rPr>
                <w:rFonts w:hint="default"/>
                <w:color w:val="auto"/>
                <w:lang w:eastAsia="zh-CN"/>
              </w:rPr>
              <w:t>储</w:t>
            </w:r>
            <w:r>
              <w:rPr>
                <w:rFonts w:hint="default"/>
                <w:color w:val="auto"/>
              </w:rPr>
              <w:t>气瓶的容积是有限的，曝晒会使瓶内介质温度升高，导致瓶内压力骤增，使气瓶处于危险状态。若在运输中没有采取遮阳措施，夏天使用时将气瓶置于太阳下暴晒。尤其是夏季公路温度经常达到</w:t>
            </w:r>
            <w:r>
              <w:rPr>
                <w:rFonts w:hint="default"/>
                <w:color w:val="auto"/>
                <w:lang w:val="en-US" w:eastAsia="zh-CN"/>
              </w:rPr>
              <w:t>30</w:t>
            </w:r>
            <w:r>
              <w:rPr>
                <w:rFonts w:hint="default"/>
                <w:color w:val="auto"/>
              </w:rPr>
              <w:t>多度，倘若气瓶本身存在缺陷，充装过量或者相互撞击，就有可能发生爆炸事故。</w:t>
            </w:r>
          </w:p>
          <w:p>
            <w:pPr>
              <w:widowControl/>
              <w:spacing w:line="360" w:lineRule="auto"/>
              <w:ind w:firstLine="480" w:firstLineChars="200"/>
              <w:jc w:val="left"/>
              <w:rPr>
                <w:rFonts w:hint="default"/>
                <w:color w:val="auto"/>
              </w:rPr>
            </w:pPr>
            <w:r>
              <w:rPr>
                <w:rFonts w:hint="eastAsia"/>
                <w:color w:val="auto"/>
                <w:lang w:val="en-US" w:eastAsia="zh-CN"/>
              </w:rPr>
              <w:t>4</w:t>
            </w:r>
            <w:r>
              <w:rPr>
                <w:rFonts w:hint="default"/>
                <w:color w:val="auto"/>
                <w:lang w:eastAsia="zh-CN"/>
              </w:rPr>
              <w:t>）</w:t>
            </w:r>
            <w:r>
              <w:rPr>
                <w:rFonts w:hint="default"/>
                <w:color w:val="auto"/>
              </w:rPr>
              <w:t>安全距离不够。《气瓶安全监察规程》规定，</w:t>
            </w:r>
            <w:r>
              <w:rPr>
                <w:rFonts w:hint="default"/>
                <w:color w:val="auto"/>
                <w:lang w:eastAsia="zh-CN"/>
              </w:rPr>
              <w:t>氧</w:t>
            </w:r>
            <w:r>
              <w:rPr>
                <w:rFonts w:hint="default"/>
                <w:color w:val="auto"/>
              </w:rPr>
              <w:t>气瓶使用时必须距明火10米以外，贮存时严禁和乙炔瓶同室存放。若焊接作业时氧气瓶距焊接点的距离不够10米，氧气瓶、乙炔瓶同室存放的现象，一旦气瓶漏气，遇上明火发生爆炸，将造成严重后果。</w:t>
            </w:r>
          </w:p>
          <w:p>
            <w:pPr>
              <w:widowControl/>
              <w:spacing w:line="360" w:lineRule="auto"/>
              <w:ind w:firstLine="480" w:firstLineChars="200"/>
              <w:jc w:val="left"/>
              <w:rPr>
                <w:rFonts w:hint="default"/>
                <w:color w:val="auto"/>
              </w:rPr>
            </w:pPr>
            <w:r>
              <w:rPr>
                <w:rFonts w:hint="eastAsia"/>
                <w:color w:val="auto"/>
                <w:lang w:val="en-US" w:eastAsia="zh-CN"/>
              </w:rPr>
              <w:t>5</w:t>
            </w:r>
            <w:r>
              <w:rPr>
                <w:rFonts w:hint="default"/>
                <w:color w:val="auto"/>
                <w:lang w:eastAsia="zh-CN"/>
              </w:rPr>
              <w:t>）</w:t>
            </w:r>
            <w:r>
              <w:rPr>
                <w:rFonts w:hint="default"/>
                <w:color w:val="auto"/>
              </w:rPr>
              <w:t>野蛮装卸。在运输和使用中，野蛮装卸的现象很普遍，如短距离运输时，将氧气瓶用力推倒，然后顺地面滚动；车辆运输时固定不牢，气瓶相互碰撞，从车辆上直接向下推等等。这样容易引起同时爆炸的危险，一个爆炸引起另一个或是一堆氧气瓶的爆炸。</w:t>
            </w:r>
          </w:p>
          <w:p>
            <w:pPr>
              <w:pStyle w:val="7"/>
              <w:widowControl/>
              <w:spacing w:line="360" w:lineRule="auto"/>
              <w:ind w:left="0" w:firstLine="480" w:firstLineChars="200"/>
              <w:jc w:val="left"/>
              <w:rPr>
                <w:rFonts w:hint="default"/>
                <w:color w:val="auto"/>
                <w:lang w:eastAsia="zh-CN"/>
              </w:rPr>
            </w:pPr>
            <w:r>
              <w:rPr>
                <w:rFonts w:hint="default"/>
                <w:color w:val="auto"/>
              </w:rPr>
              <w:t>本项目所使用的</w:t>
            </w:r>
            <w:r>
              <w:rPr>
                <w:rFonts w:hint="default"/>
                <w:color w:val="auto"/>
                <w:lang w:val="en-US" w:eastAsia="zh-CN"/>
              </w:rPr>
              <w:t>气体</w:t>
            </w:r>
            <w:r>
              <w:rPr>
                <w:rFonts w:hint="default"/>
                <w:color w:val="auto"/>
              </w:rPr>
              <w:t>为外购</w:t>
            </w:r>
            <w:r>
              <w:rPr>
                <w:rFonts w:hint="default"/>
                <w:color w:val="auto"/>
                <w:lang w:eastAsia="zh-CN"/>
              </w:rPr>
              <w:t>的储气罐</w:t>
            </w:r>
            <w:r>
              <w:rPr>
                <w:rFonts w:hint="default"/>
                <w:color w:val="auto"/>
              </w:rPr>
              <w:t>，</w:t>
            </w:r>
            <w:r>
              <w:rPr>
                <w:rFonts w:hint="default"/>
                <w:color w:val="auto"/>
                <w:lang w:eastAsia="zh-CN"/>
              </w:rPr>
              <w:t>在项目内的日常储存量很小</w:t>
            </w:r>
            <w:r>
              <w:rPr>
                <w:rFonts w:hint="default"/>
                <w:color w:val="auto"/>
              </w:rPr>
              <w:t>，且使用量很小，</w:t>
            </w:r>
            <w:r>
              <w:rPr>
                <w:rFonts w:hint="default"/>
                <w:color w:val="auto"/>
                <w:lang w:eastAsia="zh-CN"/>
              </w:rPr>
              <w:t>因此，</w:t>
            </w:r>
            <w:r>
              <w:rPr>
                <w:rFonts w:hint="default"/>
                <w:color w:val="auto"/>
              </w:rPr>
              <w:t>发生</w:t>
            </w:r>
            <w:r>
              <w:rPr>
                <w:rFonts w:hint="default"/>
                <w:color w:val="auto"/>
                <w:lang w:eastAsia="zh-CN"/>
              </w:rPr>
              <w:t>爆炸</w:t>
            </w:r>
            <w:r>
              <w:rPr>
                <w:rFonts w:hint="default"/>
                <w:color w:val="auto"/>
              </w:rPr>
              <w:t>的概率也很小。</w:t>
            </w:r>
          </w:p>
          <w:p>
            <w:pPr>
              <w:adjustRightInd w:val="0"/>
              <w:spacing w:line="360" w:lineRule="auto"/>
              <w:ind w:firstLine="480" w:firstLineChars="200"/>
              <w:jc w:val="left"/>
              <w:rPr>
                <w:rFonts w:hint="default"/>
                <w:color w:val="auto"/>
              </w:rPr>
            </w:pPr>
            <w:r>
              <w:rPr>
                <w:rFonts w:hint="eastAsia"/>
                <w:color w:val="auto"/>
                <w:lang w:val="en-US" w:eastAsia="zh-CN"/>
              </w:rPr>
              <w:t>5、</w:t>
            </w:r>
            <w:r>
              <w:rPr>
                <w:rFonts w:hint="default"/>
                <w:color w:val="auto"/>
              </w:rPr>
              <w:t>风险管理</w:t>
            </w:r>
            <w:r>
              <w:rPr>
                <w:rFonts w:hint="default"/>
                <w:color w:val="auto"/>
                <w:lang w:eastAsia="zh-CN"/>
              </w:rPr>
              <w:t>及防范措施</w:t>
            </w:r>
          </w:p>
          <w:p>
            <w:pPr>
              <w:spacing w:line="360" w:lineRule="auto"/>
              <w:ind w:firstLine="480" w:firstLineChars="200"/>
              <w:rPr>
                <w:rFonts w:hint="default"/>
                <w:color w:val="auto"/>
              </w:rPr>
            </w:pPr>
            <w:r>
              <w:rPr>
                <w:rFonts w:hint="default"/>
                <w:color w:val="auto"/>
              </w:rPr>
              <w:t>根据以上风险分析，必须严格按照氧气瓶、</w:t>
            </w:r>
            <w:r>
              <w:rPr>
                <w:rFonts w:hint="eastAsia"/>
                <w:color w:val="auto"/>
                <w:lang w:eastAsia="zh-CN"/>
              </w:rPr>
              <w:t>天然气</w:t>
            </w:r>
            <w:r>
              <w:rPr>
                <w:rFonts w:hint="default"/>
                <w:color w:val="auto"/>
              </w:rPr>
              <w:t>瓶</w:t>
            </w:r>
            <w:r>
              <w:rPr>
                <w:rFonts w:hint="default"/>
                <w:color w:val="auto"/>
                <w:lang w:eastAsia="zh-CN"/>
              </w:rPr>
              <w:t>、二氧化碳气瓶</w:t>
            </w:r>
            <w:r>
              <w:rPr>
                <w:rFonts w:hint="default"/>
                <w:color w:val="auto"/>
              </w:rPr>
              <w:t>的运输、存放规程进行，否则风险事故</w:t>
            </w:r>
            <w:r>
              <w:rPr>
                <w:rFonts w:hint="default"/>
                <w:color w:val="auto"/>
                <w:lang w:eastAsia="zh-CN"/>
              </w:rPr>
              <w:t>的发生将给企业和周边环境带来</w:t>
            </w:r>
            <w:r>
              <w:rPr>
                <w:rFonts w:hint="default"/>
                <w:color w:val="auto"/>
              </w:rPr>
              <w:t>损失。本环评针对其存在的风险提出以下防范措施及应急措施：</w:t>
            </w:r>
          </w:p>
          <w:p>
            <w:pPr>
              <w:spacing w:line="360" w:lineRule="auto"/>
              <w:ind w:firstLine="480" w:firstLineChars="200"/>
              <w:rPr>
                <w:rFonts w:hint="default"/>
                <w:color w:val="auto"/>
              </w:rPr>
            </w:pPr>
            <w:r>
              <w:rPr>
                <w:rFonts w:hint="default"/>
                <w:color w:val="auto"/>
                <w:lang w:val="en-US" w:eastAsia="zh-CN"/>
              </w:rPr>
              <w:t>1）</w:t>
            </w:r>
            <w:r>
              <w:rPr>
                <w:rFonts w:hint="default"/>
                <w:color w:val="auto"/>
              </w:rPr>
              <w:t xml:space="preserve"> 二氧化碳气瓶使用方法 </w:t>
            </w:r>
          </w:p>
          <w:p>
            <w:pPr>
              <w:spacing w:line="360" w:lineRule="auto"/>
              <w:ind w:firstLine="480" w:firstLineChars="200"/>
              <w:rPr>
                <w:rFonts w:hint="default"/>
                <w:color w:val="auto"/>
              </w:rPr>
            </w:pPr>
            <w:r>
              <w:rPr>
                <w:rFonts w:hint="default"/>
                <w:color w:val="auto"/>
              </w:rPr>
              <w:t>①使用前检查连接部位是否漏气</w:t>
            </w:r>
            <w:r>
              <w:rPr>
                <w:rFonts w:hint="default"/>
                <w:color w:val="auto"/>
                <w:lang w:eastAsia="zh-CN"/>
              </w:rPr>
              <w:t>，</w:t>
            </w:r>
            <w:r>
              <w:rPr>
                <w:rFonts w:hint="default"/>
                <w:color w:val="auto"/>
              </w:rPr>
              <w:t>可涂上肥皂液进行检查</w:t>
            </w:r>
            <w:r>
              <w:rPr>
                <w:rFonts w:hint="default"/>
                <w:color w:val="auto"/>
                <w:lang w:eastAsia="zh-CN"/>
              </w:rPr>
              <w:t>，</w:t>
            </w:r>
            <w:r>
              <w:rPr>
                <w:rFonts w:hint="default"/>
                <w:color w:val="auto"/>
              </w:rPr>
              <w:t>调整至确实不漏气后才进行</w:t>
            </w:r>
            <w:r>
              <w:rPr>
                <w:rFonts w:hint="default"/>
                <w:color w:val="auto"/>
                <w:lang w:eastAsia="zh-CN"/>
              </w:rPr>
              <w:t>使用</w:t>
            </w:r>
            <w:r>
              <w:rPr>
                <w:rFonts w:hint="default"/>
                <w:color w:val="auto"/>
              </w:rPr>
              <w:t xml:space="preserve">。 </w:t>
            </w:r>
          </w:p>
          <w:p>
            <w:pPr>
              <w:spacing w:line="360" w:lineRule="auto"/>
              <w:ind w:firstLine="480" w:firstLineChars="200"/>
              <w:rPr>
                <w:rFonts w:hint="default"/>
                <w:color w:val="auto"/>
              </w:rPr>
            </w:pPr>
            <w:r>
              <w:rPr>
                <w:rFonts w:hint="default"/>
                <w:color w:val="auto"/>
              </w:rPr>
              <w:t>②使用时先逆时针打开钢瓶总开关</w:t>
            </w:r>
            <w:r>
              <w:rPr>
                <w:rFonts w:hint="default"/>
                <w:color w:val="auto"/>
                <w:lang w:eastAsia="zh-CN"/>
              </w:rPr>
              <w:t>，</w:t>
            </w:r>
            <w:r>
              <w:rPr>
                <w:rFonts w:hint="default"/>
                <w:color w:val="auto"/>
              </w:rPr>
              <w:t>观察高压表读数</w:t>
            </w:r>
            <w:r>
              <w:rPr>
                <w:rFonts w:hint="default"/>
                <w:color w:val="auto"/>
                <w:lang w:eastAsia="zh-CN"/>
              </w:rPr>
              <w:t>，</w:t>
            </w:r>
            <w:r>
              <w:rPr>
                <w:rFonts w:hint="default"/>
                <w:color w:val="auto"/>
              </w:rPr>
              <w:t>记录高压瓶内总的二氧化碳压力</w:t>
            </w:r>
            <w:r>
              <w:rPr>
                <w:rFonts w:hint="default"/>
                <w:color w:val="auto"/>
                <w:lang w:eastAsia="zh-CN"/>
              </w:rPr>
              <w:t>，</w:t>
            </w:r>
            <w:r>
              <w:rPr>
                <w:rFonts w:hint="default"/>
                <w:color w:val="auto"/>
              </w:rPr>
              <w:t>然后顺时针转动低压表压力调节螺杆</w:t>
            </w:r>
            <w:r>
              <w:rPr>
                <w:rFonts w:hint="default"/>
                <w:color w:val="auto"/>
                <w:lang w:eastAsia="zh-CN"/>
              </w:rPr>
              <w:t>，</w:t>
            </w:r>
            <w:r>
              <w:rPr>
                <w:rFonts w:hint="default"/>
                <w:color w:val="auto"/>
              </w:rPr>
              <w:t>使其压缩主弹簧将活门打开。这样进口的高压气体由高压室经节流减压后进入低压室</w:t>
            </w:r>
            <w:r>
              <w:rPr>
                <w:rFonts w:hint="default"/>
                <w:color w:val="auto"/>
                <w:lang w:eastAsia="zh-CN"/>
              </w:rPr>
              <w:t>，</w:t>
            </w:r>
            <w:r>
              <w:rPr>
                <w:rFonts w:hint="default"/>
                <w:color w:val="auto"/>
              </w:rPr>
              <w:t xml:space="preserve">并经出口通往工作系统。 </w:t>
            </w:r>
          </w:p>
          <w:p>
            <w:pPr>
              <w:spacing w:line="360" w:lineRule="auto"/>
              <w:ind w:firstLine="480" w:firstLineChars="200"/>
              <w:rPr>
                <w:rFonts w:hint="default"/>
                <w:color w:val="auto"/>
              </w:rPr>
            </w:pPr>
            <w:r>
              <w:rPr>
                <w:rFonts w:hint="default"/>
                <w:color w:val="auto"/>
              </w:rPr>
              <w:t>③使用后</w:t>
            </w:r>
            <w:r>
              <w:rPr>
                <w:rFonts w:hint="default"/>
                <w:color w:val="auto"/>
                <w:lang w:eastAsia="zh-CN"/>
              </w:rPr>
              <w:t>，</w:t>
            </w:r>
            <w:r>
              <w:rPr>
                <w:rFonts w:hint="default"/>
                <w:color w:val="auto"/>
              </w:rPr>
              <w:t>先顺时针关闭钢瓶总开</w:t>
            </w:r>
            <w:r>
              <w:rPr>
                <w:rFonts w:hint="default"/>
                <w:color w:val="auto"/>
                <w:lang w:eastAsia="zh-CN"/>
              </w:rPr>
              <w:t>关，</w:t>
            </w:r>
            <w:r>
              <w:rPr>
                <w:rFonts w:hint="default"/>
                <w:color w:val="auto"/>
              </w:rPr>
              <w:t>再逆时针旋松减压阀。</w:t>
            </w:r>
          </w:p>
          <w:p>
            <w:pPr>
              <w:spacing w:line="360" w:lineRule="auto"/>
              <w:rPr>
                <w:rFonts w:hint="default"/>
                <w:color w:val="auto"/>
              </w:rPr>
            </w:pPr>
            <w:r>
              <w:rPr>
                <w:rFonts w:hint="default"/>
                <w:color w:val="auto"/>
                <w:lang w:val="en-US" w:eastAsia="zh-CN"/>
              </w:rPr>
              <w:t>2</w:t>
            </w:r>
            <w:r>
              <w:rPr>
                <w:rFonts w:hint="default"/>
                <w:color w:val="auto"/>
                <w:lang w:eastAsia="zh-CN"/>
              </w:rPr>
              <w:t>）</w:t>
            </w:r>
            <w:r>
              <w:rPr>
                <w:rFonts w:hint="default"/>
                <w:color w:val="auto"/>
              </w:rPr>
              <w:t>氧气瓶的安全使用：</w:t>
            </w:r>
          </w:p>
          <w:p>
            <w:pPr>
              <w:spacing w:line="360" w:lineRule="auto"/>
              <w:ind w:firstLine="480" w:firstLineChars="200"/>
              <w:rPr>
                <w:rFonts w:hint="default"/>
                <w:color w:val="auto"/>
              </w:rPr>
            </w:pPr>
            <w:r>
              <w:rPr>
                <w:rFonts w:hint="default"/>
                <w:color w:val="auto"/>
              </w:rPr>
              <w:t>为保障氧气瓶的使用安全，国家先后颁布了《气瓶安全监察规程》《溶解乙炔气瓶安全监察规程》《永久气体气瓶充装规定》等法规和标准，对氧气瓶的设计、制造、检验、充装和使用等都做了科学和明确的规定。</w:t>
            </w:r>
          </w:p>
          <w:p>
            <w:pPr>
              <w:spacing w:line="360" w:lineRule="auto"/>
              <w:ind w:firstLine="480" w:firstLineChars="200"/>
              <w:rPr>
                <w:rFonts w:hint="default"/>
                <w:color w:val="auto"/>
              </w:rPr>
            </w:pPr>
            <w:r>
              <w:rPr>
                <w:rFonts w:hint="default"/>
                <w:color w:val="auto"/>
              </w:rPr>
              <w:t>①使用的氧气瓶必须是国家定点厂家生产的。新瓶必须有合格证和锅炉压力容器安全监察部门出具的检验证书。</w:t>
            </w:r>
          </w:p>
          <w:p>
            <w:pPr>
              <w:spacing w:line="360" w:lineRule="auto"/>
              <w:ind w:firstLine="480" w:firstLineChars="200"/>
              <w:rPr>
                <w:rFonts w:hint="default"/>
                <w:color w:val="auto"/>
              </w:rPr>
            </w:pPr>
            <w:r>
              <w:rPr>
                <w:rFonts w:hint="default"/>
                <w:color w:val="auto"/>
              </w:rPr>
              <w:t>②氧气瓶必须按规定定期检验。超期的气瓶严禁充装。</w:t>
            </w:r>
          </w:p>
          <w:p>
            <w:pPr>
              <w:spacing w:line="360" w:lineRule="auto"/>
              <w:ind w:firstLine="480" w:firstLineChars="200"/>
              <w:rPr>
                <w:rFonts w:hint="default"/>
                <w:color w:val="auto"/>
              </w:rPr>
            </w:pPr>
            <w:r>
              <w:rPr>
                <w:rFonts w:hint="default"/>
                <w:color w:val="auto"/>
              </w:rPr>
              <w:t>③氧气瓶禁止与油脂接触。操作者不能穿有油污过多的工作服，不能用手、油手套和油工具接触氧气瓶及其附件。</w:t>
            </w:r>
          </w:p>
          <w:p>
            <w:pPr>
              <w:spacing w:line="360" w:lineRule="auto"/>
              <w:ind w:firstLine="480" w:firstLineChars="200"/>
              <w:rPr>
                <w:rFonts w:hint="default"/>
                <w:color w:val="auto"/>
              </w:rPr>
            </w:pPr>
            <w:r>
              <w:rPr>
                <w:rFonts w:hint="default"/>
                <w:color w:val="auto"/>
              </w:rPr>
              <w:t>④氧气瓶应远离易燃易爆物品，远离明火与热源，其使用安全距离应在10米以上，与乙炔瓶的距离应不少于3米，并不能同室存放。</w:t>
            </w:r>
          </w:p>
          <w:p>
            <w:pPr>
              <w:spacing w:line="360" w:lineRule="auto"/>
              <w:ind w:firstLine="480" w:firstLineChars="200"/>
              <w:rPr>
                <w:rFonts w:hint="default"/>
                <w:color w:val="auto"/>
              </w:rPr>
            </w:pPr>
            <w:r>
              <w:rPr>
                <w:rFonts w:hint="default"/>
                <w:color w:val="auto"/>
              </w:rPr>
              <w:t>⑤冬季使用氧气瓶，如遇瓶阀或减压器冻结，可用开水或蒸气解冻，禁止明火烘烤。</w:t>
            </w:r>
          </w:p>
          <w:p>
            <w:pPr>
              <w:spacing w:line="360" w:lineRule="auto"/>
              <w:ind w:firstLine="480" w:firstLineChars="200"/>
              <w:rPr>
                <w:rFonts w:hint="default"/>
                <w:color w:val="auto"/>
              </w:rPr>
            </w:pPr>
            <w:r>
              <w:rPr>
                <w:rFonts w:hint="default"/>
                <w:color w:val="auto"/>
              </w:rPr>
              <w:t>⑥氧气瓶内的氧气不应用尽，要求保留0.1MPa以上的余压以防止其它气体倒流进入瓶内。</w:t>
            </w:r>
          </w:p>
          <w:p>
            <w:pPr>
              <w:spacing w:line="360" w:lineRule="auto"/>
              <w:ind w:firstLine="480" w:firstLineChars="200"/>
              <w:rPr>
                <w:rFonts w:hint="default"/>
                <w:color w:val="auto"/>
              </w:rPr>
            </w:pPr>
            <w:r>
              <w:rPr>
                <w:rFonts w:hint="default"/>
                <w:color w:val="auto"/>
              </w:rPr>
              <w:t>⑦与电焊工同在一处作业时，为防止气瓶带电，应在瓶底加绝缘垫。与气瓶接触的管道设备应设接地装置，防止因产生静电而引起火灾和爆炸。在同一场地进行焊接作业时，氧气瓶要保证绝缘，气瓶不可导电。</w:t>
            </w:r>
          </w:p>
          <w:p>
            <w:pPr>
              <w:spacing w:line="360" w:lineRule="auto"/>
              <w:ind w:firstLine="480" w:firstLineChars="200"/>
              <w:rPr>
                <w:rFonts w:hint="default"/>
                <w:color w:val="auto"/>
              </w:rPr>
            </w:pPr>
            <w:r>
              <w:rPr>
                <w:rFonts w:hint="default"/>
                <w:color w:val="auto"/>
              </w:rPr>
              <w:t>⑧安装减压器前，应先开启瓶阀吹掉瓶嘴处污物，开启瓶阀动作要轻缓，人要站在侧后面。</w:t>
            </w:r>
          </w:p>
          <w:p>
            <w:pPr>
              <w:spacing w:line="360" w:lineRule="auto"/>
              <w:ind w:firstLine="480" w:firstLineChars="200"/>
              <w:rPr>
                <w:rFonts w:hint="default"/>
                <w:color w:val="auto"/>
              </w:rPr>
            </w:pPr>
            <w:r>
              <w:rPr>
                <w:rFonts w:hint="default"/>
                <w:color w:val="auto"/>
              </w:rPr>
              <w:t>⑨夏季露天作业和运输时，氧气瓶要遮阳防止曝晒，避免气体膨胀造成超压。</w:t>
            </w:r>
          </w:p>
          <w:p>
            <w:pPr>
              <w:spacing w:line="360" w:lineRule="auto"/>
              <w:ind w:firstLine="480" w:firstLineChars="200"/>
              <w:rPr>
                <w:rFonts w:hint="default"/>
                <w:color w:val="auto"/>
              </w:rPr>
            </w:pPr>
            <w:r>
              <w:rPr>
                <w:rFonts w:hint="default"/>
                <w:color w:val="auto"/>
              </w:rPr>
              <w:t>⑩应随时检查氧气瓶的状态，防震胶圈要完好无损。为保护瓶阀，运输和储存时必须装配瓶帽</w:t>
            </w:r>
            <w:r>
              <w:rPr>
                <w:rFonts w:hint="default"/>
                <w:color w:val="auto"/>
                <w:lang w:eastAsia="zh-CN"/>
              </w:rPr>
              <w:t>。</w:t>
            </w:r>
          </w:p>
          <w:p>
            <w:pPr>
              <w:spacing w:line="360" w:lineRule="auto"/>
              <w:rPr>
                <w:rFonts w:hint="default"/>
                <w:color w:val="auto"/>
              </w:rPr>
            </w:pPr>
            <w:r>
              <w:rPr>
                <w:rFonts w:hint="default"/>
                <w:color w:val="auto"/>
                <w:lang w:val="en-US" w:eastAsia="zh-CN"/>
              </w:rPr>
              <w:t>3</w:t>
            </w:r>
            <w:r>
              <w:rPr>
                <w:rFonts w:hint="default"/>
                <w:color w:val="auto"/>
                <w:lang w:eastAsia="zh-CN"/>
              </w:rPr>
              <w:t>）</w:t>
            </w:r>
            <w:r>
              <w:rPr>
                <w:rFonts w:hint="eastAsia"/>
                <w:color w:val="auto"/>
                <w:lang w:eastAsia="zh-CN"/>
              </w:rPr>
              <w:t>天然气</w:t>
            </w:r>
            <w:r>
              <w:rPr>
                <w:rFonts w:hint="default"/>
                <w:color w:val="auto"/>
              </w:rPr>
              <w:t>瓶的使用安全防范：</w:t>
            </w:r>
          </w:p>
          <w:p>
            <w:pPr>
              <w:spacing w:line="360" w:lineRule="auto"/>
              <w:ind w:firstLine="480" w:firstLineChars="200"/>
              <w:rPr>
                <w:rFonts w:hint="default"/>
                <w:color w:val="auto"/>
              </w:rPr>
            </w:pPr>
            <w:r>
              <w:rPr>
                <w:rFonts w:hint="default"/>
                <w:color w:val="auto"/>
              </w:rPr>
              <w:t>使用</w:t>
            </w:r>
            <w:r>
              <w:rPr>
                <w:rFonts w:hint="eastAsia"/>
                <w:color w:val="auto"/>
                <w:lang w:eastAsia="zh-CN"/>
              </w:rPr>
              <w:t>天然气</w:t>
            </w:r>
            <w:r>
              <w:rPr>
                <w:rFonts w:hint="default"/>
                <w:color w:val="auto"/>
              </w:rPr>
              <w:t>瓶，应遵守下列规定：</w:t>
            </w:r>
            <w:r>
              <w:rPr>
                <w:rFonts w:hint="default"/>
                <w:color w:val="auto"/>
              </w:rPr>
              <w:br w:type="textWrapping"/>
            </w:r>
            <w:r>
              <w:rPr>
                <w:rFonts w:hint="default"/>
                <w:color w:val="auto"/>
              </w:rPr>
              <w:t>　　①使用前，应对钢印标记、颜色标记及安全状况进行检查，凡是不符合规定的</w:t>
            </w:r>
            <w:r>
              <w:rPr>
                <w:rFonts w:hint="eastAsia"/>
                <w:color w:val="auto"/>
                <w:lang w:eastAsia="zh-CN"/>
              </w:rPr>
              <w:t>天然气</w:t>
            </w:r>
            <w:r>
              <w:rPr>
                <w:rFonts w:hint="default"/>
                <w:color w:val="auto"/>
              </w:rPr>
              <w:t>瓶不准使用；</w:t>
            </w:r>
            <w:r>
              <w:rPr>
                <w:rFonts w:hint="default"/>
                <w:color w:val="auto"/>
              </w:rPr>
              <w:br w:type="textWrapping"/>
            </w:r>
            <w:r>
              <w:rPr>
                <w:rFonts w:hint="default"/>
                <w:color w:val="auto"/>
              </w:rPr>
              <w:t>　　②</w:t>
            </w:r>
            <w:r>
              <w:rPr>
                <w:rFonts w:hint="eastAsia"/>
                <w:color w:val="auto"/>
                <w:lang w:eastAsia="zh-CN"/>
              </w:rPr>
              <w:t>天然气</w:t>
            </w:r>
            <w:r>
              <w:rPr>
                <w:rFonts w:hint="default"/>
                <w:color w:val="auto"/>
              </w:rPr>
              <w:t>瓶的放置地点，不得靠近热源和电器设备，与明火的距离不得小于10m（高空作业时，此距离为在地面的垂直投影距离）；</w:t>
            </w:r>
            <w:r>
              <w:rPr>
                <w:rFonts w:hint="default"/>
                <w:color w:val="auto"/>
              </w:rPr>
              <w:br w:type="textWrapping"/>
            </w:r>
            <w:r>
              <w:rPr>
                <w:rFonts w:hint="default"/>
                <w:color w:val="auto"/>
              </w:rPr>
              <w:t>　　③</w:t>
            </w:r>
            <w:r>
              <w:rPr>
                <w:rFonts w:hint="eastAsia"/>
                <w:color w:val="auto"/>
                <w:lang w:eastAsia="zh-CN"/>
              </w:rPr>
              <w:t>天然气</w:t>
            </w:r>
            <w:r>
              <w:rPr>
                <w:rFonts w:hint="default"/>
                <w:color w:val="auto"/>
              </w:rPr>
              <w:t>瓶使用时，必须直立，并应采取措施防止倾倒，严禁卧放使用；</w:t>
            </w:r>
            <w:r>
              <w:rPr>
                <w:rFonts w:hint="default"/>
                <w:color w:val="auto"/>
              </w:rPr>
              <w:br w:type="textWrapping"/>
            </w:r>
            <w:r>
              <w:rPr>
                <w:rFonts w:hint="default"/>
                <w:color w:val="auto"/>
              </w:rPr>
              <w:t>　　④</w:t>
            </w:r>
            <w:r>
              <w:rPr>
                <w:rFonts w:hint="eastAsia"/>
                <w:color w:val="auto"/>
                <w:lang w:eastAsia="zh-CN"/>
              </w:rPr>
              <w:t>天然气</w:t>
            </w:r>
            <w:r>
              <w:rPr>
                <w:rFonts w:hint="default"/>
                <w:color w:val="auto"/>
              </w:rPr>
              <w:t>瓶严禁放置在通风不良或有放射性射线源的场所使用；</w:t>
            </w:r>
            <w:r>
              <w:rPr>
                <w:rFonts w:hint="default"/>
                <w:color w:val="auto"/>
              </w:rPr>
              <w:br w:type="textWrapping"/>
            </w:r>
            <w:r>
              <w:rPr>
                <w:rFonts w:hint="default"/>
                <w:color w:val="auto"/>
              </w:rPr>
              <w:t>　　⑤</w:t>
            </w:r>
            <w:r>
              <w:rPr>
                <w:rFonts w:hint="eastAsia"/>
                <w:color w:val="auto"/>
                <w:lang w:eastAsia="zh-CN"/>
              </w:rPr>
              <w:t>天然气</w:t>
            </w:r>
            <w:r>
              <w:rPr>
                <w:rFonts w:hint="default"/>
                <w:color w:val="auto"/>
              </w:rPr>
              <w:t>瓶严禁敲击、碰撞，严禁在瓶体上引弧，严禁将</w:t>
            </w:r>
            <w:r>
              <w:rPr>
                <w:rFonts w:hint="eastAsia"/>
                <w:color w:val="auto"/>
                <w:lang w:eastAsia="zh-CN"/>
              </w:rPr>
              <w:t>天然气</w:t>
            </w:r>
            <w:r>
              <w:rPr>
                <w:rFonts w:hint="default"/>
                <w:color w:val="auto"/>
              </w:rPr>
              <w:t>瓶放置在电绝缘体上使用；</w:t>
            </w:r>
            <w:r>
              <w:rPr>
                <w:rFonts w:hint="default"/>
                <w:color w:val="auto"/>
              </w:rPr>
              <w:br w:type="textWrapping"/>
            </w:r>
            <w:r>
              <w:rPr>
                <w:rFonts w:hint="default"/>
                <w:color w:val="auto"/>
              </w:rPr>
              <w:t>　　⑥应采取措施防止</w:t>
            </w:r>
            <w:r>
              <w:rPr>
                <w:rFonts w:hint="eastAsia"/>
                <w:color w:val="auto"/>
                <w:lang w:eastAsia="zh-CN"/>
              </w:rPr>
              <w:t>天然气</w:t>
            </w:r>
            <w:r>
              <w:rPr>
                <w:rFonts w:hint="default"/>
                <w:color w:val="auto"/>
              </w:rPr>
              <w:t>瓶受曝晒或受烘烤，严禁用40℃以上的热水或其他热源对</w:t>
            </w:r>
            <w:r>
              <w:rPr>
                <w:rFonts w:hint="eastAsia"/>
                <w:color w:val="auto"/>
                <w:lang w:eastAsia="zh-CN"/>
              </w:rPr>
              <w:t>天然气</w:t>
            </w:r>
            <w:r>
              <w:rPr>
                <w:rFonts w:hint="default"/>
                <w:color w:val="auto"/>
              </w:rPr>
              <w:t>瓶进行加热；</w:t>
            </w:r>
            <w:r>
              <w:rPr>
                <w:rFonts w:hint="default"/>
                <w:color w:val="auto"/>
              </w:rPr>
              <w:br w:type="textWrapping"/>
            </w:r>
            <w:r>
              <w:rPr>
                <w:rFonts w:hint="default"/>
                <w:color w:val="auto"/>
              </w:rPr>
              <w:t>　　⑦移动作业时，应采用专用小车搬运，如需</w:t>
            </w:r>
            <w:r>
              <w:rPr>
                <w:rFonts w:hint="eastAsia"/>
                <w:color w:val="auto"/>
                <w:lang w:eastAsia="zh-CN"/>
              </w:rPr>
              <w:t>天然气</w:t>
            </w:r>
            <w:r>
              <w:rPr>
                <w:rFonts w:hint="default"/>
                <w:color w:val="auto"/>
              </w:rPr>
              <w:t xml:space="preserve">瓶和氧气瓶放在同一小车上搬运，必须用非燃材料隔板隔开； </w:t>
            </w:r>
            <w:r>
              <w:rPr>
                <w:rFonts w:hint="default"/>
                <w:color w:val="auto"/>
              </w:rPr>
              <w:br w:type="textWrapping"/>
            </w:r>
            <w:r>
              <w:rPr>
                <w:rFonts w:hint="default"/>
                <w:color w:val="auto"/>
              </w:rPr>
              <w:t>　　⑧瓶阀出口处必须配置专用的减压器和回火防止器。正常使用时，减压器指示的放气压力不得超过0.15MPa</w:t>
            </w:r>
            <w:r>
              <w:rPr>
                <w:rFonts w:hint="default"/>
                <w:color w:val="auto"/>
                <w:lang w:eastAsia="zh-CN"/>
              </w:rPr>
              <w:t>，</w:t>
            </w:r>
            <w:r>
              <w:rPr>
                <w:rFonts w:hint="default"/>
                <w:color w:val="auto"/>
              </w:rPr>
              <w:t>放气流量不得超过0.05</w:t>
            </w:r>
            <w:r>
              <w:rPr>
                <w:rFonts w:hint="eastAsia"/>
                <w:color w:val="auto"/>
                <w:lang w:val="en-US" w:eastAsia="zh-CN"/>
              </w:rPr>
              <w:t>m</w:t>
            </w:r>
            <w:r>
              <w:rPr>
                <w:rFonts w:hint="eastAsia"/>
                <w:color w:val="auto"/>
                <w:vertAlign w:val="superscript"/>
                <w:lang w:val="en-US" w:eastAsia="zh-CN"/>
              </w:rPr>
              <w:t>3</w:t>
            </w:r>
            <w:r>
              <w:rPr>
                <w:rFonts w:hint="default"/>
                <w:color w:val="auto"/>
              </w:rPr>
              <w:t>/h·L。如需较大流量时，应采用多只</w:t>
            </w:r>
            <w:r>
              <w:rPr>
                <w:rFonts w:hint="eastAsia"/>
                <w:color w:val="auto"/>
                <w:lang w:eastAsia="zh-CN"/>
              </w:rPr>
              <w:t>天然气</w:t>
            </w:r>
            <w:r>
              <w:rPr>
                <w:rFonts w:hint="default"/>
                <w:color w:val="auto"/>
              </w:rPr>
              <w:t>瓶汇流供气；</w:t>
            </w:r>
            <w:r>
              <w:rPr>
                <w:rFonts w:hint="default"/>
                <w:color w:val="auto"/>
              </w:rPr>
              <w:br w:type="textWrapping"/>
            </w:r>
            <w:r>
              <w:rPr>
                <w:rFonts w:hint="default"/>
                <w:color w:val="auto"/>
              </w:rPr>
              <w:t>　　⑨</w:t>
            </w:r>
            <w:r>
              <w:rPr>
                <w:rFonts w:hint="eastAsia"/>
                <w:color w:val="auto"/>
                <w:lang w:eastAsia="zh-CN"/>
              </w:rPr>
              <w:t>天然气</w:t>
            </w:r>
            <w:r>
              <w:rPr>
                <w:rFonts w:hint="default"/>
                <w:color w:val="auto"/>
              </w:rPr>
              <w:t>瓶使用过程中，开闭</w:t>
            </w:r>
            <w:r>
              <w:rPr>
                <w:rFonts w:hint="eastAsia"/>
                <w:color w:val="auto"/>
                <w:lang w:eastAsia="zh-CN"/>
              </w:rPr>
              <w:t>天然气</w:t>
            </w:r>
            <w:r>
              <w:rPr>
                <w:rFonts w:hint="default"/>
                <w:color w:val="auto"/>
              </w:rPr>
              <w:t>瓶瓶阀的专用搬手，应始终装在阀上。暂时中断使用时，必须关闭焊、割工具的阀门和</w:t>
            </w:r>
            <w:r>
              <w:rPr>
                <w:rFonts w:hint="eastAsia"/>
                <w:color w:val="auto"/>
                <w:lang w:eastAsia="zh-CN"/>
              </w:rPr>
              <w:t>天然气</w:t>
            </w:r>
            <w:r>
              <w:rPr>
                <w:rFonts w:hint="default"/>
                <w:color w:val="auto"/>
              </w:rPr>
              <w:t>瓶瓶阀，严禁手持点燃的焊、割工具调节减压器或开、闭</w:t>
            </w:r>
            <w:r>
              <w:rPr>
                <w:rFonts w:hint="eastAsia"/>
                <w:color w:val="auto"/>
                <w:lang w:eastAsia="zh-CN"/>
              </w:rPr>
              <w:t>天然气</w:t>
            </w:r>
            <w:r>
              <w:rPr>
                <w:rFonts w:hint="default"/>
                <w:color w:val="auto"/>
              </w:rPr>
              <w:t>瓶瓶阀；</w:t>
            </w:r>
            <w:r>
              <w:rPr>
                <w:rFonts w:hint="default"/>
                <w:color w:val="auto"/>
              </w:rPr>
              <w:br w:type="textWrapping"/>
            </w:r>
            <w:r>
              <w:rPr>
                <w:rFonts w:hint="default"/>
                <w:color w:val="auto"/>
              </w:rPr>
              <w:t>　　⑩</w:t>
            </w:r>
            <w:r>
              <w:rPr>
                <w:rFonts w:hint="eastAsia"/>
                <w:color w:val="auto"/>
                <w:lang w:eastAsia="zh-CN"/>
              </w:rPr>
              <w:t>天然气</w:t>
            </w:r>
            <w:r>
              <w:rPr>
                <w:rFonts w:hint="default"/>
                <w:color w:val="auto"/>
              </w:rPr>
              <w:t>瓶使用过程中，发现泄漏要及时处理，严禁在泄漏的情况下使用；</w:t>
            </w:r>
            <w:r>
              <w:rPr>
                <w:rFonts w:hint="default"/>
                <w:color w:val="auto"/>
              </w:rPr>
              <w:br w:type="textWrapping"/>
            </w:r>
            <w:r>
              <w:rPr>
                <w:rFonts w:hint="default"/>
                <w:color w:val="auto"/>
              </w:rPr>
              <w:t>　　⑪</w:t>
            </w:r>
            <w:r>
              <w:rPr>
                <w:rFonts w:hint="eastAsia"/>
                <w:color w:val="auto"/>
                <w:lang w:eastAsia="zh-CN"/>
              </w:rPr>
              <w:t>天然气</w:t>
            </w:r>
            <w:r>
              <w:rPr>
                <w:rFonts w:hint="default"/>
                <w:color w:val="auto"/>
              </w:rPr>
              <w:t>瓶内气体严禁用尽，必须留有不低于0.05MPa的剩余压力。</w:t>
            </w:r>
            <w:r>
              <w:rPr>
                <w:rFonts w:hint="default"/>
                <w:color w:val="auto"/>
              </w:rPr>
              <w:br w:type="textWrapping"/>
            </w:r>
            <w:r>
              <w:rPr>
                <w:rFonts w:hint="default"/>
                <w:color w:val="auto"/>
              </w:rPr>
              <w:t>　　⑫使用</w:t>
            </w:r>
            <w:r>
              <w:rPr>
                <w:rFonts w:hint="eastAsia"/>
                <w:color w:val="auto"/>
                <w:lang w:eastAsia="zh-CN"/>
              </w:rPr>
              <w:t>天然气</w:t>
            </w:r>
            <w:r>
              <w:rPr>
                <w:rFonts w:hint="default"/>
                <w:color w:val="auto"/>
              </w:rPr>
              <w:t>瓶的单位和个人不得自行对瓶阀、易熔合金塞等附件进行修理或更换，严禁对在用</w:t>
            </w:r>
            <w:r>
              <w:rPr>
                <w:rFonts w:hint="eastAsia"/>
                <w:color w:val="auto"/>
                <w:lang w:eastAsia="zh-CN"/>
              </w:rPr>
              <w:t>天然气</w:t>
            </w:r>
            <w:r>
              <w:rPr>
                <w:rFonts w:hint="default"/>
                <w:color w:val="auto"/>
              </w:rPr>
              <w:t>瓶瓶体和底座等进行焊接修理。</w:t>
            </w:r>
          </w:p>
          <w:p>
            <w:pPr>
              <w:widowControl/>
              <w:spacing w:line="360" w:lineRule="auto"/>
              <w:ind w:firstLine="480" w:firstLineChars="200"/>
              <w:jc w:val="left"/>
              <w:rPr>
                <w:rFonts w:hint="default"/>
                <w:color w:val="auto"/>
              </w:rPr>
            </w:pPr>
            <w:r>
              <w:rPr>
                <w:rFonts w:hint="default"/>
                <w:color w:val="auto"/>
              </w:rPr>
              <w:t>⑬严格按照HG23011-1999《厂区动火作业安全规程》的规定：使用气焊焊割作业时，氧气瓶与</w:t>
            </w:r>
            <w:r>
              <w:rPr>
                <w:rFonts w:hint="eastAsia"/>
                <w:color w:val="auto"/>
                <w:lang w:eastAsia="zh-CN"/>
              </w:rPr>
              <w:t>天然气</w:t>
            </w:r>
            <w:r>
              <w:rPr>
                <w:rFonts w:hint="default"/>
                <w:color w:val="auto"/>
              </w:rPr>
              <w:t>气瓶的间距不应小于5米，二者与动火作业地点不应小于10米，并不允许在烈日下曝晒。</w:t>
            </w:r>
          </w:p>
          <w:p>
            <w:pPr>
              <w:widowControl/>
              <w:spacing w:line="360" w:lineRule="auto"/>
              <w:ind w:firstLine="480" w:firstLineChars="200"/>
              <w:jc w:val="left"/>
              <w:rPr>
                <w:rFonts w:hint="default"/>
                <w:color w:val="auto"/>
                <w:lang w:val="en-US" w:eastAsia="zh-CN"/>
              </w:rPr>
            </w:pPr>
            <w:r>
              <w:rPr>
                <w:rFonts w:hint="default"/>
                <w:color w:val="auto"/>
                <w:lang w:val="en-US" w:eastAsia="zh-CN"/>
              </w:rPr>
              <w:t>4</w:t>
            </w:r>
            <w:r>
              <w:rPr>
                <w:rFonts w:hint="default"/>
                <w:color w:val="auto"/>
                <w:lang w:eastAsia="zh-CN"/>
              </w:rPr>
              <w:t>）预防火灾爆炸事故的基本措施</w:t>
            </w:r>
          </w:p>
          <w:p>
            <w:pPr>
              <w:widowControl/>
              <w:spacing w:line="360" w:lineRule="auto"/>
              <w:ind w:firstLine="480" w:firstLineChars="200"/>
              <w:jc w:val="left"/>
              <w:rPr>
                <w:rFonts w:hint="default"/>
                <w:color w:val="auto"/>
                <w:lang w:val="en-US" w:eastAsia="zh-CN"/>
              </w:rPr>
            </w:pPr>
            <w:r>
              <w:rPr>
                <w:rFonts w:hint="default"/>
                <w:color w:val="auto"/>
                <w:lang w:val="en-US" w:eastAsia="zh-CN"/>
              </w:rPr>
              <w:t>预防火灾爆炸事故，必须坚持“预防为主，防消结合”方针，严格控制和管理各种危险物及点火源，消除危险因素。</w:t>
            </w:r>
          </w:p>
          <w:p>
            <w:pPr>
              <w:widowControl/>
              <w:spacing w:line="360" w:lineRule="auto"/>
              <w:ind w:firstLine="480" w:firstLineChars="200"/>
              <w:jc w:val="left"/>
              <w:rPr>
                <w:rFonts w:hint="default"/>
                <w:color w:val="auto"/>
              </w:rPr>
            </w:pPr>
            <w:r>
              <w:rPr>
                <w:rFonts w:hint="default"/>
                <w:color w:val="auto"/>
                <w:lang w:val="en-US" w:eastAsia="zh-CN"/>
              </w:rPr>
              <w:t>①消除导致火灾爆炸事故的物质条件</w:t>
            </w:r>
          </w:p>
          <w:p>
            <w:pPr>
              <w:widowControl/>
              <w:spacing w:line="360" w:lineRule="auto"/>
              <w:ind w:firstLine="480" w:firstLineChars="200"/>
              <w:jc w:val="left"/>
              <w:rPr>
                <w:rFonts w:hint="default"/>
                <w:color w:val="auto"/>
              </w:rPr>
            </w:pPr>
            <w:r>
              <w:rPr>
                <w:rFonts w:hint="default"/>
                <w:color w:val="auto"/>
                <w:lang w:val="en-US" w:eastAsia="zh-CN"/>
              </w:rPr>
              <w:t>a.尽量不使用或少使用可燃物。通过改进生产工艺或者改进技术，以不燃物或者难燃物代替可燃物或者易燃物，以燃爆危险性小的物质代替危险性大的物质，这是防火防爆的一条基本性措施。</w:t>
            </w:r>
          </w:p>
          <w:p>
            <w:pPr>
              <w:widowControl/>
              <w:spacing w:line="360" w:lineRule="auto"/>
              <w:ind w:firstLine="480" w:firstLineChars="200"/>
              <w:jc w:val="left"/>
              <w:rPr>
                <w:rFonts w:hint="default"/>
                <w:color w:val="auto"/>
              </w:rPr>
            </w:pPr>
            <w:r>
              <w:rPr>
                <w:rFonts w:hint="default"/>
                <w:color w:val="auto"/>
                <w:lang w:val="en-US" w:eastAsia="zh-CN"/>
              </w:rPr>
              <w:t>b.生产设备及系统尽量密闭化。已密闭的正压设备或系统要防止泄漏，负压设备及系统要防止空气渗入。</w:t>
            </w:r>
          </w:p>
          <w:p>
            <w:pPr>
              <w:widowControl/>
              <w:spacing w:line="360" w:lineRule="auto"/>
              <w:ind w:firstLine="480" w:firstLineChars="200"/>
              <w:jc w:val="left"/>
              <w:rPr>
                <w:rFonts w:hint="default"/>
                <w:color w:val="auto"/>
              </w:rPr>
            </w:pPr>
            <w:r>
              <w:rPr>
                <w:rFonts w:hint="default"/>
                <w:color w:val="auto"/>
                <w:lang w:val="en-US" w:eastAsia="zh-CN"/>
              </w:rPr>
              <w:t>c.采取通风除尘措施。对于因某些生产系统或设备无法密闭或者无法完全密闭，可能存在可燃气体、蒸气、粉尘的生产场所，要设置通风除尘装置以降低空气中可燃物浓度。</w:t>
            </w:r>
          </w:p>
          <w:p>
            <w:pPr>
              <w:widowControl/>
              <w:spacing w:line="360" w:lineRule="auto"/>
              <w:ind w:firstLine="480" w:firstLineChars="200"/>
              <w:jc w:val="left"/>
              <w:rPr>
                <w:rFonts w:hint="default"/>
                <w:color w:val="auto"/>
              </w:rPr>
            </w:pPr>
            <w:r>
              <w:rPr>
                <w:rFonts w:hint="default"/>
                <w:color w:val="auto"/>
                <w:lang w:val="en-US" w:eastAsia="zh-CN"/>
              </w:rPr>
              <w:t>d.合理选择生产工艺。根据产品原材料火灾危险性质，安排、选用符合安全要求的设备和工艺流程。性质不同但能相互作用的物品应分开存放。</w:t>
            </w:r>
          </w:p>
          <w:p>
            <w:pPr>
              <w:widowControl/>
              <w:spacing w:line="360" w:lineRule="auto"/>
              <w:ind w:firstLine="480" w:firstLineChars="200"/>
              <w:jc w:val="left"/>
              <w:rPr>
                <w:rFonts w:hint="default"/>
                <w:color w:val="auto"/>
              </w:rPr>
            </w:pPr>
            <w:r>
              <w:rPr>
                <w:rFonts w:hint="default"/>
                <w:color w:val="auto"/>
                <w:lang w:val="en-US" w:eastAsia="zh-CN"/>
              </w:rPr>
              <w:t>e.惰性气体保护。在存有可燃物料的系统中加入惰性气体，使可燃物及氧气浓度下降，可以降低或消除燃爆危险性。</w:t>
            </w:r>
          </w:p>
          <w:p>
            <w:pPr>
              <w:widowControl/>
              <w:spacing w:line="360" w:lineRule="auto"/>
              <w:ind w:firstLine="480" w:firstLineChars="200"/>
              <w:jc w:val="left"/>
              <w:rPr>
                <w:rFonts w:hint="default"/>
                <w:color w:val="auto"/>
              </w:rPr>
            </w:pPr>
            <w:r>
              <w:rPr>
                <w:rFonts w:hint="default"/>
                <w:color w:val="auto"/>
                <w:lang w:val="en-US" w:eastAsia="zh-CN"/>
              </w:rPr>
              <w:t>②消除或者控制点火源</w:t>
            </w:r>
          </w:p>
          <w:p>
            <w:pPr>
              <w:widowControl/>
              <w:spacing w:line="360" w:lineRule="auto"/>
              <w:ind w:firstLine="480" w:firstLineChars="200"/>
              <w:jc w:val="left"/>
              <w:rPr>
                <w:rFonts w:hint="default"/>
                <w:color w:val="auto"/>
              </w:rPr>
            </w:pPr>
            <w:r>
              <w:rPr>
                <w:rFonts w:hint="default"/>
                <w:color w:val="auto"/>
                <w:lang w:val="en-US" w:eastAsia="zh-CN"/>
              </w:rPr>
              <w:t>a.防止撞击、摩擦产生火花。在爆炸危险场所应采取相应措施，如严禁穿带钉鞋进入；严禁使用能产生冲击火花的工、器具，而应使用防爆工、器具或者铜制、木制工、器具；机械设备中凡会发生撞击、磨擦的两部分都应采用不同的金属；火炸药工房应铺设不发火地面等。</w:t>
            </w:r>
          </w:p>
          <w:p>
            <w:pPr>
              <w:widowControl/>
              <w:spacing w:line="360" w:lineRule="auto"/>
              <w:ind w:firstLine="480" w:firstLineChars="200"/>
              <w:jc w:val="left"/>
              <w:rPr>
                <w:rFonts w:hint="default"/>
                <w:color w:val="auto"/>
              </w:rPr>
            </w:pPr>
            <w:r>
              <w:rPr>
                <w:rFonts w:hint="default"/>
                <w:color w:val="auto"/>
                <w:lang w:val="en-US" w:eastAsia="zh-CN"/>
              </w:rPr>
              <w:t>b.防止高温表面引起着火。对一些自燃点较低的物质尤其需要注意。为此，高温表面应当有保温或隔热措施；可燃气体排放口应远离高温表面；禁止在高温表面烘烤衣物；注意清除高温表面的油污，以防其受热分解、自燃。</w:t>
            </w:r>
          </w:p>
          <w:p>
            <w:pPr>
              <w:widowControl/>
              <w:spacing w:line="360" w:lineRule="auto"/>
              <w:ind w:firstLine="480" w:firstLineChars="200"/>
              <w:jc w:val="left"/>
              <w:rPr>
                <w:rFonts w:hint="default"/>
                <w:color w:val="auto"/>
              </w:rPr>
            </w:pPr>
            <w:r>
              <w:rPr>
                <w:rFonts w:hint="default"/>
                <w:color w:val="auto"/>
                <w:lang w:val="en-US" w:eastAsia="zh-CN"/>
              </w:rPr>
              <w:t>c.消除静电。消除静电有两条途径：其一是控制工艺过程，抑制静电产生。应当尽量选用在起电序列中位置相近的物质，但要完全抑制静电的产生是很难的；其二是加速所产生静电的泄放或者中和，限制静电的积累，使之不超过安全限度。为此，在爆炸场所，所有可能发生静电的设备、管道、装置、系统都应当接地。此外，在绝缘材料中添加导电填料；在容易产生静电的物质中加入抗静电剂；增加工作场所空气的湿度；使用静电中和器等，都是防静电的基本措施。</w:t>
            </w:r>
          </w:p>
          <w:p>
            <w:pPr>
              <w:widowControl/>
              <w:spacing w:line="360" w:lineRule="auto"/>
              <w:ind w:firstLine="480" w:firstLineChars="200"/>
              <w:jc w:val="left"/>
              <w:rPr>
                <w:rFonts w:hint="default"/>
                <w:color w:val="auto"/>
              </w:rPr>
            </w:pPr>
            <w:r>
              <w:rPr>
                <w:rFonts w:hint="default"/>
                <w:color w:val="auto"/>
                <w:lang w:val="en-US" w:eastAsia="zh-CN"/>
              </w:rPr>
              <w:t>d.预防雷电火花引发火灾事故。设置避雷装置是防止或减少雷击事故的最基本措施。</w:t>
            </w:r>
          </w:p>
          <w:p>
            <w:pPr>
              <w:widowControl/>
              <w:spacing w:line="360" w:lineRule="auto"/>
              <w:ind w:firstLine="480" w:firstLineChars="200"/>
              <w:jc w:val="left"/>
              <w:rPr>
                <w:rFonts w:hint="default"/>
                <w:color w:val="auto"/>
                <w:lang w:val="en-US" w:eastAsia="zh-CN"/>
              </w:rPr>
            </w:pPr>
            <w:r>
              <w:rPr>
                <w:rFonts w:hint="default"/>
                <w:color w:val="auto"/>
                <w:lang w:val="en-US" w:eastAsia="zh-CN"/>
              </w:rPr>
              <w:t>e.防止明火。生产过程中的明火主要是指加热用火、维修用火以及其他火源。加热可燃物时，应避免采用明火，宜使用水蒸汽、热水等间接加热。如果必须使用明火加热，加热设备应当严格密闭。对于维修用火，应当制定严格的管理规定，并严格遵守。此外，要特别注意，在生产场所因烟头、火柴引起的火灾也时有发生，应提起人们的警惕。</w:t>
            </w:r>
          </w:p>
          <w:p>
            <w:pPr>
              <w:widowControl/>
              <w:spacing w:line="360" w:lineRule="auto"/>
              <w:ind w:firstLine="480" w:firstLineChars="200"/>
              <w:jc w:val="left"/>
              <w:rPr>
                <w:rFonts w:hint="default"/>
                <w:color w:val="auto"/>
                <w:lang w:val="en-US" w:eastAsia="zh-CN"/>
              </w:rPr>
            </w:pPr>
            <w:r>
              <w:rPr>
                <w:rFonts w:hint="default"/>
                <w:color w:val="auto"/>
                <w:lang w:val="en-US" w:eastAsia="zh-CN"/>
              </w:rPr>
              <w:t>③存储气罐的地方应设有配套的消防设施，醒目地方设置相关警示牌，定期巡检，并且设置巡检记录。</w:t>
            </w:r>
          </w:p>
          <w:p>
            <w:pPr>
              <w:widowControl/>
              <w:spacing w:line="360" w:lineRule="auto"/>
              <w:ind w:firstLine="480" w:firstLineChars="200"/>
              <w:jc w:val="left"/>
              <w:rPr>
                <w:rFonts w:hint="default"/>
                <w:color w:val="auto"/>
                <w:lang w:val="en-US" w:eastAsia="zh-CN"/>
              </w:rPr>
            </w:pPr>
            <w:r>
              <w:rPr>
                <w:rFonts w:hint="default"/>
                <w:color w:val="auto"/>
                <w:lang w:val="en-US" w:eastAsia="zh-CN"/>
              </w:rPr>
              <w:t>6 、应急事故处理</w:t>
            </w:r>
          </w:p>
          <w:p>
            <w:pPr>
              <w:widowControl/>
              <w:spacing w:line="360" w:lineRule="auto"/>
              <w:ind w:firstLine="480" w:firstLineChars="200"/>
              <w:jc w:val="left"/>
              <w:rPr>
                <w:rFonts w:hint="default"/>
                <w:color w:val="auto"/>
                <w:lang w:val="en-US" w:eastAsia="zh-CN"/>
              </w:rPr>
            </w:pPr>
            <w:r>
              <w:rPr>
                <w:rFonts w:hint="default"/>
                <w:color w:val="auto"/>
                <w:lang w:val="en-US" w:eastAsia="zh-CN"/>
              </w:rPr>
              <w:t>根据本项目危险源辨别、项目生产工艺及原辅材料分析，本环境事故包括泄露、火灾爆炸。发生事故时，应立即向发生事故的单位、生产处报警，说明事故发生地点及部位。积极采取一切有效措施，尽量将事故控制在最小程度及范围。</w:t>
            </w:r>
          </w:p>
          <w:p>
            <w:pPr>
              <w:widowControl/>
              <w:spacing w:line="360" w:lineRule="auto"/>
              <w:ind w:firstLine="480" w:firstLineChars="200"/>
              <w:jc w:val="left"/>
              <w:rPr>
                <w:rFonts w:hint="default"/>
                <w:color w:val="auto"/>
                <w:lang w:val="en-US" w:eastAsia="zh-CN"/>
              </w:rPr>
            </w:pPr>
            <w:r>
              <w:rPr>
                <w:rFonts w:hint="default"/>
                <w:color w:val="auto"/>
                <w:lang w:val="en-US" w:eastAsia="zh-CN"/>
              </w:rPr>
              <w:t>为应对突发事故，建设单位要配置富有经验的安全工作人员，建立规范的生产安全体制；制定有效处理事故的行动方案或应急预案，建立与消防队、医院充分配合、协调行动机制，并建立应急预案演习制度。</w:t>
            </w:r>
          </w:p>
          <w:p>
            <w:pPr>
              <w:widowControl/>
              <w:spacing w:line="360" w:lineRule="auto"/>
              <w:ind w:firstLine="480" w:firstLineChars="200"/>
              <w:jc w:val="left"/>
              <w:rPr>
                <w:rFonts w:hint="default"/>
                <w:color w:val="auto"/>
                <w:lang w:val="en-US" w:eastAsia="zh-CN"/>
              </w:rPr>
            </w:pPr>
            <w:r>
              <w:rPr>
                <w:rFonts w:hint="default"/>
                <w:color w:val="auto"/>
                <w:lang w:val="en-US" w:eastAsia="zh-CN"/>
              </w:rPr>
              <w:t>7 、环境风险评价结论</w:t>
            </w:r>
          </w:p>
          <w:p>
            <w:pPr>
              <w:widowControl/>
              <w:spacing w:line="360" w:lineRule="auto"/>
              <w:ind w:firstLine="480" w:firstLineChars="200"/>
              <w:jc w:val="left"/>
              <w:rPr>
                <w:rFonts w:hint="default"/>
                <w:color w:val="auto"/>
                <w:lang w:val="en-US" w:eastAsia="zh-CN"/>
              </w:rPr>
            </w:pPr>
            <w:r>
              <w:rPr>
                <w:rFonts w:hint="default"/>
                <w:color w:val="auto"/>
                <w:lang w:val="en-US" w:eastAsia="zh-CN"/>
              </w:rPr>
              <w:t>本项目运营期涉及氧气、</w:t>
            </w:r>
            <w:r>
              <w:rPr>
                <w:rFonts w:hint="eastAsia"/>
                <w:color w:val="auto"/>
                <w:lang w:val="en-US" w:eastAsia="zh-CN"/>
              </w:rPr>
              <w:t>天然气</w:t>
            </w:r>
            <w:r>
              <w:rPr>
                <w:rFonts w:hint="default"/>
                <w:color w:val="auto"/>
                <w:lang w:val="en-US" w:eastAsia="zh-CN"/>
              </w:rPr>
              <w:t>、矿物油等危险化学品物质，生产过程可能发生泄露、火灾、爆炸等环境风险事故。通过采用较为严格的设计标准，行业设计规范等，同时制定风险应急预案，一旦发生事故将可迅速响应，采取措施将损失降到最小。在认真落实工程拟采取的安全措施及评价所提出的安全设施和安全对策后，工程的风险事故对周围影响是可以接受的。</w:t>
            </w:r>
          </w:p>
          <w:p>
            <w:pPr>
              <w:spacing w:line="360" w:lineRule="auto"/>
              <w:ind w:left="0" w:leftChars="0" w:firstLine="0" w:firstLineChars="0"/>
              <w:rPr>
                <w:rFonts w:hint="eastAsia"/>
                <w:color w:val="auto"/>
                <w:lang w:eastAsia="zh-CN"/>
              </w:rPr>
            </w:pPr>
            <w:r>
              <w:rPr>
                <w:rFonts w:hint="default"/>
                <w:color w:val="auto"/>
              </w:rPr>
              <w:t>四 、产业政策符合性</w:t>
            </w:r>
            <w:r>
              <w:rPr>
                <w:rFonts w:hint="eastAsia"/>
                <w:color w:val="auto"/>
                <w:lang w:eastAsia="zh-CN"/>
              </w:rPr>
              <w:t>、</w:t>
            </w:r>
            <w:r>
              <w:rPr>
                <w:rFonts w:hint="default"/>
                <w:color w:val="auto"/>
              </w:rPr>
              <w:t>规划符合性及</w:t>
            </w:r>
            <w:r>
              <w:rPr>
                <w:rFonts w:hint="eastAsia"/>
                <w:color w:val="auto"/>
                <w:lang w:eastAsia="zh-CN"/>
              </w:rPr>
              <w:t>选址合理性分析</w:t>
            </w:r>
          </w:p>
          <w:p>
            <w:pPr>
              <w:spacing w:line="360" w:lineRule="auto"/>
              <w:ind w:firstLine="480"/>
              <w:rPr>
                <w:rFonts w:hint="default"/>
                <w:color w:val="auto"/>
              </w:rPr>
            </w:pPr>
            <w:r>
              <w:rPr>
                <w:rFonts w:hint="default"/>
                <w:color w:val="auto"/>
              </w:rPr>
              <w:t>1 、产业政策符合性分析</w:t>
            </w:r>
          </w:p>
          <w:p>
            <w:pPr>
              <w:widowControl/>
              <w:spacing w:line="360" w:lineRule="auto"/>
              <w:ind w:firstLine="480" w:firstLineChars="200"/>
              <w:jc w:val="left"/>
              <w:rPr>
                <w:rFonts w:hint="default"/>
                <w:color w:val="auto"/>
                <w:lang w:val="en-US" w:eastAsia="zh-CN"/>
              </w:rPr>
            </w:pPr>
            <w:r>
              <w:rPr>
                <w:rFonts w:hint="default"/>
                <w:color w:val="auto"/>
                <w:lang w:val="en-US" w:eastAsia="zh-CN"/>
              </w:rPr>
              <w:t>项目为金属制品制造行业，根据《产业结构调整指导目录 2011 年本（2013 年修正）》和《云南省工业产业结构调整指导目录（2006 本）》，本项目不属于上述文件规定的鼓励类、限制类及淘汰类，属于允许类，故项目建设符合国家和地方产业政策。</w:t>
            </w:r>
          </w:p>
          <w:p>
            <w:pPr>
              <w:spacing w:line="360" w:lineRule="auto"/>
              <w:ind w:firstLine="480"/>
              <w:rPr>
                <w:rFonts w:hint="default"/>
                <w:color w:val="auto"/>
              </w:rPr>
            </w:pPr>
            <w:r>
              <w:rPr>
                <w:rFonts w:hint="eastAsia"/>
                <w:color w:val="auto"/>
                <w:lang w:val="en-US" w:eastAsia="zh-CN"/>
              </w:rPr>
              <w:t>2</w:t>
            </w:r>
            <w:r>
              <w:rPr>
                <w:rFonts w:hint="default"/>
                <w:color w:val="auto"/>
              </w:rPr>
              <w:t>、项目</w:t>
            </w:r>
            <w:r>
              <w:rPr>
                <w:rFonts w:hint="default"/>
                <w:color w:val="auto"/>
                <w:lang w:eastAsia="zh-CN"/>
              </w:rPr>
              <w:t>与园区规划</w:t>
            </w:r>
            <w:r>
              <w:rPr>
                <w:rFonts w:hint="default"/>
                <w:color w:val="auto"/>
              </w:rPr>
              <w:t>相符性分析</w:t>
            </w:r>
          </w:p>
          <w:p>
            <w:pPr>
              <w:spacing w:line="360" w:lineRule="auto"/>
              <w:ind w:firstLine="480" w:firstLineChars="200"/>
              <w:rPr>
                <w:color w:val="auto"/>
              </w:rPr>
            </w:pPr>
            <w:r>
              <w:rPr>
                <w:color w:val="auto"/>
              </w:rPr>
              <w:t>富民工业园区位于富民永定街道、罗免镇、赤鹫镇、散旦镇、款庄镇、东村镇的部分区域,各级主管部门对富民工业园区规划和建设高度重视。2006年完成了《富民工业集聚区总体规划(2006-2020年)》的编制并获昆明市工业和信息化委员会批准实施,并于2008年7月取得了《富民工业集聚区总体规划环境影响报告书》审查意见（见附件4）。2008年被省工信委确定为省级工业园区。2014年对总规进行了调整，编制了《富民工业园区总体规划修编(2015-2030)》， 2015年10月取得了昆明市工业和信息化委员会《关于实施&lt;富民工业园区总体规划修编（2015-2030）&gt;的意见》(昆工信发[2015]181号)。富民工业园区于2015年10月29日委托云南大学编制完成《富民工业园区总体规划修编（2015-2030）环境影响报告书》，并于2015年11月19日通过云南省环境保护厅组织的技术审查。</w:t>
            </w:r>
          </w:p>
          <w:p>
            <w:pPr>
              <w:spacing w:line="360" w:lineRule="auto"/>
              <w:ind w:firstLine="480" w:firstLineChars="200"/>
              <w:rPr>
                <w:color w:val="auto"/>
              </w:rPr>
            </w:pPr>
            <w:r>
              <w:rPr>
                <w:color w:val="auto"/>
              </w:rPr>
              <w:t>规划调整内容为建设用地面积由原来的10.22平方公里调整为30.4平方公里，增加了20.18平方公里。调整了发展定位</w:t>
            </w:r>
            <w:r>
              <w:rPr>
                <w:rFonts w:hint="eastAsia"/>
                <w:color w:val="auto"/>
                <w:lang w:eastAsia="zh-CN"/>
              </w:rPr>
              <w:t>，</w:t>
            </w:r>
            <w:r>
              <w:rPr>
                <w:color w:val="auto"/>
              </w:rPr>
              <w:t>是以装备制造、钛化工和新材料三大产业为主导的产业基地，取消了原规划的硫化工、磷化工和饲料添加剂产业。产业布局由原规划的北营、麦竜、大营三个产业片区和奎南物流中心“三片一中心”结构调整为包括白石岩-大白坡片区、大营</w:t>
            </w:r>
            <w:r>
              <w:rPr>
                <w:rFonts w:hint="eastAsia"/>
                <w:color w:val="auto"/>
                <w:lang w:val="en-US" w:eastAsia="zh-CN"/>
              </w:rPr>
              <w:t>--</w:t>
            </w:r>
            <w:r>
              <w:rPr>
                <w:color w:val="auto"/>
              </w:rPr>
              <w:t>茨塘片区、散旦片区、款庄-东村片区四个工业片区。</w:t>
            </w:r>
          </w:p>
          <w:p>
            <w:pPr>
              <w:spacing w:line="360" w:lineRule="auto"/>
              <w:ind w:firstLine="480" w:firstLineChars="200"/>
              <w:rPr>
                <w:color w:val="auto"/>
              </w:rPr>
            </w:pPr>
            <w:r>
              <w:rPr>
                <w:color w:val="auto"/>
              </w:rPr>
              <w:t>本项目位于大营</w:t>
            </w:r>
            <w:r>
              <w:rPr>
                <w:rFonts w:hint="eastAsia"/>
                <w:color w:val="auto"/>
                <w:lang w:val="en-US" w:eastAsia="zh-CN"/>
              </w:rPr>
              <w:t>--</w:t>
            </w:r>
            <w:r>
              <w:rPr>
                <w:color w:val="auto"/>
              </w:rPr>
              <w:t>茨塘片区，目前已有一定的产业发展基础。根据规划，该片区将在现状东元食品产业园和大营五金建材产业园的发展基础上，延续食品加工、五金建材等产业发展。</w:t>
            </w:r>
          </w:p>
          <w:p>
            <w:pPr>
              <w:spacing w:line="360" w:lineRule="auto"/>
              <w:ind w:firstLine="480" w:firstLineChars="200"/>
              <w:rPr>
                <w:color w:val="auto"/>
              </w:rPr>
            </w:pPr>
            <w:r>
              <w:rPr>
                <w:color w:val="auto"/>
              </w:rPr>
              <w:t>《富民工业园区总体规划修编（2015-2030）环境影响报告书》（报批稿）对该片区要求为：</w:t>
            </w:r>
          </w:p>
          <w:p>
            <w:pPr>
              <w:spacing w:line="360" w:lineRule="auto"/>
              <w:ind w:firstLine="480" w:firstLineChars="200"/>
              <w:rPr>
                <w:color w:val="auto"/>
              </w:rPr>
            </w:pPr>
            <w:r>
              <w:rPr>
                <w:color w:val="auto"/>
              </w:rPr>
              <w:t>（1）禁止国家及云南省产业政策中明令淘汰或限制的产业入园；</w:t>
            </w:r>
          </w:p>
          <w:p>
            <w:pPr>
              <w:spacing w:line="360" w:lineRule="auto"/>
              <w:ind w:firstLine="480" w:firstLineChars="200"/>
              <w:rPr>
                <w:color w:val="auto"/>
              </w:rPr>
            </w:pPr>
            <w:r>
              <w:rPr>
                <w:color w:val="auto"/>
              </w:rPr>
              <w:t>（2）严格控制不符合《规划》中产业的项目入园；</w:t>
            </w:r>
          </w:p>
          <w:p>
            <w:pPr>
              <w:spacing w:line="360" w:lineRule="auto"/>
              <w:ind w:firstLine="480" w:firstLineChars="200"/>
              <w:rPr>
                <w:color w:val="auto"/>
              </w:rPr>
            </w:pPr>
            <w:r>
              <w:rPr>
                <w:color w:val="auto"/>
              </w:rPr>
              <w:t>（3）禁止未满足区域总量控制要求的项目入园；</w:t>
            </w:r>
          </w:p>
          <w:p>
            <w:pPr>
              <w:spacing w:line="360" w:lineRule="auto"/>
              <w:ind w:firstLine="480" w:firstLineChars="200"/>
              <w:rPr>
                <w:color w:val="auto"/>
              </w:rPr>
            </w:pPr>
            <w:r>
              <w:rPr>
                <w:color w:val="auto"/>
              </w:rPr>
              <w:t>（4）严格控制高钛渣、钛白粉项目入驻，引进的钛产业企业要以钛产品精深加工为主的工业；</w:t>
            </w:r>
          </w:p>
          <w:p>
            <w:pPr>
              <w:spacing w:line="360" w:lineRule="auto"/>
              <w:ind w:firstLine="480" w:firstLineChars="200"/>
              <w:rPr>
                <w:color w:val="auto"/>
              </w:rPr>
            </w:pPr>
            <w:r>
              <w:rPr>
                <w:color w:val="auto"/>
              </w:rPr>
              <w:t>（5）项目入园时（特别是钛化工产业），应充分考虑是否满足环境大气防护距离的要求，防止入驻企业产生的废气、噪声等对敏感目标的影响。</w:t>
            </w:r>
          </w:p>
          <w:p>
            <w:pPr>
              <w:spacing w:line="360" w:lineRule="auto"/>
              <w:ind w:left="0" w:leftChars="0" w:firstLine="0" w:firstLineChars="0"/>
              <w:rPr>
                <w:color w:val="auto"/>
              </w:rPr>
            </w:pPr>
            <w:r>
              <w:rPr>
                <w:color w:val="auto"/>
              </w:rPr>
              <w:t>入驻限制类项目</w:t>
            </w:r>
          </w:p>
          <w:p>
            <w:pPr>
              <w:spacing w:line="360" w:lineRule="auto"/>
              <w:ind w:firstLine="480" w:firstLineChars="200"/>
              <w:rPr>
                <w:color w:val="auto"/>
              </w:rPr>
            </w:pPr>
            <w:r>
              <w:rPr>
                <w:color w:val="auto"/>
              </w:rPr>
              <w:t>高水耗、污水高排放的其他产业；</w:t>
            </w:r>
          </w:p>
          <w:p>
            <w:pPr>
              <w:spacing w:line="360" w:lineRule="auto"/>
              <w:ind w:firstLine="480" w:firstLineChars="200"/>
              <w:rPr>
                <w:color w:val="auto"/>
              </w:rPr>
            </w:pPr>
            <w:r>
              <w:rPr>
                <w:color w:val="auto"/>
              </w:rPr>
              <w:t>国家和云南省规定限制发展、符合规划要求的其他产业限制入驻产业园区。</w:t>
            </w:r>
          </w:p>
          <w:p>
            <w:pPr>
              <w:spacing w:line="360" w:lineRule="auto"/>
              <w:ind w:left="0" w:leftChars="0" w:firstLine="0" w:firstLineChars="0"/>
              <w:rPr>
                <w:color w:val="auto"/>
              </w:rPr>
            </w:pPr>
            <w:r>
              <w:rPr>
                <w:color w:val="auto"/>
              </w:rPr>
              <w:t>入驻禁止类项目</w:t>
            </w:r>
          </w:p>
          <w:p>
            <w:pPr>
              <w:spacing w:line="360" w:lineRule="auto"/>
              <w:ind w:firstLine="480" w:firstLineChars="200"/>
              <w:rPr>
                <w:color w:val="auto"/>
              </w:rPr>
            </w:pPr>
            <w:r>
              <w:rPr>
                <w:color w:val="auto"/>
              </w:rPr>
              <w:t>国家规定禁止发展的产业；</w:t>
            </w:r>
          </w:p>
          <w:p>
            <w:pPr>
              <w:spacing w:line="360" w:lineRule="auto"/>
              <w:ind w:firstLine="480" w:firstLineChars="200"/>
              <w:rPr>
                <w:color w:val="auto"/>
              </w:rPr>
            </w:pPr>
            <w:r>
              <w:rPr>
                <w:color w:val="auto"/>
              </w:rPr>
              <w:t>高毒性、高污染的化工行业；</w:t>
            </w:r>
          </w:p>
          <w:p>
            <w:pPr>
              <w:spacing w:line="360" w:lineRule="auto"/>
              <w:ind w:firstLine="480" w:firstLineChars="200"/>
              <w:rPr>
                <w:color w:val="auto"/>
              </w:rPr>
            </w:pPr>
            <w:r>
              <w:rPr>
                <w:color w:val="auto"/>
              </w:rPr>
              <w:t>以烟尘、粉尘为特征污染物且排放量大、治理难度大、对周边居民区或其它敏感目标造成显著影响的产业；</w:t>
            </w:r>
          </w:p>
          <w:p>
            <w:pPr>
              <w:spacing w:line="360" w:lineRule="auto"/>
              <w:ind w:firstLine="480" w:firstLineChars="200"/>
              <w:rPr>
                <w:color w:val="auto"/>
              </w:rPr>
            </w:pPr>
            <w:r>
              <w:rPr>
                <w:color w:val="auto"/>
              </w:rPr>
              <w:t>难降解的含重金属废水排放的企业。</w:t>
            </w:r>
          </w:p>
          <w:p>
            <w:pPr>
              <w:spacing w:line="360" w:lineRule="auto"/>
              <w:ind w:firstLine="480" w:firstLineChars="200"/>
              <w:rPr>
                <w:color w:val="auto"/>
              </w:rPr>
            </w:pPr>
            <w:r>
              <w:rPr>
                <w:color w:val="auto"/>
              </w:rPr>
              <w:t>本项目为</w:t>
            </w:r>
            <w:r>
              <w:rPr>
                <w:rFonts w:hint="eastAsia"/>
                <w:color w:val="auto"/>
                <w:lang w:eastAsia="zh-CN"/>
              </w:rPr>
              <w:t>钢结构加工</w:t>
            </w:r>
            <w:r>
              <w:rPr>
                <w:color w:val="auto"/>
              </w:rPr>
              <w:t>项目，属</w:t>
            </w:r>
            <w:r>
              <w:rPr>
                <w:rFonts w:hint="eastAsia"/>
                <w:color w:val="auto"/>
                <w:lang w:eastAsia="zh-CN"/>
              </w:rPr>
              <w:t>钢结构加工</w:t>
            </w:r>
            <w:r>
              <w:rPr>
                <w:color w:val="auto"/>
              </w:rPr>
              <w:t>，符合大营五金建材园产业规划及入园要求。</w:t>
            </w:r>
          </w:p>
          <w:p>
            <w:pPr>
              <w:spacing w:line="360" w:lineRule="auto"/>
              <w:ind w:firstLine="480" w:firstLineChars="200"/>
              <w:rPr>
                <w:color w:val="auto"/>
              </w:rPr>
            </w:pPr>
            <w:r>
              <w:rPr>
                <w:color w:val="auto"/>
              </w:rPr>
              <w:t>本项目位于富民工业园区大营-茨塘片区，根据云南省环境保护厅关于富民工业园区规划环评审查意见，大营-茨塘片区不宜布局大气污染较重的工业企业。本项目为安全节能玻璃生产，规模有限，项目不涉及SO2、NOx以及重金属等污染物排放，大气污染负荷较低，不属于大气重污染工业。</w:t>
            </w:r>
          </w:p>
          <w:p>
            <w:pPr>
              <w:spacing w:line="360" w:lineRule="auto"/>
              <w:ind w:firstLine="480" w:firstLineChars="200"/>
              <w:rPr>
                <w:color w:val="auto"/>
              </w:rPr>
            </w:pPr>
            <w:r>
              <w:rPr>
                <w:color w:val="auto"/>
              </w:rPr>
              <w:t>项目不属于国家禁止发展的产业，不属于高耗能、高污染企业，不属于园区严格控制的高钛渣、钛白粉及大气重污染工业项目；同时，</w:t>
            </w:r>
            <w:r>
              <w:rPr>
                <w:rFonts w:hint="eastAsia"/>
                <w:color w:val="auto"/>
                <w:lang w:eastAsia="zh-CN"/>
              </w:rPr>
              <w:t>本项目于</w:t>
            </w:r>
            <w:r>
              <w:rPr>
                <w:rFonts w:hint="eastAsia"/>
                <w:color w:val="auto"/>
                <w:lang w:val="en-US" w:eastAsia="zh-CN"/>
              </w:rPr>
              <w:t>2019年9月18日通过《富民工业园区管委会2019年第四次工业园区入园项目审核》（详见附件）</w:t>
            </w:r>
            <w:r>
              <w:rPr>
                <w:color w:val="auto"/>
              </w:rPr>
              <w:t>。</w:t>
            </w:r>
          </w:p>
          <w:p>
            <w:pPr>
              <w:spacing w:line="360" w:lineRule="auto"/>
              <w:ind w:firstLine="480" w:firstLineChars="200"/>
              <w:rPr>
                <w:color w:val="auto"/>
              </w:rPr>
            </w:pPr>
            <w:r>
              <w:rPr>
                <w:color w:val="auto"/>
              </w:rPr>
              <w:t>综上所述，项目不属于规划环评及审查意见中禁止、限制入园项目。项目选址符合规划环评要求。</w:t>
            </w:r>
          </w:p>
          <w:p>
            <w:pPr>
              <w:spacing w:line="360" w:lineRule="auto"/>
              <w:ind w:firstLine="480" w:firstLineChars="200"/>
              <w:rPr>
                <w:rFonts w:hint="eastAsia"/>
                <w:color w:val="auto"/>
              </w:rPr>
            </w:pPr>
            <w:r>
              <w:rPr>
                <w:rFonts w:hint="eastAsia"/>
                <w:color w:val="auto"/>
              </w:rPr>
              <w:t>五 、平面布局合理性分析</w:t>
            </w:r>
          </w:p>
          <w:p>
            <w:pPr>
              <w:spacing w:line="360" w:lineRule="auto"/>
              <w:ind w:firstLine="480" w:firstLineChars="200"/>
              <w:rPr>
                <w:rFonts w:hint="eastAsia"/>
                <w:color w:val="auto"/>
              </w:rPr>
            </w:pPr>
            <w:r>
              <w:rPr>
                <w:rFonts w:hint="eastAsia"/>
                <w:color w:val="auto"/>
              </w:rPr>
              <w:t>项目总平面布置分为生产区、办公区。出入口位于</w:t>
            </w:r>
            <w:r>
              <w:rPr>
                <w:rFonts w:hint="eastAsia"/>
                <w:color w:val="auto"/>
                <w:lang w:eastAsia="zh-CN"/>
              </w:rPr>
              <w:t>西</w:t>
            </w:r>
            <w:r>
              <w:rPr>
                <w:rFonts w:hint="eastAsia"/>
                <w:color w:val="auto"/>
              </w:rPr>
              <w:t>侧，办公生活楼布置于</w:t>
            </w:r>
            <w:r>
              <w:rPr>
                <w:rFonts w:hint="eastAsia"/>
                <w:color w:val="auto"/>
                <w:lang w:eastAsia="zh-CN"/>
              </w:rPr>
              <w:t>西</w:t>
            </w:r>
            <w:r>
              <w:rPr>
                <w:rFonts w:hint="eastAsia"/>
                <w:color w:val="auto"/>
              </w:rPr>
              <w:t>侧，生产区布置于</w:t>
            </w:r>
            <w:r>
              <w:rPr>
                <w:rFonts w:hint="eastAsia"/>
                <w:color w:val="auto"/>
                <w:lang w:eastAsia="zh-CN"/>
              </w:rPr>
              <w:t>西</w:t>
            </w:r>
            <w:r>
              <w:rPr>
                <w:rFonts w:hint="eastAsia"/>
                <w:color w:val="auto"/>
              </w:rPr>
              <w:t>侧，生产区由</w:t>
            </w:r>
            <w:r>
              <w:rPr>
                <w:rFonts w:hint="eastAsia"/>
                <w:color w:val="auto"/>
                <w:lang w:eastAsia="zh-CN"/>
              </w:rPr>
              <w:t>西</w:t>
            </w:r>
            <w:r>
              <w:rPr>
                <w:rFonts w:hint="eastAsia"/>
                <w:color w:val="auto"/>
              </w:rPr>
              <w:t>至</w:t>
            </w:r>
            <w:r>
              <w:rPr>
                <w:rFonts w:hint="eastAsia"/>
                <w:color w:val="auto"/>
                <w:lang w:eastAsia="zh-CN"/>
              </w:rPr>
              <w:t>东</w:t>
            </w:r>
            <w:r>
              <w:rPr>
                <w:rFonts w:hint="eastAsia"/>
                <w:color w:val="auto"/>
              </w:rPr>
              <w:t>依次布置</w:t>
            </w:r>
            <w:r>
              <w:rPr>
                <w:rFonts w:hint="eastAsia"/>
                <w:color w:val="auto"/>
                <w:lang w:eastAsia="zh-CN"/>
              </w:rPr>
              <w:t>园路堆放区</w:t>
            </w:r>
            <w:r>
              <w:rPr>
                <w:rFonts w:hint="eastAsia"/>
                <w:color w:val="auto"/>
              </w:rPr>
              <w:t>、</w:t>
            </w:r>
            <w:r>
              <w:rPr>
                <w:rFonts w:hint="eastAsia"/>
                <w:color w:val="auto"/>
                <w:lang w:eastAsia="zh-CN"/>
              </w:rPr>
              <w:t>生产区</w:t>
            </w:r>
            <w:r>
              <w:rPr>
                <w:rFonts w:hint="eastAsia"/>
                <w:color w:val="auto"/>
              </w:rPr>
              <w:t>喷漆车间、</w:t>
            </w:r>
            <w:r>
              <w:rPr>
                <w:rFonts w:hint="eastAsia"/>
                <w:color w:val="auto"/>
                <w:lang w:eastAsia="zh-CN"/>
              </w:rPr>
              <w:t>危废暂存</w:t>
            </w:r>
            <w:r>
              <w:rPr>
                <w:rFonts w:hint="eastAsia"/>
                <w:color w:val="auto"/>
              </w:rPr>
              <w:t>间</w:t>
            </w:r>
            <w:r>
              <w:rPr>
                <w:rFonts w:hint="eastAsia"/>
                <w:color w:val="auto"/>
                <w:lang w:eastAsia="zh-CN"/>
              </w:rPr>
              <w:t>、成品堆放区</w:t>
            </w:r>
            <w:r>
              <w:rPr>
                <w:rFonts w:hint="eastAsia"/>
                <w:color w:val="auto"/>
              </w:rPr>
              <w:t>。气罐储存区布置于厂房</w:t>
            </w:r>
            <w:r>
              <w:rPr>
                <w:rFonts w:hint="eastAsia"/>
                <w:color w:val="auto"/>
                <w:lang w:eastAsia="zh-CN"/>
              </w:rPr>
              <w:t>为东南角</w:t>
            </w:r>
            <w:r>
              <w:rPr>
                <w:rFonts w:hint="eastAsia"/>
                <w:color w:val="auto"/>
              </w:rPr>
              <w:t>，独立设置，不与生产及生活交叉，且远离办公生活楼布置。项目平面布局将办公区、生产区分开布置，满足生产人流、物流分离、互不交叉干扰的原则，结构明朗，流程顺畅，布局紧凑，符合生产工艺流程等需求。总体上做到按功能分区，系统分明，布置整齐。</w:t>
            </w:r>
          </w:p>
          <w:p>
            <w:pPr>
              <w:spacing w:line="360" w:lineRule="auto"/>
              <w:ind w:firstLine="480" w:firstLineChars="200"/>
              <w:rPr>
                <w:rFonts w:hint="eastAsia"/>
                <w:color w:val="auto"/>
              </w:rPr>
            </w:pPr>
            <w:r>
              <w:rPr>
                <w:rFonts w:hint="eastAsia"/>
                <w:color w:val="auto"/>
              </w:rPr>
              <w:t>项目危险废物暂存间布置于</w:t>
            </w:r>
            <w:r>
              <w:rPr>
                <w:rFonts w:hint="eastAsia"/>
                <w:color w:val="auto"/>
                <w:lang w:eastAsia="zh-CN"/>
              </w:rPr>
              <w:t>喷漆房北</w:t>
            </w:r>
            <w:r>
              <w:rPr>
                <w:rFonts w:hint="eastAsia"/>
                <w:color w:val="auto"/>
              </w:rPr>
              <w:t>侧，便于危险废物收集及运输；</w:t>
            </w:r>
            <w:r>
              <w:rPr>
                <w:rFonts w:hint="eastAsia"/>
                <w:color w:val="auto"/>
                <w:lang w:eastAsia="zh-CN"/>
              </w:rPr>
              <w:t>排气筒设置于项目区东南侧</w:t>
            </w:r>
            <w:r>
              <w:rPr>
                <w:rFonts w:hint="eastAsia"/>
                <w:color w:val="auto"/>
              </w:rPr>
              <w:t>，位于</w:t>
            </w:r>
            <w:r>
              <w:rPr>
                <w:rFonts w:hint="eastAsia"/>
                <w:color w:val="auto"/>
                <w:lang w:eastAsia="zh-CN"/>
              </w:rPr>
              <w:t>办公</w:t>
            </w:r>
            <w:r>
              <w:rPr>
                <w:rFonts w:hint="eastAsia"/>
                <w:color w:val="auto"/>
              </w:rPr>
              <w:t>区</w:t>
            </w:r>
            <w:r>
              <w:rPr>
                <w:rFonts w:hint="eastAsia"/>
                <w:color w:val="auto"/>
                <w:lang w:eastAsia="zh-CN"/>
              </w:rPr>
              <w:t>下</w:t>
            </w:r>
            <w:r>
              <w:rPr>
                <w:rFonts w:hint="eastAsia"/>
                <w:color w:val="auto"/>
              </w:rPr>
              <w:t>风向，远离办公生活楼，减少废气污染物排放对办公区的影响。</w:t>
            </w:r>
          </w:p>
          <w:p>
            <w:pPr>
              <w:spacing w:line="360" w:lineRule="auto"/>
              <w:ind w:firstLine="480" w:firstLineChars="200"/>
              <w:rPr>
                <w:color w:val="auto"/>
              </w:rPr>
            </w:pPr>
            <w:r>
              <w:rPr>
                <w:rFonts w:hint="eastAsia"/>
                <w:color w:val="auto"/>
              </w:rPr>
              <w:t>综上分析，项目功能分区明确，充分利用地形，做到统一协调，布局合理。</w:t>
            </w:r>
          </w:p>
          <w:p>
            <w:pPr>
              <w:spacing w:line="360" w:lineRule="auto"/>
              <w:ind w:left="0" w:leftChars="0" w:firstLine="0" w:firstLineChars="0"/>
              <w:rPr>
                <w:rFonts w:hint="default"/>
                <w:color w:val="auto"/>
              </w:rPr>
            </w:pPr>
            <w:r>
              <w:rPr>
                <w:rFonts w:hint="default"/>
                <w:color w:val="auto"/>
                <w:lang w:eastAsia="zh-CN"/>
              </w:rPr>
              <w:t>五</w:t>
            </w:r>
            <w:r>
              <w:rPr>
                <w:rFonts w:hint="default"/>
                <w:color w:val="auto"/>
              </w:rPr>
              <w:t>、环境管理</w:t>
            </w:r>
          </w:p>
          <w:p>
            <w:pPr>
              <w:spacing w:line="360" w:lineRule="auto"/>
              <w:ind w:firstLine="480" w:firstLineChars="200"/>
              <w:rPr>
                <w:rFonts w:hint="default"/>
                <w:color w:val="auto"/>
              </w:rPr>
            </w:pPr>
            <w:r>
              <w:rPr>
                <w:rFonts w:hint="default"/>
                <w:color w:val="auto"/>
              </w:rPr>
              <w:t>遵循国家及当地政府关于环境保护的方针、政策、法令、法规，应将项目的环境管理纳入项目日常管理之中。本项目制定了环境管理计划如表</w:t>
            </w:r>
            <w:r>
              <w:rPr>
                <w:rFonts w:hint="eastAsia"/>
                <w:color w:val="auto"/>
                <w:lang w:val="en-US" w:eastAsia="zh-CN"/>
              </w:rPr>
              <w:t>7-17</w:t>
            </w:r>
            <w:r>
              <w:rPr>
                <w:rFonts w:hint="default"/>
                <w:color w:val="auto"/>
              </w:rPr>
              <w:t>。</w:t>
            </w:r>
          </w:p>
          <w:p>
            <w:pPr>
              <w:pStyle w:val="19"/>
              <w:bidi w:val="0"/>
              <w:rPr>
                <w:rFonts w:hint="default"/>
                <w:color w:val="auto"/>
              </w:rPr>
            </w:pPr>
            <w:r>
              <w:rPr>
                <w:rFonts w:hint="default"/>
                <w:color w:val="auto"/>
              </w:rPr>
              <w:t>表</w:t>
            </w:r>
            <w:r>
              <w:rPr>
                <w:rFonts w:hint="eastAsia"/>
                <w:color w:val="auto"/>
                <w:lang w:val="en-US" w:eastAsia="zh-CN"/>
              </w:rPr>
              <w:t>7-17</w:t>
            </w:r>
            <w:r>
              <w:rPr>
                <w:rFonts w:hint="default"/>
                <w:color w:val="auto"/>
              </w:rPr>
              <w:t xml:space="preserve">   环境管理计划</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2"/>
              <w:gridCol w:w="6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5" w:type="dxa"/>
                  <w:tcBorders>
                    <w:tl2br w:val="nil"/>
                    <w:tr2bl w:val="nil"/>
                  </w:tcBorders>
                  <w:noWrap w:val="0"/>
                  <w:vAlign w:val="center"/>
                </w:tcPr>
                <w:p>
                  <w:pPr>
                    <w:pStyle w:val="18"/>
                    <w:bidi w:val="0"/>
                    <w:rPr>
                      <w:rFonts w:hint="default"/>
                      <w:color w:val="auto"/>
                    </w:rPr>
                  </w:pPr>
                  <w:bookmarkStart w:id="99" w:name="_Toc14238"/>
                  <w:r>
                    <w:rPr>
                      <w:rFonts w:hint="default"/>
                      <w:color w:val="auto"/>
                    </w:rPr>
                    <w:t>阶段</w:t>
                  </w:r>
                  <w:bookmarkEnd w:id="99"/>
                </w:p>
              </w:tc>
              <w:tc>
                <w:tcPr>
                  <w:tcW w:w="6929" w:type="dxa"/>
                  <w:tcBorders>
                    <w:tl2br w:val="nil"/>
                    <w:tr2bl w:val="nil"/>
                  </w:tcBorders>
                  <w:noWrap w:val="0"/>
                  <w:vAlign w:val="center"/>
                </w:tcPr>
                <w:p>
                  <w:pPr>
                    <w:pStyle w:val="18"/>
                    <w:bidi w:val="0"/>
                    <w:rPr>
                      <w:rFonts w:hint="default"/>
                      <w:color w:val="auto"/>
                    </w:rPr>
                  </w:pPr>
                  <w:bookmarkStart w:id="100" w:name="_Toc17216"/>
                  <w:r>
                    <w:rPr>
                      <w:rFonts w:hint="default"/>
                      <w:color w:val="auto"/>
                    </w:rPr>
                    <w:t>环境管理工作主要内容</w:t>
                  </w:r>
                  <w:bookmarkEnd w:id="10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5" w:type="dxa"/>
                  <w:tcBorders>
                    <w:tl2br w:val="nil"/>
                    <w:tr2bl w:val="nil"/>
                  </w:tcBorders>
                  <w:noWrap w:val="0"/>
                  <w:vAlign w:val="center"/>
                </w:tcPr>
                <w:p>
                  <w:pPr>
                    <w:pStyle w:val="18"/>
                    <w:bidi w:val="0"/>
                    <w:rPr>
                      <w:rFonts w:hint="default"/>
                      <w:color w:val="auto"/>
                    </w:rPr>
                  </w:pPr>
                  <w:bookmarkStart w:id="101" w:name="_Toc28421"/>
                  <w:r>
                    <w:rPr>
                      <w:rFonts w:hint="default"/>
                      <w:color w:val="auto"/>
                    </w:rPr>
                    <w:t>管理机构职能</w:t>
                  </w:r>
                  <w:bookmarkEnd w:id="101"/>
                </w:p>
              </w:tc>
              <w:tc>
                <w:tcPr>
                  <w:tcW w:w="6929" w:type="dxa"/>
                  <w:tcBorders>
                    <w:tl2br w:val="nil"/>
                    <w:tr2bl w:val="nil"/>
                  </w:tcBorders>
                  <w:noWrap w:val="0"/>
                  <w:vAlign w:val="center"/>
                </w:tcPr>
                <w:p>
                  <w:pPr>
                    <w:pStyle w:val="18"/>
                    <w:bidi w:val="0"/>
                    <w:jc w:val="left"/>
                    <w:rPr>
                      <w:rFonts w:hint="default"/>
                      <w:color w:val="auto"/>
                    </w:rPr>
                  </w:pPr>
                  <w:bookmarkStart w:id="102" w:name="_Toc18858"/>
                  <w:r>
                    <w:rPr>
                      <w:rFonts w:hint="default"/>
                      <w:color w:val="auto"/>
                    </w:rPr>
                    <w:t>根据国家建设项目环境管理规定，认真落实各项环保手续，完成各级主管部门对本企业提出的环境管理要求，对本企业内部各项管理计划的执行及完成情况进行监督、控制，确保环境管理工作真正发挥作用。</w:t>
                  </w:r>
                  <w:bookmarkEnd w:id="10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75" w:type="dxa"/>
                  <w:tcBorders>
                    <w:tl2br w:val="nil"/>
                    <w:tr2bl w:val="nil"/>
                  </w:tcBorders>
                  <w:noWrap w:val="0"/>
                  <w:vAlign w:val="center"/>
                </w:tcPr>
                <w:p>
                  <w:pPr>
                    <w:pStyle w:val="18"/>
                    <w:bidi w:val="0"/>
                    <w:rPr>
                      <w:rFonts w:hint="default"/>
                      <w:color w:val="auto"/>
                    </w:rPr>
                  </w:pPr>
                  <w:bookmarkStart w:id="103" w:name="_Toc529"/>
                  <w:r>
                    <w:rPr>
                      <w:rFonts w:hint="default"/>
                      <w:color w:val="auto"/>
                    </w:rPr>
                    <w:t>生产运行期</w:t>
                  </w:r>
                  <w:bookmarkEnd w:id="103"/>
                </w:p>
              </w:tc>
              <w:tc>
                <w:tcPr>
                  <w:tcW w:w="6929" w:type="dxa"/>
                  <w:tcBorders>
                    <w:tl2br w:val="nil"/>
                    <w:tr2bl w:val="nil"/>
                  </w:tcBorders>
                  <w:noWrap w:val="0"/>
                  <w:vAlign w:val="center"/>
                </w:tcPr>
                <w:p>
                  <w:pPr>
                    <w:pStyle w:val="18"/>
                    <w:bidi w:val="0"/>
                    <w:jc w:val="left"/>
                    <w:rPr>
                      <w:rFonts w:hint="default"/>
                      <w:color w:val="auto"/>
                    </w:rPr>
                  </w:pPr>
                  <w:bookmarkStart w:id="104" w:name="_Toc6470"/>
                  <w:r>
                    <w:rPr>
                      <w:rFonts w:hint="default"/>
                      <w:color w:val="auto"/>
                    </w:rPr>
                    <w:t>（1）严格执行各项生产及环境管理制度，保证生产的正常运行；</w:t>
                  </w:r>
                  <w:bookmarkEnd w:id="104"/>
                </w:p>
                <w:p>
                  <w:pPr>
                    <w:pStyle w:val="18"/>
                    <w:bidi w:val="0"/>
                    <w:jc w:val="left"/>
                    <w:rPr>
                      <w:rFonts w:hint="default"/>
                      <w:color w:val="auto"/>
                    </w:rPr>
                  </w:pPr>
                  <w:bookmarkStart w:id="105" w:name="_Toc1564"/>
                  <w:r>
                    <w:rPr>
                      <w:rFonts w:hint="default"/>
                      <w:color w:val="auto"/>
                    </w:rPr>
                    <w:t>（2）设立环保设施运行卡，对环保设施定期进行检查、维护，做到勤查、勤记、勤养护，按照监测计划定期组织进行项目区内的污染源监测，对不达标的环保设施应立即进行查找原因，及时处理；</w:t>
                  </w:r>
                  <w:bookmarkEnd w:id="105"/>
                </w:p>
                <w:p>
                  <w:pPr>
                    <w:pStyle w:val="18"/>
                    <w:bidi w:val="0"/>
                    <w:jc w:val="left"/>
                    <w:rPr>
                      <w:rFonts w:hint="default"/>
                      <w:color w:val="auto"/>
                    </w:rPr>
                  </w:pPr>
                  <w:bookmarkStart w:id="106" w:name="_Toc3372"/>
                  <w:r>
                    <w:rPr>
                      <w:rFonts w:hint="default"/>
                      <w:color w:val="auto"/>
                    </w:rPr>
                    <w:t>（3）不断加强技术培训，组织企业内部之间进行技术交流，提高业务水平，保持企业内部职工素质稳定；</w:t>
                  </w:r>
                  <w:bookmarkEnd w:id="106"/>
                </w:p>
                <w:p>
                  <w:pPr>
                    <w:pStyle w:val="18"/>
                    <w:bidi w:val="0"/>
                    <w:jc w:val="left"/>
                    <w:rPr>
                      <w:rFonts w:hint="default"/>
                      <w:color w:val="auto"/>
                    </w:rPr>
                  </w:pPr>
                  <w:bookmarkStart w:id="107" w:name="_Toc8309"/>
                  <w:r>
                    <w:rPr>
                      <w:rFonts w:hint="default"/>
                      <w:color w:val="auto"/>
                    </w:rPr>
                    <w:t>（4）重视群众监督作用，提高企业职工环保意识，鼓励职工及外部人员对生产状况提出意见，并通过积极吸收宝贵意见来提高企业环境管理水平；</w:t>
                  </w:r>
                  <w:bookmarkEnd w:id="107"/>
                </w:p>
                <w:p>
                  <w:pPr>
                    <w:pStyle w:val="18"/>
                    <w:bidi w:val="0"/>
                    <w:jc w:val="left"/>
                    <w:rPr>
                      <w:rFonts w:hint="default"/>
                      <w:color w:val="auto"/>
                    </w:rPr>
                  </w:pPr>
                  <w:bookmarkStart w:id="108" w:name="_Toc31136"/>
                  <w:r>
                    <w:rPr>
                      <w:rFonts w:hint="default"/>
                      <w:color w:val="auto"/>
                    </w:rPr>
                    <w:t>（5）积极配合环保部门的检查。</w:t>
                  </w:r>
                  <w:bookmarkEnd w:id="108"/>
                </w:p>
              </w:tc>
            </w:tr>
          </w:tbl>
          <w:p>
            <w:pPr>
              <w:numPr>
                <w:ilvl w:val="0"/>
                <w:numId w:val="0"/>
              </w:numPr>
              <w:spacing w:line="360" w:lineRule="auto"/>
              <w:rPr>
                <w:rFonts w:hint="default"/>
                <w:color w:val="auto"/>
              </w:rPr>
            </w:pPr>
            <w:r>
              <w:rPr>
                <w:rFonts w:hint="default"/>
                <w:color w:val="auto"/>
                <w:lang w:eastAsia="zh-CN"/>
              </w:rPr>
              <w:t>六、</w:t>
            </w:r>
            <w:r>
              <w:rPr>
                <w:rFonts w:hint="default"/>
                <w:color w:val="auto"/>
              </w:rPr>
              <w:t>环境监测计划</w:t>
            </w:r>
          </w:p>
          <w:p>
            <w:pPr>
              <w:spacing w:line="360" w:lineRule="auto"/>
              <w:ind w:firstLine="480" w:firstLineChars="200"/>
              <w:rPr>
                <w:rFonts w:hint="default"/>
                <w:color w:val="auto"/>
              </w:rPr>
            </w:pPr>
            <w:r>
              <w:rPr>
                <w:rFonts w:hint="default"/>
                <w:color w:val="auto"/>
              </w:rPr>
              <w:t>项目运营期环境监测计划见表</w:t>
            </w:r>
            <w:r>
              <w:rPr>
                <w:rFonts w:hint="eastAsia"/>
                <w:color w:val="auto"/>
                <w:lang w:val="en-US" w:eastAsia="zh-CN"/>
              </w:rPr>
              <w:t>7-18</w:t>
            </w:r>
            <w:r>
              <w:rPr>
                <w:rFonts w:hint="default"/>
                <w:color w:val="auto"/>
              </w:rPr>
              <w:t>。</w:t>
            </w:r>
          </w:p>
          <w:p>
            <w:pPr>
              <w:pStyle w:val="19"/>
              <w:bidi w:val="0"/>
              <w:rPr>
                <w:rFonts w:hint="default"/>
                <w:color w:val="auto"/>
              </w:rPr>
            </w:pPr>
            <w:r>
              <w:rPr>
                <w:rFonts w:hint="default"/>
                <w:color w:val="auto"/>
              </w:rPr>
              <w:t>表</w:t>
            </w:r>
            <w:r>
              <w:rPr>
                <w:rFonts w:hint="eastAsia"/>
                <w:color w:val="auto"/>
                <w:lang w:val="en-US" w:eastAsia="zh-CN"/>
              </w:rPr>
              <w:t xml:space="preserve">7-18 </w:t>
            </w:r>
            <w:r>
              <w:rPr>
                <w:rFonts w:hint="default"/>
                <w:color w:val="auto"/>
              </w:rPr>
              <w:t>运营期环境监测计划表</w:t>
            </w:r>
          </w:p>
          <w:tbl>
            <w:tblPr>
              <w:tblStyle w:val="13"/>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46"/>
              <w:gridCol w:w="1866"/>
              <w:gridCol w:w="748"/>
              <w:gridCol w:w="2143"/>
              <w:gridCol w:w="1604"/>
              <w:gridCol w:w="108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4" w:hRule="atLeast"/>
                <w:jc w:val="center"/>
              </w:trPr>
              <w:tc>
                <w:tcPr>
                  <w:tcW w:w="867" w:type="dxa"/>
                  <w:tcBorders>
                    <w:top w:val="single" w:color="auto" w:sz="6" w:space="0"/>
                    <w:left w:val="single" w:color="auto" w:sz="6" w:space="0"/>
                    <w:bottom w:val="single" w:color="auto" w:sz="6" w:space="0"/>
                    <w:right w:val="single" w:color="auto" w:sz="6" w:space="0"/>
                  </w:tcBorders>
                  <w:noWrap w:val="0"/>
                  <w:vAlign w:val="center"/>
                </w:tcPr>
                <w:p>
                  <w:pPr>
                    <w:pStyle w:val="18"/>
                    <w:bidi w:val="0"/>
                    <w:rPr>
                      <w:rFonts w:hint="default"/>
                      <w:color w:val="auto"/>
                    </w:rPr>
                  </w:pPr>
                  <w:r>
                    <w:rPr>
                      <w:rFonts w:hint="default"/>
                      <w:color w:val="auto"/>
                    </w:rPr>
                    <w:t>类别</w:t>
                  </w:r>
                </w:p>
              </w:tc>
              <w:tc>
                <w:tcPr>
                  <w:tcW w:w="1925" w:type="dxa"/>
                  <w:tcBorders>
                    <w:top w:val="single" w:color="auto" w:sz="6" w:space="0"/>
                    <w:left w:val="single" w:color="auto" w:sz="6" w:space="0"/>
                    <w:bottom w:val="single" w:color="auto" w:sz="6" w:space="0"/>
                    <w:right w:val="single" w:color="auto" w:sz="6" w:space="0"/>
                  </w:tcBorders>
                  <w:noWrap w:val="0"/>
                  <w:vAlign w:val="center"/>
                </w:tcPr>
                <w:p>
                  <w:pPr>
                    <w:pStyle w:val="18"/>
                    <w:bidi w:val="0"/>
                    <w:rPr>
                      <w:rFonts w:hint="default"/>
                      <w:color w:val="auto"/>
                    </w:rPr>
                  </w:pPr>
                  <w:r>
                    <w:rPr>
                      <w:rFonts w:hint="default"/>
                      <w:color w:val="auto"/>
                    </w:rPr>
                    <w:t>监测点位</w:t>
                  </w:r>
                </w:p>
              </w:tc>
              <w:tc>
                <w:tcPr>
                  <w:tcW w:w="763" w:type="dxa"/>
                  <w:tcBorders>
                    <w:top w:val="single" w:color="auto" w:sz="6" w:space="0"/>
                    <w:left w:val="single" w:color="auto" w:sz="6" w:space="0"/>
                    <w:bottom w:val="single" w:color="auto" w:sz="6" w:space="0"/>
                    <w:right w:val="single" w:color="auto" w:sz="6" w:space="0"/>
                  </w:tcBorders>
                  <w:noWrap w:val="0"/>
                  <w:vAlign w:val="center"/>
                </w:tcPr>
                <w:p>
                  <w:pPr>
                    <w:pStyle w:val="18"/>
                    <w:bidi w:val="0"/>
                    <w:rPr>
                      <w:rFonts w:hint="default"/>
                      <w:color w:val="auto"/>
                    </w:rPr>
                  </w:pPr>
                  <w:r>
                    <w:rPr>
                      <w:rFonts w:hint="default"/>
                      <w:color w:val="auto"/>
                    </w:rPr>
                    <w:t>点数</w:t>
                  </w:r>
                </w:p>
              </w:tc>
              <w:tc>
                <w:tcPr>
                  <w:tcW w:w="2200" w:type="dxa"/>
                  <w:tcBorders>
                    <w:top w:val="single" w:color="auto" w:sz="6" w:space="0"/>
                    <w:left w:val="single" w:color="auto" w:sz="6" w:space="0"/>
                    <w:bottom w:val="single" w:color="auto" w:sz="6" w:space="0"/>
                    <w:right w:val="single" w:color="auto" w:sz="6" w:space="0"/>
                  </w:tcBorders>
                  <w:noWrap w:val="0"/>
                  <w:vAlign w:val="center"/>
                </w:tcPr>
                <w:p>
                  <w:pPr>
                    <w:pStyle w:val="18"/>
                    <w:bidi w:val="0"/>
                    <w:rPr>
                      <w:rFonts w:hint="default"/>
                      <w:color w:val="auto"/>
                    </w:rPr>
                  </w:pPr>
                  <w:r>
                    <w:rPr>
                      <w:rFonts w:hint="default"/>
                      <w:color w:val="auto"/>
                    </w:rPr>
                    <w:t>监测项目</w:t>
                  </w:r>
                </w:p>
              </w:tc>
              <w:tc>
                <w:tcPr>
                  <w:tcW w:w="1650" w:type="dxa"/>
                  <w:tcBorders>
                    <w:top w:val="single" w:color="auto" w:sz="6" w:space="0"/>
                    <w:left w:val="single" w:color="auto" w:sz="6" w:space="0"/>
                    <w:bottom w:val="single" w:color="auto" w:sz="6" w:space="0"/>
                    <w:right w:val="single" w:color="auto" w:sz="6" w:space="0"/>
                  </w:tcBorders>
                  <w:noWrap w:val="0"/>
                  <w:vAlign w:val="center"/>
                </w:tcPr>
                <w:p>
                  <w:pPr>
                    <w:pStyle w:val="18"/>
                    <w:bidi w:val="0"/>
                    <w:rPr>
                      <w:rFonts w:hint="default"/>
                      <w:color w:val="auto"/>
                    </w:rPr>
                  </w:pPr>
                  <w:r>
                    <w:rPr>
                      <w:rFonts w:hint="default"/>
                      <w:color w:val="auto"/>
                    </w:rPr>
                    <w:t>监测频率</w:t>
                  </w:r>
                </w:p>
              </w:tc>
              <w:tc>
                <w:tcPr>
                  <w:tcW w:w="1116" w:type="dxa"/>
                  <w:tcBorders>
                    <w:top w:val="single" w:color="auto" w:sz="6" w:space="0"/>
                    <w:left w:val="single" w:color="auto" w:sz="6" w:space="0"/>
                    <w:bottom w:val="single" w:color="auto" w:sz="6" w:space="0"/>
                    <w:right w:val="single" w:color="auto" w:sz="6" w:space="0"/>
                  </w:tcBorders>
                  <w:noWrap w:val="0"/>
                  <w:vAlign w:val="center"/>
                </w:tcPr>
                <w:p>
                  <w:pPr>
                    <w:pStyle w:val="18"/>
                    <w:bidi w:val="0"/>
                    <w:rPr>
                      <w:rFonts w:hint="default"/>
                      <w:color w:val="auto"/>
                    </w:rPr>
                  </w:pPr>
                  <w:r>
                    <w:rPr>
                      <w:rFonts w:hint="default"/>
                      <w:color w:val="auto"/>
                    </w:rPr>
                    <w:t>监测方法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2" w:hRule="atLeast"/>
                <w:jc w:val="center"/>
              </w:trPr>
              <w:tc>
                <w:tcPr>
                  <w:tcW w:w="867" w:type="dxa"/>
                  <w:tcBorders>
                    <w:top w:val="single" w:color="auto" w:sz="6" w:space="0"/>
                    <w:left w:val="single" w:color="auto" w:sz="6" w:space="0"/>
                    <w:bottom w:val="single" w:color="auto" w:sz="6" w:space="0"/>
                    <w:right w:val="single" w:color="auto" w:sz="6" w:space="0"/>
                  </w:tcBorders>
                  <w:noWrap w:val="0"/>
                  <w:vAlign w:val="center"/>
                </w:tcPr>
                <w:p>
                  <w:pPr>
                    <w:pStyle w:val="18"/>
                    <w:bidi w:val="0"/>
                    <w:rPr>
                      <w:rFonts w:hint="default"/>
                      <w:color w:val="auto"/>
                    </w:rPr>
                  </w:pPr>
                  <w:r>
                    <w:rPr>
                      <w:rFonts w:hint="default"/>
                      <w:color w:val="auto"/>
                    </w:rPr>
                    <w:t>噪声</w:t>
                  </w:r>
                </w:p>
              </w:tc>
              <w:tc>
                <w:tcPr>
                  <w:tcW w:w="1925" w:type="dxa"/>
                  <w:tcBorders>
                    <w:top w:val="single" w:color="auto" w:sz="6" w:space="0"/>
                    <w:left w:val="single" w:color="auto" w:sz="6" w:space="0"/>
                    <w:bottom w:val="single" w:color="auto" w:sz="6" w:space="0"/>
                    <w:right w:val="single" w:color="auto" w:sz="6" w:space="0"/>
                  </w:tcBorders>
                  <w:noWrap w:val="0"/>
                  <w:vAlign w:val="center"/>
                </w:tcPr>
                <w:p>
                  <w:pPr>
                    <w:pStyle w:val="18"/>
                    <w:bidi w:val="0"/>
                    <w:rPr>
                      <w:rFonts w:hint="default"/>
                      <w:color w:val="auto"/>
                    </w:rPr>
                  </w:pPr>
                  <w:r>
                    <w:rPr>
                      <w:rFonts w:hint="default"/>
                      <w:color w:val="auto"/>
                    </w:rPr>
                    <w:t>厂界四周</w:t>
                  </w:r>
                </w:p>
              </w:tc>
              <w:tc>
                <w:tcPr>
                  <w:tcW w:w="763" w:type="dxa"/>
                  <w:tcBorders>
                    <w:top w:val="single" w:color="auto" w:sz="6" w:space="0"/>
                    <w:left w:val="single" w:color="auto" w:sz="6" w:space="0"/>
                    <w:bottom w:val="single" w:color="auto" w:sz="6" w:space="0"/>
                    <w:right w:val="single" w:color="auto" w:sz="6" w:space="0"/>
                  </w:tcBorders>
                  <w:noWrap w:val="0"/>
                  <w:vAlign w:val="center"/>
                </w:tcPr>
                <w:p>
                  <w:pPr>
                    <w:pStyle w:val="18"/>
                    <w:bidi w:val="0"/>
                    <w:rPr>
                      <w:rFonts w:hint="default"/>
                      <w:color w:val="auto"/>
                    </w:rPr>
                  </w:pPr>
                  <w:r>
                    <w:rPr>
                      <w:rFonts w:hint="default"/>
                      <w:color w:val="auto"/>
                    </w:rPr>
                    <w:t>4个</w:t>
                  </w:r>
                </w:p>
              </w:tc>
              <w:tc>
                <w:tcPr>
                  <w:tcW w:w="2200" w:type="dxa"/>
                  <w:tcBorders>
                    <w:top w:val="single" w:color="auto" w:sz="6" w:space="0"/>
                    <w:left w:val="single" w:color="auto" w:sz="6" w:space="0"/>
                    <w:bottom w:val="single" w:color="auto" w:sz="6" w:space="0"/>
                    <w:right w:val="single" w:color="auto" w:sz="6" w:space="0"/>
                  </w:tcBorders>
                  <w:noWrap w:val="0"/>
                  <w:vAlign w:val="center"/>
                </w:tcPr>
                <w:p>
                  <w:pPr>
                    <w:pStyle w:val="18"/>
                    <w:bidi w:val="0"/>
                    <w:rPr>
                      <w:rFonts w:hint="default"/>
                      <w:color w:val="auto"/>
                    </w:rPr>
                  </w:pPr>
                  <w:r>
                    <w:rPr>
                      <w:rFonts w:hint="default"/>
                      <w:color w:val="auto"/>
                    </w:rPr>
                    <w:t>等效声级</w:t>
                  </w:r>
                </w:p>
              </w:tc>
              <w:tc>
                <w:tcPr>
                  <w:tcW w:w="1650" w:type="dxa"/>
                  <w:vMerge w:val="restart"/>
                  <w:tcBorders>
                    <w:top w:val="single" w:color="auto" w:sz="6" w:space="0"/>
                    <w:left w:val="single" w:color="auto" w:sz="6" w:space="0"/>
                    <w:right w:val="single" w:color="auto" w:sz="6" w:space="0"/>
                  </w:tcBorders>
                  <w:noWrap w:val="0"/>
                  <w:vAlign w:val="center"/>
                </w:tcPr>
                <w:p>
                  <w:pPr>
                    <w:pStyle w:val="18"/>
                    <w:bidi w:val="0"/>
                    <w:rPr>
                      <w:rFonts w:hint="default"/>
                      <w:color w:val="auto"/>
                    </w:rPr>
                  </w:pPr>
                  <w:r>
                    <w:rPr>
                      <w:rFonts w:hint="default"/>
                      <w:color w:val="auto"/>
                    </w:rPr>
                    <w:t>竣工验收时监测1次，验收后纳入当地环境保护局的正常监测管理</w:t>
                  </w:r>
                </w:p>
              </w:tc>
              <w:tc>
                <w:tcPr>
                  <w:tcW w:w="1116" w:type="dxa"/>
                  <w:vMerge w:val="restart"/>
                  <w:tcBorders>
                    <w:top w:val="single" w:color="auto" w:sz="6" w:space="0"/>
                    <w:left w:val="single" w:color="auto" w:sz="6" w:space="0"/>
                    <w:right w:val="single" w:color="auto" w:sz="6" w:space="0"/>
                  </w:tcBorders>
                  <w:noWrap w:val="0"/>
                  <w:vAlign w:val="center"/>
                </w:tcPr>
                <w:p>
                  <w:pPr>
                    <w:pStyle w:val="18"/>
                    <w:bidi w:val="0"/>
                    <w:rPr>
                      <w:rFonts w:hint="default"/>
                      <w:color w:val="auto"/>
                    </w:rPr>
                  </w:pPr>
                  <w:r>
                    <w:rPr>
                      <w:rFonts w:hint="default"/>
                      <w:color w:val="auto"/>
                    </w:rPr>
                    <w:t>按国家标准方法进行</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66" w:hRule="atLeast"/>
                <w:jc w:val="center"/>
              </w:trPr>
              <w:tc>
                <w:tcPr>
                  <w:tcW w:w="867" w:type="dxa"/>
                  <w:tcBorders>
                    <w:left w:val="single" w:color="auto" w:sz="6" w:space="0"/>
                    <w:right w:val="single" w:color="auto" w:sz="6" w:space="0"/>
                  </w:tcBorders>
                  <w:noWrap w:val="0"/>
                  <w:vAlign w:val="center"/>
                </w:tcPr>
                <w:p>
                  <w:pPr>
                    <w:pStyle w:val="18"/>
                    <w:bidi w:val="0"/>
                    <w:rPr>
                      <w:rFonts w:hint="default"/>
                      <w:color w:val="auto"/>
                    </w:rPr>
                  </w:pPr>
                  <w:bookmarkStart w:id="109" w:name="OLE_LINK74" w:colFirst="3" w:colLast="4"/>
                  <w:r>
                    <w:rPr>
                      <w:rFonts w:hint="default"/>
                      <w:color w:val="auto"/>
                    </w:rPr>
                    <w:t>无组织</w:t>
                  </w:r>
                  <w:r>
                    <w:rPr>
                      <w:rFonts w:hint="default"/>
                      <w:color w:val="auto"/>
                      <w:lang w:eastAsia="zh-CN"/>
                    </w:rPr>
                    <w:t>排放</w:t>
                  </w:r>
                  <w:r>
                    <w:rPr>
                      <w:rFonts w:hint="default"/>
                      <w:color w:val="auto"/>
                    </w:rPr>
                    <w:t>废气</w:t>
                  </w:r>
                </w:p>
              </w:tc>
              <w:tc>
                <w:tcPr>
                  <w:tcW w:w="1925" w:type="dxa"/>
                  <w:tcBorders>
                    <w:top w:val="single" w:color="auto" w:sz="6" w:space="0"/>
                    <w:left w:val="single" w:color="auto" w:sz="6" w:space="0"/>
                    <w:right w:val="single" w:color="auto" w:sz="6" w:space="0"/>
                  </w:tcBorders>
                  <w:noWrap w:val="0"/>
                  <w:vAlign w:val="center"/>
                </w:tcPr>
                <w:p>
                  <w:pPr>
                    <w:pStyle w:val="18"/>
                    <w:bidi w:val="0"/>
                    <w:rPr>
                      <w:rFonts w:hint="default"/>
                      <w:color w:val="auto"/>
                    </w:rPr>
                  </w:pPr>
                  <w:r>
                    <w:rPr>
                      <w:rFonts w:hint="default"/>
                      <w:color w:val="auto"/>
                    </w:rPr>
                    <w:t>厂界上风向1个，下风向2个点</w:t>
                  </w:r>
                </w:p>
              </w:tc>
              <w:tc>
                <w:tcPr>
                  <w:tcW w:w="763" w:type="dxa"/>
                  <w:tcBorders>
                    <w:top w:val="single" w:color="auto" w:sz="6" w:space="0"/>
                    <w:left w:val="single" w:color="auto" w:sz="6" w:space="0"/>
                    <w:right w:val="single" w:color="auto" w:sz="6" w:space="0"/>
                  </w:tcBorders>
                  <w:noWrap w:val="0"/>
                  <w:vAlign w:val="center"/>
                </w:tcPr>
                <w:p>
                  <w:pPr>
                    <w:pStyle w:val="18"/>
                    <w:bidi w:val="0"/>
                    <w:rPr>
                      <w:rFonts w:hint="default"/>
                      <w:color w:val="auto"/>
                    </w:rPr>
                  </w:pPr>
                  <w:r>
                    <w:rPr>
                      <w:rFonts w:hint="default"/>
                      <w:color w:val="auto"/>
                    </w:rPr>
                    <w:t>3个</w:t>
                  </w:r>
                </w:p>
              </w:tc>
              <w:tc>
                <w:tcPr>
                  <w:tcW w:w="2200" w:type="dxa"/>
                  <w:tcBorders>
                    <w:top w:val="single" w:color="auto" w:sz="6" w:space="0"/>
                    <w:left w:val="single" w:color="auto" w:sz="6" w:space="0"/>
                    <w:bottom w:val="single" w:color="auto" w:sz="6" w:space="0"/>
                    <w:right w:val="single" w:color="auto" w:sz="6" w:space="0"/>
                  </w:tcBorders>
                  <w:noWrap w:val="0"/>
                  <w:vAlign w:val="center"/>
                </w:tcPr>
                <w:p>
                  <w:pPr>
                    <w:pStyle w:val="18"/>
                    <w:bidi w:val="0"/>
                    <w:rPr>
                      <w:rFonts w:hint="default"/>
                      <w:color w:val="auto"/>
                      <w:lang w:val="en-US"/>
                    </w:rPr>
                  </w:pPr>
                  <w:r>
                    <w:rPr>
                      <w:rFonts w:hint="eastAsia"/>
                      <w:color w:val="auto"/>
                      <w:lang w:val="en-US" w:eastAsia="zh-CN"/>
                    </w:rPr>
                    <w:t>TSP</w:t>
                  </w:r>
                  <w:r>
                    <w:rPr>
                      <w:rFonts w:hint="default"/>
                      <w:color w:val="auto"/>
                    </w:rPr>
                    <w:t>、</w:t>
                  </w:r>
                  <w:r>
                    <w:rPr>
                      <w:rFonts w:hint="eastAsia"/>
                      <w:color w:val="auto"/>
                      <w:lang w:eastAsia="zh-CN"/>
                    </w:rPr>
                    <w:t>VOC</w:t>
                  </w:r>
                  <w:r>
                    <w:rPr>
                      <w:rFonts w:hint="eastAsia"/>
                      <w:color w:val="auto"/>
                      <w:lang w:val="en-US" w:eastAsia="zh-CN"/>
                    </w:rPr>
                    <w:t>s</w:t>
                  </w:r>
                </w:p>
              </w:tc>
              <w:tc>
                <w:tcPr>
                  <w:tcW w:w="1650" w:type="dxa"/>
                  <w:vMerge w:val="continue"/>
                  <w:tcBorders>
                    <w:left w:val="single" w:color="auto" w:sz="6" w:space="0"/>
                    <w:right w:val="single" w:color="auto" w:sz="6" w:space="0"/>
                  </w:tcBorders>
                  <w:noWrap w:val="0"/>
                  <w:vAlign w:val="center"/>
                </w:tcPr>
                <w:p>
                  <w:pPr>
                    <w:pStyle w:val="18"/>
                    <w:bidi w:val="0"/>
                    <w:rPr>
                      <w:rFonts w:hint="default"/>
                      <w:color w:val="auto"/>
                    </w:rPr>
                  </w:pPr>
                </w:p>
              </w:tc>
              <w:tc>
                <w:tcPr>
                  <w:tcW w:w="1116" w:type="dxa"/>
                  <w:vMerge w:val="continue"/>
                  <w:tcBorders>
                    <w:left w:val="single" w:color="auto" w:sz="6" w:space="0"/>
                    <w:right w:val="single" w:color="auto" w:sz="6" w:space="0"/>
                  </w:tcBorders>
                  <w:noWrap w:val="0"/>
                  <w:vAlign w:val="center"/>
                </w:tcPr>
                <w:p>
                  <w:pPr>
                    <w:pStyle w:val="18"/>
                    <w:bidi w:val="0"/>
                    <w:rPr>
                      <w:rFonts w:hint="default"/>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2" w:hRule="atLeast"/>
                <w:jc w:val="center"/>
              </w:trPr>
              <w:tc>
                <w:tcPr>
                  <w:tcW w:w="867" w:type="dxa"/>
                  <w:tcBorders>
                    <w:left w:val="single" w:color="auto" w:sz="6" w:space="0"/>
                    <w:right w:val="single" w:color="auto" w:sz="6" w:space="0"/>
                  </w:tcBorders>
                  <w:noWrap w:val="0"/>
                  <w:vAlign w:val="center"/>
                </w:tcPr>
                <w:p>
                  <w:pPr>
                    <w:pStyle w:val="18"/>
                    <w:bidi w:val="0"/>
                    <w:rPr>
                      <w:rFonts w:hint="default"/>
                      <w:color w:val="auto"/>
                    </w:rPr>
                  </w:pPr>
                  <w:r>
                    <w:rPr>
                      <w:rFonts w:hint="default"/>
                      <w:color w:val="auto"/>
                      <w:lang w:eastAsia="zh-CN"/>
                    </w:rPr>
                    <w:t>有组织排放</w:t>
                  </w:r>
                  <w:r>
                    <w:rPr>
                      <w:rFonts w:hint="default"/>
                      <w:color w:val="auto"/>
                    </w:rPr>
                    <w:t>废气</w:t>
                  </w:r>
                </w:p>
              </w:tc>
              <w:tc>
                <w:tcPr>
                  <w:tcW w:w="1925" w:type="dxa"/>
                  <w:tcBorders>
                    <w:top w:val="single" w:color="auto" w:sz="6" w:space="0"/>
                    <w:left w:val="single" w:color="auto" w:sz="6" w:space="0"/>
                    <w:right w:val="single" w:color="auto" w:sz="6" w:space="0"/>
                  </w:tcBorders>
                  <w:noWrap w:val="0"/>
                  <w:vAlign w:val="center"/>
                </w:tcPr>
                <w:p>
                  <w:pPr>
                    <w:pStyle w:val="18"/>
                    <w:bidi w:val="0"/>
                    <w:rPr>
                      <w:rFonts w:hint="default"/>
                      <w:color w:val="auto"/>
                      <w:lang w:val="en-US" w:eastAsia="zh-CN"/>
                    </w:rPr>
                  </w:pPr>
                  <w:r>
                    <w:rPr>
                      <w:rFonts w:hint="default"/>
                      <w:color w:val="auto"/>
                      <w:lang w:val="en-US" w:eastAsia="zh-CN"/>
                    </w:rPr>
                    <w:t>喷漆房排气筒出口</w:t>
                  </w:r>
                </w:p>
              </w:tc>
              <w:tc>
                <w:tcPr>
                  <w:tcW w:w="763" w:type="dxa"/>
                  <w:tcBorders>
                    <w:top w:val="single" w:color="auto" w:sz="6" w:space="0"/>
                    <w:left w:val="single" w:color="auto" w:sz="6" w:space="0"/>
                    <w:right w:val="single" w:color="auto" w:sz="6" w:space="0"/>
                  </w:tcBorders>
                  <w:noWrap w:val="0"/>
                  <w:vAlign w:val="center"/>
                </w:tcPr>
                <w:p>
                  <w:pPr>
                    <w:pStyle w:val="18"/>
                    <w:bidi w:val="0"/>
                    <w:rPr>
                      <w:rFonts w:hint="default"/>
                      <w:color w:val="auto"/>
                      <w:lang w:eastAsia="zh-CN"/>
                    </w:rPr>
                  </w:pPr>
                  <w:r>
                    <w:rPr>
                      <w:rFonts w:hint="default"/>
                      <w:color w:val="auto"/>
                      <w:lang w:val="en-US" w:eastAsia="zh-CN"/>
                    </w:rPr>
                    <w:t>1</w:t>
                  </w:r>
                </w:p>
              </w:tc>
              <w:tc>
                <w:tcPr>
                  <w:tcW w:w="2200" w:type="dxa"/>
                  <w:tcBorders>
                    <w:top w:val="single" w:color="auto" w:sz="6" w:space="0"/>
                    <w:left w:val="single" w:color="auto" w:sz="6" w:space="0"/>
                    <w:right w:val="single" w:color="auto" w:sz="6" w:space="0"/>
                  </w:tcBorders>
                  <w:noWrap w:val="0"/>
                  <w:vAlign w:val="center"/>
                </w:tcPr>
                <w:p>
                  <w:pPr>
                    <w:pStyle w:val="18"/>
                    <w:bidi w:val="0"/>
                    <w:rPr>
                      <w:rFonts w:hint="default"/>
                      <w:color w:val="auto"/>
                      <w:lang w:eastAsia="zh-CN"/>
                    </w:rPr>
                  </w:pPr>
                  <w:r>
                    <w:rPr>
                      <w:rFonts w:hint="eastAsia"/>
                      <w:color w:val="auto"/>
                      <w:lang w:eastAsia="zh-CN"/>
                    </w:rPr>
                    <w:t>VOC</w:t>
                  </w:r>
                  <w:r>
                    <w:rPr>
                      <w:rFonts w:hint="eastAsia"/>
                      <w:color w:val="auto"/>
                      <w:lang w:val="en-US" w:eastAsia="zh-CN"/>
                    </w:rPr>
                    <w:t>s</w:t>
                  </w:r>
                  <w:r>
                    <w:rPr>
                      <w:rFonts w:hint="default"/>
                      <w:color w:val="auto"/>
                      <w:lang w:eastAsia="zh-CN"/>
                    </w:rPr>
                    <w:t>、</w:t>
                  </w:r>
                  <w:r>
                    <w:rPr>
                      <w:rFonts w:hint="eastAsia"/>
                      <w:color w:val="auto"/>
                      <w:lang w:val="en-US" w:eastAsia="zh-CN"/>
                    </w:rPr>
                    <w:t>TSP、</w:t>
                  </w:r>
                  <w:r>
                    <w:rPr>
                      <w:rFonts w:hint="default"/>
                      <w:color w:val="auto"/>
                      <w:lang w:eastAsia="zh-CN"/>
                    </w:rPr>
                    <w:t>废气量</w:t>
                  </w:r>
                </w:p>
              </w:tc>
              <w:tc>
                <w:tcPr>
                  <w:tcW w:w="1650" w:type="dxa"/>
                  <w:vMerge w:val="continue"/>
                  <w:tcBorders>
                    <w:left w:val="single" w:color="auto" w:sz="6" w:space="0"/>
                    <w:right w:val="single" w:color="auto" w:sz="6" w:space="0"/>
                  </w:tcBorders>
                  <w:noWrap w:val="0"/>
                  <w:vAlign w:val="center"/>
                </w:tcPr>
                <w:p>
                  <w:pPr>
                    <w:pStyle w:val="18"/>
                    <w:bidi w:val="0"/>
                    <w:rPr>
                      <w:rFonts w:hint="default"/>
                      <w:color w:val="auto"/>
                    </w:rPr>
                  </w:pPr>
                </w:p>
              </w:tc>
              <w:tc>
                <w:tcPr>
                  <w:tcW w:w="1116" w:type="dxa"/>
                  <w:vMerge w:val="continue"/>
                  <w:tcBorders>
                    <w:left w:val="single" w:color="auto" w:sz="6" w:space="0"/>
                    <w:right w:val="single" w:color="auto" w:sz="6" w:space="0"/>
                  </w:tcBorders>
                  <w:noWrap w:val="0"/>
                  <w:vAlign w:val="center"/>
                </w:tcPr>
                <w:p>
                  <w:pPr>
                    <w:pStyle w:val="18"/>
                    <w:bidi w:val="0"/>
                    <w:rPr>
                      <w:rFonts w:hint="default"/>
                      <w:color w:val="auto"/>
                    </w:rPr>
                  </w:pPr>
                </w:p>
              </w:tc>
            </w:tr>
            <w:bookmarkEnd w:id="109"/>
          </w:tbl>
          <w:p>
            <w:pPr>
              <w:adjustRightInd w:val="0"/>
              <w:snapToGrid w:val="0"/>
              <w:spacing w:line="360" w:lineRule="auto"/>
              <w:ind w:left="0" w:leftChars="0" w:firstLine="0" w:firstLineChars="0"/>
              <w:rPr>
                <w:rFonts w:hint="default"/>
                <w:color w:val="auto"/>
              </w:rPr>
            </w:pPr>
            <w:r>
              <w:rPr>
                <w:rFonts w:hint="default"/>
                <w:color w:val="auto"/>
                <w:lang w:eastAsia="zh-CN"/>
              </w:rPr>
              <w:t>七</w:t>
            </w:r>
            <w:r>
              <w:rPr>
                <w:rFonts w:hint="default"/>
                <w:color w:val="auto"/>
              </w:rPr>
              <w:t>、“三同时”验收一览表</w:t>
            </w:r>
          </w:p>
          <w:p>
            <w:pPr>
              <w:spacing w:line="360" w:lineRule="auto"/>
              <w:ind w:firstLine="560"/>
              <w:rPr>
                <w:rFonts w:hint="default"/>
                <w:color w:val="auto"/>
              </w:rPr>
            </w:pPr>
            <w:r>
              <w:rPr>
                <w:rFonts w:hint="default"/>
                <w:color w:val="auto"/>
              </w:rPr>
              <w:t>本项目竣工环保验收内容详见表</w:t>
            </w:r>
            <w:r>
              <w:rPr>
                <w:rFonts w:hint="eastAsia"/>
                <w:color w:val="auto"/>
                <w:lang w:val="en-US" w:eastAsia="zh-CN"/>
              </w:rPr>
              <w:t>7-19</w:t>
            </w:r>
            <w:r>
              <w:rPr>
                <w:rFonts w:hint="default"/>
                <w:color w:val="auto"/>
              </w:rPr>
              <w:t>。</w:t>
            </w:r>
          </w:p>
          <w:p>
            <w:pPr>
              <w:pStyle w:val="19"/>
              <w:bidi w:val="0"/>
              <w:rPr>
                <w:rFonts w:hint="default"/>
                <w:color w:val="auto"/>
              </w:rPr>
            </w:pPr>
            <w:r>
              <w:rPr>
                <w:rFonts w:hint="default"/>
                <w:color w:val="auto"/>
              </w:rPr>
              <w:t>表</w:t>
            </w:r>
            <w:r>
              <w:rPr>
                <w:rFonts w:hint="eastAsia"/>
                <w:color w:val="auto"/>
                <w:lang w:val="en-US" w:eastAsia="zh-CN"/>
              </w:rPr>
              <w:t xml:space="preserve">7-19 </w:t>
            </w:r>
            <w:r>
              <w:rPr>
                <w:rFonts w:hint="default"/>
                <w:color w:val="auto"/>
              </w:rPr>
              <w:t xml:space="preserve"> 项目“三同时”验收一览表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725"/>
              <w:gridCol w:w="1159"/>
              <w:gridCol w:w="2633"/>
              <w:gridCol w:w="3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53" w:type="dxa"/>
                  <w:gridSpan w:val="2"/>
                  <w:noWrap w:val="0"/>
                  <w:vAlign w:val="center"/>
                </w:tcPr>
                <w:p>
                  <w:pPr>
                    <w:pStyle w:val="18"/>
                    <w:bidi w:val="0"/>
                    <w:rPr>
                      <w:rFonts w:hint="default"/>
                      <w:color w:val="auto"/>
                    </w:rPr>
                  </w:pPr>
                  <w:r>
                    <w:rPr>
                      <w:rFonts w:hint="default"/>
                      <w:color w:val="auto"/>
                    </w:rPr>
                    <w:t>污染源</w:t>
                  </w:r>
                </w:p>
              </w:tc>
              <w:tc>
                <w:tcPr>
                  <w:tcW w:w="1159" w:type="dxa"/>
                  <w:noWrap w:val="0"/>
                  <w:vAlign w:val="center"/>
                </w:tcPr>
                <w:p>
                  <w:pPr>
                    <w:pStyle w:val="18"/>
                    <w:bidi w:val="0"/>
                    <w:rPr>
                      <w:rFonts w:hint="default"/>
                      <w:color w:val="auto"/>
                    </w:rPr>
                  </w:pPr>
                  <w:r>
                    <w:rPr>
                      <w:rFonts w:hint="default"/>
                      <w:color w:val="auto"/>
                    </w:rPr>
                    <w:t>污染物</w:t>
                  </w:r>
                </w:p>
              </w:tc>
              <w:tc>
                <w:tcPr>
                  <w:tcW w:w="2633" w:type="dxa"/>
                  <w:noWrap w:val="0"/>
                  <w:vAlign w:val="center"/>
                </w:tcPr>
                <w:p>
                  <w:pPr>
                    <w:pStyle w:val="18"/>
                    <w:bidi w:val="0"/>
                    <w:rPr>
                      <w:rFonts w:hint="default"/>
                      <w:color w:val="auto"/>
                    </w:rPr>
                  </w:pPr>
                  <w:r>
                    <w:rPr>
                      <w:rFonts w:hint="default"/>
                      <w:color w:val="auto"/>
                    </w:rPr>
                    <w:t>环保措施项目</w:t>
                  </w:r>
                </w:p>
              </w:tc>
              <w:tc>
                <w:tcPr>
                  <w:tcW w:w="3151" w:type="dxa"/>
                  <w:noWrap w:val="0"/>
                  <w:vAlign w:val="center"/>
                </w:tcPr>
                <w:p>
                  <w:pPr>
                    <w:pStyle w:val="18"/>
                    <w:bidi w:val="0"/>
                    <w:rPr>
                      <w:rFonts w:hint="default"/>
                      <w:color w:val="auto"/>
                    </w:rPr>
                  </w:pPr>
                  <w:r>
                    <w:rPr>
                      <w:rFonts w:hint="default"/>
                      <w:color w:val="auto"/>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628" w:type="dxa"/>
                  <w:vMerge w:val="restart"/>
                  <w:noWrap w:val="0"/>
                  <w:vAlign w:val="center"/>
                </w:tcPr>
                <w:p>
                  <w:pPr>
                    <w:pStyle w:val="18"/>
                    <w:bidi w:val="0"/>
                    <w:rPr>
                      <w:rFonts w:hint="default"/>
                      <w:color w:val="auto"/>
                    </w:rPr>
                  </w:pPr>
                  <w:r>
                    <w:rPr>
                      <w:rFonts w:hint="default"/>
                      <w:color w:val="auto"/>
                    </w:rPr>
                    <w:t>大气污染源</w:t>
                  </w:r>
                </w:p>
              </w:tc>
              <w:tc>
                <w:tcPr>
                  <w:tcW w:w="725" w:type="dxa"/>
                  <w:noWrap w:val="0"/>
                  <w:vAlign w:val="center"/>
                </w:tcPr>
                <w:p>
                  <w:pPr>
                    <w:pStyle w:val="18"/>
                    <w:bidi w:val="0"/>
                    <w:rPr>
                      <w:rFonts w:hint="default"/>
                      <w:color w:val="auto"/>
                      <w:lang w:eastAsia="zh-CN"/>
                    </w:rPr>
                  </w:pPr>
                  <w:r>
                    <w:rPr>
                      <w:rFonts w:hint="eastAsia"/>
                      <w:color w:val="auto"/>
                      <w:lang w:eastAsia="zh-CN"/>
                    </w:rPr>
                    <w:t>生产车间</w:t>
                  </w:r>
                </w:p>
              </w:tc>
              <w:tc>
                <w:tcPr>
                  <w:tcW w:w="1159" w:type="dxa"/>
                  <w:noWrap w:val="0"/>
                  <w:vAlign w:val="center"/>
                </w:tcPr>
                <w:p>
                  <w:pPr>
                    <w:pStyle w:val="18"/>
                    <w:bidi w:val="0"/>
                    <w:rPr>
                      <w:rFonts w:hint="default"/>
                      <w:color w:val="auto"/>
                      <w:lang w:eastAsia="zh-CN"/>
                    </w:rPr>
                  </w:pPr>
                  <w:r>
                    <w:rPr>
                      <w:rFonts w:hint="default"/>
                      <w:color w:val="auto"/>
                      <w:lang w:eastAsia="zh-CN"/>
                    </w:rPr>
                    <w:t>烟尘</w:t>
                  </w:r>
                  <w:r>
                    <w:rPr>
                      <w:rFonts w:hint="eastAsia"/>
                      <w:color w:val="auto"/>
                      <w:lang w:eastAsia="zh-CN"/>
                    </w:rPr>
                    <w:t>、粉尘</w:t>
                  </w:r>
                </w:p>
              </w:tc>
              <w:tc>
                <w:tcPr>
                  <w:tcW w:w="2633" w:type="dxa"/>
                  <w:noWrap w:val="0"/>
                  <w:vAlign w:val="center"/>
                </w:tcPr>
                <w:p>
                  <w:pPr>
                    <w:pStyle w:val="18"/>
                    <w:bidi w:val="0"/>
                    <w:rPr>
                      <w:rFonts w:hint="eastAsia"/>
                      <w:color w:val="auto"/>
                      <w:lang w:eastAsia="zh-CN"/>
                    </w:rPr>
                  </w:pPr>
                  <w:r>
                    <w:rPr>
                      <w:rFonts w:hint="eastAsia"/>
                      <w:color w:val="auto"/>
                      <w:lang w:eastAsia="zh-CN"/>
                    </w:rPr>
                    <w:t>移动式除尘器</w:t>
                  </w:r>
                </w:p>
              </w:tc>
              <w:tc>
                <w:tcPr>
                  <w:tcW w:w="3151" w:type="dxa"/>
                  <w:noWrap w:val="0"/>
                  <w:vAlign w:val="center"/>
                </w:tcPr>
                <w:p>
                  <w:pPr>
                    <w:pStyle w:val="18"/>
                    <w:bidi w:val="0"/>
                    <w:rPr>
                      <w:rFonts w:hint="default"/>
                      <w:color w:val="auto"/>
                    </w:rPr>
                  </w:pPr>
                  <w:r>
                    <w:rPr>
                      <w:rFonts w:hint="default"/>
                      <w:color w:val="auto"/>
                    </w:rPr>
                    <w:t>《大气污染物综合排放标准》</w:t>
                  </w:r>
                  <w:r>
                    <w:rPr>
                      <w:rFonts w:hint="default"/>
                      <w:color w:val="auto"/>
                      <w:lang w:eastAsia="zh-CN"/>
                    </w:rPr>
                    <w:t>（</w:t>
                  </w:r>
                  <w:r>
                    <w:rPr>
                      <w:rFonts w:hint="default"/>
                      <w:color w:val="auto"/>
                    </w:rPr>
                    <w:t>GB16297-1996</w:t>
                  </w:r>
                  <w:r>
                    <w:rPr>
                      <w:rFonts w:hint="default"/>
                      <w:color w:val="auto"/>
                      <w:lang w:eastAsia="zh-CN"/>
                    </w:rPr>
                    <w:t>）</w:t>
                  </w:r>
                  <w:r>
                    <w:rPr>
                      <w:rFonts w:hint="default"/>
                      <w:color w:val="auto"/>
                    </w:rPr>
                    <w:t>表2无组织排放浓度限值≤1.0mg/</w:t>
                  </w:r>
                  <w:r>
                    <w:rPr>
                      <w:rFonts w:hint="eastAsia"/>
                      <w:color w:val="auto"/>
                      <w:lang w:val="en-US" w:eastAsia="zh-CN"/>
                    </w:rPr>
                    <w:t>m</w:t>
                  </w:r>
                  <w:r>
                    <w:rPr>
                      <w:rFonts w:hint="eastAsia"/>
                      <w:color w:val="auto"/>
                      <w:vertAlign w:val="superscript"/>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hRule="atLeast"/>
                <w:jc w:val="center"/>
              </w:trPr>
              <w:tc>
                <w:tcPr>
                  <w:tcW w:w="628" w:type="dxa"/>
                  <w:vMerge w:val="continue"/>
                  <w:noWrap w:val="0"/>
                  <w:vAlign w:val="center"/>
                </w:tcPr>
                <w:p>
                  <w:pPr>
                    <w:pStyle w:val="18"/>
                    <w:bidi w:val="0"/>
                    <w:rPr>
                      <w:rFonts w:hint="default"/>
                      <w:color w:val="auto"/>
                    </w:rPr>
                  </w:pPr>
                </w:p>
              </w:tc>
              <w:tc>
                <w:tcPr>
                  <w:tcW w:w="725" w:type="dxa"/>
                  <w:noWrap w:val="0"/>
                  <w:vAlign w:val="center"/>
                </w:tcPr>
                <w:p>
                  <w:pPr>
                    <w:pStyle w:val="18"/>
                    <w:bidi w:val="0"/>
                    <w:rPr>
                      <w:rFonts w:hint="default"/>
                      <w:color w:val="auto"/>
                    </w:rPr>
                  </w:pPr>
                  <w:r>
                    <w:rPr>
                      <w:rFonts w:hint="default"/>
                      <w:color w:val="auto"/>
                    </w:rPr>
                    <w:t>喷漆房</w:t>
                  </w:r>
                </w:p>
              </w:tc>
              <w:tc>
                <w:tcPr>
                  <w:tcW w:w="1159" w:type="dxa"/>
                  <w:noWrap w:val="0"/>
                  <w:vAlign w:val="center"/>
                </w:tcPr>
                <w:p>
                  <w:pPr>
                    <w:pStyle w:val="18"/>
                    <w:bidi w:val="0"/>
                    <w:rPr>
                      <w:rFonts w:hint="default"/>
                      <w:color w:val="auto"/>
                      <w:lang w:eastAsia="zh-CN"/>
                    </w:rPr>
                  </w:pPr>
                  <w:r>
                    <w:rPr>
                      <w:rFonts w:hint="eastAsia"/>
                      <w:color w:val="auto"/>
                      <w:lang w:eastAsia="zh-CN"/>
                    </w:rPr>
                    <w:t>漆雾、VOC</w:t>
                  </w:r>
                  <w:r>
                    <w:rPr>
                      <w:rFonts w:hint="eastAsia"/>
                      <w:color w:val="auto"/>
                      <w:lang w:val="en-US" w:eastAsia="zh-CN"/>
                    </w:rPr>
                    <w:t>s</w:t>
                  </w:r>
                </w:p>
                <w:p>
                  <w:pPr>
                    <w:pStyle w:val="18"/>
                    <w:bidi w:val="0"/>
                    <w:rPr>
                      <w:rFonts w:hint="default"/>
                      <w:color w:val="auto"/>
                    </w:rPr>
                  </w:pPr>
                </w:p>
              </w:tc>
              <w:tc>
                <w:tcPr>
                  <w:tcW w:w="2633" w:type="dxa"/>
                  <w:noWrap w:val="0"/>
                  <w:vAlign w:val="center"/>
                </w:tcPr>
                <w:p>
                  <w:pPr>
                    <w:pStyle w:val="18"/>
                    <w:bidi w:val="0"/>
                    <w:rPr>
                      <w:rFonts w:hint="default"/>
                      <w:color w:val="auto"/>
                      <w:lang w:val="en-US" w:eastAsia="zh-CN"/>
                    </w:rPr>
                  </w:pPr>
                  <w:r>
                    <w:rPr>
                      <w:rFonts w:hint="eastAsia"/>
                      <w:color w:val="auto"/>
                      <w:lang w:eastAsia="zh-CN"/>
                    </w:rPr>
                    <w:t>喷漆车间设置“负压风机（风机风量</w:t>
                  </w:r>
                  <w:r>
                    <w:rPr>
                      <w:rFonts w:hint="eastAsia"/>
                      <w:color w:val="auto"/>
                      <w:lang w:val="en-US" w:eastAsia="zh-CN"/>
                    </w:rPr>
                    <w:t>6000m</w:t>
                  </w:r>
                  <w:r>
                    <w:rPr>
                      <w:rFonts w:hint="eastAsia"/>
                      <w:color w:val="auto"/>
                      <w:vertAlign w:val="superscript"/>
                      <w:lang w:val="en-US" w:eastAsia="zh-CN"/>
                    </w:rPr>
                    <w:t>3</w:t>
                  </w:r>
                  <w:r>
                    <w:rPr>
                      <w:rFonts w:hint="eastAsia"/>
                      <w:color w:val="auto"/>
                      <w:lang w:val="en-US" w:eastAsia="zh-CN"/>
                    </w:rPr>
                    <w:t>/h</w:t>
                  </w:r>
                  <w:r>
                    <w:rPr>
                      <w:rFonts w:hint="eastAsia"/>
                      <w:color w:val="auto"/>
                      <w:lang w:eastAsia="zh-CN"/>
                    </w:rPr>
                    <w:t>）</w:t>
                  </w:r>
                  <w:r>
                    <w:rPr>
                      <w:rFonts w:hint="eastAsia"/>
                      <w:color w:val="auto"/>
                      <w:lang w:val="en-US" w:eastAsia="zh-CN"/>
                    </w:rPr>
                    <w:t>+过滤棉+活性炭吸附理装置（挥发性有机物去除率90%）+15m高排气筒”并设标识标牌</w:t>
                  </w:r>
                </w:p>
              </w:tc>
              <w:tc>
                <w:tcPr>
                  <w:tcW w:w="3151" w:type="dxa"/>
                  <w:noWrap w:val="0"/>
                  <w:vAlign w:val="center"/>
                </w:tcPr>
                <w:p>
                  <w:pPr>
                    <w:pStyle w:val="18"/>
                    <w:bidi w:val="0"/>
                    <w:rPr>
                      <w:rFonts w:hint="eastAsia" w:eastAsia="宋体"/>
                      <w:color w:val="auto"/>
                      <w:lang w:val="en-US" w:eastAsia="zh-CN"/>
                    </w:rPr>
                  </w:pPr>
                  <w:r>
                    <w:rPr>
                      <w:rFonts w:hint="eastAsia"/>
                      <w:color w:val="auto"/>
                      <w:lang w:eastAsia="zh-CN"/>
                    </w:rPr>
                    <w:t>有组织排放达到</w:t>
                  </w:r>
                  <w:r>
                    <w:rPr>
                      <w:rFonts w:hint="default"/>
                      <w:color w:val="auto"/>
                    </w:rPr>
                    <w:t>《大气污染物综合排放标准》（GB16297-1996）二级标准限值要求</w:t>
                  </w:r>
                  <w:r>
                    <w:rPr>
                      <w:rFonts w:hint="eastAsia"/>
                      <w:color w:val="auto"/>
                      <w:lang w:eastAsia="zh-CN"/>
                    </w:rPr>
                    <w:t>；无组织排放颗粒物达到</w:t>
                  </w:r>
                  <w:r>
                    <w:rPr>
                      <w:color w:val="auto"/>
                    </w:rPr>
                    <w:t>（GB16297-1996）</w:t>
                  </w:r>
                  <w:r>
                    <w:rPr>
                      <w:rFonts w:hint="eastAsia"/>
                      <w:color w:val="auto"/>
                      <w:lang w:eastAsia="zh-CN"/>
                    </w:rPr>
                    <w:t>《大气污染物综合排放标准》</w:t>
                  </w:r>
                  <w:r>
                    <w:rPr>
                      <w:color w:val="auto"/>
                    </w:rPr>
                    <w:t>表2</w:t>
                  </w:r>
                  <w:r>
                    <w:rPr>
                      <w:rFonts w:hint="eastAsia"/>
                      <w:color w:val="auto"/>
                      <w:lang w:eastAsia="zh-CN"/>
                    </w:rPr>
                    <w:t>中无组织排放监控浓度限值要求（周界外浓度最高点：</w:t>
                  </w:r>
                  <w:r>
                    <w:rPr>
                      <w:rFonts w:hint="eastAsia"/>
                      <w:color w:val="auto"/>
                      <w:lang w:val="en-US" w:eastAsia="zh-CN"/>
                    </w:rPr>
                    <w:t>1.0mg/m</w:t>
                  </w:r>
                  <w:r>
                    <w:rPr>
                      <w:rFonts w:hint="eastAsia"/>
                      <w:color w:val="auto"/>
                      <w:vertAlign w:val="superscript"/>
                      <w:lang w:val="en-US" w:eastAsia="zh-CN"/>
                    </w:rPr>
                    <w:t>3</w:t>
                  </w:r>
                  <w:r>
                    <w:rPr>
                      <w:rFonts w:hint="eastAsia"/>
                      <w:color w:val="auto"/>
                      <w:lang w:eastAsia="zh-CN"/>
                    </w:rPr>
                    <w:t>），无组织排放</w:t>
                  </w:r>
                  <w:r>
                    <w:rPr>
                      <w:rFonts w:hint="eastAsia"/>
                      <w:color w:val="auto"/>
                      <w:lang w:val="en-US" w:eastAsia="zh-CN"/>
                    </w:rPr>
                    <w:t>VOCs执行《挥发性有机物无组织排放控制标准》（GB37822-2019）附录A表A.1中NMHC特别排放限值（监控点处1h平均浓度值：6 mg/m</w:t>
                  </w:r>
                  <w:r>
                    <w:rPr>
                      <w:rFonts w:hint="eastAsia"/>
                      <w:color w:val="auto"/>
                      <w:vertAlign w:val="superscript"/>
                      <w:lang w:val="en-US" w:eastAsia="zh-CN"/>
                    </w:rPr>
                    <w:t>3</w:t>
                  </w:r>
                  <w:r>
                    <w:rPr>
                      <w:rFonts w:hint="eastAsia"/>
                      <w:color w:val="auto"/>
                      <w:lang w:val="en-US" w:eastAsia="zh-CN"/>
                    </w:rPr>
                    <w:t>；监控点处任意一次浓度值：20 mg/m</w:t>
                  </w:r>
                  <w:r>
                    <w:rPr>
                      <w:rFonts w:hint="eastAsia"/>
                      <w:color w:val="auto"/>
                      <w:vertAlign w:val="superscript"/>
                      <w:lang w:val="en-US" w:eastAsia="zh-CN"/>
                    </w:rPr>
                    <w:t>3</w:t>
                  </w:r>
                  <w:r>
                    <w:rPr>
                      <w:rFonts w:hint="eastAsia"/>
                      <w:color w:val="auto"/>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628" w:type="dxa"/>
                  <w:noWrap w:val="0"/>
                  <w:vAlign w:val="center"/>
                </w:tcPr>
                <w:p>
                  <w:pPr>
                    <w:pStyle w:val="18"/>
                    <w:bidi w:val="0"/>
                    <w:rPr>
                      <w:rFonts w:hint="default"/>
                      <w:color w:val="auto"/>
                    </w:rPr>
                  </w:pPr>
                  <w:r>
                    <w:rPr>
                      <w:rFonts w:hint="default"/>
                      <w:color w:val="auto"/>
                    </w:rPr>
                    <w:t>噪声</w:t>
                  </w:r>
                </w:p>
              </w:tc>
              <w:tc>
                <w:tcPr>
                  <w:tcW w:w="725" w:type="dxa"/>
                  <w:noWrap w:val="0"/>
                  <w:vAlign w:val="center"/>
                </w:tcPr>
                <w:p>
                  <w:pPr>
                    <w:pStyle w:val="18"/>
                    <w:bidi w:val="0"/>
                    <w:rPr>
                      <w:rFonts w:hint="default"/>
                      <w:color w:val="auto"/>
                    </w:rPr>
                  </w:pPr>
                  <w:r>
                    <w:rPr>
                      <w:rFonts w:hint="default"/>
                      <w:color w:val="auto"/>
                    </w:rPr>
                    <w:t>各车间</w:t>
                  </w:r>
                </w:p>
              </w:tc>
              <w:tc>
                <w:tcPr>
                  <w:tcW w:w="1159" w:type="dxa"/>
                  <w:noWrap w:val="0"/>
                  <w:vAlign w:val="center"/>
                </w:tcPr>
                <w:p>
                  <w:pPr>
                    <w:pStyle w:val="18"/>
                    <w:bidi w:val="0"/>
                    <w:rPr>
                      <w:rFonts w:hint="default"/>
                      <w:color w:val="auto"/>
                    </w:rPr>
                  </w:pPr>
                  <w:r>
                    <w:rPr>
                      <w:rFonts w:hint="default"/>
                      <w:color w:val="auto"/>
                    </w:rPr>
                    <w:t>设备噪声</w:t>
                  </w:r>
                </w:p>
              </w:tc>
              <w:tc>
                <w:tcPr>
                  <w:tcW w:w="2633" w:type="dxa"/>
                  <w:noWrap w:val="0"/>
                  <w:vAlign w:val="center"/>
                </w:tcPr>
                <w:p>
                  <w:pPr>
                    <w:pStyle w:val="18"/>
                    <w:bidi w:val="0"/>
                    <w:rPr>
                      <w:rFonts w:hint="default"/>
                      <w:color w:val="auto"/>
                    </w:rPr>
                  </w:pPr>
                  <w:r>
                    <w:rPr>
                      <w:rFonts w:hint="default"/>
                      <w:color w:val="auto"/>
                    </w:rPr>
                    <w:t>产噪设备合理布局，设备基础减震、距离衰减。定期检查，维修设备，使设备处于良好的运行状态</w:t>
                  </w:r>
                </w:p>
              </w:tc>
              <w:tc>
                <w:tcPr>
                  <w:tcW w:w="3151" w:type="dxa"/>
                  <w:noWrap w:val="0"/>
                  <w:vAlign w:val="center"/>
                </w:tcPr>
                <w:p>
                  <w:pPr>
                    <w:pStyle w:val="18"/>
                    <w:bidi w:val="0"/>
                    <w:rPr>
                      <w:rFonts w:hint="default"/>
                      <w:color w:val="auto"/>
                    </w:rPr>
                  </w:pPr>
                  <w:r>
                    <w:rPr>
                      <w:rFonts w:hint="default"/>
                      <w:color w:val="auto"/>
                    </w:rPr>
                    <w:t>经车间围墙的阻隔和距离衰减后，</w:t>
                  </w:r>
                  <w:r>
                    <w:rPr>
                      <w:rFonts w:hint="eastAsia"/>
                      <w:color w:val="auto"/>
                      <w:lang w:eastAsia="zh-CN"/>
                    </w:rPr>
                    <w:t>达到</w:t>
                  </w:r>
                  <w:r>
                    <w:rPr>
                      <w:rFonts w:hint="default"/>
                      <w:color w:val="auto"/>
                    </w:rPr>
                    <w:t>《工业企业厂界环境噪声排放标准》（GB12348-2008）</w:t>
                  </w:r>
                  <w:r>
                    <w:rPr>
                      <w:rFonts w:hint="default"/>
                      <w:color w:val="auto"/>
                      <w:lang w:val="en-US" w:eastAsia="zh-CN"/>
                    </w:rPr>
                    <w:t>3</w:t>
                  </w:r>
                  <w:r>
                    <w:rPr>
                      <w:rFonts w:hint="default"/>
                      <w:color w:val="auto"/>
                    </w:rPr>
                    <w:t>类标准：昼间≤6</w:t>
                  </w:r>
                  <w:r>
                    <w:rPr>
                      <w:rFonts w:hint="default"/>
                      <w:color w:val="auto"/>
                      <w:lang w:val="en-US" w:eastAsia="zh-CN"/>
                    </w:rPr>
                    <w:t>5</w:t>
                  </w:r>
                  <w:r>
                    <w:rPr>
                      <w:rFonts w:hint="default"/>
                      <w:color w:val="auto"/>
                    </w:rPr>
                    <w:t>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28" w:type="dxa"/>
                  <w:vMerge w:val="restart"/>
                  <w:noWrap w:val="0"/>
                  <w:vAlign w:val="center"/>
                </w:tcPr>
                <w:p>
                  <w:pPr>
                    <w:pStyle w:val="18"/>
                    <w:bidi w:val="0"/>
                    <w:rPr>
                      <w:rFonts w:hint="default"/>
                      <w:color w:val="auto"/>
                    </w:rPr>
                  </w:pPr>
                </w:p>
                <w:p>
                  <w:pPr>
                    <w:pStyle w:val="18"/>
                    <w:bidi w:val="0"/>
                    <w:rPr>
                      <w:rFonts w:hint="default"/>
                      <w:color w:val="auto"/>
                    </w:rPr>
                  </w:pPr>
                  <w:r>
                    <w:rPr>
                      <w:rFonts w:hint="default"/>
                      <w:color w:val="auto"/>
                    </w:rPr>
                    <w:t>固废</w:t>
                  </w:r>
                </w:p>
              </w:tc>
              <w:tc>
                <w:tcPr>
                  <w:tcW w:w="725" w:type="dxa"/>
                  <w:vMerge w:val="restart"/>
                  <w:noWrap w:val="0"/>
                  <w:vAlign w:val="center"/>
                </w:tcPr>
                <w:p>
                  <w:pPr>
                    <w:pStyle w:val="18"/>
                    <w:bidi w:val="0"/>
                    <w:rPr>
                      <w:rFonts w:hint="default"/>
                      <w:color w:val="auto"/>
                    </w:rPr>
                  </w:pPr>
                  <w:r>
                    <w:rPr>
                      <w:rFonts w:hint="default"/>
                      <w:color w:val="auto"/>
                    </w:rPr>
                    <w:t>生产</w:t>
                  </w:r>
                </w:p>
                <w:p>
                  <w:pPr>
                    <w:pStyle w:val="18"/>
                    <w:bidi w:val="0"/>
                    <w:rPr>
                      <w:rFonts w:hint="default"/>
                      <w:color w:val="auto"/>
                    </w:rPr>
                  </w:pPr>
                  <w:r>
                    <w:rPr>
                      <w:rFonts w:hint="default"/>
                      <w:color w:val="auto"/>
                    </w:rPr>
                    <w:t>生活</w:t>
                  </w:r>
                </w:p>
              </w:tc>
              <w:tc>
                <w:tcPr>
                  <w:tcW w:w="1159" w:type="dxa"/>
                  <w:noWrap w:val="0"/>
                  <w:vAlign w:val="center"/>
                </w:tcPr>
                <w:p>
                  <w:pPr>
                    <w:pStyle w:val="18"/>
                    <w:bidi w:val="0"/>
                    <w:rPr>
                      <w:rFonts w:hint="eastAsia"/>
                      <w:color w:val="auto"/>
                      <w:lang w:eastAsia="zh-CN"/>
                    </w:rPr>
                  </w:pPr>
                  <w:r>
                    <w:rPr>
                      <w:rFonts w:hint="eastAsia"/>
                      <w:color w:val="auto"/>
                      <w:lang w:eastAsia="zh-CN"/>
                    </w:rPr>
                    <w:t>一般工业固废</w:t>
                  </w:r>
                </w:p>
              </w:tc>
              <w:tc>
                <w:tcPr>
                  <w:tcW w:w="2633" w:type="dxa"/>
                  <w:noWrap w:val="0"/>
                  <w:vAlign w:val="center"/>
                </w:tcPr>
                <w:p>
                  <w:pPr>
                    <w:pStyle w:val="18"/>
                    <w:bidi w:val="0"/>
                    <w:rPr>
                      <w:rFonts w:hint="default"/>
                      <w:color w:val="auto"/>
                      <w:lang w:eastAsia="zh-CN"/>
                    </w:rPr>
                  </w:pPr>
                  <w:r>
                    <w:rPr>
                      <w:rFonts w:hint="eastAsia"/>
                      <w:color w:val="auto"/>
                      <w:lang w:eastAsia="zh-CN"/>
                    </w:rPr>
                    <w:t>收集后外售</w:t>
                  </w:r>
                </w:p>
              </w:tc>
              <w:tc>
                <w:tcPr>
                  <w:tcW w:w="3151" w:type="dxa"/>
                  <w:vMerge w:val="restart"/>
                  <w:noWrap w:val="0"/>
                  <w:vAlign w:val="center"/>
                </w:tcPr>
                <w:p>
                  <w:pPr>
                    <w:pStyle w:val="18"/>
                    <w:bidi w:val="0"/>
                    <w:rPr>
                      <w:rFonts w:hint="default"/>
                      <w:color w:val="auto"/>
                    </w:rPr>
                  </w:pPr>
                  <w:r>
                    <w:rPr>
                      <w:rFonts w:hint="default"/>
                      <w:color w:val="auto"/>
                    </w:rPr>
                    <w:t>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8" w:hRule="atLeast"/>
                <w:jc w:val="center"/>
              </w:trPr>
              <w:tc>
                <w:tcPr>
                  <w:tcW w:w="628" w:type="dxa"/>
                  <w:vMerge w:val="continue"/>
                  <w:noWrap w:val="0"/>
                  <w:vAlign w:val="center"/>
                </w:tcPr>
                <w:p>
                  <w:pPr>
                    <w:pStyle w:val="18"/>
                    <w:bidi w:val="0"/>
                    <w:rPr>
                      <w:rFonts w:hint="default"/>
                      <w:color w:val="auto"/>
                    </w:rPr>
                  </w:pPr>
                </w:p>
              </w:tc>
              <w:tc>
                <w:tcPr>
                  <w:tcW w:w="725" w:type="dxa"/>
                  <w:vMerge w:val="continue"/>
                  <w:noWrap w:val="0"/>
                  <w:vAlign w:val="center"/>
                </w:tcPr>
                <w:p>
                  <w:pPr>
                    <w:pStyle w:val="18"/>
                    <w:bidi w:val="0"/>
                    <w:rPr>
                      <w:rFonts w:hint="default"/>
                      <w:color w:val="auto"/>
                    </w:rPr>
                  </w:pPr>
                </w:p>
              </w:tc>
              <w:tc>
                <w:tcPr>
                  <w:tcW w:w="1159" w:type="dxa"/>
                  <w:noWrap w:val="0"/>
                  <w:vAlign w:val="center"/>
                </w:tcPr>
                <w:p>
                  <w:pPr>
                    <w:pStyle w:val="18"/>
                    <w:bidi w:val="0"/>
                    <w:rPr>
                      <w:rFonts w:hint="eastAsia"/>
                      <w:color w:val="auto"/>
                      <w:lang w:eastAsia="zh-CN"/>
                    </w:rPr>
                  </w:pPr>
                  <w:r>
                    <w:rPr>
                      <w:rFonts w:hint="eastAsia"/>
                      <w:color w:val="auto"/>
                      <w:lang w:eastAsia="zh-CN"/>
                    </w:rPr>
                    <w:t>生活垃圾</w:t>
                  </w:r>
                </w:p>
              </w:tc>
              <w:tc>
                <w:tcPr>
                  <w:tcW w:w="2633" w:type="dxa"/>
                  <w:noWrap w:val="0"/>
                  <w:vAlign w:val="center"/>
                </w:tcPr>
                <w:p>
                  <w:pPr>
                    <w:pStyle w:val="18"/>
                    <w:bidi w:val="0"/>
                    <w:rPr>
                      <w:rFonts w:hint="eastAsia"/>
                      <w:color w:val="auto"/>
                      <w:lang w:eastAsia="zh-CN"/>
                    </w:rPr>
                  </w:pPr>
                  <w:r>
                    <w:rPr>
                      <w:rFonts w:hint="eastAsia"/>
                      <w:color w:val="auto"/>
                      <w:lang w:eastAsia="zh-CN"/>
                    </w:rPr>
                    <w:t>生活垃圾收集桶收集后交环卫部门进行处理</w:t>
                  </w:r>
                </w:p>
              </w:tc>
              <w:tc>
                <w:tcPr>
                  <w:tcW w:w="3151" w:type="dxa"/>
                  <w:vMerge w:val="continue"/>
                  <w:noWrap w:val="0"/>
                  <w:vAlign w:val="center"/>
                </w:tcPr>
                <w:p>
                  <w:pPr>
                    <w:pStyle w:val="18"/>
                    <w:bidi w:val="0"/>
                    <w:rPr>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83" w:hRule="atLeast"/>
                <w:jc w:val="center"/>
              </w:trPr>
              <w:tc>
                <w:tcPr>
                  <w:tcW w:w="628" w:type="dxa"/>
                  <w:vMerge w:val="continue"/>
                  <w:noWrap w:val="0"/>
                  <w:vAlign w:val="center"/>
                </w:tcPr>
                <w:p>
                  <w:pPr>
                    <w:pStyle w:val="18"/>
                    <w:bidi w:val="0"/>
                    <w:rPr>
                      <w:rFonts w:hint="default"/>
                      <w:color w:val="auto"/>
                    </w:rPr>
                  </w:pPr>
                </w:p>
              </w:tc>
              <w:tc>
                <w:tcPr>
                  <w:tcW w:w="725" w:type="dxa"/>
                  <w:vMerge w:val="continue"/>
                  <w:noWrap w:val="0"/>
                  <w:vAlign w:val="center"/>
                </w:tcPr>
                <w:p>
                  <w:pPr>
                    <w:pStyle w:val="18"/>
                    <w:bidi w:val="0"/>
                    <w:rPr>
                      <w:rFonts w:hint="default"/>
                      <w:color w:val="auto"/>
                    </w:rPr>
                  </w:pPr>
                </w:p>
              </w:tc>
              <w:tc>
                <w:tcPr>
                  <w:tcW w:w="1159" w:type="dxa"/>
                  <w:noWrap w:val="0"/>
                  <w:vAlign w:val="center"/>
                </w:tcPr>
                <w:p>
                  <w:pPr>
                    <w:pStyle w:val="18"/>
                    <w:bidi w:val="0"/>
                    <w:rPr>
                      <w:rFonts w:hint="default"/>
                      <w:color w:val="auto"/>
                      <w:lang w:eastAsia="zh-CN"/>
                    </w:rPr>
                  </w:pPr>
                  <w:r>
                    <w:rPr>
                      <w:rFonts w:hint="eastAsia"/>
                      <w:color w:val="auto"/>
                      <w:lang w:eastAsia="zh-CN"/>
                    </w:rPr>
                    <w:t>危废</w:t>
                  </w:r>
                </w:p>
              </w:tc>
              <w:tc>
                <w:tcPr>
                  <w:tcW w:w="2633" w:type="dxa"/>
                  <w:noWrap w:val="0"/>
                  <w:vAlign w:val="center"/>
                </w:tcPr>
                <w:p>
                  <w:pPr>
                    <w:pStyle w:val="18"/>
                    <w:bidi w:val="0"/>
                    <w:rPr>
                      <w:rFonts w:hint="default"/>
                      <w:color w:val="auto"/>
                    </w:rPr>
                  </w:pPr>
                  <w:r>
                    <w:rPr>
                      <w:rFonts w:hint="default"/>
                      <w:color w:val="auto"/>
                    </w:rPr>
                    <w:t>设危废暂存间</w:t>
                  </w:r>
                  <w:r>
                    <w:rPr>
                      <w:rFonts w:hint="eastAsia"/>
                      <w:color w:val="auto"/>
                      <w:lang w:val="en-US" w:eastAsia="zh-CN"/>
                    </w:rPr>
                    <w:t>8m</w:t>
                  </w:r>
                  <w:r>
                    <w:rPr>
                      <w:rFonts w:hint="eastAsia"/>
                      <w:color w:val="auto"/>
                      <w:vertAlign w:val="superscript"/>
                      <w:lang w:val="en-US" w:eastAsia="zh-CN"/>
                    </w:rPr>
                    <w:t>2</w:t>
                  </w:r>
                  <w:r>
                    <w:rPr>
                      <w:rFonts w:hint="default"/>
                      <w:color w:val="auto"/>
                    </w:rPr>
                    <w:t>，进行防渗处理</w:t>
                  </w:r>
                  <w:r>
                    <w:rPr>
                      <w:rFonts w:hint="eastAsia"/>
                      <w:color w:val="auto"/>
                      <w:lang w:eastAsia="zh-CN"/>
                    </w:rPr>
                    <w:t>（防渗系数</w:t>
                  </w:r>
                  <w:r>
                    <w:rPr>
                      <w:rFonts w:hint="eastAsia"/>
                      <w:color w:val="auto"/>
                      <w:lang w:val="en-US" w:eastAsia="zh-CN"/>
                    </w:rPr>
                    <w:t>10×10-7cm/s</w:t>
                  </w:r>
                  <w:r>
                    <w:rPr>
                      <w:rFonts w:hint="eastAsia"/>
                      <w:color w:val="auto"/>
                      <w:lang w:eastAsia="zh-CN"/>
                    </w:rPr>
                    <w:t>）</w:t>
                  </w:r>
                  <w:r>
                    <w:rPr>
                      <w:rFonts w:hint="default"/>
                      <w:color w:val="auto"/>
                    </w:rPr>
                    <w:t>，暂存间内分区，不相容的危险废物必须分开存放，暂存间设标识标牌；废</w:t>
                  </w:r>
                  <w:r>
                    <w:rPr>
                      <w:rFonts w:hint="eastAsia"/>
                      <w:color w:val="auto"/>
                      <w:lang w:eastAsia="zh-CN"/>
                    </w:rPr>
                    <w:t>机</w:t>
                  </w:r>
                  <w:r>
                    <w:rPr>
                      <w:rFonts w:hint="default"/>
                      <w:color w:val="auto"/>
                    </w:rPr>
                    <w:t>油、废</w:t>
                  </w:r>
                  <w:r>
                    <w:rPr>
                      <w:rFonts w:hint="eastAsia"/>
                      <w:color w:val="auto"/>
                      <w:lang w:eastAsia="zh-CN"/>
                    </w:rPr>
                    <w:t>过滤棉+活性炭</w:t>
                  </w:r>
                  <w:r>
                    <w:rPr>
                      <w:rFonts w:hint="default"/>
                      <w:color w:val="auto"/>
                    </w:rPr>
                    <w:t>需分别收集盛装于危险废物收集容器内，废原料桶无法装入常用容器，可用防胶袋盛装，容器设标识标签</w:t>
                  </w:r>
                </w:p>
              </w:tc>
              <w:tc>
                <w:tcPr>
                  <w:tcW w:w="3151" w:type="dxa"/>
                  <w:vMerge w:val="continue"/>
                  <w:noWrap w:val="0"/>
                  <w:vAlign w:val="center"/>
                </w:tcPr>
                <w:p>
                  <w:pPr>
                    <w:pStyle w:val="18"/>
                    <w:bidi w:val="0"/>
                    <w:rPr>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628" w:type="dxa"/>
                  <w:noWrap w:val="0"/>
                  <w:vAlign w:val="center"/>
                </w:tcPr>
                <w:p>
                  <w:pPr>
                    <w:pStyle w:val="18"/>
                    <w:bidi w:val="0"/>
                    <w:rPr>
                      <w:rFonts w:hint="default"/>
                      <w:color w:val="auto"/>
                    </w:rPr>
                  </w:pPr>
                  <w:r>
                    <w:rPr>
                      <w:rFonts w:hint="default"/>
                      <w:color w:val="auto"/>
                    </w:rPr>
                    <w:t>环境管理</w:t>
                  </w:r>
                </w:p>
              </w:tc>
              <w:tc>
                <w:tcPr>
                  <w:tcW w:w="7668" w:type="dxa"/>
                  <w:gridSpan w:val="4"/>
                  <w:noWrap w:val="0"/>
                  <w:vAlign w:val="center"/>
                </w:tcPr>
                <w:p>
                  <w:pPr>
                    <w:pStyle w:val="18"/>
                    <w:bidi w:val="0"/>
                    <w:jc w:val="left"/>
                    <w:rPr>
                      <w:rFonts w:hint="default"/>
                      <w:color w:val="auto"/>
                    </w:rPr>
                  </w:pPr>
                  <w:r>
                    <w:rPr>
                      <w:rFonts w:hint="default"/>
                      <w:color w:val="auto"/>
                    </w:rPr>
                    <w:t>1、加强生产管理和设备设施的日常维护及监控工作，保证污水处理设施正常运行。</w:t>
                  </w:r>
                </w:p>
                <w:p>
                  <w:pPr>
                    <w:pStyle w:val="18"/>
                    <w:bidi w:val="0"/>
                    <w:jc w:val="left"/>
                    <w:rPr>
                      <w:rFonts w:hint="default"/>
                      <w:color w:val="auto"/>
                    </w:rPr>
                  </w:pPr>
                  <w:r>
                    <w:rPr>
                      <w:rFonts w:hint="default"/>
                      <w:color w:val="auto"/>
                    </w:rPr>
                    <w:t>2、加强环保设施的维护检修，保障环保设施的处理效率。</w:t>
                  </w:r>
                </w:p>
                <w:p>
                  <w:pPr>
                    <w:pStyle w:val="18"/>
                    <w:bidi w:val="0"/>
                    <w:jc w:val="left"/>
                    <w:rPr>
                      <w:rFonts w:hint="default"/>
                      <w:color w:val="auto"/>
                    </w:rPr>
                  </w:pPr>
                  <w:r>
                    <w:rPr>
                      <w:rFonts w:hint="default"/>
                      <w:color w:val="auto"/>
                    </w:rPr>
                    <w:t>3、建立、健全生产环保规章制度。</w:t>
                  </w:r>
                </w:p>
                <w:p>
                  <w:pPr>
                    <w:pStyle w:val="18"/>
                    <w:bidi w:val="0"/>
                    <w:jc w:val="left"/>
                    <w:rPr>
                      <w:rFonts w:hint="default"/>
                      <w:color w:val="auto"/>
                    </w:rPr>
                  </w:pPr>
                  <w:r>
                    <w:rPr>
                      <w:rFonts w:hint="default"/>
                      <w:color w:val="auto"/>
                    </w:rPr>
                    <w:t>4、严格在岗人员操作管理。</w:t>
                  </w:r>
                </w:p>
              </w:tc>
            </w:tr>
          </w:tbl>
          <w:p>
            <w:pPr>
              <w:spacing w:line="360" w:lineRule="auto"/>
              <w:ind w:left="0" w:leftChars="0" w:firstLine="0" w:firstLineChars="0"/>
              <w:rPr>
                <w:rFonts w:hint="eastAsia"/>
                <w:color w:val="auto"/>
                <w:lang w:val="en-US" w:eastAsia="zh-CN"/>
              </w:rPr>
            </w:pPr>
          </w:p>
          <w:p>
            <w:pPr>
              <w:spacing w:line="360" w:lineRule="auto"/>
              <w:ind w:left="0" w:leftChars="0" w:firstLine="0" w:firstLineChars="0"/>
              <w:rPr>
                <w:rFonts w:hint="eastAsia"/>
                <w:color w:val="auto"/>
                <w:lang w:val="en-US" w:eastAsia="zh-CN"/>
              </w:rPr>
            </w:pPr>
          </w:p>
          <w:p>
            <w:pPr>
              <w:spacing w:line="360" w:lineRule="auto"/>
              <w:ind w:left="0" w:leftChars="0" w:firstLine="0" w:firstLineChars="0"/>
              <w:rPr>
                <w:rFonts w:hint="eastAsia"/>
                <w:color w:val="auto"/>
                <w:lang w:val="en-US" w:eastAsia="zh-CN"/>
              </w:rPr>
            </w:pPr>
          </w:p>
          <w:p>
            <w:pPr>
              <w:spacing w:line="360" w:lineRule="auto"/>
              <w:ind w:left="0" w:leftChars="0" w:firstLine="0" w:firstLineChars="0"/>
              <w:rPr>
                <w:rFonts w:hint="eastAsia"/>
                <w:color w:val="auto"/>
                <w:lang w:val="en-US" w:eastAsia="zh-CN"/>
              </w:rPr>
            </w:pPr>
          </w:p>
          <w:p>
            <w:pPr>
              <w:spacing w:line="360" w:lineRule="auto"/>
              <w:ind w:left="0" w:leftChars="0" w:firstLine="0" w:firstLineChars="0"/>
              <w:rPr>
                <w:rFonts w:hint="eastAsia"/>
                <w:color w:val="auto"/>
                <w:lang w:val="en-US" w:eastAsia="zh-CN"/>
              </w:rPr>
            </w:pPr>
          </w:p>
          <w:p>
            <w:pPr>
              <w:spacing w:line="360" w:lineRule="auto"/>
              <w:ind w:left="0" w:leftChars="0" w:firstLine="0" w:firstLineChars="0"/>
              <w:rPr>
                <w:rFonts w:hint="eastAsia"/>
                <w:color w:val="auto"/>
                <w:lang w:val="en-US" w:eastAsia="zh-CN"/>
              </w:rPr>
            </w:pPr>
          </w:p>
          <w:p>
            <w:pPr>
              <w:spacing w:line="360" w:lineRule="auto"/>
              <w:ind w:left="0" w:leftChars="0" w:firstLine="0" w:firstLineChars="0"/>
              <w:rPr>
                <w:rFonts w:hint="eastAsia"/>
                <w:color w:val="auto"/>
                <w:lang w:val="en-US" w:eastAsia="zh-CN"/>
              </w:rPr>
            </w:pPr>
          </w:p>
          <w:p>
            <w:pPr>
              <w:spacing w:line="360" w:lineRule="auto"/>
              <w:ind w:left="0" w:leftChars="0" w:firstLine="0" w:firstLineChars="0"/>
              <w:rPr>
                <w:rFonts w:hint="eastAsia"/>
                <w:color w:val="auto"/>
                <w:lang w:val="en-US" w:eastAsia="zh-CN"/>
              </w:rPr>
            </w:pPr>
          </w:p>
          <w:p>
            <w:pPr>
              <w:spacing w:line="360" w:lineRule="auto"/>
              <w:ind w:left="0" w:leftChars="0" w:firstLine="0" w:firstLineChars="0"/>
              <w:rPr>
                <w:rFonts w:hint="default"/>
                <w:color w:val="auto"/>
                <w:lang w:val="en-US" w:eastAsia="zh-CN"/>
              </w:rPr>
            </w:pPr>
          </w:p>
          <w:p>
            <w:pPr>
              <w:pStyle w:val="2"/>
              <w:rPr>
                <w:rFonts w:hint="default"/>
                <w:color w:val="auto"/>
                <w:lang w:val="en-US" w:eastAsia="zh-CN"/>
              </w:rPr>
            </w:pPr>
          </w:p>
          <w:p>
            <w:pPr>
              <w:rPr>
                <w:rFonts w:hint="default"/>
                <w:color w:val="auto"/>
                <w:lang w:val="en-US" w:eastAsia="zh-CN"/>
              </w:rPr>
            </w:pPr>
          </w:p>
          <w:p>
            <w:pPr>
              <w:pStyle w:val="2"/>
              <w:rPr>
                <w:rFonts w:hint="default"/>
                <w:color w:val="auto"/>
                <w:lang w:val="en-US" w:eastAsia="zh-CN"/>
              </w:rPr>
            </w:pPr>
          </w:p>
          <w:p>
            <w:pPr>
              <w:pStyle w:val="2"/>
              <w:ind w:left="0" w:leftChars="0" w:firstLine="0" w:firstLineChars="0"/>
              <w:rPr>
                <w:rFonts w:hint="default"/>
                <w:color w:val="auto"/>
                <w:lang w:val="en-US" w:eastAsia="zh-CN"/>
              </w:rPr>
            </w:pPr>
          </w:p>
        </w:tc>
      </w:tr>
    </w:tbl>
    <w:p>
      <w:pPr>
        <w:pStyle w:val="3"/>
        <w:bidi w:val="0"/>
        <w:rPr>
          <w:rFonts w:hint="default"/>
          <w:color w:val="auto"/>
        </w:rPr>
      </w:pPr>
      <w:bookmarkStart w:id="110" w:name="_Toc20454"/>
      <w:bookmarkStart w:id="111" w:name="_Toc32030"/>
      <w:bookmarkStart w:id="112" w:name="_Toc16021"/>
      <w:bookmarkStart w:id="113" w:name="_Toc29352"/>
      <w:bookmarkStart w:id="114" w:name="_Toc7353"/>
      <w:bookmarkStart w:id="115" w:name="_Toc5360"/>
      <w:r>
        <w:rPr>
          <w:rFonts w:hint="default"/>
          <w:color w:val="auto"/>
        </w:rPr>
        <w:t>表八  建设项目拟采取的防治措施及预期治理效果</w:t>
      </w:r>
      <w:bookmarkEnd w:id="110"/>
      <w:bookmarkEnd w:id="111"/>
      <w:bookmarkEnd w:id="112"/>
      <w:bookmarkEnd w:id="113"/>
      <w:bookmarkEnd w:id="114"/>
      <w:bookmarkEnd w:id="115"/>
    </w:p>
    <w:tbl>
      <w:tblPr>
        <w:tblStyle w:val="13"/>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585"/>
        <w:gridCol w:w="1171"/>
        <w:gridCol w:w="1378"/>
        <w:gridCol w:w="1977"/>
        <w:gridCol w:w="3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2" w:type="dxa"/>
            <w:tcBorders>
              <w:tl2br w:val="single" w:color="auto" w:sz="6" w:space="0"/>
            </w:tcBorders>
            <w:noWrap w:val="0"/>
            <w:vAlign w:val="center"/>
          </w:tcPr>
          <w:p>
            <w:pPr>
              <w:pStyle w:val="18"/>
              <w:bidi w:val="0"/>
              <w:rPr>
                <w:rFonts w:hint="default"/>
                <w:color w:val="auto"/>
              </w:rPr>
            </w:pPr>
            <w:r>
              <w:rPr>
                <w:rFonts w:hint="default"/>
                <w:color w:val="auto"/>
              </w:rPr>
              <w:t xml:space="preserve"> 内容</w:t>
            </w:r>
          </w:p>
          <w:p>
            <w:pPr>
              <w:pStyle w:val="18"/>
              <w:bidi w:val="0"/>
              <w:rPr>
                <w:rFonts w:hint="default"/>
                <w:color w:val="auto"/>
              </w:rPr>
            </w:pPr>
            <w:r>
              <w:rPr>
                <w:rFonts w:hint="default"/>
                <w:color w:val="auto"/>
              </w:rPr>
              <w:t>类型</w:t>
            </w:r>
          </w:p>
        </w:tc>
        <w:tc>
          <w:tcPr>
            <w:tcW w:w="1756" w:type="dxa"/>
            <w:gridSpan w:val="2"/>
            <w:noWrap w:val="0"/>
            <w:vAlign w:val="center"/>
          </w:tcPr>
          <w:p>
            <w:pPr>
              <w:pStyle w:val="18"/>
              <w:bidi w:val="0"/>
              <w:rPr>
                <w:rFonts w:hint="default"/>
                <w:color w:val="auto"/>
              </w:rPr>
            </w:pPr>
            <w:r>
              <w:rPr>
                <w:rFonts w:hint="default"/>
                <w:color w:val="auto"/>
              </w:rPr>
              <w:t>排放源</w:t>
            </w:r>
          </w:p>
          <w:p>
            <w:pPr>
              <w:pStyle w:val="18"/>
              <w:bidi w:val="0"/>
              <w:rPr>
                <w:rFonts w:hint="default"/>
                <w:color w:val="auto"/>
              </w:rPr>
            </w:pPr>
            <w:r>
              <w:rPr>
                <w:rFonts w:hint="default"/>
                <w:color w:val="auto"/>
              </w:rPr>
              <w:t>(编号)</w:t>
            </w:r>
          </w:p>
        </w:tc>
        <w:tc>
          <w:tcPr>
            <w:tcW w:w="1378" w:type="dxa"/>
            <w:noWrap w:val="0"/>
            <w:vAlign w:val="center"/>
          </w:tcPr>
          <w:p>
            <w:pPr>
              <w:pStyle w:val="18"/>
              <w:bidi w:val="0"/>
              <w:rPr>
                <w:rFonts w:hint="default"/>
                <w:color w:val="auto"/>
              </w:rPr>
            </w:pPr>
            <w:r>
              <w:rPr>
                <w:rFonts w:hint="default"/>
                <w:color w:val="auto"/>
              </w:rPr>
              <w:t>污染物名称</w:t>
            </w:r>
          </w:p>
        </w:tc>
        <w:tc>
          <w:tcPr>
            <w:tcW w:w="1977" w:type="dxa"/>
            <w:noWrap w:val="0"/>
            <w:vAlign w:val="center"/>
          </w:tcPr>
          <w:p>
            <w:pPr>
              <w:pStyle w:val="18"/>
              <w:bidi w:val="0"/>
              <w:rPr>
                <w:rFonts w:hint="default"/>
                <w:color w:val="auto"/>
              </w:rPr>
            </w:pPr>
            <w:r>
              <w:rPr>
                <w:rFonts w:hint="default"/>
                <w:color w:val="auto"/>
              </w:rPr>
              <w:t>防治措施</w:t>
            </w:r>
          </w:p>
        </w:tc>
        <w:tc>
          <w:tcPr>
            <w:tcW w:w="3234" w:type="dxa"/>
            <w:noWrap w:val="0"/>
            <w:vAlign w:val="center"/>
          </w:tcPr>
          <w:p>
            <w:pPr>
              <w:pStyle w:val="18"/>
              <w:bidi w:val="0"/>
              <w:rPr>
                <w:rFonts w:hint="default"/>
                <w:color w:val="auto"/>
              </w:rPr>
            </w:pPr>
            <w:r>
              <w:rPr>
                <w:rFonts w:hint="default"/>
                <w:color w:val="auto"/>
              </w:rPr>
              <w:t>预期治理效果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2" w:type="dxa"/>
            <w:vMerge w:val="restart"/>
            <w:noWrap w:val="0"/>
            <w:vAlign w:val="center"/>
          </w:tcPr>
          <w:p>
            <w:pPr>
              <w:pStyle w:val="18"/>
              <w:bidi w:val="0"/>
              <w:rPr>
                <w:rFonts w:hint="default"/>
                <w:color w:val="auto"/>
                <w:lang w:eastAsia="zh-CN"/>
              </w:rPr>
            </w:pPr>
            <w:r>
              <w:rPr>
                <w:rFonts w:hint="default"/>
                <w:color w:val="auto"/>
                <w:lang w:eastAsia="zh-CN"/>
              </w:rPr>
              <w:t>大气污染物</w:t>
            </w:r>
          </w:p>
        </w:tc>
        <w:tc>
          <w:tcPr>
            <w:tcW w:w="585" w:type="dxa"/>
            <w:vMerge w:val="restart"/>
            <w:noWrap w:val="0"/>
            <w:vAlign w:val="center"/>
          </w:tcPr>
          <w:p>
            <w:pPr>
              <w:pStyle w:val="18"/>
              <w:bidi w:val="0"/>
              <w:rPr>
                <w:rFonts w:hint="default"/>
                <w:color w:val="auto"/>
                <w:lang w:eastAsia="zh-CN"/>
              </w:rPr>
            </w:pPr>
            <w:r>
              <w:rPr>
                <w:rFonts w:hint="default"/>
                <w:color w:val="auto"/>
                <w:lang w:eastAsia="zh-CN"/>
              </w:rPr>
              <w:t>施工期</w:t>
            </w:r>
          </w:p>
        </w:tc>
        <w:tc>
          <w:tcPr>
            <w:tcW w:w="1171" w:type="dxa"/>
            <w:noWrap w:val="0"/>
            <w:vAlign w:val="center"/>
          </w:tcPr>
          <w:p>
            <w:pPr>
              <w:pStyle w:val="18"/>
              <w:bidi w:val="0"/>
              <w:rPr>
                <w:rFonts w:hint="default"/>
                <w:color w:val="auto"/>
                <w:lang w:eastAsia="zh-CN"/>
              </w:rPr>
            </w:pPr>
            <w:r>
              <w:rPr>
                <w:rFonts w:hint="default"/>
                <w:color w:val="auto"/>
                <w:lang w:eastAsia="zh-CN"/>
              </w:rPr>
              <w:t>设备安装</w:t>
            </w:r>
          </w:p>
        </w:tc>
        <w:tc>
          <w:tcPr>
            <w:tcW w:w="1378" w:type="dxa"/>
            <w:noWrap w:val="0"/>
            <w:vAlign w:val="center"/>
          </w:tcPr>
          <w:p>
            <w:pPr>
              <w:pStyle w:val="18"/>
              <w:bidi w:val="0"/>
              <w:rPr>
                <w:rFonts w:hint="default"/>
                <w:color w:val="auto"/>
                <w:lang w:eastAsia="zh-CN"/>
              </w:rPr>
            </w:pPr>
            <w:r>
              <w:rPr>
                <w:rFonts w:hint="default"/>
                <w:color w:val="auto"/>
                <w:lang w:eastAsia="zh-CN"/>
              </w:rPr>
              <w:t>扬尘</w:t>
            </w:r>
          </w:p>
        </w:tc>
        <w:tc>
          <w:tcPr>
            <w:tcW w:w="1977" w:type="dxa"/>
            <w:noWrap w:val="0"/>
            <w:vAlign w:val="center"/>
          </w:tcPr>
          <w:p>
            <w:pPr>
              <w:pStyle w:val="18"/>
              <w:bidi w:val="0"/>
              <w:rPr>
                <w:rFonts w:hint="default"/>
                <w:color w:val="auto"/>
                <w:lang w:eastAsia="zh-CN"/>
              </w:rPr>
            </w:pPr>
            <w:r>
              <w:rPr>
                <w:rFonts w:hint="default"/>
                <w:color w:val="auto"/>
                <w:lang w:eastAsia="zh-CN"/>
              </w:rPr>
              <w:t>洒水降尘</w:t>
            </w:r>
          </w:p>
        </w:tc>
        <w:tc>
          <w:tcPr>
            <w:tcW w:w="3234" w:type="dxa"/>
            <w:vMerge w:val="restart"/>
            <w:noWrap w:val="0"/>
            <w:vAlign w:val="center"/>
          </w:tcPr>
          <w:p>
            <w:pPr>
              <w:pStyle w:val="18"/>
              <w:bidi w:val="0"/>
              <w:rPr>
                <w:rFonts w:hint="default"/>
                <w:color w:val="auto"/>
              </w:rPr>
            </w:pPr>
            <w:r>
              <w:rPr>
                <w:rFonts w:hint="default"/>
                <w:color w:val="auto"/>
              </w:rPr>
              <w:t>达</w:t>
            </w:r>
            <w:r>
              <w:rPr>
                <w:rFonts w:hint="default"/>
                <w:color w:val="auto"/>
                <w:lang w:eastAsia="zh-CN"/>
              </w:rPr>
              <w:t>到</w:t>
            </w:r>
            <w:r>
              <w:rPr>
                <w:rFonts w:hint="default"/>
                <w:color w:val="auto"/>
              </w:rPr>
              <w:t>《大气污染物综合排放标准》（GB16297-1996）表2无组织排放标准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2" w:type="dxa"/>
            <w:vMerge w:val="continue"/>
            <w:noWrap w:val="0"/>
            <w:vAlign w:val="center"/>
          </w:tcPr>
          <w:p>
            <w:pPr>
              <w:pStyle w:val="18"/>
              <w:bidi w:val="0"/>
              <w:rPr>
                <w:rFonts w:hint="default"/>
                <w:color w:val="auto"/>
                <w:lang w:eastAsia="zh-CN"/>
              </w:rPr>
            </w:pPr>
          </w:p>
        </w:tc>
        <w:tc>
          <w:tcPr>
            <w:tcW w:w="585" w:type="dxa"/>
            <w:vMerge w:val="continue"/>
            <w:noWrap w:val="0"/>
            <w:vAlign w:val="center"/>
          </w:tcPr>
          <w:p>
            <w:pPr>
              <w:pStyle w:val="18"/>
              <w:bidi w:val="0"/>
              <w:rPr>
                <w:rFonts w:hint="default"/>
                <w:color w:val="auto"/>
                <w:lang w:eastAsia="zh-CN"/>
              </w:rPr>
            </w:pPr>
          </w:p>
        </w:tc>
        <w:tc>
          <w:tcPr>
            <w:tcW w:w="1171" w:type="dxa"/>
            <w:noWrap w:val="0"/>
            <w:vAlign w:val="center"/>
          </w:tcPr>
          <w:p>
            <w:pPr>
              <w:pStyle w:val="18"/>
              <w:bidi w:val="0"/>
              <w:rPr>
                <w:rFonts w:hint="default"/>
                <w:color w:val="auto"/>
                <w:lang w:eastAsia="zh-CN"/>
              </w:rPr>
            </w:pPr>
            <w:r>
              <w:rPr>
                <w:rFonts w:hint="default"/>
                <w:color w:val="auto"/>
                <w:lang w:eastAsia="zh-CN"/>
              </w:rPr>
              <w:t>装修</w:t>
            </w:r>
          </w:p>
        </w:tc>
        <w:tc>
          <w:tcPr>
            <w:tcW w:w="1378" w:type="dxa"/>
            <w:noWrap w:val="0"/>
            <w:vAlign w:val="center"/>
          </w:tcPr>
          <w:p>
            <w:pPr>
              <w:pStyle w:val="18"/>
              <w:bidi w:val="0"/>
              <w:rPr>
                <w:rFonts w:hint="default"/>
                <w:color w:val="auto"/>
                <w:lang w:eastAsia="zh-CN"/>
              </w:rPr>
            </w:pPr>
            <w:r>
              <w:rPr>
                <w:rFonts w:hint="default"/>
                <w:color w:val="auto"/>
                <w:lang w:eastAsia="zh-CN"/>
              </w:rPr>
              <w:t>粉尘等</w:t>
            </w:r>
          </w:p>
        </w:tc>
        <w:tc>
          <w:tcPr>
            <w:tcW w:w="1977" w:type="dxa"/>
            <w:noWrap w:val="0"/>
            <w:vAlign w:val="center"/>
          </w:tcPr>
          <w:p>
            <w:pPr>
              <w:pStyle w:val="18"/>
              <w:bidi w:val="0"/>
              <w:rPr>
                <w:rFonts w:hint="default"/>
                <w:color w:val="auto"/>
                <w:lang w:eastAsia="zh-CN"/>
              </w:rPr>
            </w:pPr>
            <w:r>
              <w:rPr>
                <w:rFonts w:hint="default"/>
                <w:color w:val="auto"/>
                <w:lang w:eastAsia="zh-CN"/>
              </w:rPr>
              <w:t>洒水降尘</w:t>
            </w:r>
          </w:p>
        </w:tc>
        <w:tc>
          <w:tcPr>
            <w:tcW w:w="3234" w:type="dxa"/>
            <w:vMerge w:val="continue"/>
            <w:noWrap w:val="0"/>
            <w:vAlign w:val="center"/>
          </w:tcPr>
          <w:p>
            <w:pPr>
              <w:pStyle w:val="18"/>
              <w:bidi w:val="0"/>
              <w:rPr>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2" w:type="dxa"/>
            <w:vMerge w:val="continue"/>
            <w:noWrap w:val="0"/>
            <w:vAlign w:val="center"/>
          </w:tcPr>
          <w:p>
            <w:pPr>
              <w:pStyle w:val="18"/>
              <w:bidi w:val="0"/>
              <w:rPr>
                <w:rFonts w:hint="default"/>
                <w:color w:val="auto"/>
                <w:lang w:eastAsia="zh-CN"/>
              </w:rPr>
            </w:pPr>
          </w:p>
        </w:tc>
        <w:tc>
          <w:tcPr>
            <w:tcW w:w="585" w:type="dxa"/>
            <w:vMerge w:val="continue"/>
            <w:noWrap w:val="0"/>
            <w:vAlign w:val="center"/>
          </w:tcPr>
          <w:p>
            <w:pPr>
              <w:pStyle w:val="18"/>
              <w:bidi w:val="0"/>
              <w:rPr>
                <w:rFonts w:hint="default"/>
                <w:color w:val="auto"/>
                <w:lang w:eastAsia="zh-CN"/>
              </w:rPr>
            </w:pPr>
          </w:p>
        </w:tc>
        <w:tc>
          <w:tcPr>
            <w:tcW w:w="1171" w:type="dxa"/>
            <w:noWrap w:val="0"/>
            <w:vAlign w:val="center"/>
          </w:tcPr>
          <w:p>
            <w:pPr>
              <w:pStyle w:val="18"/>
              <w:bidi w:val="0"/>
              <w:rPr>
                <w:rFonts w:hint="default"/>
                <w:color w:val="auto"/>
                <w:lang w:eastAsia="zh-CN"/>
              </w:rPr>
            </w:pPr>
            <w:r>
              <w:rPr>
                <w:rFonts w:hint="default"/>
                <w:color w:val="auto"/>
                <w:lang w:eastAsia="zh-CN"/>
              </w:rPr>
              <w:t>汽车运输</w:t>
            </w:r>
          </w:p>
        </w:tc>
        <w:tc>
          <w:tcPr>
            <w:tcW w:w="1378" w:type="dxa"/>
            <w:noWrap w:val="0"/>
            <w:vAlign w:val="center"/>
          </w:tcPr>
          <w:p>
            <w:pPr>
              <w:pStyle w:val="18"/>
              <w:bidi w:val="0"/>
              <w:rPr>
                <w:rFonts w:hint="default"/>
                <w:color w:val="auto"/>
                <w:lang w:eastAsia="zh-CN"/>
              </w:rPr>
            </w:pPr>
            <w:r>
              <w:rPr>
                <w:rFonts w:hint="default"/>
                <w:color w:val="auto"/>
              </w:rPr>
              <w:t>CH、CO、NOx</w:t>
            </w:r>
          </w:p>
        </w:tc>
        <w:tc>
          <w:tcPr>
            <w:tcW w:w="1977" w:type="dxa"/>
            <w:noWrap w:val="0"/>
            <w:vAlign w:val="center"/>
          </w:tcPr>
          <w:p>
            <w:pPr>
              <w:pStyle w:val="18"/>
              <w:bidi w:val="0"/>
              <w:rPr>
                <w:rFonts w:hint="default"/>
                <w:color w:val="auto"/>
                <w:lang w:eastAsia="zh-CN"/>
              </w:rPr>
            </w:pPr>
            <w:r>
              <w:rPr>
                <w:rFonts w:hint="default"/>
                <w:color w:val="auto"/>
              </w:rPr>
              <w:t>自然扩散</w:t>
            </w:r>
            <w:r>
              <w:rPr>
                <w:rFonts w:hint="default"/>
                <w:color w:val="auto"/>
                <w:lang w:eastAsia="zh-CN"/>
              </w:rPr>
              <w:t>。</w:t>
            </w:r>
          </w:p>
        </w:tc>
        <w:tc>
          <w:tcPr>
            <w:tcW w:w="3234" w:type="dxa"/>
            <w:noWrap w:val="0"/>
            <w:vAlign w:val="center"/>
          </w:tcPr>
          <w:p>
            <w:pPr>
              <w:pStyle w:val="18"/>
              <w:bidi w:val="0"/>
              <w:rPr>
                <w:rFonts w:hint="default"/>
                <w:color w:val="auto"/>
              </w:rPr>
            </w:pPr>
            <w:r>
              <w:rPr>
                <w:rFonts w:hint="default"/>
                <w:color w:val="auto"/>
              </w:rPr>
              <w:t>影响小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772" w:type="dxa"/>
            <w:vMerge w:val="continue"/>
            <w:noWrap w:val="0"/>
            <w:vAlign w:val="center"/>
          </w:tcPr>
          <w:p>
            <w:pPr>
              <w:pStyle w:val="18"/>
              <w:bidi w:val="0"/>
              <w:rPr>
                <w:rFonts w:hint="default"/>
                <w:color w:val="auto"/>
                <w:lang w:eastAsia="zh-CN"/>
              </w:rPr>
            </w:pPr>
          </w:p>
        </w:tc>
        <w:tc>
          <w:tcPr>
            <w:tcW w:w="585" w:type="dxa"/>
            <w:vMerge w:val="restart"/>
            <w:noWrap w:val="0"/>
            <w:vAlign w:val="center"/>
          </w:tcPr>
          <w:p>
            <w:pPr>
              <w:pStyle w:val="18"/>
              <w:bidi w:val="0"/>
              <w:rPr>
                <w:rFonts w:hint="default"/>
                <w:color w:val="auto"/>
                <w:lang w:eastAsia="zh-CN"/>
              </w:rPr>
            </w:pPr>
            <w:r>
              <w:rPr>
                <w:rFonts w:hint="default"/>
                <w:color w:val="auto"/>
                <w:lang w:eastAsia="zh-CN"/>
              </w:rPr>
              <w:t>营运期</w:t>
            </w:r>
          </w:p>
        </w:tc>
        <w:tc>
          <w:tcPr>
            <w:tcW w:w="1171" w:type="dxa"/>
            <w:noWrap w:val="0"/>
            <w:vAlign w:val="center"/>
          </w:tcPr>
          <w:p>
            <w:pPr>
              <w:pStyle w:val="18"/>
              <w:bidi w:val="0"/>
              <w:rPr>
                <w:rFonts w:hint="default"/>
                <w:color w:val="auto"/>
                <w:lang w:eastAsia="zh-CN"/>
              </w:rPr>
            </w:pPr>
            <w:r>
              <w:rPr>
                <w:rFonts w:hint="eastAsia"/>
                <w:color w:val="auto"/>
                <w:lang w:eastAsia="zh-CN"/>
              </w:rPr>
              <w:t>调漆、喷漆、晾干</w:t>
            </w:r>
          </w:p>
        </w:tc>
        <w:tc>
          <w:tcPr>
            <w:tcW w:w="1378" w:type="dxa"/>
            <w:noWrap w:val="0"/>
            <w:vAlign w:val="center"/>
          </w:tcPr>
          <w:p>
            <w:pPr>
              <w:pStyle w:val="18"/>
              <w:bidi w:val="0"/>
              <w:rPr>
                <w:rFonts w:hint="default"/>
                <w:color w:val="auto"/>
                <w:lang w:val="en-US" w:eastAsia="zh-CN"/>
              </w:rPr>
            </w:pPr>
            <w:r>
              <w:rPr>
                <w:rFonts w:hint="eastAsia"/>
                <w:color w:val="auto"/>
                <w:lang w:eastAsia="zh-CN"/>
              </w:rPr>
              <w:t>VOC</w:t>
            </w:r>
            <w:r>
              <w:rPr>
                <w:rFonts w:hint="eastAsia"/>
                <w:color w:val="auto"/>
                <w:lang w:val="en-US" w:eastAsia="zh-CN"/>
              </w:rPr>
              <w:t>s</w:t>
            </w:r>
            <w:r>
              <w:rPr>
                <w:rFonts w:hint="eastAsia"/>
                <w:color w:val="auto"/>
                <w:lang w:eastAsia="zh-CN"/>
              </w:rPr>
              <w:t>、漆雾</w:t>
            </w:r>
          </w:p>
        </w:tc>
        <w:tc>
          <w:tcPr>
            <w:tcW w:w="1977" w:type="dxa"/>
            <w:noWrap w:val="0"/>
            <w:vAlign w:val="center"/>
          </w:tcPr>
          <w:p>
            <w:pPr>
              <w:pStyle w:val="18"/>
              <w:bidi w:val="0"/>
              <w:rPr>
                <w:rFonts w:hint="default"/>
                <w:color w:val="auto"/>
                <w:lang w:eastAsia="zh-CN"/>
              </w:rPr>
            </w:pPr>
            <w:r>
              <w:rPr>
                <w:rFonts w:hint="default"/>
                <w:color w:val="auto"/>
                <w:lang w:val="en-US" w:eastAsia="zh-CN"/>
              </w:rPr>
              <w:t>调漆、喷漆、晾干均在喷漆房内密闭进行，废气经负压风机收集至</w:t>
            </w:r>
            <w:r>
              <w:rPr>
                <w:rFonts w:hint="eastAsia"/>
                <w:color w:val="auto"/>
                <w:lang w:val="en-US" w:eastAsia="zh-CN"/>
              </w:rPr>
              <w:t>过滤棉+活性炭</w:t>
            </w:r>
            <w:r>
              <w:rPr>
                <w:rFonts w:hint="default"/>
                <w:color w:val="auto"/>
                <w:lang w:val="en-US" w:eastAsia="zh-CN"/>
              </w:rPr>
              <w:t>装置处理后，经</w:t>
            </w:r>
            <w:r>
              <w:rPr>
                <w:rFonts w:hint="eastAsia"/>
                <w:color w:val="auto"/>
                <w:lang w:val="en-US" w:eastAsia="zh-CN"/>
              </w:rPr>
              <w:t>1</w:t>
            </w:r>
            <w:r>
              <w:rPr>
                <w:rFonts w:hint="default"/>
                <w:color w:val="auto"/>
                <w:lang w:val="en-US" w:eastAsia="zh-CN"/>
              </w:rPr>
              <w:t>根15m高排气筒排放</w:t>
            </w:r>
          </w:p>
        </w:tc>
        <w:tc>
          <w:tcPr>
            <w:tcW w:w="3234" w:type="dxa"/>
            <w:noWrap w:val="0"/>
            <w:vAlign w:val="center"/>
          </w:tcPr>
          <w:p>
            <w:pPr>
              <w:pStyle w:val="18"/>
              <w:bidi w:val="0"/>
              <w:rPr>
                <w:rFonts w:hint="default"/>
                <w:color w:val="auto"/>
                <w:lang w:val="en-US"/>
              </w:rPr>
            </w:pPr>
            <w:r>
              <w:rPr>
                <w:rFonts w:hint="eastAsia"/>
                <w:color w:val="auto"/>
                <w:lang w:eastAsia="zh-CN"/>
              </w:rPr>
              <w:t>有组织排放</w:t>
            </w:r>
            <w:r>
              <w:rPr>
                <w:rFonts w:hint="default"/>
                <w:color w:val="auto"/>
              </w:rPr>
              <w:t>达</w:t>
            </w:r>
            <w:r>
              <w:rPr>
                <w:rFonts w:hint="eastAsia"/>
                <w:color w:val="auto"/>
                <w:lang w:eastAsia="zh-CN"/>
              </w:rPr>
              <w:t>到</w:t>
            </w:r>
            <w:r>
              <w:rPr>
                <w:rFonts w:hint="default"/>
                <w:color w:val="auto"/>
              </w:rPr>
              <w:t>《大气污染物综合排放标准》</w:t>
            </w:r>
            <w:r>
              <w:rPr>
                <w:rFonts w:hint="default"/>
                <w:color w:val="auto"/>
                <w:lang w:eastAsia="zh-CN"/>
              </w:rPr>
              <w:t>（</w:t>
            </w:r>
            <w:r>
              <w:rPr>
                <w:rFonts w:hint="default"/>
                <w:color w:val="auto"/>
              </w:rPr>
              <w:t>GB16297-1996</w:t>
            </w:r>
            <w:r>
              <w:rPr>
                <w:rFonts w:hint="default"/>
                <w:color w:val="auto"/>
                <w:lang w:eastAsia="zh-CN"/>
              </w:rPr>
              <w:t>）</w:t>
            </w:r>
            <w:r>
              <w:rPr>
                <w:rFonts w:hint="eastAsia"/>
                <w:color w:val="auto"/>
                <w:lang w:eastAsia="zh-CN"/>
              </w:rPr>
              <w:t>表</w:t>
            </w:r>
            <w:r>
              <w:rPr>
                <w:rFonts w:hint="eastAsia"/>
                <w:color w:val="auto"/>
                <w:lang w:val="en-US" w:eastAsia="zh-CN"/>
              </w:rPr>
              <w:t>2二级标准（颗粒物≤120mg/m</w:t>
            </w:r>
            <w:r>
              <w:rPr>
                <w:rFonts w:hint="eastAsia"/>
                <w:color w:val="auto"/>
                <w:vertAlign w:val="superscript"/>
                <w:lang w:val="en-US" w:eastAsia="zh-CN"/>
              </w:rPr>
              <w:t>3</w:t>
            </w:r>
            <w:r>
              <w:rPr>
                <w:rFonts w:hint="eastAsia"/>
                <w:color w:val="auto"/>
                <w:lang w:val="en-US" w:eastAsia="zh-CN"/>
              </w:rPr>
              <w:t>、≤3.5kg/h，非甲烷总烃≤120mg/m</w:t>
            </w:r>
            <w:r>
              <w:rPr>
                <w:rFonts w:hint="eastAsia"/>
                <w:color w:val="auto"/>
                <w:vertAlign w:val="superscript"/>
                <w:lang w:val="en-US" w:eastAsia="zh-CN"/>
              </w:rPr>
              <w:t>3</w:t>
            </w:r>
            <w:r>
              <w:rPr>
                <w:rFonts w:hint="eastAsia"/>
                <w:color w:val="auto"/>
                <w:lang w:val="en-US" w:eastAsia="zh-CN"/>
              </w:rPr>
              <w:t>、≤10kg/h）；无组织排放颗粒物达到</w:t>
            </w:r>
            <w:r>
              <w:rPr>
                <w:rFonts w:hint="default"/>
                <w:color w:val="auto"/>
              </w:rPr>
              <w:t>《大气污染物综合排放标准》（GB16297-1996）表2无组织排放标准</w:t>
            </w:r>
            <w:r>
              <w:rPr>
                <w:rFonts w:hint="eastAsia"/>
                <w:color w:val="auto"/>
                <w:lang w:eastAsia="zh-CN"/>
              </w:rPr>
              <w:t>（颗粒物≤</w:t>
            </w:r>
            <w:r>
              <w:rPr>
                <w:rFonts w:hint="eastAsia"/>
                <w:color w:val="auto"/>
                <w:lang w:val="en-US" w:eastAsia="zh-CN"/>
              </w:rPr>
              <w:t>1.0mg/m</w:t>
            </w:r>
            <w:r>
              <w:rPr>
                <w:rFonts w:hint="eastAsia"/>
                <w:color w:val="auto"/>
                <w:vertAlign w:val="superscript"/>
                <w:lang w:val="en-US" w:eastAsia="zh-CN"/>
              </w:rPr>
              <w:t>3</w:t>
            </w:r>
            <w:r>
              <w:rPr>
                <w:rFonts w:hint="eastAsia"/>
                <w:color w:val="auto"/>
                <w:lang w:eastAsia="zh-CN"/>
              </w:rPr>
              <w:t>）、无组织排放</w:t>
            </w:r>
            <w:r>
              <w:rPr>
                <w:rFonts w:hint="eastAsia"/>
                <w:color w:val="auto"/>
                <w:lang w:val="en-US" w:eastAsia="zh-CN"/>
              </w:rPr>
              <w:t>VOCs达到《挥发性有机物无组织排放控制标准》（GB37822-2019）附录A表A.1中NMHC特别排放限值（监控点处1h平均浓度值：6 mg/m</w:t>
            </w:r>
            <w:r>
              <w:rPr>
                <w:rFonts w:hint="eastAsia"/>
                <w:color w:val="auto"/>
                <w:vertAlign w:val="superscript"/>
                <w:lang w:val="en-US" w:eastAsia="zh-CN"/>
              </w:rPr>
              <w:t>3</w:t>
            </w:r>
            <w:r>
              <w:rPr>
                <w:rFonts w:hint="eastAsia"/>
                <w:color w:val="auto"/>
                <w:lang w:val="en-US" w:eastAsia="zh-CN"/>
              </w:rPr>
              <w:t>；监控点处任意一次浓度值：20 mg/m</w:t>
            </w:r>
            <w:r>
              <w:rPr>
                <w:rFonts w:hint="eastAsia"/>
                <w:color w:val="auto"/>
                <w:vertAlign w:val="superscript"/>
                <w:lang w:val="en-US" w:eastAsia="zh-CN"/>
              </w:rPr>
              <w:t>3</w:t>
            </w:r>
            <w:r>
              <w:rPr>
                <w:rFonts w:hint="eastAsia"/>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772" w:type="dxa"/>
            <w:vMerge w:val="continue"/>
            <w:noWrap w:val="0"/>
            <w:vAlign w:val="center"/>
          </w:tcPr>
          <w:p>
            <w:pPr>
              <w:pStyle w:val="18"/>
              <w:bidi w:val="0"/>
              <w:rPr>
                <w:rFonts w:hint="default"/>
                <w:color w:val="auto"/>
                <w:lang w:eastAsia="zh-CN"/>
              </w:rPr>
            </w:pPr>
          </w:p>
        </w:tc>
        <w:tc>
          <w:tcPr>
            <w:tcW w:w="585" w:type="dxa"/>
            <w:vMerge w:val="continue"/>
            <w:noWrap w:val="0"/>
            <w:vAlign w:val="center"/>
          </w:tcPr>
          <w:p>
            <w:pPr>
              <w:pStyle w:val="18"/>
              <w:bidi w:val="0"/>
              <w:rPr>
                <w:rFonts w:hint="default"/>
                <w:color w:val="auto"/>
                <w:lang w:eastAsia="zh-CN"/>
              </w:rPr>
            </w:pPr>
          </w:p>
        </w:tc>
        <w:tc>
          <w:tcPr>
            <w:tcW w:w="1171" w:type="dxa"/>
            <w:noWrap w:val="0"/>
            <w:vAlign w:val="center"/>
          </w:tcPr>
          <w:p>
            <w:pPr>
              <w:pStyle w:val="18"/>
              <w:bidi w:val="0"/>
              <w:ind w:right="0" w:rightChars="0" w:firstLine="0" w:firstLineChars="0"/>
              <w:rPr>
                <w:rFonts w:hint="eastAsia"/>
                <w:color w:val="auto"/>
                <w:lang w:eastAsia="zh-CN"/>
              </w:rPr>
            </w:pPr>
            <w:r>
              <w:rPr>
                <w:rFonts w:hint="eastAsia"/>
                <w:color w:val="auto"/>
                <w:lang w:eastAsia="zh-CN"/>
              </w:rPr>
              <w:t>加工粉尘</w:t>
            </w:r>
          </w:p>
        </w:tc>
        <w:tc>
          <w:tcPr>
            <w:tcW w:w="1378" w:type="dxa"/>
            <w:noWrap w:val="0"/>
            <w:vAlign w:val="center"/>
          </w:tcPr>
          <w:p>
            <w:pPr>
              <w:pStyle w:val="18"/>
              <w:bidi w:val="0"/>
              <w:ind w:right="0" w:rightChars="0" w:firstLine="0" w:firstLineChars="0"/>
              <w:rPr>
                <w:rFonts w:hint="default"/>
                <w:color w:val="auto"/>
                <w:lang w:eastAsia="zh-CN"/>
              </w:rPr>
            </w:pPr>
            <w:r>
              <w:rPr>
                <w:rFonts w:hint="eastAsia"/>
                <w:color w:val="auto"/>
                <w:lang w:eastAsia="zh-CN"/>
              </w:rPr>
              <w:t>颗粒物</w:t>
            </w:r>
          </w:p>
        </w:tc>
        <w:tc>
          <w:tcPr>
            <w:tcW w:w="1977" w:type="dxa"/>
            <w:noWrap w:val="0"/>
            <w:vAlign w:val="center"/>
          </w:tcPr>
          <w:p>
            <w:pPr>
              <w:pStyle w:val="18"/>
              <w:bidi w:val="0"/>
              <w:ind w:right="0" w:rightChars="0" w:firstLine="0" w:firstLineChars="0"/>
              <w:rPr>
                <w:rFonts w:hint="default"/>
                <w:color w:val="auto"/>
                <w:lang w:val="en-US" w:eastAsia="zh-CN"/>
              </w:rPr>
            </w:pPr>
            <w:r>
              <w:rPr>
                <w:rFonts w:hint="eastAsia"/>
                <w:color w:val="auto"/>
                <w:lang w:eastAsia="zh-CN"/>
              </w:rPr>
              <w:t>移动式除尘器处理后，经过车间自然沉降后厂界达标排放</w:t>
            </w:r>
          </w:p>
        </w:tc>
        <w:tc>
          <w:tcPr>
            <w:tcW w:w="3234" w:type="dxa"/>
            <w:vMerge w:val="restart"/>
            <w:noWrap w:val="0"/>
            <w:vAlign w:val="center"/>
          </w:tcPr>
          <w:p>
            <w:pPr>
              <w:pStyle w:val="18"/>
              <w:bidi w:val="0"/>
              <w:rPr>
                <w:rFonts w:hint="eastAsia" w:eastAsia="宋体"/>
                <w:color w:val="auto"/>
                <w:lang w:eastAsia="zh-CN"/>
              </w:rPr>
            </w:pPr>
            <w:r>
              <w:rPr>
                <w:rFonts w:hint="eastAsia"/>
                <w:color w:val="auto"/>
                <w:lang w:eastAsia="zh-CN"/>
              </w:rPr>
              <w:t>厂界</w:t>
            </w:r>
            <w:r>
              <w:rPr>
                <w:rFonts w:hint="default"/>
                <w:color w:val="auto"/>
              </w:rPr>
              <w:t>达</w:t>
            </w:r>
            <w:r>
              <w:rPr>
                <w:rFonts w:hint="default"/>
                <w:color w:val="auto"/>
                <w:lang w:eastAsia="zh-CN"/>
              </w:rPr>
              <w:t>到</w:t>
            </w:r>
            <w:r>
              <w:rPr>
                <w:rFonts w:hint="default"/>
                <w:color w:val="auto"/>
              </w:rPr>
              <w:t>《大气污染物综合排放标准》（GB16297-1996）表2无组织排放标准</w:t>
            </w:r>
            <w:r>
              <w:rPr>
                <w:rFonts w:hint="eastAsia"/>
                <w:color w:val="auto"/>
                <w:lang w:eastAsia="zh-CN"/>
              </w:rPr>
              <w:t>（颗粒物≤</w:t>
            </w:r>
            <w:r>
              <w:rPr>
                <w:rFonts w:hint="eastAsia"/>
                <w:color w:val="auto"/>
                <w:lang w:val="en-US" w:eastAsia="zh-CN"/>
              </w:rPr>
              <w:t>1.0mg/m</w:t>
            </w:r>
            <w:r>
              <w:rPr>
                <w:rFonts w:hint="eastAsia"/>
                <w:color w:val="auto"/>
                <w:vertAlign w:val="superscript"/>
                <w:lang w:val="en-US" w:eastAsia="zh-CN"/>
              </w:rPr>
              <w:t>3</w:t>
            </w:r>
            <w:r>
              <w:rPr>
                <w:rFonts w:hint="eastAsia"/>
                <w:color w:va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772" w:type="dxa"/>
            <w:vMerge w:val="continue"/>
            <w:noWrap w:val="0"/>
            <w:vAlign w:val="center"/>
          </w:tcPr>
          <w:p>
            <w:pPr>
              <w:pStyle w:val="18"/>
              <w:bidi w:val="0"/>
              <w:rPr>
                <w:rFonts w:hint="default"/>
                <w:color w:val="auto"/>
                <w:lang w:eastAsia="zh-CN"/>
              </w:rPr>
            </w:pPr>
          </w:p>
        </w:tc>
        <w:tc>
          <w:tcPr>
            <w:tcW w:w="585" w:type="dxa"/>
            <w:vMerge w:val="continue"/>
            <w:noWrap w:val="0"/>
            <w:vAlign w:val="center"/>
          </w:tcPr>
          <w:p>
            <w:pPr>
              <w:pStyle w:val="18"/>
              <w:bidi w:val="0"/>
              <w:rPr>
                <w:rFonts w:hint="default"/>
                <w:color w:val="auto"/>
                <w:lang w:eastAsia="zh-CN"/>
              </w:rPr>
            </w:pPr>
          </w:p>
        </w:tc>
        <w:tc>
          <w:tcPr>
            <w:tcW w:w="1171" w:type="dxa"/>
            <w:noWrap w:val="0"/>
            <w:vAlign w:val="center"/>
          </w:tcPr>
          <w:p>
            <w:pPr>
              <w:pStyle w:val="18"/>
              <w:bidi w:val="0"/>
              <w:rPr>
                <w:rFonts w:hint="default"/>
                <w:color w:val="auto"/>
                <w:lang w:eastAsia="zh-CN"/>
              </w:rPr>
            </w:pPr>
            <w:r>
              <w:rPr>
                <w:rFonts w:hint="default"/>
                <w:color w:val="auto"/>
                <w:lang w:eastAsia="zh-CN"/>
              </w:rPr>
              <w:t>焊接及切割</w:t>
            </w:r>
          </w:p>
        </w:tc>
        <w:tc>
          <w:tcPr>
            <w:tcW w:w="1378" w:type="dxa"/>
            <w:noWrap w:val="0"/>
            <w:vAlign w:val="center"/>
          </w:tcPr>
          <w:p>
            <w:pPr>
              <w:pStyle w:val="18"/>
              <w:bidi w:val="0"/>
              <w:rPr>
                <w:rFonts w:hint="default"/>
                <w:color w:val="auto"/>
                <w:lang w:eastAsia="zh-CN"/>
              </w:rPr>
            </w:pPr>
            <w:r>
              <w:rPr>
                <w:rFonts w:hint="default"/>
                <w:color w:val="auto"/>
                <w:lang w:eastAsia="zh-CN"/>
              </w:rPr>
              <w:t>烟尘</w:t>
            </w:r>
          </w:p>
        </w:tc>
        <w:tc>
          <w:tcPr>
            <w:tcW w:w="1977" w:type="dxa"/>
            <w:noWrap w:val="0"/>
            <w:vAlign w:val="center"/>
          </w:tcPr>
          <w:p>
            <w:pPr>
              <w:pStyle w:val="18"/>
              <w:bidi w:val="0"/>
              <w:rPr>
                <w:rFonts w:hint="default"/>
                <w:color w:val="auto"/>
              </w:rPr>
            </w:pPr>
            <w:r>
              <w:rPr>
                <w:rFonts w:hint="eastAsia"/>
                <w:color w:val="auto"/>
                <w:lang w:eastAsia="zh-CN"/>
              </w:rPr>
              <w:t>移动式除尘器处理后，经过车间自然沉降后厂界达标排放</w:t>
            </w:r>
          </w:p>
        </w:tc>
        <w:tc>
          <w:tcPr>
            <w:tcW w:w="3234" w:type="dxa"/>
            <w:vMerge w:val="continue"/>
            <w:noWrap w:val="0"/>
            <w:vAlign w:val="center"/>
          </w:tcPr>
          <w:p>
            <w:pPr>
              <w:pStyle w:val="18"/>
              <w:bidi w:val="0"/>
              <w:rPr>
                <w:rFonts w:hint="default"/>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2" w:type="dxa"/>
            <w:noWrap w:val="0"/>
            <w:vAlign w:val="center"/>
          </w:tcPr>
          <w:p>
            <w:pPr>
              <w:pStyle w:val="18"/>
              <w:bidi w:val="0"/>
              <w:rPr>
                <w:rFonts w:hint="default"/>
                <w:color w:val="auto"/>
              </w:rPr>
            </w:pPr>
            <w:r>
              <w:rPr>
                <w:rFonts w:hint="default"/>
                <w:color w:val="auto"/>
              </w:rPr>
              <w:t>水污染物</w:t>
            </w:r>
          </w:p>
        </w:tc>
        <w:tc>
          <w:tcPr>
            <w:tcW w:w="585" w:type="dxa"/>
            <w:noWrap w:val="0"/>
            <w:vAlign w:val="center"/>
          </w:tcPr>
          <w:p>
            <w:pPr>
              <w:pStyle w:val="18"/>
              <w:bidi w:val="0"/>
              <w:rPr>
                <w:rFonts w:hint="default"/>
                <w:color w:val="auto"/>
                <w:lang w:eastAsia="zh-CN"/>
              </w:rPr>
            </w:pPr>
            <w:r>
              <w:rPr>
                <w:rFonts w:hint="default"/>
                <w:color w:val="auto"/>
                <w:lang w:eastAsia="zh-CN"/>
              </w:rPr>
              <w:t>施工期</w:t>
            </w:r>
          </w:p>
        </w:tc>
        <w:tc>
          <w:tcPr>
            <w:tcW w:w="1171" w:type="dxa"/>
            <w:noWrap w:val="0"/>
            <w:vAlign w:val="center"/>
          </w:tcPr>
          <w:p>
            <w:pPr>
              <w:pStyle w:val="18"/>
              <w:bidi w:val="0"/>
              <w:rPr>
                <w:rFonts w:hint="default"/>
                <w:color w:val="auto"/>
                <w:lang w:eastAsia="zh-CN"/>
              </w:rPr>
            </w:pPr>
            <w:r>
              <w:rPr>
                <w:rFonts w:hint="default"/>
                <w:color w:val="auto"/>
                <w:lang w:eastAsia="zh-CN"/>
              </w:rPr>
              <w:t>装修</w:t>
            </w:r>
          </w:p>
        </w:tc>
        <w:tc>
          <w:tcPr>
            <w:tcW w:w="1378" w:type="dxa"/>
            <w:noWrap w:val="0"/>
            <w:vAlign w:val="center"/>
          </w:tcPr>
          <w:p>
            <w:pPr>
              <w:pStyle w:val="18"/>
              <w:bidi w:val="0"/>
              <w:rPr>
                <w:rFonts w:hint="default"/>
                <w:color w:val="auto"/>
                <w:lang w:eastAsia="zh-CN"/>
              </w:rPr>
            </w:pPr>
            <w:r>
              <w:rPr>
                <w:rFonts w:hint="default"/>
                <w:color w:val="auto"/>
                <w:lang w:eastAsia="zh-CN"/>
              </w:rPr>
              <w:t>装修废水</w:t>
            </w:r>
          </w:p>
        </w:tc>
        <w:tc>
          <w:tcPr>
            <w:tcW w:w="1977" w:type="dxa"/>
            <w:noWrap w:val="0"/>
            <w:vAlign w:val="center"/>
          </w:tcPr>
          <w:p>
            <w:pPr>
              <w:pStyle w:val="18"/>
              <w:bidi w:val="0"/>
              <w:rPr>
                <w:rFonts w:hint="default"/>
                <w:color w:val="auto"/>
                <w:lang w:eastAsia="zh-CN"/>
              </w:rPr>
            </w:pPr>
            <w:r>
              <w:rPr>
                <w:rFonts w:hint="default"/>
                <w:color w:val="auto"/>
                <w:lang w:eastAsia="zh-CN"/>
              </w:rPr>
              <w:t>用于洒水降尘</w:t>
            </w:r>
          </w:p>
        </w:tc>
        <w:tc>
          <w:tcPr>
            <w:tcW w:w="3234" w:type="dxa"/>
            <w:noWrap w:val="0"/>
            <w:vAlign w:val="center"/>
          </w:tcPr>
          <w:p>
            <w:pPr>
              <w:pStyle w:val="18"/>
              <w:bidi w:val="0"/>
              <w:rPr>
                <w:rFonts w:hint="default"/>
                <w:color w:val="auto"/>
                <w:lang w:eastAsia="zh-CN"/>
              </w:rPr>
            </w:pPr>
            <w:r>
              <w:rPr>
                <w:rFonts w:hint="default"/>
                <w:color w:val="auto"/>
                <w:lang w:eastAsia="zh-CN"/>
              </w:rPr>
              <w:t>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2" w:type="dxa"/>
            <w:vMerge w:val="restart"/>
            <w:noWrap w:val="0"/>
            <w:vAlign w:val="center"/>
          </w:tcPr>
          <w:p>
            <w:pPr>
              <w:pStyle w:val="18"/>
              <w:bidi w:val="0"/>
              <w:rPr>
                <w:rFonts w:hint="default"/>
                <w:color w:val="auto"/>
              </w:rPr>
            </w:pPr>
            <w:r>
              <w:rPr>
                <w:rFonts w:hint="default"/>
                <w:color w:val="auto"/>
              </w:rPr>
              <w:t>固</w:t>
            </w:r>
          </w:p>
          <w:p>
            <w:pPr>
              <w:pStyle w:val="18"/>
              <w:bidi w:val="0"/>
              <w:rPr>
                <w:rFonts w:hint="default"/>
                <w:color w:val="auto"/>
              </w:rPr>
            </w:pPr>
            <w:r>
              <w:rPr>
                <w:rFonts w:hint="default"/>
                <w:color w:val="auto"/>
              </w:rPr>
              <w:t>体</w:t>
            </w:r>
          </w:p>
          <w:p>
            <w:pPr>
              <w:pStyle w:val="18"/>
              <w:bidi w:val="0"/>
              <w:rPr>
                <w:rFonts w:hint="default"/>
                <w:color w:val="auto"/>
              </w:rPr>
            </w:pPr>
            <w:r>
              <w:rPr>
                <w:rFonts w:hint="default"/>
                <w:color w:val="auto"/>
              </w:rPr>
              <w:t>废</w:t>
            </w:r>
          </w:p>
          <w:p>
            <w:pPr>
              <w:pStyle w:val="18"/>
              <w:bidi w:val="0"/>
              <w:rPr>
                <w:rFonts w:hint="default"/>
                <w:color w:val="auto"/>
              </w:rPr>
            </w:pPr>
            <w:r>
              <w:rPr>
                <w:rFonts w:hint="default"/>
                <w:color w:val="auto"/>
              </w:rPr>
              <w:t>物</w:t>
            </w:r>
          </w:p>
        </w:tc>
        <w:tc>
          <w:tcPr>
            <w:tcW w:w="585" w:type="dxa"/>
            <w:vMerge w:val="restart"/>
            <w:noWrap w:val="0"/>
            <w:vAlign w:val="center"/>
          </w:tcPr>
          <w:p>
            <w:pPr>
              <w:pStyle w:val="18"/>
              <w:bidi w:val="0"/>
              <w:rPr>
                <w:rFonts w:hint="default"/>
                <w:color w:val="auto"/>
                <w:lang w:eastAsia="zh-CN"/>
              </w:rPr>
            </w:pPr>
            <w:r>
              <w:rPr>
                <w:rFonts w:hint="default"/>
                <w:color w:val="auto"/>
                <w:lang w:eastAsia="zh-CN"/>
              </w:rPr>
              <w:t>施工期</w:t>
            </w:r>
          </w:p>
        </w:tc>
        <w:tc>
          <w:tcPr>
            <w:tcW w:w="1171" w:type="dxa"/>
            <w:noWrap w:val="0"/>
            <w:vAlign w:val="center"/>
          </w:tcPr>
          <w:p>
            <w:pPr>
              <w:pStyle w:val="18"/>
              <w:bidi w:val="0"/>
              <w:rPr>
                <w:rFonts w:hint="default"/>
                <w:color w:val="auto"/>
                <w:lang w:eastAsia="zh-CN"/>
              </w:rPr>
            </w:pPr>
            <w:r>
              <w:rPr>
                <w:rFonts w:hint="default"/>
                <w:color w:val="auto"/>
                <w:lang w:eastAsia="zh-CN"/>
              </w:rPr>
              <w:t>装修、设备安装</w:t>
            </w:r>
          </w:p>
        </w:tc>
        <w:tc>
          <w:tcPr>
            <w:tcW w:w="1378" w:type="dxa"/>
            <w:noWrap w:val="0"/>
            <w:vAlign w:val="center"/>
          </w:tcPr>
          <w:p>
            <w:pPr>
              <w:pStyle w:val="18"/>
              <w:bidi w:val="0"/>
              <w:rPr>
                <w:rFonts w:hint="default"/>
                <w:color w:val="auto"/>
                <w:lang w:eastAsia="zh-CN"/>
              </w:rPr>
            </w:pPr>
            <w:r>
              <w:rPr>
                <w:rFonts w:hint="default"/>
                <w:color w:val="auto"/>
                <w:lang w:eastAsia="zh-CN"/>
              </w:rPr>
              <w:t>装修边角料、设备包装</w:t>
            </w:r>
          </w:p>
        </w:tc>
        <w:tc>
          <w:tcPr>
            <w:tcW w:w="1977" w:type="dxa"/>
            <w:noWrap w:val="0"/>
            <w:vAlign w:val="center"/>
          </w:tcPr>
          <w:p>
            <w:pPr>
              <w:pStyle w:val="18"/>
              <w:bidi w:val="0"/>
              <w:rPr>
                <w:rFonts w:hint="default"/>
                <w:color w:val="auto"/>
              </w:rPr>
            </w:pPr>
            <w:r>
              <w:rPr>
                <w:rFonts w:hint="default"/>
                <w:color w:val="auto"/>
                <w:lang w:eastAsia="zh-CN"/>
              </w:rPr>
              <w:t>可回收部分出售给废物回收站，不可回收部分同生活垃圾一块处置</w:t>
            </w:r>
          </w:p>
        </w:tc>
        <w:tc>
          <w:tcPr>
            <w:tcW w:w="3234" w:type="dxa"/>
            <w:vMerge w:val="restart"/>
            <w:noWrap w:val="0"/>
            <w:vAlign w:val="center"/>
          </w:tcPr>
          <w:p>
            <w:pPr>
              <w:pStyle w:val="18"/>
              <w:bidi w:val="0"/>
              <w:rPr>
                <w:rFonts w:hint="default"/>
                <w:color w:val="auto"/>
              </w:rPr>
            </w:pPr>
            <w:r>
              <w:rPr>
                <w:rFonts w:hint="default"/>
                <w:color w:val="auto"/>
              </w:rPr>
              <w:t>处置率100%，不直接外排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2" w:type="dxa"/>
            <w:vMerge w:val="continue"/>
            <w:noWrap w:val="0"/>
            <w:vAlign w:val="center"/>
          </w:tcPr>
          <w:p>
            <w:pPr>
              <w:pStyle w:val="18"/>
              <w:bidi w:val="0"/>
              <w:rPr>
                <w:rFonts w:hint="default"/>
                <w:color w:val="auto"/>
              </w:rPr>
            </w:pPr>
          </w:p>
        </w:tc>
        <w:tc>
          <w:tcPr>
            <w:tcW w:w="585" w:type="dxa"/>
            <w:vMerge w:val="continue"/>
            <w:noWrap w:val="0"/>
            <w:vAlign w:val="center"/>
          </w:tcPr>
          <w:p>
            <w:pPr>
              <w:pStyle w:val="18"/>
              <w:bidi w:val="0"/>
              <w:rPr>
                <w:rFonts w:hint="default"/>
                <w:color w:val="auto"/>
                <w:lang w:eastAsia="zh-CN"/>
              </w:rPr>
            </w:pPr>
          </w:p>
        </w:tc>
        <w:tc>
          <w:tcPr>
            <w:tcW w:w="1171" w:type="dxa"/>
            <w:noWrap w:val="0"/>
            <w:vAlign w:val="center"/>
          </w:tcPr>
          <w:p>
            <w:pPr>
              <w:pStyle w:val="18"/>
              <w:bidi w:val="0"/>
              <w:rPr>
                <w:rFonts w:hint="default"/>
                <w:color w:val="auto"/>
                <w:lang w:eastAsia="zh-CN"/>
              </w:rPr>
            </w:pPr>
            <w:r>
              <w:rPr>
                <w:rFonts w:hint="default"/>
                <w:color w:val="auto"/>
                <w:lang w:eastAsia="zh-CN"/>
              </w:rPr>
              <w:t>施工人员</w:t>
            </w:r>
          </w:p>
        </w:tc>
        <w:tc>
          <w:tcPr>
            <w:tcW w:w="1378" w:type="dxa"/>
            <w:noWrap w:val="0"/>
            <w:vAlign w:val="center"/>
          </w:tcPr>
          <w:p>
            <w:pPr>
              <w:pStyle w:val="18"/>
              <w:bidi w:val="0"/>
              <w:rPr>
                <w:rFonts w:hint="default"/>
                <w:color w:val="auto"/>
                <w:lang w:eastAsia="zh-CN"/>
              </w:rPr>
            </w:pPr>
            <w:r>
              <w:rPr>
                <w:rFonts w:hint="default"/>
                <w:color w:val="auto"/>
                <w:lang w:eastAsia="zh-CN"/>
              </w:rPr>
              <w:t>生活垃圾</w:t>
            </w:r>
          </w:p>
        </w:tc>
        <w:tc>
          <w:tcPr>
            <w:tcW w:w="1977" w:type="dxa"/>
            <w:noWrap w:val="0"/>
            <w:vAlign w:val="center"/>
          </w:tcPr>
          <w:p>
            <w:pPr>
              <w:pStyle w:val="18"/>
              <w:bidi w:val="0"/>
              <w:rPr>
                <w:rFonts w:hint="default"/>
                <w:color w:val="auto"/>
                <w:lang w:eastAsia="zh-CN"/>
              </w:rPr>
            </w:pPr>
            <w:r>
              <w:rPr>
                <w:rFonts w:hint="default"/>
                <w:color w:val="auto"/>
                <w:lang w:val="en-US" w:eastAsia="zh-CN"/>
              </w:rPr>
              <w:t>收集清运至园区垃圾收集处，由环卫部门处理</w:t>
            </w:r>
          </w:p>
        </w:tc>
        <w:tc>
          <w:tcPr>
            <w:tcW w:w="3234" w:type="dxa"/>
            <w:vMerge w:val="continue"/>
            <w:noWrap w:val="0"/>
            <w:vAlign w:val="center"/>
          </w:tcPr>
          <w:p>
            <w:pPr>
              <w:pStyle w:val="18"/>
              <w:bidi w:val="0"/>
              <w:rPr>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2" w:type="dxa"/>
            <w:vMerge w:val="continue"/>
            <w:noWrap w:val="0"/>
            <w:vAlign w:val="center"/>
          </w:tcPr>
          <w:p>
            <w:pPr>
              <w:pStyle w:val="18"/>
              <w:bidi w:val="0"/>
              <w:rPr>
                <w:rFonts w:hint="default"/>
                <w:color w:val="auto"/>
              </w:rPr>
            </w:pPr>
          </w:p>
        </w:tc>
        <w:tc>
          <w:tcPr>
            <w:tcW w:w="585" w:type="dxa"/>
            <w:vMerge w:val="restart"/>
            <w:noWrap w:val="0"/>
            <w:vAlign w:val="center"/>
          </w:tcPr>
          <w:p>
            <w:pPr>
              <w:pStyle w:val="18"/>
              <w:bidi w:val="0"/>
              <w:rPr>
                <w:rFonts w:hint="default"/>
                <w:color w:val="auto"/>
                <w:lang w:eastAsia="zh-CN"/>
              </w:rPr>
            </w:pPr>
            <w:r>
              <w:rPr>
                <w:rFonts w:hint="default"/>
                <w:color w:val="auto"/>
                <w:lang w:eastAsia="zh-CN"/>
              </w:rPr>
              <w:t>营运期</w:t>
            </w:r>
          </w:p>
        </w:tc>
        <w:tc>
          <w:tcPr>
            <w:tcW w:w="1171" w:type="dxa"/>
            <w:vMerge w:val="restart"/>
            <w:noWrap w:val="0"/>
            <w:vAlign w:val="center"/>
          </w:tcPr>
          <w:p>
            <w:pPr>
              <w:pStyle w:val="18"/>
              <w:bidi w:val="0"/>
              <w:rPr>
                <w:rFonts w:hint="eastAsia" w:eastAsia="宋体"/>
                <w:color w:val="auto"/>
                <w:lang w:eastAsia="zh-CN"/>
              </w:rPr>
            </w:pPr>
            <w:r>
              <w:rPr>
                <w:rFonts w:hint="default"/>
                <w:color w:val="auto"/>
              </w:rPr>
              <w:t>生产</w:t>
            </w:r>
            <w:r>
              <w:rPr>
                <w:rFonts w:hint="eastAsia"/>
                <w:color w:val="auto"/>
                <w:lang w:eastAsia="zh-CN"/>
              </w:rPr>
              <w:t>工序</w:t>
            </w:r>
          </w:p>
        </w:tc>
        <w:tc>
          <w:tcPr>
            <w:tcW w:w="1378" w:type="dxa"/>
            <w:noWrap w:val="0"/>
            <w:vAlign w:val="center"/>
          </w:tcPr>
          <w:p>
            <w:pPr>
              <w:pStyle w:val="18"/>
              <w:bidi w:val="0"/>
              <w:rPr>
                <w:rFonts w:hint="default"/>
                <w:color w:val="auto"/>
              </w:rPr>
            </w:pPr>
            <w:r>
              <w:rPr>
                <w:rFonts w:hint="eastAsia"/>
                <w:color w:val="auto"/>
                <w:lang w:eastAsia="zh-CN"/>
              </w:rPr>
              <w:t>金属边角料</w:t>
            </w:r>
          </w:p>
        </w:tc>
        <w:tc>
          <w:tcPr>
            <w:tcW w:w="1977" w:type="dxa"/>
            <w:vMerge w:val="restart"/>
            <w:noWrap w:val="0"/>
            <w:vAlign w:val="center"/>
          </w:tcPr>
          <w:p>
            <w:pPr>
              <w:pStyle w:val="18"/>
              <w:bidi w:val="0"/>
              <w:rPr>
                <w:rFonts w:hint="default"/>
                <w:color w:val="auto"/>
                <w:lang w:eastAsia="zh-CN"/>
              </w:rPr>
            </w:pPr>
            <w:r>
              <w:rPr>
                <w:rFonts w:hint="eastAsia"/>
                <w:color w:val="auto"/>
                <w:lang w:eastAsia="zh-CN"/>
              </w:rPr>
              <w:t>收集后外售</w:t>
            </w:r>
          </w:p>
        </w:tc>
        <w:tc>
          <w:tcPr>
            <w:tcW w:w="3234" w:type="dxa"/>
            <w:vMerge w:val="continue"/>
            <w:noWrap w:val="0"/>
            <w:vAlign w:val="center"/>
          </w:tcPr>
          <w:p>
            <w:pPr>
              <w:pStyle w:val="18"/>
              <w:bidi w:val="0"/>
              <w:rPr>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2" w:type="dxa"/>
            <w:vMerge w:val="continue"/>
            <w:noWrap w:val="0"/>
            <w:vAlign w:val="center"/>
          </w:tcPr>
          <w:p>
            <w:pPr>
              <w:pStyle w:val="18"/>
              <w:bidi w:val="0"/>
              <w:rPr>
                <w:rFonts w:hint="default"/>
                <w:color w:val="auto"/>
              </w:rPr>
            </w:pPr>
          </w:p>
        </w:tc>
        <w:tc>
          <w:tcPr>
            <w:tcW w:w="585" w:type="dxa"/>
            <w:vMerge w:val="continue"/>
            <w:noWrap w:val="0"/>
            <w:vAlign w:val="center"/>
          </w:tcPr>
          <w:p>
            <w:pPr>
              <w:pStyle w:val="18"/>
              <w:bidi w:val="0"/>
              <w:rPr>
                <w:rFonts w:hint="default"/>
                <w:color w:val="auto"/>
              </w:rPr>
            </w:pPr>
          </w:p>
        </w:tc>
        <w:tc>
          <w:tcPr>
            <w:tcW w:w="1171" w:type="dxa"/>
            <w:vMerge w:val="continue"/>
            <w:noWrap w:val="0"/>
            <w:vAlign w:val="center"/>
          </w:tcPr>
          <w:p>
            <w:pPr>
              <w:pStyle w:val="18"/>
              <w:bidi w:val="0"/>
              <w:rPr>
                <w:rFonts w:hint="default"/>
                <w:color w:val="auto"/>
              </w:rPr>
            </w:pPr>
          </w:p>
        </w:tc>
        <w:tc>
          <w:tcPr>
            <w:tcW w:w="1378" w:type="dxa"/>
            <w:noWrap w:val="0"/>
            <w:vAlign w:val="center"/>
          </w:tcPr>
          <w:p>
            <w:pPr>
              <w:pStyle w:val="18"/>
              <w:bidi w:val="0"/>
              <w:rPr>
                <w:rFonts w:hint="default"/>
                <w:color w:val="auto"/>
                <w:lang w:eastAsia="zh-CN"/>
              </w:rPr>
            </w:pPr>
            <w:r>
              <w:rPr>
                <w:rFonts w:hint="eastAsia"/>
                <w:color w:val="auto"/>
                <w:lang w:eastAsia="zh-CN"/>
              </w:rPr>
              <w:t>收集的粉尘</w:t>
            </w:r>
          </w:p>
        </w:tc>
        <w:tc>
          <w:tcPr>
            <w:tcW w:w="1977" w:type="dxa"/>
            <w:vMerge w:val="continue"/>
            <w:noWrap w:val="0"/>
            <w:vAlign w:val="center"/>
          </w:tcPr>
          <w:p>
            <w:pPr>
              <w:pStyle w:val="18"/>
              <w:bidi w:val="0"/>
              <w:rPr>
                <w:rFonts w:hint="default"/>
                <w:color w:val="auto"/>
                <w:lang w:eastAsia="zh-CN"/>
              </w:rPr>
            </w:pPr>
          </w:p>
        </w:tc>
        <w:tc>
          <w:tcPr>
            <w:tcW w:w="3234" w:type="dxa"/>
            <w:vMerge w:val="continue"/>
            <w:noWrap w:val="0"/>
            <w:vAlign w:val="center"/>
          </w:tcPr>
          <w:p>
            <w:pPr>
              <w:pStyle w:val="18"/>
              <w:bidi w:val="0"/>
              <w:rPr>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72" w:type="dxa"/>
            <w:vMerge w:val="continue"/>
            <w:noWrap w:val="0"/>
            <w:vAlign w:val="center"/>
          </w:tcPr>
          <w:p>
            <w:pPr>
              <w:pStyle w:val="18"/>
              <w:bidi w:val="0"/>
              <w:rPr>
                <w:rFonts w:hint="default"/>
                <w:color w:val="auto"/>
              </w:rPr>
            </w:pPr>
          </w:p>
        </w:tc>
        <w:tc>
          <w:tcPr>
            <w:tcW w:w="585" w:type="dxa"/>
            <w:vMerge w:val="continue"/>
            <w:noWrap w:val="0"/>
            <w:vAlign w:val="center"/>
          </w:tcPr>
          <w:p>
            <w:pPr>
              <w:pStyle w:val="18"/>
              <w:bidi w:val="0"/>
              <w:rPr>
                <w:rFonts w:hint="default"/>
                <w:color w:val="auto"/>
              </w:rPr>
            </w:pPr>
          </w:p>
        </w:tc>
        <w:tc>
          <w:tcPr>
            <w:tcW w:w="1171" w:type="dxa"/>
            <w:vMerge w:val="continue"/>
            <w:noWrap w:val="0"/>
            <w:vAlign w:val="center"/>
          </w:tcPr>
          <w:p>
            <w:pPr>
              <w:pStyle w:val="18"/>
              <w:bidi w:val="0"/>
              <w:rPr>
                <w:rFonts w:hint="default"/>
                <w:color w:val="auto"/>
              </w:rPr>
            </w:pPr>
          </w:p>
        </w:tc>
        <w:tc>
          <w:tcPr>
            <w:tcW w:w="1378" w:type="dxa"/>
            <w:noWrap w:val="0"/>
            <w:vAlign w:val="center"/>
          </w:tcPr>
          <w:p>
            <w:pPr>
              <w:pStyle w:val="18"/>
              <w:bidi w:val="0"/>
              <w:rPr>
                <w:rFonts w:hint="default"/>
                <w:color w:val="auto"/>
                <w:lang w:eastAsia="zh-CN"/>
              </w:rPr>
            </w:pPr>
            <w:r>
              <w:rPr>
                <w:rFonts w:hint="eastAsia"/>
                <w:color w:val="auto"/>
                <w:lang w:eastAsia="zh-CN"/>
              </w:rPr>
              <w:t>焊渣</w:t>
            </w:r>
          </w:p>
        </w:tc>
        <w:tc>
          <w:tcPr>
            <w:tcW w:w="1977" w:type="dxa"/>
            <w:vMerge w:val="continue"/>
            <w:noWrap w:val="0"/>
            <w:vAlign w:val="center"/>
          </w:tcPr>
          <w:p>
            <w:pPr>
              <w:pStyle w:val="18"/>
              <w:bidi w:val="0"/>
              <w:rPr>
                <w:rFonts w:hint="default"/>
                <w:color w:val="auto"/>
              </w:rPr>
            </w:pPr>
          </w:p>
        </w:tc>
        <w:tc>
          <w:tcPr>
            <w:tcW w:w="3234" w:type="dxa"/>
            <w:vMerge w:val="continue"/>
            <w:noWrap w:val="0"/>
            <w:vAlign w:val="center"/>
          </w:tcPr>
          <w:p>
            <w:pPr>
              <w:pStyle w:val="18"/>
              <w:bidi w:val="0"/>
              <w:rPr>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72" w:type="dxa"/>
            <w:vMerge w:val="continue"/>
            <w:noWrap w:val="0"/>
            <w:vAlign w:val="center"/>
          </w:tcPr>
          <w:p>
            <w:pPr>
              <w:pStyle w:val="18"/>
              <w:bidi w:val="0"/>
              <w:rPr>
                <w:rFonts w:hint="default"/>
                <w:color w:val="auto"/>
              </w:rPr>
            </w:pPr>
          </w:p>
        </w:tc>
        <w:tc>
          <w:tcPr>
            <w:tcW w:w="585" w:type="dxa"/>
            <w:vMerge w:val="continue"/>
            <w:noWrap w:val="0"/>
            <w:vAlign w:val="center"/>
          </w:tcPr>
          <w:p>
            <w:pPr>
              <w:pStyle w:val="18"/>
              <w:bidi w:val="0"/>
              <w:rPr>
                <w:rFonts w:hint="default"/>
                <w:color w:val="auto"/>
              </w:rPr>
            </w:pPr>
          </w:p>
        </w:tc>
        <w:tc>
          <w:tcPr>
            <w:tcW w:w="1171" w:type="dxa"/>
            <w:vMerge w:val="continue"/>
            <w:noWrap w:val="0"/>
            <w:vAlign w:val="center"/>
          </w:tcPr>
          <w:p>
            <w:pPr>
              <w:pStyle w:val="18"/>
              <w:bidi w:val="0"/>
              <w:rPr>
                <w:rFonts w:hint="default"/>
                <w:color w:val="auto"/>
              </w:rPr>
            </w:pPr>
          </w:p>
        </w:tc>
        <w:tc>
          <w:tcPr>
            <w:tcW w:w="1378" w:type="dxa"/>
            <w:noWrap w:val="0"/>
            <w:vAlign w:val="center"/>
          </w:tcPr>
          <w:p>
            <w:pPr>
              <w:pStyle w:val="18"/>
              <w:bidi w:val="0"/>
              <w:rPr>
                <w:rFonts w:hint="default"/>
                <w:color w:val="auto"/>
                <w:lang w:eastAsia="zh-CN"/>
              </w:rPr>
            </w:pPr>
            <w:r>
              <w:rPr>
                <w:rFonts w:hint="eastAsia"/>
                <w:color w:val="auto"/>
                <w:lang w:eastAsia="zh-CN"/>
              </w:rPr>
              <w:t>废包装材料</w:t>
            </w:r>
          </w:p>
        </w:tc>
        <w:tc>
          <w:tcPr>
            <w:tcW w:w="1977" w:type="dxa"/>
            <w:vMerge w:val="continue"/>
            <w:noWrap w:val="0"/>
            <w:vAlign w:val="center"/>
          </w:tcPr>
          <w:p>
            <w:pPr>
              <w:pStyle w:val="18"/>
              <w:bidi w:val="0"/>
              <w:rPr>
                <w:rFonts w:hint="default"/>
                <w:color w:val="auto"/>
                <w:lang w:eastAsia="zh-CN"/>
              </w:rPr>
            </w:pPr>
          </w:p>
        </w:tc>
        <w:tc>
          <w:tcPr>
            <w:tcW w:w="3234" w:type="dxa"/>
            <w:vMerge w:val="continue"/>
            <w:noWrap w:val="0"/>
            <w:vAlign w:val="center"/>
          </w:tcPr>
          <w:p>
            <w:pPr>
              <w:pStyle w:val="18"/>
              <w:bidi w:val="0"/>
              <w:rPr>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72" w:type="dxa"/>
            <w:vMerge w:val="continue"/>
            <w:noWrap w:val="0"/>
            <w:vAlign w:val="center"/>
          </w:tcPr>
          <w:p>
            <w:pPr>
              <w:pStyle w:val="18"/>
              <w:bidi w:val="0"/>
              <w:rPr>
                <w:rFonts w:hint="default"/>
                <w:color w:val="auto"/>
              </w:rPr>
            </w:pPr>
          </w:p>
        </w:tc>
        <w:tc>
          <w:tcPr>
            <w:tcW w:w="585" w:type="dxa"/>
            <w:vMerge w:val="continue"/>
            <w:noWrap w:val="0"/>
            <w:vAlign w:val="center"/>
          </w:tcPr>
          <w:p>
            <w:pPr>
              <w:pStyle w:val="18"/>
              <w:bidi w:val="0"/>
              <w:rPr>
                <w:rFonts w:hint="default"/>
                <w:color w:val="auto"/>
              </w:rPr>
            </w:pPr>
          </w:p>
        </w:tc>
        <w:tc>
          <w:tcPr>
            <w:tcW w:w="1171" w:type="dxa"/>
            <w:vMerge w:val="continue"/>
            <w:noWrap w:val="0"/>
            <w:vAlign w:val="center"/>
          </w:tcPr>
          <w:p>
            <w:pPr>
              <w:pStyle w:val="18"/>
              <w:bidi w:val="0"/>
              <w:rPr>
                <w:rFonts w:hint="default"/>
                <w:color w:val="auto"/>
              </w:rPr>
            </w:pPr>
          </w:p>
        </w:tc>
        <w:tc>
          <w:tcPr>
            <w:tcW w:w="1378" w:type="dxa"/>
            <w:noWrap w:val="0"/>
            <w:vAlign w:val="center"/>
          </w:tcPr>
          <w:p>
            <w:pPr>
              <w:pStyle w:val="18"/>
              <w:bidi w:val="0"/>
              <w:rPr>
                <w:rFonts w:hint="default"/>
                <w:color w:val="auto"/>
                <w:lang w:eastAsia="zh-CN"/>
              </w:rPr>
            </w:pPr>
            <w:r>
              <w:rPr>
                <w:rFonts w:hint="eastAsia"/>
                <w:color w:val="auto"/>
                <w:lang w:eastAsia="zh-CN"/>
              </w:rPr>
              <w:t>废过滤棉、废活性炭</w:t>
            </w:r>
          </w:p>
        </w:tc>
        <w:tc>
          <w:tcPr>
            <w:tcW w:w="1977" w:type="dxa"/>
            <w:noWrap w:val="0"/>
            <w:vAlign w:val="center"/>
          </w:tcPr>
          <w:p>
            <w:pPr>
              <w:pStyle w:val="18"/>
              <w:bidi w:val="0"/>
              <w:rPr>
                <w:rFonts w:hint="eastAsia"/>
                <w:color w:val="auto"/>
                <w:lang w:eastAsia="zh-CN"/>
              </w:rPr>
            </w:pPr>
            <w:r>
              <w:rPr>
                <w:rFonts w:hint="eastAsia"/>
                <w:color w:val="auto"/>
                <w:lang w:eastAsia="zh-CN"/>
              </w:rPr>
              <w:t>收集后暂存于危废暂存间，交由有资质的单位进行处理</w:t>
            </w:r>
          </w:p>
        </w:tc>
        <w:tc>
          <w:tcPr>
            <w:tcW w:w="3234" w:type="dxa"/>
            <w:vMerge w:val="continue"/>
            <w:noWrap w:val="0"/>
            <w:vAlign w:val="center"/>
          </w:tcPr>
          <w:p>
            <w:pPr>
              <w:pStyle w:val="18"/>
              <w:bidi w:val="0"/>
              <w:rPr>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72" w:type="dxa"/>
            <w:vMerge w:val="continue"/>
            <w:noWrap w:val="0"/>
            <w:vAlign w:val="center"/>
          </w:tcPr>
          <w:p>
            <w:pPr>
              <w:pStyle w:val="18"/>
              <w:bidi w:val="0"/>
              <w:rPr>
                <w:color w:val="auto"/>
              </w:rPr>
            </w:pPr>
          </w:p>
        </w:tc>
        <w:tc>
          <w:tcPr>
            <w:tcW w:w="585" w:type="dxa"/>
            <w:vMerge w:val="continue"/>
            <w:noWrap w:val="0"/>
            <w:vAlign w:val="center"/>
          </w:tcPr>
          <w:p>
            <w:pPr>
              <w:pStyle w:val="18"/>
              <w:bidi w:val="0"/>
              <w:rPr>
                <w:color w:val="auto"/>
              </w:rPr>
            </w:pPr>
          </w:p>
        </w:tc>
        <w:tc>
          <w:tcPr>
            <w:tcW w:w="1171" w:type="dxa"/>
            <w:vMerge w:val="continue"/>
            <w:noWrap w:val="0"/>
            <w:vAlign w:val="center"/>
          </w:tcPr>
          <w:p>
            <w:pPr>
              <w:pStyle w:val="18"/>
              <w:bidi w:val="0"/>
              <w:rPr>
                <w:color w:val="auto"/>
              </w:rPr>
            </w:pPr>
          </w:p>
        </w:tc>
        <w:tc>
          <w:tcPr>
            <w:tcW w:w="1378" w:type="dxa"/>
            <w:noWrap w:val="0"/>
            <w:vAlign w:val="center"/>
          </w:tcPr>
          <w:p>
            <w:pPr>
              <w:pStyle w:val="18"/>
              <w:bidi w:val="0"/>
              <w:rPr>
                <w:rFonts w:hint="eastAsia"/>
                <w:color w:val="auto"/>
                <w:lang w:eastAsia="zh-CN"/>
              </w:rPr>
            </w:pPr>
            <w:r>
              <w:rPr>
                <w:rFonts w:hint="eastAsia"/>
                <w:color w:val="auto"/>
                <w:lang w:eastAsia="zh-CN"/>
              </w:rPr>
              <w:t>废机油</w:t>
            </w:r>
          </w:p>
        </w:tc>
        <w:tc>
          <w:tcPr>
            <w:tcW w:w="1977" w:type="dxa"/>
            <w:noWrap w:val="0"/>
            <w:vAlign w:val="center"/>
          </w:tcPr>
          <w:p>
            <w:pPr>
              <w:pStyle w:val="18"/>
              <w:bidi w:val="0"/>
              <w:rPr>
                <w:rFonts w:hint="eastAsia"/>
                <w:color w:val="auto"/>
                <w:lang w:eastAsia="zh-CN"/>
              </w:rPr>
            </w:pPr>
            <w:r>
              <w:rPr>
                <w:rFonts w:hint="eastAsia"/>
                <w:color w:val="auto"/>
                <w:lang w:eastAsia="zh-CN"/>
              </w:rPr>
              <w:t>收集后暂存危废暂存间，作为后期设备润滑使用</w:t>
            </w:r>
          </w:p>
        </w:tc>
        <w:tc>
          <w:tcPr>
            <w:tcW w:w="3234" w:type="dxa"/>
            <w:vMerge w:val="continue"/>
            <w:noWrap w:val="0"/>
            <w:vAlign w:val="center"/>
          </w:tcPr>
          <w:p>
            <w:pPr>
              <w:pStyle w:val="18"/>
              <w:bidi w:val="0"/>
              <w:rPr>
                <w:rFonts w:hint="eastAsia"/>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72" w:type="dxa"/>
            <w:vMerge w:val="continue"/>
            <w:noWrap w:val="0"/>
            <w:vAlign w:val="center"/>
          </w:tcPr>
          <w:p>
            <w:pPr>
              <w:pStyle w:val="18"/>
              <w:bidi w:val="0"/>
              <w:rPr>
                <w:color w:val="auto"/>
              </w:rPr>
            </w:pPr>
          </w:p>
        </w:tc>
        <w:tc>
          <w:tcPr>
            <w:tcW w:w="585" w:type="dxa"/>
            <w:vMerge w:val="continue"/>
            <w:noWrap w:val="0"/>
            <w:vAlign w:val="center"/>
          </w:tcPr>
          <w:p>
            <w:pPr>
              <w:pStyle w:val="18"/>
              <w:bidi w:val="0"/>
              <w:rPr>
                <w:color w:val="auto"/>
              </w:rPr>
            </w:pPr>
          </w:p>
        </w:tc>
        <w:tc>
          <w:tcPr>
            <w:tcW w:w="1171" w:type="dxa"/>
            <w:vMerge w:val="continue"/>
            <w:noWrap w:val="0"/>
            <w:vAlign w:val="center"/>
          </w:tcPr>
          <w:p>
            <w:pPr>
              <w:pStyle w:val="18"/>
              <w:bidi w:val="0"/>
              <w:rPr>
                <w:color w:val="auto"/>
              </w:rPr>
            </w:pPr>
          </w:p>
        </w:tc>
        <w:tc>
          <w:tcPr>
            <w:tcW w:w="1378" w:type="dxa"/>
            <w:noWrap w:val="0"/>
            <w:vAlign w:val="center"/>
          </w:tcPr>
          <w:p>
            <w:pPr>
              <w:pStyle w:val="18"/>
              <w:bidi w:val="0"/>
              <w:rPr>
                <w:rFonts w:hint="eastAsia"/>
                <w:color w:val="auto"/>
                <w:lang w:eastAsia="zh-CN"/>
              </w:rPr>
            </w:pPr>
            <w:r>
              <w:rPr>
                <w:rFonts w:hint="eastAsia"/>
                <w:color w:val="auto"/>
                <w:lang w:eastAsia="zh-CN"/>
              </w:rPr>
              <w:t>废原料桶</w:t>
            </w:r>
          </w:p>
        </w:tc>
        <w:tc>
          <w:tcPr>
            <w:tcW w:w="1977" w:type="dxa"/>
            <w:noWrap w:val="0"/>
            <w:vAlign w:val="center"/>
          </w:tcPr>
          <w:p>
            <w:pPr>
              <w:pStyle w:val="18"/>
              <w:bidi w:val="0"/>
              <w:rPr>
                <w:rFonts w:hint="eastAsia"/>
                <w:color w:val="auto"/>
                <w:lang w:eastAsia="zh-CN"/>
              </w:rPr>
            </w:pPr>
            <w:r>
              <w:rPr>
                <w:rFonts w:hint="eastAsia"/>
                <w:color w:val="auto"/>
                <w:lang w:eastAsia="zh-CN"/>
              </w:rPr>
              <w:t>收集暂存危废暂存间，交由有资质的单位进行处理</w:t>
            </w:r>
          </w:p>
        </w:tc>
        <w:tc>
          <w:tcPr>
            <w:tcW w:w="3234" w:type="dxa"/>
            <w:vMerge w:val="continue"/>
            <w:noWrap w:val="0"/>
            <w:vAlign w:val="center"/>
          </w:tcPr>
          <w:p>
            <w:pPr>
              <w:pStyle w:val="18"/>
              <w:bidi w:val="0"/>
              <w:rPr>
                <w:rFonts w:hint="eastAsia"/>
                <w:color w:val="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2" w:type="dxa"/>
            <w:vMerge w:val="continue"/>
            <w:noWrap w:val="0"/>
            <w:vAlign w:val="center"/>
          </w:tcPr>
          <w:p>
            <w:pPr>
              <w:pStyle w:val="18"/>
              <w:bidi w:val="0"/>
              <w:rPr>
                <w:rFonts w:hint="default"/>
                <w:color w:val="auto"/>
              </w:rPr>
            </w:pPr>
          </w:p>
        </w:tc>
        <w:tc>
          <w:tcPr>
            <w:tcW w:w="585" w:type="dxa"/>
            <w:vMerge w:val="continue"/>
            <w:noWrap w:val="0"/>
            <w:vAlign w:val="center"/>
          </w:tcPr>
          <w:p>
            <w:pPr>
              <w:pStyle w:val="18"/>
              <w:bidi w:val="0"/>
              <w:rPr>
                <w:rFonts w:hint="default"/>
                <w:color w:val="auto"/>
              </w:rPr>
            </w:pPr>
          </w:p>
        </w:tc>
        <w:tc>
          <w:tcPr>
            <w:tcW w:w="1171" w:type="dxa"/>
            <w:noWrap w:val="0"/>
            <w:vAlign w:val="center"/>
          </w:tcPr>
          <w:p>
            <w:pPr>
              <w:pStyle w:val="18"/>
              <w:bidi w:val="0"/>
              <w:rPr>
                <w:rFonts w:hint="default"/>
                <w:color w:val="auto"/>
                <w:lang w:eastAsia="zh-CN"/>
              </w:rPr>
            </w:pPr>
            <w:r>
              <w:rPr>
                <w:rFonts w:hint="default"/>
                <w:color w:val="auto"/>
                <w:lang w:eastAsia="zh-CN"/>
              </w:rPr>
              <w:t>员工生活</w:t>
            </w:r>
          </w:p>
        </w:tc>
        <w:tc>
          <w:tcPr>
            <w:tcW w:w="1378" w:type="dxa"/>
            <w:noWrap w:val="0"/>
            <w:vAlign w:val="center"/>
          </w:tcPr>
          <w:p>
            <w:pPr>
              <w:pStyle w:val="18"/>
              <w:bidi w:val="0"/>
              <w:rPr>
                <w:rFonts w:hint="default"/>
                <w:color w:val="auto"/>
              </w:rPr>
            </w:pPr>
            <w:r>
              <w:rPr>
                <w:rFonts w:hint="default"/>
                <w:color w:val="auto"/>
              </w:rPr>
              <w:t>生活垃圾</w:t>
            </w:r>
          </w:p>
        </w:tc>
        <w:tc>
          <w:tcPr>
            <w:tcW w:w="1977" w:type="dxa"/>
            <w:noWrap w:val="0"/>
            <w:vAlign w:val="center"/>
          </w:tcPr>
          <w:p>
            <w:pPr>
              <w:pStyle w:val="18"/>
              <w:bidi w:val="0"/>
              <w:rPr>
                <w:rFonts w:hint="default"/>
                <w:color w:val="auto"/>
              </w:rPr>
            </w:pPr>
            <w:r>
              <w:rPr>
                <w:rFonts w:hint="default"/>
                <w:color w:val="auto"/>
                <w:lang w:val="en-US" w:eastAsia="zh-CN"/>
              </w:rPr>
              <w:t>收集清运至园区垃圾收集处，由环卫部门处理</w:t>
            </w:r>
          </w:p>
        </w:tc>
        <w:tc>
          <w:tcPr>
            <w:tcW w:w="3234" w:type="dxa"/>
            <w:vMerge w:val="continue"/>
            <w:noWrap w:val="0"/>
            <w:vAlign w:val="center"/>
          </w:tcPr>
          <w:p>
            <w:pPr>
              <w:pStyle w:val="18"/>
              <w:bidi w:val="0"/>
              <w:rPr>
                <w:rFonts w:hint="default"/>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2" w:type="dxa"/>
            <w:vMerge w:val="restart"/>
            <w:noWrap w:val="0"/>
            <w:vAlign w:val="center"/>
          </w:tcPr>
          <w:p>
            <w:pPr>
              <w:pStyle w:val="18"/>
              <w:bidi w:val="0"/>
              <w:rPr>
                <w:rFonts w:hint="default"/>
                <w:color w:val="auto"/>
              </w:rPr>
            </w:pPr>
            <w:r>
              <w:rPr>
                <w:rFonts w:hint="default"/>
                <w:color w:val="auto"/>
              </w:rPr>
              <w:t>噪声</w:t>
            </w:r>
          </w:p>
        </w:tc>
        <w:tc>
          <w:tcPr>
            <w:tcW w:w="585" w:type="dxa"/>
            <w:noWrap w:val="0"/>
            <w:vAlign w:val="center"/>
          </w:tcPr>
          <w:p>
            <w:pPr>
              <w:pStyle w:val="18"/>
              <w:bidi w:val="0"/>
              <w:rPr>
                <w:rFonts w:hint="default"/>
                <w:color w:val="auto"/>
                <w:lang w:eastAsia="zh-CN"/>
              </w:rPr>
            </w:pPr>
            <w:r>
              <w:rPr>
                <w:rFonts w:hint="default"/>
                <w:color w:val="auto"/>
                <w:lang w:eastAsia="zh-CN"/>
              </w:rPr>
              <w:t>施工期</w:t>
            </w:r>
          </w:p>
        </w:tc>
        <w:tc>
          <w:tcPr>
            <w:tcW w:w="1171" w:type="dxa"/>
            <w:noWrap w:val="0"/>
            <w:vAlign w:val="center"/>
          </w:tcPr>
          <w:p>
            <w:pPr>
              <w:pStyle w:val="18"/>
              <w:bidi w:val="0"/>
              <w:rPr>
                <w:rFonts w:hint="default"/>
                <w:color w:val="auto"/>
                <w:lang w:eastAsia="zh-CN"/>
              </w:rPr>
            </w:pPr>
            <w:r>
              <w:rPr>
                <w:rFonts w:hint="default"/>
                <w:color w:val="auto"/>
                <w:lang w:eastAsia="zh-CN"/>
              </w:rPr>
              <w:t>电钻、电焊机</w:t>
            </w:r>
          </w:p>
        </w:tc>
        <w:tc>
          <w:tcPr>
            <w:tcW w:w="3355" w:type="dxa"/>
            <w:gridSpan w:val="2"/>
            <w:noWrap w:val="0"/>
            <w:vAlign w:val="center"/>
          </w:tcPr>
          <w:p>
            <w:pPr>
              <w:pStyle w:val="18"/>
              <w:bidi w:val="0"/>
              <w:rPr>
                <w:rFonts w:hint="default"/>
                <w:color w:val="auto"/>
                <w:lang w:eastAsia="zh-CN"/>
              </w:rPr>
            </w:pPr>
            <w:r>
              <w:rPr>
                <w:rFonts w:hint="default"/>
                <w:color w:val="auto"/>
                <w:lang w:eastAsia="zh-CN"/>
              </w:rPr>
              <w:t>噪声</w:t>
            </w:r>
          </w:p>
        </w:tc>
        <w:tc>
          <w:tcPr>
            <w:tcW w:w="3234" w:type="dxa"/>
            <w:noWrap w:val="0"/>
            <w:vAlign w:val="center"/>
          </w:tcPr>
          <w:p>
            <w:pPr>
              <w:pStyle w:val="18"/>
              <w:bidi w:val="0"/>
              <w:rPr>
                <w:rFonts w:hint="default"/>
                <w:color w:val="auto"/>
              </w:rPr>
            </w:pPr>
            <w:r>
              <w:rPr>
                <w:rFonts w:hint="default"/>
                <w:color w:val="auto"/>
              </w:rPr>
              <w:t>经车间围墙的阻隔和距离衰减后，项目施工期噪声执行《建筑施工场界环境噪声排放标准》（GB12523-2011），即：昼间≤70dB（A）、夜间</w:t>
            </w:r>
            <w:r>
              <w:rPr>
                <w:rFonts w:hint="default"/>
                <w:color w:val="auto"/>
                <w:lang w:eastAsia="zh-CN"/>
              </w:rPr>
              <w:t>不施工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2" w:type="dxa"/>
            <w:vMerge w:val="continue"/>
            <w:noWrap w:val="0"/>
            <w:vAlign w:val="center"/>
          </w:tcPr>
          <w:p>
            <w:pPr>
              <w:pStyle w:val="18"/>
              <w:bidi w:val="0"/>
              <w:rPr>
                <w:rFonts w:hint="default"/>
                <w:color w:val="auto"/>
              </w:rPr>
            </w:pPr>
          </w:p>
        </w:tc>
        <w:tc>
          <w:tcPr>
            <w:tcW w:w="585" w:type="dxa"/>
            <w:noWrap w:val="0"/>
            <w:vAlign w:val="center"/>
          </w:tcPr>
          <w:p>
            <w:pPr>
              <w:pStyle w:val="18"/>
              <w:bidi w:val="0"/>
              <w:rPr>
                <w:rFonts w:hint="default"/>
                <w:color w:val="auto"/>
                <w:lang w:eastAsia="zh-CN"/>
              </w:rPr>
            </w:pPr>
            <w:r>
              <w:rPr>
                <w:rFonts w:hint="default"/>
                <w:color w:val="auto"/>
                <w:lang w:eastAsia="zh-CN"/>
              </w:rPr>
              <w:t>营运期</w:t>
            </w:r>
          </w:p>
        </w:tc>
        <w:tc>
          <w:tcPr>
            <w:tcW w:w="1171" w:type="dxa"/>
            <w:noWrap w:val="0"/>
            <w:vAlign w:val="center"/>
          </w:tcPr>
          <w:p>
            <w:pPr>
              <w:pStyle w:val="18"/>
              <w:bidi w:val="0"/>
              <w:rPr>
                <w:rFonts w:hint="default"/>
                <w:color w:val="auto"/>
              </w:rPr>
            </w:pPr>
            <w:r>
              <w:rPr>
                <w:rFonts w:hint="default"/>
                <w:color w:val="auto"/>
              </w:rPr>
              <w:t>生产</w:t>
            </w:r>
            <w:r>
              <w:rPr>
                <w:rFonts w:hint="default"/>
                <w:color w:val="auto"/>
                <w:lang w:eastAsia="zh-CN"/>
              </w:rPr>
              <w:t>设备</w:t>
            </w:r>
          </w:p>
        </w:tc>
        <w:tc>
          <w:tcPr>
            <w:tcW w:w="3355" w:type="dxa"/>
            <w:gridSpan w:val="2"/>
            <w:noWrap w:val="0"/>
            <w:vAlign w:val="center"/>
          </w:tcPr>
          <w:p>
            <w:pPr>
              <w:pStyle w:val="18"/>
              <w:bidi w:val="0"/>
              <w:rPr>
                <w:rFonts w:hint="default"/>
                <w:color w:val="auto"/>
              </w:rPr>
            </w:pPr>
            <w:r>
              <w:rPr>
                <w:rFonts w:hint="default"/>
                <w:color w:val="auto"/>
              </w:rPr>
              <w:t>噪声</w:t>
            </w:r>
          </w:p>
        </w:tc>
        <w:tc>
          <w:tcPr>
            <w:tcW w:w="3234" w:type="dxa"/>
            <w:noWrap w:val="0"/>
            <w:vAlign w:val="center"/>
          </w:tcPr>
          <w:p>
            <w:pPr>
              <w:pStyle w:val="18"/>
              <w:bidi w:val="0"/>
              <w:rPr>
                <w:rFonts w:hint="default"/>
                <w:color w:val="auto"/>
              </w:rPr>
            </w:pPr>
            <w:r>
              <w:rPr>
                <w:rFonts w:hint="default"/>
                <w:color w:val="auto"/>
              </w:rPr>
              <w:t>经车间围墙的阻隔和距离衰减后，可达《工业企业厂界环境噪声排放标准》（GB12348-2008）3类标准：昼间≤65dB（A），夜间不生产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17" w:type="dxa"/>
            <w:gridSpan w:val="6"/>
            <w:noWrap w:val="0"/>
            <w:vAlign w:val="center"/>
          </w:tcPr>
          <w:p>
            <w:pPr>
              <w:bidi w:val="0"/>
              <w:ind w:left="0" w:leftChars="0" w:firstLine="480" w:firstLineChars="200"/>
              <w:rPr>
                <w:rFonts w:hint="default"/>
                <w:color w:val="auto"/>
              </w:rPr>
            </w:pPr>
            <w:r>
              <w:rPr>
                <w:rFonts w:hint="default"/>
                <w:color w:val="auto"/>
              </w:rPr>
              <w:t>生态保护措施及预期效果：</w:t>
            </w:r>
          </w:p>
          <w:p>
            <w:pPr>
              <w:bidi w:val="0"/>
              <w:rPr>
                <w:rFonts w:hint="default"/>
                <w:color w:val="auto"/>
              </w:rPr>
            </w:pPr>
            <w:r>
              <w:rPr>
                <w:rFonts w:hint="default"/>
                <w:color w:val="auto"/>
              </w:rPr>
              <w:t>项目</w:t>
            </w:r>
            <w:r>
              <w:rPr>
                <w:rFonts w:hint="default"/>
                <w:color w:val="auto"/>
                <w:lang w:eastAsia="zh-CN"/>
              </w:rPr>
              <w:t>租用</w:t>
            </w:r>
            <w:r>
              <w:rPr>
                <w:rFonts w:hint="eastAsia"/>
                <w:color w:val="auto"/>
                <w:lang w:eastAsia="zh-CN"/>
              </w:rPr>
              <w:t>云南皇派实业有限公司富民分公司</w:t>
            </w:r>
            <w:r>
              <w:rPr>
                <w:rFonts w:hint="eastAsia"/>
                <w:color w:val="auto"/>
                <w:lang w:val="en-US" w:eastAsia="zh-CN"/>
              </w:rPr>
              <w:t>及云南富邦制冷设备</w:t>
            </w:r>
            <w:r>
              <w:rPr>
                <w:rFonts w:hint="default"/>
                <w:color w:val="auto"/>
                <w:lang w:val="en-US" w:eastAsia="zh-CN"/>
              </w:rPr>
              <w:t>有限公司</w:t>
            </w:r>
            <w:r>
              <w:rPr>
                <w:rFonts w:hint="eastAsia"/>
                <w:color w:val="auto"/>
                <w:lang w:val="en-US" w:eastAsia="zh-CN"/>
              </w:rPr>
              <w:t>部分标准厂房</w:t>
            </w:r>
            <w:r>
              <w:rPr>
                <w:rFonts w:hint="default"/>
                <w:color w:val="auto"/>
                <w:lang w:val="en-US" w:eastAsia="zh-CN"/>
              </w:rPr>
              <w:t>进行生产</w:t>
            </w:r>
            <w:r>
              <w:rPr>
                <w:rFonts w:hint="default"/>
                <w:color w:val="auto"/>
              </w:rPr>
              <w:t>，生产活动范围局限于车间内</w:t>
            </w:r>
            <w:r>
              <w:rPr>
                <w:rFonts w:hint="default"/>
                <w:color w:val="auto"/>
                <w:lang w:eastAsia="zh-CN"/>
              </w:rPr>
              <w:t>，</w:t>
            </w:r>
            <w:r>
              <w:rPr>
                <w:rFonts w:hint="default"/>
                <w:color w:val="auto"/>
              </w:rPr>
              <w:t>营运过程中产生的“三废”必须经处理后达标排放，加强厂区管理和对周围环境的保护，切实做到不污染、不破坏、不明显影响周围生态环境。</w:t>
            </w:r>
          </w:p>
          <w:p>
            <w:pPr>
              <w:pStyle w:val="18"/>
              <w:bidi w:val="0"/>
              <w:rPr>
                <w:rFonts w:hint="default"/>
                <w:color w:val="auto"/>
              </w:rPr>
            </w:pPr>
          </w:p>
          <w:p>
            <w:pPr>
              <w:pStyle w:val="18"/>
              <w:bidi w:val="0"/>
              <w:rPr>
                <w:rFonts w:hint="default"/>
                <w:color w:val="auto"/>
              </w:rPr>
            </w:pPr>
          </w:p>
          <w:p>
            <w:pPr>
              <w:pStyle w:val="18"/>
              <w:bidi w:val="0"/>
              <w:rPr>
                <w:rFonts w:hint="default"/>
                <w:color w:val="auto"/>
              </w:rPr>
            </w:pPr>
          </w:p>
          <w:p>
            <w:pPr>
              <w:pStyle w:val="18"/>
              <w:bidi w:val="0"/>
              <w:rPr>
                <w:rFonts w:hint="default"/>
                <w:color w:val="auto"/>
              </w:rPr>
            </w:pPr>
          </w:p>
          <w:p>
            <w:pPr>
              <w:pStyle w:val="18"/>
              <w:bidi w:val="0"/>
              <w:rPr>
                <w:rFonts w:hint="default"/>
                <w:color w:val="auto"/>
              </w:rPr>
            </w:pPr>
          </w:p>
          <w:p>
            <w:pPr>
              <w:pStyle w:val="18"/>
              <w:bidi w:val="0"/>
              <w:rPr>
                <w:rFonts w:hint="default"/>
                <w:color w:val="auto"/>
              </w:rPr>
            </w:pPr>
          </w:p>
          <w:p>
            <w:pPr>
              <w:pStyle w:val="18"/>
              <w:bidi w:val="0"/>
              <w:rPr>
                <w:rFonts w:hint="default"/>
                <w:color w:val="auto"/>
              </w:rPr>
            </w:pPr>
          </w:p>
          <w:p>
            <w:pPr>
              <w:pStyle w:val="18"/>
              <w:bidi w:val="0"/>
              <w:rPr>
                <w:rFonts w:hint="default"/>
                <w:color w:val="auto"/>
              </w:rPr>
            </w:pPr>
          </w:p>
          <w:p>
            <w:pPr>
              <w:ind w:left="0" w:leftChars="0" w:firstLine="0" w:firstLineChars="0"/>
              <w:rPr>
                <w:rFonts w:hint="default"/>
                <w:color w:val="auto"/>
                <w:lang w:val="en-US" w:eastAsia="zh-CN"/>
              </w:rPr>
            </w:pPr>
          </w:p>
        </w:tc>
      </w:tr>
    </w:tbl>
    <w:p>
      <w:pPr>
        <w:pStyle w:val="3"/>
        <w:bidi w:val="0"/>
        <w:rPr>
          <w:rFonts w:hint="default"/>
          <w:color w:val="auto"/>
        </w:rPr>
      </w:pPr>
      <w:bookmarkStart w:id="116" w:name="_Toc22899"/>
      <w:bookmarkStart w:id="117" w:name="_Toc2999"/>
      <w:bookmarkStart w:id="118" w:name="_Toc28686"/>
      <w:bookmarkStart w:id="119" w:name="_Toc16778"/>
      <w:bookmarkStart w:id="120" w:name="_Toc3184"/>
      <w:bookmarkStart w:id="121" w:name="_Toc29039"/>
      <w:r>
        <w:rPr>
          <w:rFonts w:hint="default"/>
          <w:color w:val="auto"/>
        </w:rPr>
        <w:t>表九  结论与建议</w:t>
      </w:r>
      <w:bookmarkEnd w:id="116"/>
      <w:bookmarkEnd w:id="117"/>
      <w:bookmarkEnd w:id="118"/>
      <w:bookmarkEnd w:id="119"/>
      <w:bookmarkEnd w:id="120"/>
      <w:bookmarkEnd w:id="121"/>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1" w:hRule="atLeast"/>
          <w:jc w:val="center"/>
        </w:trPr>
        <w:tc>
          <w:tcPr>
            <w:tcW w:w="9117" w:type="dxa"/>
            <w:noWrap w:val="0"/>
            <w:vAlign w:val="top"/>
          </w:tcPr>
          <w:p>
            <w:pPr>
              <w:spacing w:line="360" w:lineRule="auto"/>
              <w:ind w:firstLine="480" w:firstLineChars="200"/>
              <w:rPr>
                <w:rFonts w:hint="default" w:ascii="Times New Roman" w:hAnsi="Times New Roman" w:cs="Times New Roman"/>
                <w:color w:val="auto"/>
                <w:sz w:val="28"/>
                <w:szCs w:val="28"/>
              </w:rPr>
            </w:pPr>
            <w:r>
              <w:rPr>
                <w:rFonts w:hint="default" w:ascii="Times New Roman" w:hAnsi="Times New Roman" w:cs="Times New Roman"/>
                <w:color w:val="auto"/>
                <w:sz w:val="24"/>
              </w:rPr>
              <w:t>本项目位于</w:t>
            </w:r>
            <w:r>
              <w:rPr>
                <w:rFonts w:hint="default" w:ascii="Times New Roman" w:hAnsi="Times New Roman" w:cs="Times New Roman"/>
                <w:color w:val="auto"/>
                <w:sz w:val="24"/>
                <w:lang w:eastAsia="zh-CN"/>
              </w:rPr>
              <w:t>富民工业园区大营五金建材园</w:t>
            </w:r>
            <w:r>
              <w:rPr>
                <w:rFonts w:hint="eastAsia" w:cs="Times New Roman"/>
                <w:color w:val="auto"/>
                <w:sz w:val="24"/>
                <w:lang w:eastAsia="zh-CN"/>
              </w:rPr>
              <w:t>，</w:t>
            </w:r>
            <w:r>
              <w:rPr>
                <w:rFonts w:hint="eastAsia"/>
                <w:color w:val="auto"/>
                <w:lang w:eastAsia="zh-CN"/>
              </w:rPr>
              <w:t>云南皇派实业有限公司富民分公司</w:t>
            </w:r>
            <w:r>
              <w:rPr>
                <w:rFonts w:hint="eastAsia"/>
                <w:color w:val="auto"/>
                <w:lang w:val="en-US" w:eastAsia="zh-CN"/>
              </w:rPr>
              <w:t>及</w:t>
            </w:r>
            <w:r>
              <w:rPr>
                <w:rFonts w:hint="eastAsia" w:ascii="Times New Roman" w:hAnsi="Times New Roman" w:cs="Times New Roman"/>
                <w:color w:val="auto"/>
                <w:sz w:val="24"/>
                <w:szCs w:val="24"/>
                <w:lang w:val="en-US" w:eastAsia="zh-CN"/>
              </w:rPr>
              <w:t>云南富邦制冷设备</w:t>
            </w:r>
            <w:r>
              <w:rPr>
                <w:rFonts w:hint="default" w:ascii="Times New Roman" w:hAnsi="Times New Roman" w:cs="Times New Roman"/>
                <w:color w:val="auto"/>
                <w:sz w:val="24"/>
                <w:szCs w:val="24"/>
                <w:lang w:val="en-US" w:eastAsia="zh-CN"/>
              </w:rPr>
              <w:t>有限公司</w:t>
            </w:r>
            <w:r>
              <w:rPr>
                <w:rFonts w:hint="eastAsia" w:cs="Times New Roman"/>
                <w:color w:val="auto"/>
                <w:sz w:val="24"/>
                <w:szCs w:val="24"/>
                <w:lang w:val="en-US" w:eastAsia="zh-CN"/>
              </w:rPr>
              <w:t>部分标准厂房</w:t>
            </w:r>
            <w:r>
              <w:rPr>
                <w:rFonts w:hint="default" w:ascii="Times New Roman" w:hAnsi="Times New Roman" w:cs="Times New Roman"/>
                <w:color w:val="auto"/>
                <w:sz w:val="24"/>
                <w:szCs w:val="24"/>
                <w:lang w:val="en-US" w:eastAsia="zh-CN"/>
              </w:rPr>
              <w:t>进行生产</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占地</w:t>
            </w:r>
            <w:r>
              <w:rPr>
                <w:rFonts w:hint="eastAsia" w:cs="Times New Roman"/>
                <w:color w:val="auto"/>
                <w:sz w:val="24"/>
                <w:szCs w:val="24"/>
                <w:lang w:val="en-US" w:eastAsia="zh-CN"/>
              </w:rPr>
              <w:t>4100</w:t>
            </w:r>
            <w:r>
              <w:rPr>
                <w:rFonts w:hint="default" w:ascii="Times New Roman" w:hAnsi="Times New Roman" w:cs="Times New Roman"/>
                <w:color w:val="auto"/>
                <w:sz w:val="24"/>
                <w:szCs w:val="24"/>
                <w:lang w:val="en-US" w:eastAsia="zh-CN"/>
              </w:rPr>
              <w:t>m</w:t>
            </w:r>
            <w:r>
              <w:rPr>
                <w:rFonts w:hint="default" w:ascii="Times New Roman" w:hAnsi="Times New Roman" w:cs="Times New Roman"/>
                <w:color w:val="auto"/>
                <w:sz w:val="24"/>
                <w:szCs w:val="24"/>
                <w:vertAlign w:val="superscript"/>
                <w:lang w:val="en-US" w:eastAsia="zh-CN"/>
              </w:rPr>
              <w:t>2</w:t>
            </w:r>
            <w:r>
              <w:rPr>
                <w:rFonts w:hint="default" w:ascii="Times New Roman" w:hAnsi="Times New Roman" w:cs="Times New Roman"/>
                <w:color w:val="auto"/>
                <w:sz w:val="24"/>
                <w:szCs w:val="24"/>
                <w:lang w:val="en-US" w:eastAsia="zh-CN"/>
              </w:rPr>
              <w:t>，</w:t>
            </w:r>
            <w:r>
              <w:rPr>
                <w:rFonts w:hint="default" w:ascii="Times New Roman" w:hAnsi="Times New Roman" w:cs="Times New Roman"/>
                <w:color w:val="auto"/>
                <w:sz w:val="24"/>
                <w:szCs w:val="24"/>
                <w:lang w:eastAsia="zh-CN"/>
              </w:rPr>
              <w:t>项目</w:t>
            </w:r>
            <w:r>
              <w:rPr>
                <w:rFonts w:hint="default" w:ascii="Times New Roman" w:hAnsi="Times New Roman" w:cs="Times New Roman"/>
                <w:color w:val="auto"/>
                <w:sz w:val="24"/>
                <w:szCs w:val="24"/>
              </w:rPr>
              <w:t>总投</w:t>
            </w:r>
            <w:r>
              <w:rPr>
                <w:rFonts w:hint="default" w:ascii="Times New Roman" w:hAnsi="Times New Roman" w:cs="Times New Roman"/>
                <w:color w:val="auto"/>
                <w:sz w:val="24"/>
                <w:szCs w:val="24"/>
                <w:lang w:eastAsia="zh-CN"/>
              </w:rPr>
              <w:t>资</w:t>
            </w:r>
            <w:r>
              <w:rPr>
                <w:rFonts w:hint="eastAsia" w:cs="Times New Roman"/>
                <w:color w:val="auto"/>
                <w:sz w:val="24"/>
                <w:szCs w:val="24"/>
                <w:lang w:val="en-US" w:eastAsia="zh-CN"/>
              </w:rPr>
              <w:t>1</w:t>
            </w:r>
            <w:r>
              <w:rPr>
                <w:rFonts w:hint="eastAsia" w:ascii="Times New Roman" w:hAnsi="Times New Roman" w:cs="Times New Roman"/>
                <w:color w:val="auto"/>
                <w:sz w:val="24"/>
                <w:szCs w:val="24"/>
                <w:lang w:val="en-US" w:eastAsia="zh-CN"/>
              </w:rPr>
              <w:t>000</w:t>
            </w:r>
            <w:r>
              <w:rPr>
                <w:rFonts w:hint="default" w:ascii="Times New Roman" w:hAnsi="Times New Roman" w:cs="Times New Roman"/>
                <w:color w:val="auto"/>
                <w:sz w:val="24"/>
                <w:szCs w:val="24"/>
              </w:rPr>
              <w:t>万元，其中环保投资</w:t>
            </w:r>
            <w:r>
              <w:rPr>
                <w:rFonts w:hint="eastAsia" w:cs="Times New Roman"/>
                <w:color w:val="auto"/>
                <w:sz w:val="24"/>
                <w:szCs w:val="24"/>
                <w:lang w:val="en-US" w:eastAsia="zh-CN"/>
              </w:rPr>
              <w:t>18.5万元</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eastAsia="zh-CN"/>
              </w:rPr>
              <w:t>建设内容主要为新建一条</w:t>
            </w:r>
            <w:r>
              <w:rPr>
                <w:rFonts w:hint="eastAsia" w:cs="Times New Roman"/>
                <w:color w:val="auto"/>
                <w:sz w:val="24"/>
                <w:szCs w:val="24"/>
                <w:lang w:val="en-US" w:eastAsia="zh-CN"/>
              </w:rPr>
              <w:t>钢结构加工</w:t>
            </w:r>
            <w:r>
              <w:rPr>
                <w:rFonts w:hint="default" w:ascii="Times New Roman" w:hAnsi="Times New Roman" w:cs="Times New Roman"/>
                <w:color w:val="auto"/>
                <w:sz w:val="24"/>
                <w:szCs w:val="24"/>
                <w:lang w:val="en-US" w:eastAsia="zh-CN"/>
              </w:rPr>
              <w:t>生产线，建成后年产量为</w:t>
            </w:r>
            <w:r>
              <w:rPr>
                <w:rFonts w:hint="eastAsia" w:cs="Times New Roman"/>
                <w:color w:val="auto"/>
                <w:sz w:val="24"/>
                <w:szCs w:val="24"/>
                <w:lang w:val="en-US" w:eastAsia="zh-CN"/>
              </w:rPr>
              <w:t>3000t</w:t>
            </w:r>
            <w:r>
              <w:rPr>
                <w:rFonts w:hint="default" w:ascii="Times New Roman" w:hAnsi="Times New Roman" w:cs="Times New Roman"/>
                <w:color w:val="auto"/>
                <w:sz w:val="24"/>
                <w:szCs w:val="24"/>
                <w:lang w:val="en-US" w:eastAsia="zh-CN"/>
              </w:rPr>
              <w:t>/</w:t>
            </w:r>
            <w:r>
              <w:rPr>
                <w:rFonts w:hint="eastAsia" w:cs="Times New Roman"/>
                <w:color w:val="auto"/>
                <w:sz w:val="24"/>
                <w:szCs w:val="24"/>
                <w:lang w:val="en-US" w:eastAsia="zh-CN"/>
              </w:rPr>
              <w:t>a</w:t>
            </w:r>
            <w:r>
              <w:rPr>
                <w:rFonts w:hint="default" w:ascii="Times New Roman" w:hAnsi="Times New Roman" w:cs="Times New Roman"/>
                <w:color w:val="auto"/>
                <w:sz w:val="24"/>
                <w:szCs w:val="24"/>
                <w:lang w:val="en-US" w:eastAsia="zh-CN"/>
              </w:rPr>
              <w:t>，项目</w:t>
            </w:r>
            <w:r>
              <w:rPr>
                <w:rFonts w:hint="default" w:ascii="Times New Roman" w:hAnsi="Times New Roman" w:cs="Times New Roman"/>
                <w:color w:val="auto"/>
                <w:sz w:val="24"/>
                <w:szCs w:val="24"/>
                <w:lang w:eastAsia="zh-CN"/>
              </w:rPr>
              <w:t>施工内容主要为室内外装修和设备安装。</w:t>
            </w:r>
            <w:r>
              <w:rPr>
                <w:rFonts w:hint="default" w:ascii="Times New Roman" w:hAnsi="Times New Roman" w:cs="Times New Roman"/>
                <w:color w:val="auto"/>
                <w:sz w:val="24"/>
                <w:szCs w:val="24"/>
              </w:rPr>
              <w:t>通过对项目进行环境影响评价，得出以下结论。</w:t>
            </w:r>
            <w:r>
              <w:rPr>
                <w:rFonts w:hint="default" w:ascii="Times New Roman" w:hAnsi="Times New Roman" w:cs="Times New Roman"/>
                <w:color w:val="auto"/>
                <w:sz w:val="28"/>
                <w:szCs w:val="28"/>
              </w:rPr>
              <w:t xml:space="preserve"> </w:t>
            </w:r>
          </w:p>
          <w:p>
            <w:pPr>
              <w:numPr>
                <w:ilvl w:val="0"/>
                <w:numId w:val="0"/>
              </w:numPr>
              <w:spacing w:line="360" w:lineRule="auto"/>
              <w:rPr>
                <w:rFonts w:hint="default" w:ascii="Times New Roman" w:hAnsi="Times New Roman" w:cs="Times New Roman"/>
                <w:b/>
                <w:color w:val="auto"/>
                <w:sz w:val="24"/>
                <w:szCs w:val="24"/>
              </w:rPr>
            </w:pPr>
            <w:r>
              <w:rPr>
                <w:rFonts w:hint="eastAsia" w:ascii="Times New Roman" w:hAnsi="Times New Roman" w:cs="Times New Roman"/>
                <w:b/>
                <w:color w:val="auto"/>
                <w:sz w:val="24"/>
                <w:szCs w:val="24"/>
                <w:lang w:eastAsia="zh-CN"/>
              </w:rPr>
              <w:t>一、</w:t>
            </w:r>
            <w:r>
              <w:rPr>
                <w:rFonts w:hint="default" w:ascii="Times New Roman" w:hAnsi="Times New Roman" w:cs="Times New Roman"/>
                <w:b/>
                <w:color w:val="auto"/>
                <w:sz w:val="24"/>
                <w:szCs w:val="24"/>
              </w:rPr>
              <w:t>结论</w:t>
            </w:r>
          </w:p>
          <w:p>
            <w:pPr>
              <w:spacing w:line="360" w:lineRule="auto"/>
              <w:ind w:firstLine="482" w:firstLineChars="20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1、产业政策符合性</w:t>
            </w:r>
          </w:p>
          <w:p>
            <w:pPr>
              <w:widowControl/>
              <w:spacing w:line="360" w:lineRule="auto"/>
              <w:ind w:firstLine="480" w:firstLineChars="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highlight w:val="none"/>
                <w:lang w:val="en-US" w:eastAsia="zh-CN"/>
              </w:rPr>
              <w:t>项目为金属制品制造行业，根据《产业结构调整指导目录 2011 年本（2013 年修正）》和《云南省工业产业结构调整指导目录（2006 本）》，本项目不属于上述文件规定的鼓励类、限制类及淘汰类，属于允许类，故项目建设符合国家和地方产业政策</w:t>
            </w:r>
            <w:r>
              <w:rPr>
                <w:rFonts w:hint="default" w:ascii="Times New Roman" w:hAnsi="Times New Roman" w:cs="Times New Roman"/>
                <w:color w:val="auto"/>
                <w:sz w:val="24"/>
                <w:szCs w:val="24"/>
              </w:rPr>
              <w:t>。</w:t>
            </w:r>
          </w:p>
          <w:p>
            <w:pPr>
              <w:spacing w:line="360" w:lineRule="auto"/>
              <w:ind w:firstLine="482" w:firstLineChars="20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2、选址合理性分析</w:t>
            </w:r>
          </w:p>
          <w:p>
            <w:pPr>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项目为</w:t>
            </w:r>
            <w:r>
              <w:rPr>
                <w:rFonts w:hint="eastAsia" w:cs="Times New Roman"/>
                <w:color w:val="auto"/>
                <w:sz w:val="24"/>
                <w:szCs w:val="24"/>
                <w:lang w:eastAsia="zh-CN"/>
              </w:rPr>
              <w:t>钢结构加工</w:t>
            </w:r>
            <w:r>
              <w:rPr>
                <w:rFonts w:hint="default" w:ascii="Times New Roman" w:hAnsi="Times New Roman" w:cs="Times New Roman"/>
                <w:color w:val="auto"/>
                <w:sz w:val="24"/>
                <w:szCs w:val="24"/>
                <w:highlight w:val="none"/>
                <w:lang w:val="en-US" w:eastAsia="zh-CN"/>
              </w:rPr>
              <w:t>项目</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eastAsia="zh-CN"/>
              </w:rPr>
              <w:t>用地符合《富民工业园区总体规划修编（2015～2030）》</w:t>
            </w:r>
            <w:r>
              <w:rPr>
                <w:rFonts w:hint="default" w:ascii="Times New Roman" w:hAnsi="Times New Roman" w:cs="Times New Roman"/>
                <w:color w:val="auto"/>
                <w:sz w:val="24"/>
                <w:szCs w:val="24"/>
                <w:lang w:val="en-US" w:eastAsia="zh-CN"/>
              </w:rPr>
              <w:t>用地规划，且与本项目的建设与《富民工业园区总体规划修编（2015～2030）》总体规划不冲突。</w:t>
            </w:r>
            <w:r>
              <w:rPr>
                <w:rFonts w:hint="default" w:ascii="Times New Roman" w:hAnsi="Times New Roman" w:cs="Times New Roman"/>
                <w:color w:val="auto"/>
                <w:sz w:val="24"/>
                <w:szCs w:val="24"/>
              </w:rPr>
              <w:t>采取了</w:t>
            </w:r>
            <w:r>
              <w:rPr>
                <w:rFonts w:hint="default" w:ascii="Times New Roman" w:hAnsi="Times New Roman" w:cs="Times New Roman"/>
                <w:color w:val="auto"/>
                <w:sz w:val="24"/>
                <w:szCs w:val="24"/>
                <w:lang w:eastAsia="zh-CN"/>
              </w:rPr>
              <w:t>废气处理措施、</w:t>
            </w:r>
            <w:r>
              <w:rPr>
                <w:rFonts w:hint="default" w:ascii="Times New Roman" w:hAnsi="Times New Roman" w:cs="Times New Roman"/>
                <w:color w:val="auto"/>
                <w:sz w:val="24"/>
                <w:szCs w:val="24"/>
              </w:rPr>
              <w:t>固体废物收集措施</w:t>
            </w:r>
            <w:r>
              <w:rPr>
                <w:rFonts w:hint="default" w:ascii="Times New Roman" w:hAnsi="Times New Roman" w:cs="Times New Roman"/>
                <w:color w:val="auto"/>
                <w:sz w:val="24"/>
                <w:szCs w:val="24"/>
                <w:lang w:eastAsia="zh-CN"/>
              </w:rPr>
              <w:t>及噪声控制措施后</w:t>
            </w:r>
            <w:r>
              <w:rPr>
                <w:rFonts w:hint="default" w:ascii="Times New Roman" w:hAnsi="Times New Roman" w:cs="Times New Roman"/>
                <w:color w:val="auto"/>
                <w:sz w:val="24"/>
                <w:szCs w:val="24"/>
              </w:rPr>
              <w:t>，项目内产生的污染物在采取环评提出的措施后均可以得到合理有效的处置，与周围环境相容，项目选址合理。</w:t>
            </w:r>
          </w:p>
          <w:p>
            <w:pPr>
              <w:spacing w:line="360" w:lineRule="auto"/>
              <w:ind w:firstLine="482" w:firstLineChars="20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3、环境质量现状</w:t>
            </w:r>
          </w:p>
          <w:p>
            <w:pPr>
              <w:bidi w:val="0"/>
              <w:rPr>
                <w:rFonts w:hint="default"/>
                <w:color w:val="auto"/>
              </w:rPr>
            </w:pPr>
            <w:r>
              <w:rPr>
                <w:rFonts w:hint="default"/>
                <w:color w:val="auto"/>
              </w:rPr>
              <w:t>项目所在地环境空气质量能够达到《环境空气质量标准》（GB3095-2012）二级标准；项目区主要地表水体为项目</w:t>
            </w:r>
            <w:r>
              <w:rPr>
                <w:rFonts w:hint="default"/>
                <w:color w:val="auto"/>
                <w:lang w:eastAsia="zh-CN"/>
              </w:rPr>
              <w:t>南面</w:t>
            </w:r>
            <w:r>
              <w:rPr>
                <w:rFonts w:hint="eastAsia"/>
                <w:color w:val="auto"/>
                <w:lang w:val="en-US" w:eastAsia="zh-CN"/>
              </w:rPr>
              <w:t>1130</w:t>
            </w:r>
            <w:r>
              <w:rPr>
                <w:rFonts w:hint="default"/>
                <w:color w:val="auto"/>
              </w:rPr>
              <w:t>m处的</w:t>
            </w:r>
            <w:r>
              <w:rPr>
                <w:rFonts w:hint="default"/>
                <w:color w:val="auto"/>
                <w:lang w:eastAsia="zh-CN"/>
              </w:rPr>
              <w:t>大营河</w:t>
            </w:r>
            <w:r>
              <w:rPr>
                <w:rFonts w:hint="default"/>
                <w:color w:val="auto"/>
              </w:rPr>
              <w:t>，根据《201</w:t>
            </w:r>
            <w:r>
              <w:rPr>
                <w:rFonts w:hint="default"/>
                <w:color w:val="auto"/>
                <w:lang w:val="en-US" w:eastAsia="zh-CN"/>
              </w:rPr>
              <w:t>8</w:t>
            </w:r>
            <w:r>
              <w:rPr>
                <w:rFonts w:hint="default"/>
                <w:color w:val="auto"/>
              </w:rPr>
              <w:t>年度昆明市环境质量状况公报》</w:t>
            </w:r>
            <w:r>
              <w:rPr>
                <w:rFonts w:hint="default"/>
                <w:color w:val="auto"/>
                <w:lang w:eastAsia="zh-CN"/>
              </w:rPr>
              <w:t>及现场踏勘</w:t>
            </w:r>
            <w:r>
              <w:rPr>
                <w:rFonts w:hint="eastAsia"/>
                <w:color w:val="auto"/>
                <w:lang w:val="en-US" w:eastAsia="zh-CN"/>
              </w:rPr>
              <w:t>，</w:t>
            </w:r>
            <w:r>
              <w:rPr>
                <w:rFonts w:hint="default"/>
                <w:color w:val="auto"/>
              </w:rPr>
              <w:t>大营河水质一般</w:t>
            </w:r>
            <w:r>
              <w:rPr>
                <w:rFonts w:hint="default"/>
                <w:color w:val="auto"/>
                <w:lang w:eastAsia="zh-CN"/>
              </w:rPr>
              <w:t>；</w:t>
            </w:r>
            <w:r>
              <w:rPr>
                <w:rFonts w:hint="default"/>
                <w:color w:val="auto"/>
              </w:rPr>
              <w:t>项目区声环境质量能够达到《声环境质量标准》（GB3096-2008）3类区标准；项目区域无原生植被，未发现需特殊保护的动植物资源。</w:t>
            </w:r>
          </w:p>
          <w:p>
            <w:pPr>
              <w:spacing w:line="360" w:lineRule="auto"/>
              <w:ind w:firstLine="482" w:firstLineChars="200"/>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4、施工期环境影响分析结论</w:t>
            </w:r>
          </w:p>
          <w:p>
            <w:pPr>
              <w:spacing w:line="360" w:lineRule="auto"/>
              <w:rPr>
                <w:rFonts w:hint="default" w:ascii="Times New Roman" w:hAnsi="Times New Roman" w:cs="Times New Roman"/>
                <w:color w:val="auto"/>
                <w:kern w:val="0"/>
                <w:sz w:val="28"/>
                <w:szCs w:val="28"/>
              </w:rPr>
            </w:pPr>
            <w:r>
              <w:rPr>
                <w:rFonts w:hint="default" w:ascii="Times New Roman" w:hAnsi="Times New Roman" w:cs="Times New Roman"/>
                <w:color w:val="auto"/>
                <w:sz w:val="24"/>
                <w:szCs w:val="24"/>
              </w:rPr>
              <w:t>施工期间产生的</w:t>
            </w:r>
            <w:r>
              <w:rPr>
                <w:rFonts w:hint="default" w:ascii="Times New Roman" w:hAnsi="Times New Roman" w:cs="Times New Roman"/>
                <w:color w:val="auto"/>
                <w:sz w:val="24"/>
                <w:szCs w:val="24"/>
                <w:lang w:eastAsia="zh-CN"/>
              </w:rPr>
              <w:t>扬</w:t>
            </w:r>
            <w:r>
              <w:rPr>
                <w:rFonts w:hint="default" w:ascii="Times New Roman" w:hAnsi="Times New Roman" w:cs="Times New Roman"/>
                <w:color w:val="auto"/>
                <w:sz w:val="24"/>
                <w:szCs w:val="24"/>
              </w:rPr>
              <w:t>尘</w:t>
            </w:r>
            <w:r>
              <w:rPr>
                <w:rFonts w:hint="default" w:ascii="Times New Roman" w:hAnsi="Times New Roman" w:cs="Times New Roman"/>
                <w:color w:val="auto"/>
                <w:sz w:val="24"/>
                <w:szCs w:val="24"/>
                <w:lang w:eastAsia="zh-CN"/>
              </w:rPr>
              <w:t>和有机废气</w:t>
            </w:r>
            <w:r>
              <w:rPr>
                <w:rFonts w:hint="default" w:ascii="Times New Roman" w:hAnsi="Times New Roman" w:cs="Times New Roman"/>
                <w:color w:val="auto"/>
                <w:sz w:val="24"/>
                <w:szCs w:val="24"/>
              </w:rPr>
              <w:t>通过</w:t>
            </w:r>
            <w:r>
              <w:rPr>
                <w:rFonts w:hint="default" w:ascii="Times New Roman" w:hAnsi="Times New Roman" w:cs="Times New Roman"/>
                <w:color w:val="auto"/>
                <w:sz w:val="24"/>
                <w:szCs w:val="24"/>
                <w:lang w:eastAsia="zh-CN"/>
              </w:rPr>
              <w:t>洒水降尘、</w:t>
            </w:r>
            <w:r>
              <w:rPr>
                <w:rFonts w:hint="default" w:ascii="Times New Roman" w:hAnsi="Times New Roman" w:cs="Times New Roman"/>
                <w:color w:val="auto"/>
                <w:sz w:val="24"/>
                <w:szCs w:val="24"/>
              </w:rPr>
              <w:t>自然稀释、扩散后对周围环境的影响较小；施工过程中产生的装修材料边角料、设备包装废料等统一收集后出售于废品回收站；项目施工期较短，施工期结束后，施工期噪声影响即消失。</w:t>
            </w:r>
          </w:p>
          <w:p>
            <w:pPr>
              <w:spacing w:line="360" w:lineRule="auto"/>
              <w:ind w:firstLine="482" w:firstLineChars="20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5、营运期环境影响分析结论</w:t>
            </w:r>
          </w:p>
          <w:p>
            <w:pPr>
              <w:spacing w:line="360" w:lineRule="auto"/>
              <w:ind w:firstLine="482" w:firstLineChars="20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（1）大气环境影响分析</w:t>
            </w:r>
          </w:p>
          <w:p>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运营期废气主要为喷漆工序产生的</w:t>
            </w:r>
            <w:r>
              <w:rPr>
                <w:rFonts w:hint="eastAsia" w:cs="Times New Roman"/>
                <w:color w:val="auto"/>
                <w:sz w:val="24"/>
                <w:lang w:val="en-US" w:eastAsia="zh-CN"/>
              </w:rPr>
              <w:t>VOCs</w:t>
            </w:r>
            <w:r>
              <w:rPr>
                <w:rFonts w:hint="default" w:ascii="Times New Roman" w:hAnsi="Times New Roman" w:eastAsia="宋体" w:cs="Times New Roman"/>
                <w:color w:val="auto"/>
                <w:sz w:val="24"/>
                <w:lang w:val="en-US" w:eastAsia="zh-CN"/>
              </w:rPr>
              <w:t>、焊接工序产生焊接烟尘、机加工过程产生的金属粉尘。</w:t>
            </w:r>
          </w:p>
          <w:p>
            <w:pPr>
              <w:spacing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项目调漆、喷漆、晾干等过程均在负压密闭的喷漆室内进行，</w:t>
            </w:r>
            <w:r>
              <w:rPr>
                <w:rFonts w:hint="eastAsia" w:cs="Times New Roman"/>
                <w:color w:val="auto"/>
                <w:sz w:val="24"/>
                <w:lang w:val="en-US" w:eastAsia="zh-CN"/>
              </w:rPr>
              <w:t>VOCs</w:t>
            </w:r>
            <w:r>
              <w:rPr>
                <w:rFonts w:hint="default" w:ascii="Times New Roman" w:hAnsi="Times New Roman" w:eastAsia="宋体" w:cs="Times New Roman"/>
                <w:color w:val="auto"/>
                <w:sz w:val="24"/>
                <w:lang w:val="en-US" w:eastAsia="zh-CN"/>
              </w:rPr>
              <w:t>废气经收集后通过</w:t>
            </w:r>
            <w:r>
              <w:rPr>
                <w:rFonts w:hint="eastAsia" w:cs="Times New Roman"/>
                <w:color w:val="auto"/>
                <w:sz w:val="24"/>
                <w:lang w:val="en-US" w:eastAsia="zh-CN"/>
              </w:rPr>
              <w:t>过滤棉+活性炭</w:t>
            </w:r>
            <w:r>
              <w:rPr>
                <w:rFonts w:hint="default" w:ascii="Times New Roman" w:hAnsi="Times New Roman" w:eastAsia="宋体" w:cs="Times New Roman"/>
                <w:color w:val="auto"/>
                <w:sz w:val="24"/>
                <w:lang w:val="en-US" w:eastAsia="zh-CN"/>
              </w:rPr>
              <w:t>吸附处理装置处理后由</w:t>
            </w:r>
            <w:r>
              <w:rPr>
                <w:rFonts w:hint="eastAsia" w:eastAsia="宋体" w:cs="Times New Roman"/>
                <w:color w:val="auto"/>
                <w:sz w:val="24"/>
                <w:lang w:val="en-US" w:eastAsia="zh-CN"/>
              </w:rPr>
              <w:t>1</w:t>
            </w:r>
            <w:r>
              <w:rPr>
                <w:rFonts w:hint="default" w:ascii="Times New Roman" w:hAnsi="Times New Roman" w:eastAsia="宋体" w:cs="Times New Roman"/>
                <w:color w:val="auto"/>
                <w:sz w:val="24"/>
                <w:lang w:val="en-US" w:eastAsia="zh-CN"/>
              </w:rPr>
              <w:t>根15m高排气筒排放，少部分未被收集的废气无组织排放</w:t>
            </w:r>
            <w:r>
              <w:rPr>
                <w:rFonts w:hint="eastAsia" w:cs="Times New Roman"/>
                <w:color w:val="auto"/>
                <w:sz w:val="24"/>
                <w:lang w:val="en-US" w:eastAsia="zh-CN"/>
              </w:rPr>
              <w:t>；</w:t>
            </w:r>
            <w:r>
              <w:rPr>
                <w:rFonts w:hint="default" w:ascii="Times New Roman" w:hAnsi="Times New Roman" w:eastAsia="宋体" w:cs="Times New Roman"/>
                <w:color w:val="auto"/>
                <w:sz w:val="24"/>
                <w:lang w:val="en-US" w:eastAsia="zh-CN"/>
              </w:rPr>
              <w:t>焊接烟尘</w:t>
            </w:r>
            <w:r>
              <w:rPr>
                <w:rFonts w:hint="eastAsia" w:eastAsia="宋体" w:cs="Times New Roman"/>
                <w:color w:val="auto"/>
                <w:sz w:val="24"/>
                <w:lang w:val="en-US" w:eastAsia="zh-CN"/>
              </w:rPr>
              <w:t>，机加工粉尘经过</w:t>
            </w:r>
            <w:r>
              <w:rPr>
                <w:rFonts w:hint="eastAsia" w:cs="Times New Roman"/>
                <w:color w:val="auto"/>
                <w:sz w:val="24"/>
                <w:lang w:val="en-US" w:eastAsia="zh-CN"/>
              </w:rPr>
              <w:t>移动式除尘器处理后，再经过</w:t>
            </w:r>
            <w:r>
              <w:rPr>
                <w:rFonts w:hint="eastAsia" w:eastAsia="宋体" w:cs="Times New Roman"/>
                <w:color w:val="auto"/>
                <w:sz w:val="24"/>
                <w:lang w:val="en-US" w:eastAsia="zh-CN"/>
              </w:rPr>
              <w:t>车间自然沉降后以无组织形式排放</w:t>
            </w:r>
            <w:r>
              <w:rPr>
                <w:rFonts w:hint="default" w:ascii="Times New Roman" w:hAnsi="Times New Roman" w:eastAsia="宋体" w:cs="Times New Roman"/>
                <w:color w:val="auto"/>
                <w:sz w:val="24"/>
                <w:lang w:val="en-US" w:eastAsia="zh-CN"/>
              </w:rPr>
              <w:t>。经预测分析，</w:t>
            </w:r>
            <w:r>
              <w:rPr>
                <w:rFonts w:hint="eastAsia"/>
                <w:color w:val="auto"/>
                <w:lang w:eastAsia="zh-CN"/>
              </w:rPr>
              <w:t>有</w:t>
            </w:r>
            <w:r>
              <w:rPr>
                <w:rFonts w:hint="default"/>
                <w:color w:val="auto"/>
              </w:rPr>
              <w:t>组织废气</w:t>
            </w:r>
            <w:r>
              <w:rPr>
                <w:rFonts w:hint="default"/>
                <w:color w:val="auto"/>
                <w:lang w:eastAsia="zh-CN"/>
              </w:rPr>
              <w:t>排放的</w:t>
            </w:r>
            <w:r>
              <w:rPr>
                <w:rFonts w:hint="default"/>
                <w:color w:val="auto"/>
                <w:lang w:val="en-US" w:eastAsia="zh-CN"/>
              </w:rPr>
              <w:t>TSP、</w:t>
            </w:r>
            <w:r>
              <w:rPr>
                <w:rFonts w:hint="eastAsia"/>
                <w:color w:val="auto"/>
                <w:lang w:val="en-US" w:eastAsia="zh-CN"/>
              </w:rPr>
              <w:t>VOCs</w:t>
            </w:r>
            <w:r>
              <w:rPr>
                <w:rFonts w:hint="default"/>
                <w:color w:val="auto"/>
                <w:lang w:eastAsia="zh-CN"/>
              </w:rPr>
              <w:t>；最大地面落地浓度</w:t>
            </w:r>
            <w:r>
              <w:rPr>
                <w:rFonts w:hint="default"/>
                <w:color w:val="auto"/>
              </w:rPr>
              <w:t>为</w:t>
            </w:r>
            <w:r>
              <w:rPr>
                <w:rFonts w:hint="eastAsia"/>
                <w:color w:val="auto"/>
                <w:lang w:val="en-US" w:eastAsia="zh-CN"/>
              </w:rPr>
              <w:t>2.91</w:t>
            </w:r>
            <w:r>
              <w:rPr>
                <w:rFonts w:hint="default"/>
                <w:color w:val="auto"/>
                <w:lang w:val="en-US" w:eastAsia="zh-CN"/>
              </w:rPr>
              <w:t>u</w:t>
            </w:r>
            <w:r>
              <w:rPr>
                <w:rFonts w:hint="default"/>
                <w:color w:val="auto"/>
              </w:rPr>
              <w:t>g/</w:t>
            </w:r>
            <w:r>
              <w:rPr>
                <w:rFonts w:hint="eastAsia"/>
                <w:color w:val="auto"/>
                <w:lang w:val="en-US" w:eastAsia="zh-CN"/>
              </w:rPr>
              <w:t>m</w:t>
            </w:r>
            <w:r>
              <w:rPr>
                <w:rFonts w:hint="eastAsia"/>
                <w:color w:val="auto"/>
                <w:vertAlign w:val="superscript"/>
                <w:lang w:val="en-US" w:eastAsia="zh-CN"/>
              </w:rPr>
              <w:t>3</w:t>
            </w:r>
            <w:r>
              <w:rPr>
                <w:rFonts w:hint="default"/>
                <w:color w:val="auto"/>
              </w:rPr>
              <w:t>、</w:t>
            </w:r>
            <w:r>
              <w:rPr>
                <w:rFonts w:hint="eastAsia"/>
                <w:color w:val="auto"/>
                <w:lang w:val="en-US" w:eastAsia="zh-CN"/>
              </w:rPr>
              <w:t>5.17</w:t>
            </w:r>
            <w:r>
              <w:rPr>
                <w:rFonts w:hint="default"/>
                <w:color w:val="auto"/>
                <w:lang w:val="en-US" w:eastAsia="zh-CN"/>
              </w:rPr>
              <w:t>u</w:t>
            </w:r>
            <w:r>
              <w:rPr>
                <w:rFonts w:hint="default"/>
                <w:color w:val="auto"/>
              </w:rPr>
              <w:t>g/</w:t>
            </w:r>
            <w:r>
              <w:rPr>
                <w:rFonts w:hint="eastAsia"/>
                <w:color w:val="auto"/>
                <w:lang w:val="en-US" w:eastAsia="zh-CN"/>
              </w:rPr>
              <w:t>m</w:t>
            </w:r>
            <w:r>
              <w:rPr>
                <w:rFonts w:hint="eastAsia"/>
                <w:color w:val="auto"/>
                <w:vertAlign w:val="superscript"/>
                <w:lang w:val="en-US" w:eastAsia="zh-CN"/>
              </w:rPr>
              <w:t>3</w:t>
            </w:r>
            <w:r>
              <w:rPr>
                <w:rFonts w:hint="default"/>
                <w:color w:val="auto"/>
                <w:lang w:eastAsia="zh-CN"/>
              </w:rPr>
              <w:t>分别满足</w:t>
            </w:r>
            <w:r>
              <w:rPr>
                <w:rFonts w:hint="default"/>
                <w:color w:val="auto"/>
              </w:rPr>
              <w:t>《环境空气质量标准》</w:t>
            </w:r>
            <w:r>
              <w:rPr>
                <w:rFonts w:hint="eastAsia"/>
                <w:color w:val="auto"/>
                <w:lang w:eastAsia="zh-CN"/>
              </w:rPr>
              <w:t>（</w:t>
            </w:r>
            <w:r>
              <w:rPr>
                <w:rFonts w:hint="default"/>
                <w:color w:val="auto"/>
              </w:rPr>
              <w:t>GB3095-2012</w:t>
            </w:r>
            <w:r>
              <w:rPr>
                <w:rFonts w:hint="eastAsia"/>
                <w:color w:val="auto"/>
                <w:lang w:eastAsia="zh-CN"/>
              </w:rPr>
              <w:t>）</w:t>
            </w:r>
            <w:r>
              <w:rPr>
                <w:rFonts w:hint="default"/>
                <w:color w:val="auto"/>
              </w:rPr>
              <w:t>二级浓度限值</w:t>
            </w:r>
            <w:r>
              <w:rPr>
                <w:rFonts w:hint="default"/>
                <w:color w:val="auto"/>
                <w:lang w:eastAsia="zh-CN"/>
              </w:rPr>
              <w:t>（TSP≤900ug/</w:t>
            </w:r>
            <w:r>
              <w:rPr>
                <w:rFonts w:hint="eastAsia"/>
                <w:color w:val="auto"/>
                <w:lang w:val="en-US" w:eastAsia="zh-CN"/>
              </w:rPr>
              <w:t>m</w:t>
            </w:r>
            <w:r>
              <w:rPr>
                <w:rFonts w:hint="eastAsia"/>
                <w:color w:val="auto"/>
                <w:vertAlign w:val="superscript"/>
                <w:lang w:val="en-US" w:eastAsia="zh-CN"/>
              </w:rPr>
              <w:t>3</w:t>
            </w:r>
            <w:r>
              <w:rPr>
                <w:rFonts w:hint="default"/>
                <w:color w:val="auto"/>
                <w:lang w:eastAsia="zh-CN"/>
              </w:rPr>
              <w:t>）</w:t>
            </w:r>
            <w:r>
              <w:rPr>
                <w:rFonts w:hint="eastAsia"/>
                <w:color w:val="auto"/>
                <w:lang w:eastAsia="zh-CN"/>
              </w:rPr>
              <w:t>、</w:t>
            </w:r>
            <w:r>
              <w:rPr>
                <w:rFonts w:hint="eastAsia"/>
                <w:color w:val="auto"/>
                <w:lang w:val="en-US" w:eastAsia="zh-CN"/>
              </w:rPr>
              <w:t>《环境影响评价技术导则-大气环境》HJ2.2-2018附录D中关于TVOC限值要求</w:t>
            </w:r>
            <w:r>
              <w:rPr>
                <w:rFonts w:hint="default"/>
                <w:color w:val="auto"/>
                <w:lang w:eastAsia="zh-CN"/>
              </w:rPr>
              <w:t>（T</w:t>
            </w:r>
            <w:r>
              <w:rPr>
                <w:rFonts w:hint="eastAsia"/>
                <w:color w:val="auto"/>
                <w:lang w:val="en-US" w:eastAsia="zh-CN"/>
              </w:rPr>
              <w:t>VOC</w:t>
            </w:r>
            <w:r>
              <w:rPr>
                <w:rFonts w:hint="default"/>
                <w:color w:val="auto"/>
                <w:lang w:eastAsia="zh-CN"/>
              </w:rPr>
              <w:t>≤</w:t>
            </w:r>
            <w:r>
              <w:rPr>
                <w:rFonts w:hint="eastAsia"/>
                <w:color w:val="auto"/>
                <w:lang w:val="en-US" w:eastAsia="zh-CN"/>
              </w:rPr>
              <w:t>600</w:t>
            </w:r>
            <w:r>
              <w:rPr>
                <w:rFonts w:hint="default"/>
                <w:color w:val="auto"/>
                <w:lang w:eastAsia="zh-CN"/>
              </w:rPr>
              <w:t>ug/</w:t>
            </w:r>
            <w:r>
              <w:rPr>
                <w:rFonts w:hint="eastAsia"/>
                <w:color w:val="auto"/>
                <w:lang w:val="en-US" w:eastAsia="zh-CN"/>
              </w:rPr>
              <w:t>m</w:t>
            </w:r>
            <w:r>
              <w:rPr>
                <w:rFonts w:hint="eastAsia"/>
                <w:color w:val="auto"/>
                <w:vertAlign w:val="superscript"/>
                <w:lang w:val="en-US" w:eastAsia="zh-CN"/>
              </w:rPr>
              <w:t>3</w:t>
            </w:r>
            <w:r>
              <w:rPr>
                <w:rFonts w:hint="default"/>
                <w:color w:val="auto"/>
                <w:lang w:eastAsia="zh-CN"/>
              </w:rPr>
              <w:t>）</w:t>
            </w:r>
            <w:r>
              <w:rPr>
                <w:rFonts w:hint="eastAsia"/>
                <w:color w:val="auto"/>
                <w:lang w:eastAsia="zh-CN"/>
              </w:rPr>
              <w:t>，无组织排放的</w:t>
            </w:r>
            <w:r>
              <w:rPr>
                <w:rFonts w:hint="default"/>
                <w:color w:val="auto"/>
                <w:lang w:val="en-US" w:eastAsia="zh-CN"/>
              </w:rPr>
              <w:t>TSP、</w:t>
            </w:r>
            <w:r>
              <w:rPr>
                <w:rFonts w:hint="eastAsia"/>
                <w:color w:val="auto"/>
                <w:lang w:val="en-US" w:eastAsia="zh-CN"/>
              </w:rPr>
              <w:t>VOCs</w:t>
            </w:r>
            <w:r>
              <w:rPr>
                <w:rFonts w:hint="default"/>
                <w:color w:val="auto"/>
              </w:rPr>
              <w:t>下风向最大落地浓度为</w:t>
            </w:r>
            <w:r>
              <w:rPr>
                <w:rFonts w:hint="eastAsia"/>
                <w:color w:val="auto"/>
                <w:lang w:val="en-US" w:eastAsia="zh-CN"/>
              </w:rPr>
              <w:t>72.66</w:t>
            </w:r>
            <w:r>
              <w:rPr>
                <w:rFonts w:hint="default"/>
                <w:color w:val="auto"/>
                <w:lang w:val="en-US" w:eastAsia="zh-CN"/>
              </w:rPr>
              <w:t>u</w:t>
            </w:r>
            <w:r>
              <w:rPr>
                <w:rFonts w:hint="default"/>
                <w:color w:val="auto"/>
              </w:rPr>
              <w:t>g/</w:t>
            </w:r>
            <w:r>
              <w:rPr>
                <w:rFonts w:hint="eastAsia"/>
                <w:color w:val="auto"/>
                <w:lang w:val="en-US" w:eastAsia="zh-CN"/>
              </w:rPr>
              <w:t>m</w:t>
            </w:r>
            <w:r>
              <w:rPr>
                <w:rFonts w:hint="eastAsia"/>
                <w:color w:val="auto"/>
                <w:vertAlign w:val="superscript"/>
                <w:lang w:val="en-US" w:eastAsia="zh-CN"/>
              </w:rPr>
              <w:t>3</w:t>
            </w:r>
            <w:r>
              <w:rPr>
                <w:rFonts w:hint="default"/>
                <w:color w:val="auto"/>
              </w:rPr>
              <w:t>、</w:t>
            </w:r>
            <w:r>
              <w:rPr>
                <w:rFonts w:hint="eastAsia"/>
                <w:color w:val="auto"/>
                <w:lang w:val="en-US" w:eastAsia="zh-CN"/>
              </w:rPr>
              <w:t>24.69</w:t>
            </w:r>
            <w:r>
              <w:rPr>
                <w:rFonts w:hint="default"/>
                <w:color w:val="auto"/>
                <w:lang w:val="en-US" w:eastAsia="zh-CN"/>
              </w:rPr>
              <w:t>u</w:t>
            </w:r>
            <w:r>
              <w:rPr>
                <w:rFonts w:hint="default"/>
                <w:color w:val="auto"/>
              </w:rPr>
              <w:t>g/</w:t>
            </w:r>
            <w:r>
              <w:rPr>
                <w:rFonts w:hint="eastAsia"/>
                <w:color w:val="auto"/>
                <w:lang w:val="en-US" w:eastAsia="zh-CN"/>
              </w:rPr>
              <w:t>m</w:t>
            </w:r>
            <w:r>
              <w:rPr>
                <w:rFonts w:hint="eastAsia"/>
                <w:color w:val="auto"/>
                <w:vertAlign w:val="superscript"/>
                <w:lang w:val="en-US" w:eastAsia="zh-CN"/>
              </w:rPr>
              <w:t>3</w:t>
            </w:r>
            <w:r>
              <w:rPr>
                <w:rFonts w:hint="default"/>
                <w:color w:val="auto"/>
                <w:lang w:eastAsia="zh-CN"/>
              </w:rPr>
              <w:t>；最大地面落地浓度分别满足《环境空气质量标准》(GB3095-2012)二级标准要求（TSP≤900ug/</w:t>
            </w:r>
            <w:r>
              <w:rPr>
                <w:rFonts w:hint="eastAsia"/>
                <w:color w:val="auto"/>
                <w:lang w:val="en-US" w:eastAsia="zh-CN"/>
              </w:rPr>
              <w:t>m</w:t>
            </w:r>
            <w:r>
              <w:rPr>
                <w:rFonts w:hint="eastAsia"/>
                <w:color w:val="auto"/>
                <w:vertAlign w:val="superscript"/>
                <w:lang w:val="en-US" w:eastAsia="zh-CN"/>
              </w:rPr>
              <w:t>3</w:t>
            </w:r>
            <w:r>
              <w:rPr>
                <w:rFonts w:hint="default"/>
                <w:color w:val="auto"/>
                <w:lang w:eastAsia="zh-CN"/>
              </w:rPr>
              <w:t>）、</w:t>
            </w:r>
            <w:r>
              <w:rPr>
                <w:rFonts w:hint="eastAsia"/>
                <w:color w:val="auto"/>
                <w:lang w:val="en-US" w:eastAsia="zh-CN"/>
              </w:rPr>
              <w:t>《环境影响评价技术导则-大气环境》HJ2.2-2018附录D中关于TVOC限值要求</w:t>
            </w:r>
            <w:r>
              <w:rPr>
                <w:rFonts w:hint="default"/>
                <w:color w:val="auto"/>
                <w:lang w:eastAsia="zh-CN"/>
              </w:rPr>
              <w:t>（T</w:t>
            </w:r>
            <w:r>
              <w:rPr>
                <w:rFonts w:hint="eastAsia"/>
                <w:color w:val="auto"/>
                <w:lang w:val="en-US" w:eastAsia="zh-CN"/>
              </w:rPr>
              <w:t>VOC</w:t>
            </w:r>
            <w:r>
              <w:rPr>
                <w:rFonts w:hint="default"/>
                <w:color w:val="auto"/>
                <w:lang w:eastAsia="zh-CN"/>
              </w:rPr>
              <w:t>≤</w:t>
            </w:r>
            <w:r>
              <w:rPr>
                <w:rFonts w:hint="eastAsia"/>
                <w:color w:val="auto"/>
                <w:lang w:val="en-US" w:eastAsia="zh-CN"/>
              </w:rPr>
              <w:t>600</w:t>
            </w:r>
            <w:r>
              <w:rPr>
                <w:rFonts w:hint="default"/>
                <w:color w:val="auto"/>
                <w:lang w:eastAsia="zh-CN"/>
              </w:rPr>
              <w:t>ug/</w:t>
            </w:r>
            <w:r>
              <w:rPr>
                <w:rFonts w:hint="eastAsia"/>
                <w:color w:val="auto"/>
                <w:lang w:val="en-US" w:eastAsia="zh-CN"/>
              </w:rPr>
              <w:t>m</w:t>
            </w:r>
            <w:r>
              <w:rPr>
                <w:rFonts w:hint="eastAsia"/>
                <w:color w:val="auto"/>
                <w:vertAlign w:val="superscript"/>
                <w:lang w:val="en-US" w:eastAsia="zh-CN"/>
              </w:rPr>
              <w:t>3</w:t>
            </w:r>
            <w:r>
              <w:rPr>
                <w:rFonts w:hint="default"/>
                <w:color w:val="auto"/>
                <w:lang w:eastAsia="zh-CN"/>
              </w:rPr>
              <w:t>）</w:t>
            </w:r>
            <w:r>
              <w:rPr>
                <w:rFonts w:hint="default" w:ascii="Times New Roman" w:hAnsi="Times New Roman" w:eastAsia="宋体" w:cs="Times New Roman"/>
                <w:color w:val="auto"/>
                <w:sz w:val="24"/>
                <w:lang w:val="en-US" w:eastAsia="zh-CN"/>
              </w:rPr>
              <w:t>。最大占标率均在10%以下，对周围环境影响较小。</w:t>
            </w:r>
          </w:p>
          <w:p>
            <w:pPr>
              <w:spacing w:line="360" w:lineRule="auto"/>
              <w:ind w:firstLine="482" w:firstLineChars="20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（2）水环境影响分析</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项目雨水</w:t>
            </w:r>
            <w:r>
              <w:rPr>
                <w:rFonts w:hint="eastAsia" w:cs="Times New Roman"/>
                <w:color w:val="auto"/>
                <w:sz w:val="24"/>
                <w:szCs w:val="24"/>
                <w:lang w:val="en-US" w:eastAsia="zh-CN"/>
              </w:rPr>
              <w:t>使用</w:t>
            </w:r>
            <w:r>
              <w:rPr>
                <w:rFonts w:hint="default" w:ascii="Times New Roman" w:hAnsi="Times New Roman" w:cs="Times New Roman"/>
                <w:color w:val="auto"/>
                <w:sz w:val="24"/>
                <w:szCs w:val="24"/>
                <w:lang w:val="en-US" w:eastAsia="zh-CN"/>
              </w:rPr>
              <w:t>已建厂房的雨水管网收集后排入市政雨水管网；</w:t>
            </w:r>
            <w:r>
              <w:rPr>
                <w:rFonts w:hint="eastAsia" w:cs="Times New Roman"/>
                <w:color w:val="auto"/>
                <w:sz w:val="24"/>
                <w:szCs w:val="24"/>
                <w:lang w:val="en-US" w:eastAsia="zh-CN"/>
              </w:rPr>
              <w:t>无生产废水产生。本项目不在项目设置宿舍，生活用水主要为职工饮用水，由桶装水供给，上厕使用工业园区公共卫生间，运营期无生产废水产生及排放，对周围水环境影响不大</w:t>
            </w:r>
            <w:r>
              <w:rPr>
                <w:rFonts w:hint="default" w:ascii="Times New Roman" w:hAnsi="Times New Roman" w:cs="Times New Roman"/>
                <w:color w:val="auto"/>
                <w:sz w:val="24"/>
                <w:szCs w:val="24"/>
                <w:lang w:eastAsia="zh-CN"/>
              </w:rPr>
              <w:t>。</w:t>
            </w:r>
          </w:p>
          <w:p>
            <w:pPr>
              <w:spacing w:line="360" w:lineRule="auto"/>
              <w:ind w:firstLine="482" w:firstLineChars="20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（3）声环境影响分析</w:t>
            </w:r>
          </w:p>
          <w:p>
            <w:pPr>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zh-CN"/>
              </w:rPr>
              <w:t>项目夜间不生产，营运期噪声主要为生产车间的设备噪声，根据预测结果，在经厂房隔音后，项目厂界噪声</w:t>
            </w:r>
            <w:r>
              <w:rPr>
                <w:rFonts w:hint="default" w:ascii="Times New Roman" w:hAnsi="Times New Roman" w:cs="Times New Roman"/>
                <w:color w:val="auto"/>
                <w:sz w:val="24"/>
                <w:szCs w:val="24"/>
              </w:rPr>
              <w:t>满足《工业企业厂界环境噪声排放标准》（GB12348-2008）3类标准，</w:t>
            </w:r>
            <w:r>
              <w:rPr>
                <w:rFonts w:hint="default" w:ascii="Times New Roman" w:hAnsi="Times New Roman" w:cs="Times New Roman"/>
                <w:color w:val="auto"/>
                <w:sz w:val="24"/>
                <w:szCs w:val="24"/>
                <w:lang w:val="zh-CN"/>
              </w:rPr>
              <w:t>对周围环境敏感点</w:t>
            </w:r>
            <w:r>
              <w:rPr>
                <w:rFonts w:hint="default" w:ascii="Times New Roman" w:hAnsi="Times New Roman" w:cs="Times New Roman"/>
                <w:color w:val="auto"/>
                <w:sz w:val="24"/>
                <w:szCs w:val="24"/>
              </w:rPr>
              <w:t>影响</w:t>
            </w:r>
            <w:r>
              <w:rPr>
                <w:rFonts w:hint="default" w:ascii="Times New Roman" w:hAnsi="Times New Roman" w:cs="Times New Roman"/>
                <w:color w:val="auto"/>
                <w:sz w:val="24"/>
                <w:szCs w:val="24"/>
                <w:lang w:eastAsia="zh-CN"/>
              </w:rPr>
              <w:t>较</w:t>
            </w:r>
            <w:r>
              <w:rPr>
                <w:rFonts w:hint="default" w:ascii="Times New Roman" w:hAnsi="Times New Roman" w:cs="Times New Roman"/>
                <w:color w:val="auto"/>
                <w:sz w:val="24"/>
                <w:szCs w:val="24"/>
              </w:rPr>
              <w:t>小。</w:t>
            </w:r>
          </w:p>
          <w:p>
            <w:pPr>
              <w:spacing w:line="360" w:lineRule="auto"/>
              <w:ind w:firstLine="482" w:firstLineChars="20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（4）固废环境影响分析</w:t>
            </w:r>
          </w:p>
          <w:p>
            <w:pPr>
              <w:rPr>
                <w:rFonts w:hint="default" w:ascii="Times New Roman" w:hAnsi="Times New Roman" w:cs="Times New Roman"/>
                <w:color w:val="auto"/>
                <w:spacing w:val="0"/>
                <w:kern w:val="2"/>
              </w:rPr>
            </w:pPr>
            <w:r>
              <w:rPr>
                <w:rFonts w:hint="default" w:ascii="Times New Roman" w:hAnsi="Times New Roman" w:cs="Times New Roman"/>
                <w:color w:val="auto"/>
                <w:spacing w:val="0"/>
                <w:kern w:val="2"/>
              </w:rPr>
              <w:t>项目营运期产生的固体废弃物主要为</w:t>
            </w:r>
            <w:r>
              <w:rPr>
                <w:rFonts w:hint="eastAsia" w:ascii="Times New Roman" w:hAnsi="Times New Roman" w:cs="Times New Roman"/>
                <w:color w:val="auto"/>
                <w:spacing w:val="0"/>
                <w:kern w:val="2"/>
                <w:lang w:eastAsia="zh-CN"/>
              </w:rPr>
              <w:t>一般工业固废</w:t>
            </w:r>
            <w:r>
              <w:rPr>
                <w:rFonts w:hint="default" w:ascii="Times New Roman" w:hAnsi="Times New Roman" w:cs="Times New Roman"/>
                <w:color w:val="auto"/>
                <w:spacing w:val="0"/>
                <w:kern w:val="2"/>
              </w:rPr>
              <w:t>、生活垃圾</w:t>
            </w:r>
            <w:r>
              <w:rPr>
                <w:rFonts w:hint="eastAsia" w:ascii="Times New Roman" w:hAnsi="Times New Roman" w:cs="Times New Roman"/>
                <w:color w:val="auto"/>
                <w:spacing w:val="0"/>
                <w:kern w:val="2"/>
                <w:lang w:eastAsia="zh-CN"/>
              </w:rPr>
              <w:t>及危险废物</w:t>
            </w:r>
            <w:r>
              <w:rPr>
                <w:rFonts w:hint="default" w:ascii="Times New Roman" w:hAnsi="Times New Roman" w:cs="Times New Roman"/>
                <w:color w:val="auto"/>
                <w:spacing w:val="0"/>
                <w:kern w:val="2"/>
              </w:rPr>
              <w:t>。</w:t>
            </w:r>
          </w:p>
          <w:p>
            <w:pPr>
              <w:keepNext/>
              <w:widowControl/>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项目生产过程产生的</w:t>
            </w:r>
            <w:r>
              <w:rPr>
                <w:rFonts w:hint="eastAsia" w:cs="Times New Roman"/>
                <w:color w:val="auto"/>
                <w:sz w:val="24"/>
                <w:szCs w:val="24"/>
                <w:lang w:eastAsia="zh-CN"/>
              </w:rPr>
              <w:t>边</w:t>
            </w:r>
            <w:r>
              <w:rPr>
                <w:rFonts w:hint="default" w:ascii="Times New Roman" w:hAnsi="Times New Roman" w:cs="Times New Roman"/>
                <w:color w:val="auto"/>
                <w:sz w:val="24"/>
                <w:szCs w:val="24"/>
              </w:rPr>
              <w:t>角废料、焊渣、机加工过程回收的粉尘等固废主要成分为金属</w:t>
            </w:r>
            <w:r>
              <w:rPr>
                <w:rFonts w:hint="eastAsia" w:cs="Times New Roman"/>
                <w:color w:val="auto"/>
                <w:sz w:val="24"/>
                <w:szCs w:val="24"/>
                <w:lang w:eastAsia="zh-CN"/>
              </w:rPr>
              <w:t>，收集后外售</w:t>
            </w:r>
            <w:r>
              <w:rPr>
                <w:rFonts w:hint="default" w:ascii="Times New Roman" w:hAnsi="Times New Roman" w:cs="Times New Roman"/>
                <w:color w:val="auto"/>
                <w:sz w:val="24"/>
                <w:szCs w:val="24"/>
              </w:rPr>
              <w:t>。废包装材料主要成分为纸质，收集</w:t>
            </w:r>
            <w:r>
              <w:rPr>
                <w:rFonts w:hint="eastAsia" w:cs="Times New Roman"/>
                <w:color w:val="auto"/>
                <w:sz w:val="24"/>
                <w:szCs w:val="24"/>
                <w:lang w:eastAsia="zh-CN"/>
              </w:rPr>
              <w:t>后外售</w:t>
            </w:r>
            <w:r>
              <w:rPr>
                <w:rFonts w:hint="default" w:ascii="Times New Roman" w:hAnsi="Times New Roman" w:cs="Times New Roman"/>
                <w:color w:val="auto"/>
                <w:sz w:val="24"/>
                <w:szCs w:val="24"/>
              </w:rPr>
              <w:t>。运营期产生的生活垃圾集中收集于垃圾桶内，定期由环卫部门清运处置。机修过程产生的废</w:t>
            </w:r>
            <w:r>
              <w:rPr>
                <w:rFonts w:hint="eastAsia" w:cs="Times New Roman"/>
                <w:color w:val="auto"/>
                <w:sz w:val="24"/>
                <w:szCs w:val="24"/>
                <w:lang w:eastAsia="zh-CN"/>
              </w:rPr>
              <w:t>机</w:t>
            </w:r>
            <w:r>
              <w:rPr>
                <w:rFonts w:hint="default" w:ascii="Times New Roman" w:hAnsi="Times New Roman" w:cs="Times New Roman"/>
                <w:color w:val="auto"/>
                <w:sz w:val="24"/>
                <w:szCs w:val="24"/>
              </w:rPr>
              <w:t>油、废漆料桶、喷漆废气处理设施产生的废</w:t>
            </w:r>
            <w:r>
              <w:rPr>
                <w:rFonts w:hint="eastAsia" w:cs="Times New Roman"/>
                <w:color w:val="auto"/>
                <w:sz w:val="24"/>
                <w:szCs w:val="24"/>
                <w:lang w:eastAsia="zh-CN"/>
              </w:rPr>
              <w:t>过滤棉+活性炭</w:t>
            </w:r>
            <w:r>
              <w:rPr>
                <w:rFonts w:hint="default" w:ascii="Times New Roman" w:hAnsi="Times New Roman" w:cs="Times New Roman"/>
                <w:color w:val="auto"/>
                <w:sz w:val="24"/>
                <w:szCs w:val="24"/>
              </w:rPr>
              <w:t>等属于危险废物，拟分类、分区收集暂存于危险废物暂存间，</w:t>
            </w:r>
            <w:r>
              <w:rPr>
                <w:rFonts w:hint="eastAsia" w:cs="Times New Roman"/>
                <w:color w:val="auto"/>
                <w:sz w:val="24"/>
                <w:szCs w:val="24"/>
                <w:lang w:eastAsia="zh-CN"/>
              </w:rPr>
              <w:t>废机油用作后期设备润滑使用；废原料桶交由有资质的单位进行处理；废过滤棉+活性炭交由有资质的单位进行处理</w:t>
            </w:r>
            <w:r>
              <w:rPr>
                <w:rFonts w:hint="default" w:ascii="Times New Roman" w:hAnsi="Times New Roman" w:cs="Times New Roman"/>
                <w:color w:val="auto"/>
                <w:sz w:val="24"/>
                <w:szCs w:val="24"/>
              </w:rPr>
              <w:t>。</w:t>
            </w:r>
          </w:p>
          <w:p>
            <w:pPr>
              <w:keepNext/>
              <w:widowControl/>
              <w:spacing w:line="360" w:lineRule="auto"/>
              <w:ind w:firstLine="480"/>
              <w:rPr>
                <w:rFonts w:hint="default"/>
                <w:color w:val="auto"/>
              </w:rPr>
            </w:pPr>
            <w:r>
              <w:rPr>
                <w:rFonts w:hint="default" w:ascii="Times New Roman" w:hAnsi="Times New Roman" w:cs="Times New Roman"/>
                <w:color w:val="auto"/>
                <w:sz w:val="24"/>
                <w:szCs w:val="24"/>
              </w:rPr>
              <w:t>项目产生的固体废物可全部处置，对周围环境影响较小。</w:t>
            </w:r>
          </w:p>
          <w:p>
            <w:pPr>
              <w:spacing w:line="360" w:lineRule="auto"/>
              <w:ind w:left="0" w:leftChars="0" w:firstLine="0" w:firstLineChars="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二、对策措施</w:t>
            </w:r>
          </w:p>
          <w:p>
            <w:pPr>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根据我国环保法律法规的规定，凡对环境有影响的建设项目，其配套的污染防治设施必须实行“三同时”原则，即与主体工程同时设计、同时施工、同时投产使用。要求建设方严格执行“三同时”的有关规定。针对该项目可能产生的环境问题，提出以下防治对策措施：</w:t>
            </w:r>
          </w:p>
          <w:p>
            <w:pPr>
              <w:spacing w:line="360" w:lineRule="auto"/>
              <w:ind w:firstLine="482" w:firstLineChars="200"/>
              <w:rPr>
                <w:rFonts w:hint="default" w:ascii="Times New Roman" w:hAnsi="Times New Roman" w:cs="Times New Roman"/>
                <w:b/>
                <w:color w:val="auto"/>
                <w:sz w:val="24"/>
                <w:szCs w:val="24"/>
                <w:lang w:eastAsia="zh-CN"/>
              </w:rPr>
            </w:pPr>
            <w:r>
              <w:rPr>
                <w:rFonts w:hint="default" w:ascii="Times New Roman" w:hAnsi="Times New Roman" w:cs="Times New Roman"/>
                <w:b/>
                <w:color w:val="auto"/>
                <w:sz w:val="24"/>
                <w:szCs w:val="24"/>
                <w:lang w:eastAsia="zh-CN"/>
              </w:rPr>
              <w:t>施工期：</w:t>
            </w:r>
          </w:p>
          <w:p>
            <w:pPr>
              <w:spacing w:line="360" w:lineRule="auto"/>
              <w:ind w:firstLine="480" w:firstLineChars="200"/>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eastAsia="zh-CN"/>
              </w:rPr>
              <w:t>①施工装修过程产生的废水用于对设备安装过程产生的扬尘、装修过程产生粉尘进行洒水降尘，减轻扬尘及粉尘对周围大气环境的影响；</w:t>
            </w:r>
          </w:p>
          <w:p>
            <w:pPr>
              <w:spacing w:line="360" w:lineRule="auto"/>
              <w:ind w:firstLine="480" w:firstLineChars="200"/>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eastAsia="zh-CN"/>
              </w:rPr>
              <w:t>②装修及设备安装过程产生的装修边角料、设备包装可回收部分出售给废物回收站，不可回收部分同生活垃圾一块处置。</w:t>
            </w:r>
          </w:p>
          <w:p>
            <w:pPr>
              <w:spacing w:line="360" w:lineRule="auto"/>
              <w:ind w:firstLine="480" w:firstLineChars="200"/>
              <w:rPr>
                <w:rFonts w:hint="default" w:ascii="Times New Roman" w:hAnsi="Times New Roman" w:cs="Times New Roman"/>
                <w:b w:val="0"/>
                <w:bCs/>
                <w:color w:val="auto"/>
                <w:sz w:val="24"/>
                <w:szCs w:val="24"/>
                <w:lang w:eastAsia="zh-CN"/>
              </w:rPr>
            </w:pPr>
            <w:r>
              <w:rPr>
                <w:rFonts w:hint="default" w:ascii="Times New Roman" w:hAnsi="Times New Roman" w:cs="Times New Roman"/>
                <w:b w:val="0"/>
                <w:bCs/>
                <w:color w:val="auto"/>
                <w:sz w:val="24"/>
                <w:szCs w:val="24"/>
                <w:lang w:eastAsia="zh-CN"/>
              </w:rPr>
              <w:t>③施工期产生的施工产生的施工噪声采取车间围墙的阻隔和距离衰减等措施。</w:t>
            </w:r>
          </w:p>
          <w:p>
            <w:pPr>
              <w:spacing w:line="360" w:lineRule="auto"/>
              <w:ind w:firstLine="482" w:firstLineChars="200"/>
              <w:rPr>
                <w:rFonts w:hint="default" w:ascii="Times New Roman" w:hAnsi="Times New Roman" w:eastAsia="宋体" w:cs="Times New Roman"/>
                <w:b/>
                <w:color w:val="auto"/>
                <w:sz w:val="24"/>
                <w:szCs w:val="24"/>
                <w:lang w:eastAsia="zh-CN"/>
              </w:rPr>
            </w:pPr>
            <w:r>
              <w:rPr>
                <w:rFonts w:hint="default" w:ascii="Times New Roman" w:hAnsi="Times New Roman" w:cs="Times New Roman"/>
                <w:b/>
                <w:color w:val="auto"/>
                <w:sz w:val="24"/>
                <w:szCs w:val="24"/>
                <w:lang w:eastAsia="zh-CN"/>
              </w:rPr>
              <w:t>运营期：</w:t>
            </w:r>
          </w:p>
          <w:p>
            <w:pPr>
              <w:spacing w:line="360" w:lineRule="auto"/>
              <w:ind w:firstLine="482" w:firstLineChars="20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1、大气环境</w:t>
            </w:r>
          </w:p>
          <w:p>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①</w:t>
            </w:r>
            <w:r>
              <w:rPr>
                <w:rFonts w:hint="default" w:ascii="Times New Roman" w:hAnsi="Times New Roman" w:cs="Times New Roman"/>
                <w:color w:val="auto"/>
                <w:sz w:val="24"/>
                <w:szCs w:val="24"/>
                <w:lang w:val="en-US" w:eastAsia="zh-CN"/>
              </w:rPr>
              <w:t>项目喷漆废气经过</w:t>
            </w:r>
            <w:r>
              <w:rPr>
                <w:rFonts w:hint="eastAsia" w:cs="Times New Roman"/>
                <w:color w:val="auto"/>
                <w:sz w:val="24"/>
                <w:szCs w:val="24"/>
                <w:lang w:val="en-US" w:eastAsia="zh-CN"/>
              </w:rPr>
              <w:t>过滤棉+活性炭</w:t>
            </w:r>
            <w:r>
              <w:rPr>
                <w:rFonts w:hint="default" w:ascii="Times New Roman" w:hAnsi="Times New Roman" w:cs="Times New Roman"/>
                <w:color w:val="auto"/>
                <w:sz w:val="24"/>
                <w:szCs w:val="24"/>
                <w:lang w:val="en-US" w:eastAsia="zh-CN"/>
              </w:rPr>
              <w:t>吸附系统处理后经1根15m排气筒排放。</w:t>
            </w:r>
          </w:p>
          <w:p>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②</w:t>
            </w:r>
            <w:r>
              <w:rPr>
                <w:rFonts w:hint="default" w:ascii="Times New Roman" w:hAnsi="Times New Roman" w:cs="Times New Roman"/>
                <w:color w:val="auto"/>
                <w:sz w:val="24"/>
                <w:szCs w:val="24"/>
              </w:rPr>
              <w:t>项目生产车间</w:t>
            </w:r>
            <w:r>
              <w:rPr>
                <w:rFonts w:hint="eastAsia" w:cs="Times New Roman"/>
                <w:color w:val="auto"/>
                <w:sz w:val="24"/>
                <w:szCs w:val="24"/>
                <w:lang w:eastAsia="zh-CN"/>
              </w:rPr>
              <w:t>内设置一套移动式除尘器，生产车间内产生的粉尘、烟尘等污染物经过移动式除尘器处理后再经过生产车间自然沉降后</w:t>
            </w:r>
            <w:r>
              <w:rPr>
                <w:rFonts w:hint="default" w:ascii="Times New Roman" w:hAnsi="Times New Roman" w:cs="Times New Roman"/>
                <w:color w:val="auto"/>
                <w:sz w:val="24"/>
                <w:szCs w:val="24"/>
              </w:rPr>
              <w:t>，</w:t>
            </w:r>
            <w:r>
              <w:rPr>
                <w:rFonts w:hint="eastAsia" w:cs="Times New Roman"/>
                <w:color w:val="auto"/>
                <w:sz w:val="24"/>
                <w:szCs w:val="24"/>
                <w:lang w:eastAsia="zh-CN"/>
              </w:rPr>
              <w:t>少量粉尘、烟尘以无组织形式从生产车间门窗外逸</w:t>
            </w:r>
            <w:r>
              <w:rPr>
                <w:rFonts w:hint="default" w:ascii="Times New Roman" w:hAnsi="Times New Roman" w:cs="Times New Roman"/>
                <w:color w:val="auto"/>
                <w:sz w:val="24"/>
                <w:szCs w:val="24"/>
                <w:lang w:eastAsia="zh-CN"/>
              </w:rPr>
              <w:t>。</w:t>
            </w:r>
          </w:p>
          <w:p>
            <w:pPr>
              <w:spacing w:line="360" w:lineRule="auto"/>
              <w:ind w:firstLine="482" w:firstLineChars="200"/>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2、水环境</w:t>
            </w:r>
          </w:p>
          <w:p>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项目雨水</w:t>
            </w:r>
            <w:r>
              <w:rPr>
                <w:rFonts w:hint="eastAsia" w:cs="Times New Roman"/>
                <w:color w:val="auto"/>
                <w:sz w:val="24"/>
                <w:szCs w:val="24"/>
                <w:lang w:val="en-US" w:eastAsia="zh-CN"/>
              </w:rPr>
              <w:t>使用</w:t>
            </w:r>
            <w:r>
              <w:rPr>
                <w:rFonts w:hint="default" w:ascii="Times New Roman" w:hAnsi="Times New Roman" w:cs="Times New Roman"/>
                <w:color w:val="auto"/>
                <w:sz w:val="24"/>
                <w:szCs w:val="24"/>
                <w:lang w:val="en-US" w:eastAsia="zh-CN"/>
              </w:rPr>
              <w:t>已建厂房的雨水管网收集后排入市政雨水管网；</w:t>
            </w:r>
            <w:r>
              <w:rPr>
                <w:rFonts w:hint="eastAsia" w:cs="Times New Roman"/>
                <w:color w:val="auto"/>
                <w:sz w:val="24"/>
                <w:szCs w:val="24"/>
                <w:lang w:val="en-US" w:eastAsia="zh-CN"/>
              </w:rPr>
              <w:t>无生产废水产生。本项目不在项目设置宿舍，生活用水主要为职工饮用水，由桶装水供给，上厕使用工业园区公共卫生间，运营期无生产废水产生及排放</w:t>
            </w:r>
            <w:r>
              <w:rPr>
                <w:rFonts w:hint="default" w:ascii="Times New Roman" w:hAnsi="Times New Roman" w:cs="Times New Roman"/>
                <w:color w:val="auto"/>
                <w:sz w:val="24"/>
                <w:szCs w:val="24"/>
                <w:lang w:eastAsia="zh-CN"/>
              </w:rPr>
              <w:t>。</w:t>
            </w:r>
          </w:p>
          <w:p>
            <w:pPr>
              <w:spacing w:line="360" w:lineRule="auto"/>
              <w:ind w:firstLine="48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3、声环境</w:t>
            </w:r>
          </w:p>
          <w:p>
            <w:pPr>
              <w:spacing w:line="360" w:lineRule="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①设备安装时进行减震处理，设备均置于车间内使用。</w:t>
            </w:r>
          </w:p>
          <w:p>
            <w:pPr>
              <w:spacing w:line="360" w:lineRule="auto"/>
              <w:ind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②对生产设备进行定期检修、维护，确保设备运转良好。</w:t>
            </w:r>
          </w:p>
          <w:p>
            <w:pPr>
              <w:spacing w:line="360" w:lineRule="auto"/>
              <w:ind w:firstLine="482" w:firstLineChars="200"/>
              <w:rPr>
                <w:rFonts w:hint="default" w:ascii="Times New Roman" w:hAnsi="Times New Roman" w:cs="Times New Roman"/>
                <w:color w:val="auto"/>
                <w:sz w:val="24"/>
                <w:szCs w:val="24"/>
              </w:rPr>
            </w:pPr>
            <w:r>
              <w:rPr>
                <w:rFonts w:hint="default" w:ascii="Times New Roman" w:hAnsi="Times New Roman" w:cs="Times New Roman"/>
                <w:b/>
                <w:color w:val="auto"/>
                <w:sz w:val="24"/>
                <w:szCs w:val="24"/>
              </w:rPr>
              <w:t>4、固体废物</w:t>
            </w:r>
          </w:p>
          <w:p>
            <w:pPr>
              <w:spacing w:line="360" w:lineRule="auto"/>
              <w:ind w:firstLine="480"/>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rPr>
              <w:t>①</w:t>
            </w:r>
            <w:r>
              <w:rPr>
                <w:rFonts w:hint="eastAsia" w:cs="Times New Roman"/>
                <w:color w:val="auto"/>
                <w:sz w:val="24"/>
                <w:szCs w:val="24"/>
                <w:lang w:eastAsia="zh-CN"/>
              </w:rPr>
              <w:t>边</w:t>
            </w:r>
            <w:r>
              <w:rPr>
                <w:rFonts w:hint="default" w:ascii="Times New Roman" w:hAnsi="Times New Roman" w:cs="Times New Roman"/>
                <w:color w:val="auto"/>
                <w:sz w:val="24"/>
                <w:szCs w:val="24"/>
              </w:rPr>
              <w:t>角废料、焊渣、机加工过程回收的粉尘等固废主要成分为金属</w:t>
            </w:r>
            <w:r>
              <w:rPr>
                <w:rFonts w:hint="eastAsia" w:cs="Times New Roman"/>
                <w:color w:val="auto"/>
                <w:sz w:val="24"/>
                <w:szCs w:val="24"/>
                <w:lang w:eastAsia="zh-CN"/>
              </w:rPr>
              <w:t>，收集后外售</w:t>
            </w:r>
            <w:r>
              <w:rPr>
                <w:rFonts w:hint="default" w:ascii="Times New Roman" w:hAnsi="Times New Roman" w:cs="Times New Roman"/>
                <w:color w:val="auto"/>
                <w:sz w:val="24"/>
                <w:szCs w:val="24"/>
              </w:rPr>
              <w:t>。</w:t>
            </w:r>
          </w:p>
          <w:p>
            <w:pPr>
              <w:spacing w:line="360" w:lineRule="auto"/>
              <w:ind w:firstLine="480"/>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eastAsia="zh-CN"/>
              </w:rPr>
              <w:t>②</w:t>
            </w:r>
            <w:r>
              <w:rPr>
                <w:rFonts w:hint="default" w:ascii="Times New Roman" w:hAnsi="Times New Roman" w:cs="Times New Roman"/>
                <w:color w:val="auto"/>
                <w:sz w:val="24"/>
                <w:szCs w:val="24"/>
              </w:rPr>
              <w:t>废包装材料主要成分为纸质，收集</w:t>
            </w:r>
            <w:r>
              <w:rPr>
                <w:rFonts w:hint="eastAsia" w:cs="Times New Roman"/>
                <w:color w:val="auto"/>
                <w:sz w:val="24"/>
                <w:szCs w:val="24"/>
                <w:lang w:eastAsia="zh-CN"/>
              </w:rPr>
              <w:t>后外售</w:t>
            </w:r>
            <w:r>
              <w:rPr>
                <w:rFonts w:hint="default" w:ascii="Times New Roman" w:hAnsi="Times New Roman" w:cs="Times New Roman"/>
                <w:color w:val="auto"/>
                <w:sz w:val="24"/>
                <w:szCs w:val="24"/>
              </w:rPr>
              <w:t>。</w:t>
            </w:r>
          </w:p>
          <w:p>
            <w:pPr>
              <w:spacing w:line="360" w:lineRule="auto"/>
              <w:ind w:firstLine="480"/>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rPr>
              <w:t>③</w:t>
            </w:r>
            <w:r>
              <w:rPr>
                <w:rFonts w:hint="default" w:ascii="Times New Roman" w:hAnsi="Times New Roman" w:cs="Times New Roman"/>
                <w:color w:val="auto"/>
                <w:sz w:val="24"/>
                <w:szCs w:val="24"/>
              </w:rPr>
              <w:t>生活垃圾集中收集于垃圾桶内，定期由环卫部门清运处置。</w:t>
            </w:r>
          </w:p>
          <w:p>
            <w:pPr>
              <w:spacing w:line="360" w:lineRule="auto"/>
              <w:ind w:firstLine="480"/>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rPr>
              <w:t>④</w:t>
            </w:r>
            <w:r>
              <w:rPr>
                <w:rFonts w:hint="default" w:ascii="Times New Roman" w:hAnsi="Times New Roman" w:cs="Times New Roman"/>
                <w:color w:val="auto"/>
                <w:sz w:val="24"/>
                <w:szCs w:val="24"/>
              </w:rPr>
              <w:t>项目</w:t>
            </w:r>
            <w:r>
              <w:rPr>
                <w:rFonts w:hint="default" w:ascii="Times New Roman" w:hAnsi="Times New Roman" w:cs="Times New Roman"/>
                <w:color w:val="auto"/>
                <w:sz w:val="24"/>
                <w:szCs w:val="24"/>
                <w:lang w:eastAsia="zh-CN"/>
              </w:rPr>
              <w:t>设置</w:t>
            </w:r>
            <w:r>
              <w:rPr>
                <w:rFonts w:hint="default" w:ascii="Times New Roman" w:hAnsi="Times New Roman" w:cs="Times New Roman"/>
                <w:color w:val="auto"/>
                <w:sz w:val="24"/>
                <w:szCs w:val="24"/>
              </w:rPr>
              <w:t>1间危废暂存间，危废暂存间的设置需满足《危险废物贮存污染控制标准》（GB18597-2001）要求，项目产生的</w:t>
            </w:r>
            <w:r>
              <w:rPr>
                <w:rFonts w:hint="eastAsia" w:cs="Times New Roman"/>
                <w:color w:val="auto"/>
                <w:sz w:val="24"/>
                <w:szCs w:val="24"/>
                <w:lang w:eastAsia="zh-CN"/>
              </w:rPr>
              <w:t>废机油用作后期设备润滑使用，废原料桶交由有资质的单位进行处理，废过滤棉、废活性炭交由有资质的单位进行处理</w:t>
            </w:r>
            <w:r>
              <w:rPr>
                <w:rFonts w:hint="default" w:ascii="Times New Roman" w:hAnsi="Times New Roman" w:cs="Times New Roman"/>
                <w:color w:val="auto"/>
                <w:sz w:val="24"/>
                <w:szCs w:val="24"/>
              </w:rPr>
              <w:t>。</w:t>
            </w:r>
          </w:p>
          <w:p>
            <w:pPr>
              <w:spacing w:line="360" w:lineRule="auto"/>
              <w:ind w:firstLine="480"/>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rPr>
              <w:t>⑤</w:t>
            </w:r>
            <w:r>
              <w:rPr>
                <w:rFonts w:hint="default" w:ascii="Times New Roman" w:hAnsi="Times New Roman" w:cs="Times New Roman"/>
                <w:color w:val="auto"/>
                <w:sz w:val="24"/>
                <w:szCs w:val="24"/>
              </w:rPr>
              <w:t>建立完善的管理制度，明确责任，定时清扫，定时收集。</w:t>
            </w:r>
          </w:p>
          <w:p>
            <w:pPr>
              <w:numPr>
                <w:ilvl w:val="0"/>
                <w:numId w:val="4"/>
              </w:numPr>
              <w:spacing w:line="360" w:lineRule="auto"/>
              <w:ind w:firstLine="480"/>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其他措施</w:t>
            </w:r>
          </w:p>
          <w:p>
            <w:pPr>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①加强风险措施的设置，如</w:t>
            </w:r>
            <w:r>
              <w:rPr>
                <w:rFonts w:hint="default" w:ascii="Times New Roman" w:hAnsi="Times New Roman" w:cs="Times New Roman"/>
                <w:color w:val="auto"/>
                <w:sz w:val="24"/>
              </w:rPr>
              <w:t>车间内、危废间严禁烟火，电器与设备采用防爆设备等</w:t>
            </w:r>
          </w:p>
          <w:p>
            <w:pPr>
              <w:snapToGrid w:val="0"/>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②根据环评要求，落实“三废治理”费用，做到专款专用，项目实施后应保证足够的环保资金，确保污染防治措施有效地运行，保证污染物达标排放。</w:t>
            </w:r>
          </w:p>
          <w:p>
            <w:pPr>
              <w:ind w:firstLine="47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③建设方应严格执行本评价所提出的环境污染处理方法，建立完善的环保管理制度，确保各项环保措施落实到位</w:t>
            </w:r>
          </w:p>
          <w:p>
            <w:pPr>
              <w:numPr>
                <w:ilvl w:val="0"/>
                <w:numId w:val="0"/>
              </w:num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④合理安排生产时间，夜间不生产，不生产时关停产噪及其他产污设备，完善生产及管理制度，兼顾生产效率及环保治理</w:t>
            </w:r>
            <w:r>
              <w:rPr>
                <w:rFonts w:hint="default" w:ascii="Times New Roman" w:hAnsi="Times New Roman" w:cs="Times New Roman"/>
                <w:color w:val="auto"/>
                <w:sz w:val="24"/>
                <w:szCs w:val="24"/>
                <w:lang w:val="en-US" w:eastAsia="zh-CN"/>
              </w:rPr>
              <w:t>。</w:t>
            </w:r>
          </w:p>
          <w:p>
            <w:pPr>
              <w:spacing w:line="360" w:lineRule="auto"/>
              <w:ind w:left="0" w:leftChars="0" w:firstLine="0" w:firstLineChars="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lang w:eastAsia="zh-CN"/>
              </w:rPr>
              <w:t>三、</w:t>
            </w:r>
            <w:r>
              <w:rPr>
                <w:rFonts w:hint="default" w:ascii="Times New Roman" w:hAnsi="Times New Roman" w:cs="Times New Roman"/>
                <w:b/>
                <w:color w:val="auto"/>
                <w:sz w:val="24"/>
                <w:szCs w:val="24"/>
              </w:rPr>
              <w:t>总结论</w:t>
            </w:r>
          </w:p>
          <w:p>
            <w:pPr>
              <w:keepNext/>
              <w:widowControl/>
              <w:spacing w:line="360" w:lineRule="auto"/>
              <w:rPr>
                <w:rFonts w:hint="default" w:ascii="Times New Roman" w:hAnsi="Times New Roman" w:cs="Times New Roman"/>
                <w:color w:val="auto"/>
                <w:sz w:val="28"/>
                <w:szCs w:val="28"/>
              </w:rPr>
            </w:pPr>
            <w:r>
              <w:rPr>
                <w:rFonts w:hint="eastAsia" w:cs="Times New Roman"/>
                <w:color w:val="auto"/>
                <w:sz w:val="24"/>
                <w:szCs w:val="24"/>
                <w:lang w:eastAsia="zh-CN"/>
              </w:rPr>
              <w:t>年加工钢结构产品3000吨项目</w:t>
            </w:r>
            <w:r>
              <w:rPr>
                <w:rFonts w:hint="default" w:ascii="Times New Roman" w:hAnsi="Times New Roman" w:cs="Times New Roman"/>
                <w:color w:val="auto"/>
                <w:sz w:val="24"/>
                <w:szCs w:val="24"/>
              </w:rPr>
              <w:t>符合国家产业政策，选址可行，布局合理。运营期对产生的废气、废水、噪声等采取措施治理后，能够实现污染物的达标排放，固体废物100%合理处置，不会对环境造成大的影响，不会降低当地的环境功能。在严格执行有关环保法规和“三同时”制度，加强企业的环境管理，确保污染物达标排放的情况下。从环境保护角度分析，该项目建设是可行的。</w:t>
            </w:r>
          </w:p>
          <w:p>
            <w:pPr>
              <w:spacing w:line="360" w:lineRule="auto"/>
              <w:ind w:left="0" w:leftChars="0" w:firstLine="0" w:firstLineChars="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lang w:eastAsia="zh-CN"/>
              </w:rPr>
              <w:t>四</w:t>
            </w:r>
            <w:r>
              <w:rPr>
                <w:rFonts w:hint="default" w:ascii="Times New Roman" w:hAnsi="Times New Roman" w:cs="Times New Roman"/>
                <w:b/>
                <w:color w:val="auto"/>
                <w:sz w:val="24"/>
                <w:szCs w:val="24"/>
              </w:rPr>
              <w:t>、环境保护建议</w:t>
            </w:r>
          </w:p>
          <w:p>
            <w:pPr>
              <w:spacing w:line="360" w:lineRule="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（1）设置专职环保管理人员，负责全厂的环保管理工作，建立健全环境保护管理制度，应确保环保设施的正常运转。</w:t>
            </w:r>
          </w:p>
          <w:p>
            <w:pPr>
              <w:spacing w:line="360" w:lineRule="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（2）健全各项规章制度，制定各种操作规程。定期对设备及其附件进行检查、维护和保养。</w:t>
            </w:r>
          </w:p>
          <w:p>
            <w:pPr>
              <w:spacing w:line="360" w:lineRule="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（3）企业应认真落实环保“三同时”，加强运营期的环境管理工作。</w:t>
            </w:r>
          </w:p>
          <w:p>
            <w:pPr>
              <w:spacing w:line="360" w:lineRule="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（4）按要求设置各环保设施的标识标牌。</w:t>
            </w:r>
          </w:p>
          <w:p>
            <w:pPr>
              <w:pStyle w:val="8"/>
              <w:adjustRightInd w:val="0"/>
              <w:snapToGrid w:val="0"/>
              <w:ind w:firstLine="0" w:firstLineChars="0"/>
              <w:rPr>
                <w:rFonts w:hint="default" w:ascii="Times New Roman" w:hAnsi="Times New Roman" w:eastAsia="宋体" w:cs="Times New Roman"/>
                <w:color w:val="auto"/>
                <w:lang w:eastAsia="zh-CN"/>
              </w:rPr>
            </w:pPr>
          </w:p>
          <w:p>
            <w:pPr>
              <w:ind w:left="0" w:leftChars="0" w:firstLine="0" w:firstLineChars="0"/>
              <w:rPr>
                <w:rFonts w:hint="default" w:ascii="Times New Roman" w:hAnsi="Times New Roman" w:cs="Times New Roman"/>
                <w:color w:val="auto"/>
                <w:lang w:eastAsia="zh-CN"/>
              </w:rPr>
            </w:pPr>
          </w:p>
        </w:tc>
      </w:tr>
    </w:tbl>
    <w:tbl>
      <w:tblPr>
        <w:tblStyle w:val="14"/>
        <w:tblpPr w:leftFromText="180" w:rightFromText="180" w:vertAnchor="text" w:horzAnchor="page" w:tblpXSpec="center" w:tblpY="303"/>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71" w:type="dxa"/>
            <w:noWrap w:val="0"/>
            <w:vAlign w:val="top"/>
          </w:tcPr>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r>
              <w:rPr>
                <w:rFonts w:hint="default" w:ascii="Times New Roman" w:hAnsi="Times New Roman" w:cs="Times New Roman"/>
                <w:color w:val="auto"/>
                <w:sz w:val="24"/>
                <w:szCs w:val="24"/>
                <w:vertAlign w:val="baseline"/>
                <w:lang w:eastAsia="zh-CN"/>
              </w:rPr>
              <w:t>下一级环境保护行政主管部门审查意见：</w:t>
            </w: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rPr>
            </w:pPr>
          </w:p>
          <w:p>
            <w:pPr>
              <w:pStyle w:val="9"/>
              <w:adjustRightInd/>
              <w:snapToGrid/>
              <w:spacing w:line="360" w:lineRule="auto"/>
              <w:ind w:right="0"/>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cs="Times New Roman"/>
                <w:color w:val="auto"/>
                <w:sz w:val="24"/>
                <w:szCs w:val="24"/>
                <w:vertAlign w:val="baseline"/>
                <w:lang w:val="en-US" w:eastAsia="zh-CN"/>
              </w:rPr>
              <w:t xml:space="preserve">                                                     公章</w:t>
            </w:r>
          </w:p>
          <w:p>
            <w:pPr>
              <w:pStyle w:val="9"/>
              <w:adjustRightInd/>
              <w:snapToGrid/>
              <w:spacing w:line="360" w:lineRule="auto"/>
              <w:ind w:left="0" w:leftChars="0" w:right="0" w:firstLine="0" w:firstLineChars="0"/>
              <w:rPr>
                <w:rFonts w:hint="default" w:ascii="Times New Roman" w:hAnsi="Times New Roman" w:eastAsia="宋体" w:cs="Times New Roman"/>
                <w:color w:val="auto"/>
                <w:sz w:val="24"/>
                <w:szCs w:val="24"/>
                <w:vertAlign w:val="baseline"/>
                <w:lang w:eastAsia="zh-CN"/>
              </w:rPr>
            </w:pPr>
            <w:r>
              <w:rPr>
                <w:rFonts w:hint="default" w:ascii="Times New Roman" w:hAnsi="Times New Roman" w:cs="Times New Roman"/>
                <w:color w:val="auto"/>
                <w:sz w:val="24"/>
                <w:szCs w:val="24"/>
                <w:vertAlign w:val="baseline"/>
                <w:lang w:eastAsia="zh-CN"/>
              </w:rPr>
              <w:t>经办人：</w:t>
            </w:r>
            <w:r>
              <w:rPr>
                <w:rFonts w:hint="default" w:ascii="Times New Roman" w:hAnsi="Times New Roman" w:cs="Times New Roman"/>
                <w:color w:val="auto"/>
                <w:sz w:val="24"/>
                <w:szCs w:val="24"/>
                <w:vertAlign w:val="baseline"/>
                <w:lang w:val="en-US" w:eastAsia="zh-CN"/>
              </w:rPr>
              <w:t xml:space="preserve">                                            年   月   日</w:t>
            </w:r>
          </w:p>
          <w:p>
            <w:pPr>
              <w:pStyle w:val="9"/>
              <w:adjustRightInd/>
              <w:snapToGrid/>
              <w:spacing w:line="360" w:lineRule="auto"/>
              <w:ind w:right="0"/>
              <w:rPr>
                <w:rFonts w:hint="default" w:ascii="Times New Roman" w:hAnsi="Times New Roman" w:cs="Times New Roman"/>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71" w:type="dxa"/>
            <w:noWrap w:val="0"/>
            <w:vAlign w:val="top"/>
          </w:tcPr>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r>
              <w:rPr>
                <w:rFonts w:hint="default" w:ascii="Times New Roman" w:hAnsi="Times New Roman" w:cs="Times New Roman"/>
                <w:color w:val="auto"/>
                <w:sz w:val="24"/>
                <w:szCs w:val="24"/>
                <w:vertAlign w:val="baseline"/>
                <w:lang w:eastAsia="zh-CN"/>
              </w:rPr>
              <w:t>审批意见：</w:t>
            </w: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p>
          <w:p>
            <w:pPr>
              <w:pStyle w:val="9"/>
              <w:adjustRightInd/>
              <w:snapToGrid/>
              <w:spacing w:line="360" w:lineRule="auto"/>
              <w:ind w:left="0" w:leftChars="0" w:right="0" w:firstLine="0" w:firstLineChars="0"/>
              <w:rPr>
                <w:rFonts w:hint="default" w:ascii="Times New Roman" w:hAnsi="Times New Roman" w:cs="Times New Roman"/>
                <w:color w:val="auto"/>
                <w:sz w:val="24"/>
                <w:szCs w:val="24"/>
                <w:vertAlign w:val="baseline"/>
                <w:lang w:eastAsia="zh-CN"/>
              </w:rPr>
            </w:pPr>
          </w:p>
          <w:p>
            <w:pPr>
              <w:pStyle w:val="9"/>
              <w:adjustRightInd/>
              <w:snapToGrid/>
              <w:spacing w:line="360" w:lineRule="auto"/>
              <w:ind w:right="0"/>
              <w:rPr>
                <w:rFonts w:hint="default" w:ascii="Times New Roman" w:hAnsi="Times New Roman" w:cs="Times New Roman"/>
                <w:color w:val="auto"/>
                <w:sz w:val="24"/>
                <w:szCs w:val="24"/>
                <w:vertAlign w:val="baseline"/>
                <w:lang w:val="en-US" w:eastAsia="zh-CN"/>
              </w:rPr>
            </w:pPr>
          </w:p>
          <w:p>
            <w:pPr>
              <w:pStyle w:val="9"/>
              <w:adjustRightInd/>
              <w:snapToGrid/>
              <w:spacing w:line="360" w:lineRule="auto"/>
              <w:ind w:right="0"/>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cs="Times New Roman"/>
                <w:color w:val="auto"/>
                <w:sz w:val="24"/>
                <w:szCs w:val="24"/>
                <w:vertAlign w:val="baseline"/>
                <w:lang w:val="en-US" w:eastAsia="zh-CN"/>
              </w:rPr>
              <w:t xml:space="preserve">                                                    公章</w:t>
            </w:r>
          </w:p>
          <w:p>
            <w:pPr>
              <w:pStyle w:val="9"/>
              <w:adjustRightInd/>
              <w:snapToGrid/>
              <w:spacing w:line="360" w:lineRule="auto"/>
              <w:ind w:left="0" w:leftChars="0" w:right="0" w:firstLine="0" w:firstLineChars="0"/>
              <w:rPr>
                <w:rFonts w:hint="default" w:ascii="Times New Roman" w:hAnsi="Times New Roman" w:eastAsia="宋体" w:cs="Times New Roman"/>
                <w:color w:val="auto"/>
                <w:sz w:val="24"/>
                <w:szCs w:val="24"/>
                <w:vertAlign w:val="baseline"/>
                <w:lang w:eastAsia="zh-CN"/>
              </w:rPr>
            </w:pPr>
            <w:r>
              <w:rPr>
                <w:rFonts w:hint="default" w:ascii="Times New Roman" w:hAnsi="Times New Roman" w:cs="Times New Roman"/>
                <w:color w:val="auto"/>
                <w:sz w:val="24"/>
                <w:szCs w:val="24"/>
                <w:vertAlign w:val="baseline"/>
                <w:lang w:eastAsia="zh-CN"/>
              </w:rPr>
              <w:t>经办人：</w:t>
            </w:r>
            <w:r>
              <w:rPr>
                <w:rFonts w:hint="default" w:ascii="Times New Roman" w:hAnsi="Times New Roman" w:cs="Times New Roman"/>
                <w:color w:val="auto"/>
                <w:sz w:val="24"/>
                <w:szCs w:val="24"/>
                <w:vertAlign w:val="baseline"/>
                <w:lang w:val="en-US" w:eastAsia="zh-CN"/>
              </w:rPr>
              <w:t xml:space="preserve">                                            年   月   日</w:t>
            </w:r>
          </w:p>
          <w:p>
            <w:pPr>
              <w:rPr>
                <w:rFonts w:hint="default" w:ascii="Times New Roman" w:hAnsi="Times New Roman" w:cs="Times New Roman"/>
                <w:color w:val="auto"/>
                <w:lang w:eastAsia="zh-CN"/>
              </w:rPr>
            </w:pPr>
          </w:p>
        </w:tc>
      </w:tr>
    </w:tbl>
    <w:p>
      <w:pPr>
        <w:ind w:left="0" w:leftChars="0" w:firstLine="0" w:firstLineChars="0"/>
        <w:rPr>
          <w:color w:val="auto"/>
        </w:rPr>
      </w:pPr>
    </w:p>
    <w:sectPr>
      <w:pgSz w:w="11906" w:h="16838"/>
      <w:pgMar w:top="1440" w:right="1800" w:bottom="1440" w:left="1800" w:header="851" w:footer="1361"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imesNewRomanPSMT">
    <w:altName w:val="Times New Roman"/>
    <w:panose1 w:val="00000000000000000000"/>
    <w:charset w:val="86"/>
    <w:family w:val="auto"/>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eastAsia="宋体"/>
        <w:lang w:eastAsia="zh-CN"/>
      </w:rP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mNkDcrgEAAE0D&#10;AAAOAAAAAAAAAAEAIAAAAB4BAABkcnMvZTJvRG9jLnhtbFBLBQYAAAAABgAGAFkBAAA+BQAAAAA=&#10;">
              <v:fill on="f" focussize="0,0"/>
              <v:stroke on="f"/>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eastAsia="宋体"/>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8BC18E"/>
    <w:multiLevelType w:val="singleLevel"/>
    <w:tmpl w:val="AF8BC18E"/>
    <w:lvl w:ilvl="0" w:tentative="0">
      <w:start w:val="5"/>
      <w:numFmt w:val="decimal"/>
      <w:suff w:val="nothing"/>
      <w:lvlText w:val="%1、"/>
      <w:lvlJc w:val="left"/>
    </w:lvl>
  </w:abstractNum>
  <w:abstractNum w:abstractNumId="1">
    <w:nsid w:val="D24A0EE9"/>
    <w:multiLevelType w:val="singleLevel"/>
    <w:tmpl w:val="D24A0EE9"/>
    <w:lvl w:ilvl="0" w:tentative="0">
      <w:start w:val="2"/>
      <w:numFmt w:val="decimal"/>
      <w:suff w:val="nothing"/>
      <w:lvlText w:val="%1、"/>
      <w:lvlJc w:val="left"/>
    </w:lvl>
  </w:abstractNum>
  <w:abstractNum w:abstractNumId="2">
    <w:nsid w:val="F660C556"/>
    <w:multiLevelType w:val="singleLevel"/>
    <w:tmpl w:val="F660C556"/>
    <w:lvl w:ilvl="0" w:tentative="0">
      <w:start w:val="2"/>
      <w:numFmt w:val="decimal"/>
      <w:suff w:val="nothing"/>
      <w:lvlText w:val="（%1）"/>
      <w:lvlJc w:val="left"/>
    </w:lvl>
  </w:abstractNum>
  <w:abstractNum w:abstractNumId="3">
    <w:nsid w:val="4BF5AAA3"/>
    <w:multiLevelType w:val="singleLevel"/>
    <w:tmpl w:val="4BF5AAA3"/>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1321BE"/>
    <w:rsid w:val="008F70CD"/>
    <w:rsid w:val="01447A94"/>
    <w:rsid w:val="05062761"/>
    <w:rsid w:val="076A427C"/>
    <w:rsid w:val="084E114B"/>
    <w:rsid w:val="0C5662D8"/>
    <w:rsid w:val="0FF908BF"/>
    <w:rsid w:val="103D1B59"/>
    <w:rsid w:val="10AF4D11"/>
    <w:rsid w:val="12F166D4"/>
    <w:rsid w:val="14144605"/>
    <w:rsid w:val="17242CD3"/>
    <w:rsid w:val="17785778"/>
    <w:rsid w:val="17F1621E"/>
    <w:rsid w:val="1849357D"/>
    <w:rsid w:val="19323048"/>
    <w:rsid w:val="1B603D15"/>
    <w:rsid w:val="1C5F4E86"/>
    <w:rsid w:val="1CA05BC2"/>
    <w:rsid w:val="1EA82AE4"/>
    <w:rsid w:val="1F0F453D"/>
    <w:rsid w:val="1F4368E2"/>
    <w:rsid w:val="1FCF30D8"/>
    <w:rsid w:val="22A34050"/>
    <w:rsid w:val="248C5D57"/>
    <w:rsid w:val="267C5FC3"/>
    <w:rsid w:val="26D809F5"/>
    <w:rsid w:val="27927894"/>
    <w:rsid w:val="27A35AFF"/>
    <w:rsid w:val="2A9B1BAC"/>
    <w:rsid w:val="2B45115C"/>
    <w:rsid w:val="2E7A63A4"/>
    <w:rsid w:val="2EF06D40"/>
    <w:rsid w:val="2F06292C"/>
    <w:rsid w:val="30832B95"/>
    <w:rsid w:val="30BE4FFB"/>
    <w:rsid w:val="31D76729"/>
    <w:rsid w:val="32B40156"/>
    <w:rsid w:val="32E51745"/>
    <w:rsid w:val="35DE50F8"/>
    <w:rsid w:val="35FD41EF"/>
    <w:rsid w:val="360A40E8"/>
    <w:rsid w:val="3697400B"/>
    <w:rsid w:val="37060B35"/>
    <w:rsid w:val="39752EB9"/>
    <w:rsid w:val="3CED2277"/>
    <w:rsid w:val="3F8B31BE"/>
    <w:rsid w:val="414D43E9"/>
    <w:rsid w:val="4454755A"/>
    <w:rsid w:val="48A91B99"/>
    <w:rsid w:val="4A3E1281"/>
    <w:rsid w:val="4DCD139D"/>
    <w:rsid w:val="505305CF"/>
    <w:rsid w:val="51BF5FD9"/>
    <w:rsid w:val="521C27E3"/>
    <w:rsid w:val="55520B91"/>
    <w:rsid w:val="57376AD4"/>
    <w:rsid w:val="58D70DA5"/>
    <w:rsid w:val="5AE853A9"/>
    <w:rsid w:val="5C404521"/>
    <w:rsid w:val="5E851EC8"/>
    <w:rsid w:val="5F962138"/>
    <w:rsid w:val="5FE2494E"/>
    <w:rsid w:val="610536FE"/>
    <w:rsid w:val="61780AA1"/>
    <w:rsid w:val="6453123B"/>
    <w:rsid w:val="64AE68CB"/>
    <w:rsid w:val="65AA1537"/>
    <w:rsid w:val="671321BE"/>
    <w:rsid w:val="68BB72C5"/>
    <w:rsid w:val="6C3D2FBB"/>
    <w:rsid w:val="73180B2A"/>
    <w:rsid w:val="750C7654"/>
    <w:rsid w:val="758869B7"/>
    <w:rsid w:val="75F02889"/>
    <w:rsid w:val="77AF2780"/>
    <w:rsid w:val="78EF5470"/>
    <w:rsid w:val="78F625A8"/>
    <w:rsid w:val="7A40126A"/>
    <w:rsid w:val="7DF223B7"/>
    <w:rsid w:val="7E1A0A03"/>
    <w:rsid w:val="7E6E4388"/>
    <w:rsid w:val="7FD42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602" w:firstLineChars="200"/>
      <w:jc w:val="left"/>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0"/>
    <w:pPr>
      <w:spacing w:line="360" w:lineRule="auto"/>
      <w:ind w:left="0" w:firstLine="0" w:firstLineChars="0"/>
      <w:jc w:val="left"/>
      <w:outlineLvl w:val="0"/>
    </w:pPr>
    <w:rPr>
      <w:rFonts w:ascii="Times New Roman" w:hAnsi="Times New Roman" w:eastAsia="宋体" w:cs="Times New Roman"/>
      <w:b/>
      <w:bCs/>
      <w:sz w:val="28"/>
      <w:szCs w:val="28"/>
    </w:rPr>
  </w:style>
  <w:style w:type="paragraph" w:styleId="4">
    <w:name w:val="heading 2"/>
    <w:basedOn w:val="1"/>
    <w:next w:val="1"/>
    <w:link w:val="16"/>
    <w:semiHidden/>
    <w:unhideWhenUsed/>
    <w:qFormat/>
    <w:uiPriority w:val="0"/>
    <w:pPr>
      <w:spacing w:line="360" w:lineRule="auto"/>
      <w:ind w:left="0" w:firstLine="0" w:firstLineChars="0"/>
      <w:jc w:val="left"/>
      <w:outlineLvl w:val="1"/>
    </w:pPr>
    <w:rPr>
      <w:rFonts w:ascii="Times New Roman" w:hAnsi="Times New Roman" w:eastAsia="宋体" w:cs="Times New Roman"/>
      <w:b/>
      <w:bCs/>
      <w:kern w:val="2"/>
      <w:sz w:val="24"/>
      <w:szCs w:val="24"/>
      <w:lang w:eastAsia="en-US"/>
    </w:rPr>
  </w:style>
  <w:style w:type="paragraph" w:styleId="5">
    <w:name w:val="heading 3"/>
    <w:basedOn w:val="1"/>
    <w:next w:val="1"/>
    <w:semiHidden/>
    <w:unhideWhenUsed/>
    <w:qFormat/>
    <w:uiPriority w:val="0"/>
    <w:pPr>
      <w:keepNext/>
      <w:keepLines/>
      <w:spacing w:beforeLines="0" w:beforeAutospacing="0" w:afterLines="0" w:afterAutospacing="0" w:line="360" w:lineRule="auto"/>
      <w:ind w:firstLine="562" w:firstLineChars="200"/>
      <w:outlineLvl w:val="2"/>
    </w:pPr>
    <w:rPr>
      <w:rFonts w:ascii="宋体" w:hAnsi="宋体" w:eastAsia="宋体" w:cs="宋体"/>
      <w:b/>
      <w:sz w:val="22"/>
      <w:szCs w:val="22"/>
      <w:lang w:eastAsia="en-US"/>
    </w:rPr>
  </w:style>
  <w:style w:type="paragraph" w:styleId="6">
    <w:name w:val="heading 4"/>
    <w:basedOn w:val="1"/>
    <w:next w:val="1"/>
    <w:semiHidden/>
    <w:unhideWhenUsed/>
    <w:qFormat/>
    <w:uiPriority w:val="0"/>
    <w:pPr>
      <w:keepNext/>
      <w:keepLines/>
      <w:spacing w:beforeLines="0" w:beforeAutospacing="0" w:afterLines="0" w:afterAutospacing="0" w:line="360" w:lineRule="auto"/>
      <w:outlineLvl w:val="3"/>
    </w:pPr>
    <w:rPr>
      <w:rFonts w:ascii="Times New Roman" w:hAnsi="Times New Roman" w:eastAsia="宋体"/>
      <w:b/>
      <w:w w:val="100"/>
      <w:sz w:val="24"/>
    </w:rPr>
  </w:style>
  <w:style w:type="character" w:default="1" w:styleId="15">
    <w:name w:val="Default Paragraph Font"/>
    <w:qFormat/>
    <w:uiPriority w:val="0"/>
    <w:rPr>
      <w:sz w:val="24"/>
      <w:szCs w:val="20"/>
    </w:rPr>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Lines="0" w:afterAutospacing="0" w:line="360" w:lineRule="auto"/>
      <w:ind w:firstLine="602" w:firstLineChars="200"/>
      <w:jc w:val="left"/>
    </w:pPr>
    <w:rPr>
      <w:rFonts w:ascii="Times New Roman" w:hAnsi="Times New Roman" w:eastAsia="宋体"/>
    </w:rPr>
  </w:style>
  <w:style w:type="paragraph" w:styleId="7">
    <w:name w:val="Normal Indent"/>
    <w:basedOn w:val="1"/>
    <w:next w:val="1"/>
    <w:link w:val="17"/>
    <w:qFormat/>
    <w:uiPriority w:val="0"/>
    <w:pPr>
      <w:ind w:firstLine="643" w:firstLineChars="200"/>
      <w:jc w:val="left"/>
    </w:pPr>
    <w:rPr>
      <w:rFonts w:ascii="Times New Roman" w:hAnsi="Times New Roman" w:eastAsia="宋体" w:cs="Times New Roman"/>
    </w:rPr>
  </w:style>
  <w:style w:type="paragraph" w:styleId="8">
    <w:name w:val="Body Text Indent"/>
    <w:basedOn w:val="1"/>
    <w:next w:val="1"/>
    <w:qFormat/>
    <w:uiPriority w:val="0"/>
    <w:pPr>
      <w:spacing w:line="360" w:lineRule="auto"/>
      <w:ind w:firstLine="480" w:firstLineChars="200"/>
      <w:jc w:val="both"/>
    </w:pPr>
    <w:rPr>
      <w:rFonts w:ascii="宋体" w:hAnsi="宋体" w:cs="Times New Roman"/>
      <w:color w:val="000000"/>
      <w:kern w:val="24"/>
    </w:rPr>
  </w:style>
  <w:style w:type="paragraph" w:styleId="9">
    <w:name w:val="Body Text Indent 2"/>
    <w:basedOn w:val="1"/>
    <w:qFormat/>
    <w:uiPriority w:val="0"/>
    <w:pPr>
      <w:spacing w:line="360" w:lineRule="auto"/>
      <w:ind w:firstLine="560" w:firstLineChars="200"/>
      <w:jc w:val="left"/>
    </w:pPr>
    <w:rPr>
      <w:sz w:val="2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4">
    <w:name w:val="Table Grid"/>
    <w:basedOn w:val="1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6">
    <w:name w:val="标题 2 Char"/>
    <w:link w:val="4"/>
    <w:qFormat/>
    <w:uiPriority w:val="0"/>
    <w:rPr>
      <w:rFonts w:ascii="Times New Roman" w:hAnsi="Times New Roman" w:eastAsia="宋体" w:cs="Times New Roman"/>
      <w:b/>
      <w:bCs/>
      <w:kern w:val="2"/>
      <w:sz w:val="24"/>
      <w:szCs w:val="24"/>
      <w:lang w:val="en-US" w:eastAsia="en-US" w:bidi="ar-SA"/>
    </w:rPr>
  </w:style>
  <w:style w:type="character" w:customStyle="1" w:styleId="17">
    <w:name w:val="正文缩进 Char"/>
    <w:basedOn w:val="15"/>
    <w:link w:val="7"/>
    <w:qFormat/>
    <w:uiPriority w:val="0"/>
    <w:rPr>
      <w:rFonts w:ascii="Times New Roman" w:hAnsi="Times New Roman" w:eastAsia="宋体" w:cs="Times New Roman"/>
      <w:sz w:val="24"/>
      <w:szCs w:val="24"/>
    </w:rPr>
  </w:style>
  <w:style w:type="paragraph" w:customStyle="1" w:styleId="18">
    <w:name w:val="表格"/>
    <w:basedOn w:val="1"/>
    <w:next w:val="1"/>
    <w:link w:val="20"/>
    <w:qFormat/>
    <w:uiPriority w:val="0"/>
    <w:pPr>
      <w:spacing w:line="240" w:lineRule="auto"/>
      <w:ind w:right="0" w:rightChars="0" w:firstLine="0" w:firstLineChars="0"/>
      <w:jc w:val="center"/>
    </w:pPr>
    <w:rPr>
      <w:color w:val="000000"/>
      <w:sz w:val="21"/>
      <w:szCs w:val="21"/>
    </w:rPr>
  </w:style>
  <w:style w:type="paragraph" w:customStyle="1" w:styleId="19">
    <w:name w:val="表头"/>
    <w:basedOn w:val="1"/>
    <w:next w:val="18"/>
    <w:qFormat/>
    <w:uiPriority w:val="0"/>
    <w:pPr>
      <w:spacing w:line="360" w:lineRule="auto"/>
      <w:ind w:firstLine="0" w:firstLineChars="0"/>
      <w:jc w:val="center"/>
    </w:pPr>
    <w:rPr>
      <w:b/>
      <w:bCs/>
      <w:sz w:val="21"/>
      <w:szCs w:val="21"/>
    </w:rPr>
  </w:style>
  <w:style w:type="character" w:customStyle="1" w:styleId="20">
    <w:name w:val="表格 Char Char"/>
    <w:link w:val="18"/>
    <w:qFormat/>
    <w:uiPriority w:val="0"/>
    <w:rPr>
      <w:rFonts w:ascii="Times New Roman" w:hAnsi="Times New Roman" w:eastAsia="宋体" w:cs="Times New Roman"/>
      <w:color w:val="000000"/>
      <w:sz w:val="21"/>
      <w:szCs w:val="21"/>
      <w:u w:val="none" w:color="000000"/>
    </w:rPr>
  </w:style>
  <w:style w:type="paragraph" w:customStyle="1" w:styleId="21">
    <w:name w:val="表标题"/>
    <w:basedOn w:val="1"/>
    <w:qFormat/>
    <w:uiPriority w:val="0"/>
    <w:pPr>
      <w:framePr w:wrap="around" w:vAnchor="text" w:hAnchor="text" w:y="1"/>
      <w:adjustRightInd w:val="0"/>
      <w:snapToGrid w:val="0"/>
      <w:spacing w:line="360" w:lineRule="auto"/>
      <w:ind w:firstLine="0" w:firstLineChars="0"/>
      <w:jc w:val="center"/>
    </w:pPr>
    <w:rPr>
      <w:rFonts w:ascii="Times New Roman" w:hAnsi="Times New Roman" w:eastAsia="宋体" w:cs="Times New Roman"/>
      <w:b/>
      <w:spacing w:val="11"/>
      <w:kern w:val="2"/>
      <w:sz w:val="21"/>
      <w:szCs w:val="21"/>
    </w:rPr>
  </w:style>
  <w:style w:type="paragraph" w:styleId="22">
    <w:name w:val="List Paragraph"/>
    <w:basedOn w:val="1"/>
    <w:next w:val="1"/>
    <w:qFormat/>
    <w:uiPriority w:val="1"/>
    <w:pPr>
      <w:spacing w:before="120"/>
      <w:ind w:left="0" w:hanging="583"/>
    </w:pPr>
    <w:rPr>
      <w:rFonts w:ascii="Times New Roman" w:hAnsi="Times New Roman" w:eastAsia="宋体" w:cs="Times New Roman"/>
    </w:rPr>
  </w:style>
  <w:style w:type="paragraph" w:customStyle="1" w:styleId="23">
    <w:name w:val="表文"/>
    <w:basedOn w:val="1"/>
    <w:next w:val="1"/>
    <w:qFormat/>
    <w:uiPriority w:val="0"/>
    <w:pPr>
      <w:spacing w:line="240" w:lineRule="auto"/>
      <w:ind w:firstLine="0" w:firstLineChars="0"/>
      <w:jc w:val="center"/>
    </w:pPr>
    <w:rPr>
      <w:rFonts w:cs="Times New Roman"/>
      <w:sz w:val="21"/>
      <w:szCs w:val="21"/>
    </w:rPr>
  </w:style>
  <w:style w:type="table" w:customStyle="1" w:styleId="24">
    <w:name w:val="标准表格1"/>
    <w:basedOn w:val="13"/>
    <w:qFormat/>
    <w:uiPriority w:val="0"/>
    <w:pPr>
      <w:spacing w:before="74"/>
      <w:jc w:val="center"/>
    </w:pPr>
    <w:rPr>
      <w:rFonts w:eastAsia="Times New Roman"/>
      <w:sz w:val="18"/>
      <w:szCs w:val="18"/>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FFFFFF"/>
      <w:vAlign w:val="center"/>
    </w:tcPr>
    <w:tblStylePr w:type="firstRow">
      <w:pPr>
        <w:ind w:firstLine="0" w:firstLineChars="0"/>
        <w:jc w:val="center"/>
      </w:pPr>
      <w:rPr>
        <w:rFonts w:hint="default" w:ascii="Times New Roman" w:hAnsi="Times New Roman" w:eastAsia="宋体" w:cs="Times New Roman"/>
        <w:sz w:val="18"/>
        <w:szCs w:val="18"/>
      </w:rPr>
    </w:tblStylePr>
    <w:tblStylePr w:type="firstCol">
      <w:pPr>
        <w:jc w:val="center"/>
      </w:pPr>
    </w:tblStyle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8.wmf"/><Relationship Id="rId17" Type="http://schemas.openxmlformats.org/officeDocument/2006/relationships/oleObject" Target="embeddings/oleObject4.bin"/><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2019-11-05T01:26:00Z</dcterms:created>
  <dc:creator>mzc</dc:creator>
  <cp:lastModifiedBy>DreamCatcher</cp:lastModifiedBy>
  <dcterms:modified xsi:type="dcterms:W3CDTF">2019-11-26T03:04:24Z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