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b/>
          <w:bCs/>
          <w:color w:val="auto"/>
          <w:sz w:val="30"/>
          <w:szCs w:val="30"/>
        </w:rPr>
      </w:pPr>
      <w:r>
        <w:rPr>
          <w:rFonts w:hint="eastAsia" w:ascii="Times New Roman" w:hAnsi="Times New Roman"/>
          <w:b/>
          <w:bCs/>
          <w:color w:val="auto"/>
          <w:sz w:val="30"/>
          <w:szCs w:val="30"/>
          <w:lang w:val="en-US" w:eastAsia="zh-CN"/>
        </w:rPr>
        <w:t xml:space="preserve">                                                                                                                                                                                                                                                                                                                                                                                                                                                                                                                                                                                                                                                                                                                                                                                                                                                                                                                                                                                                                                                                                                                                                                                                                                                                                                                                                                                                                                                                                                                                                                                                                                                                                                                                                                                                                                                                                                                                                                                                                                                                                                                                                                                                                                                                                                                                                                                                                                                                                                                                                                                                                                                                                                                                                                                                                                                                                                                                                                                                                                                                                                                                                                                                                                                                                                                                                                                                                                                                                                                                                                                                                                                                                                                                                                                                                                                                                                                                                                                                                                                                                                                                                                                                                </w:t>
      </w:r>
      <w:r>
        <w:rPr>
          <w:rFonts w:hint="eastAsia" w:ascii="Times New Roman" w:hAnsi="Times New Roman"/>
          <w:b/>
          <w:bCs/>
          <w:color w:val="auto"/>
          <w:sz w:val="30"/>
          <w:szCs w:val="30"/>
          <w:lang w:val="en-US" w:eastAsia="zh-CN"/>
        </w:rPr>
        <w:t xml:space="preserve">                                                                                                                                                                                                                                                                                                                                                                                                                                                                                                                                                                                                                                                                                                                                                                                                                                                                                                                                                                                                                                                                                                                                                                                                                                                                                                                                                                                                                                                                                                                                                                                                                                                                                                                                                                                                                                                                                                                                                                                                                                                                                                                                                                                                                                                                                                                                                                                                                                                                                                                                                                                                                                                                                                                                                                                                                                                                                                                                                                                                                                                                                                                                             </w:t>
      </w:r>
      <w:r>
        <w:rPr>
          <w:rFonts w:ascii="Times New Roman" w:hAnsi="Times New Roman"/>
          <w:b/>
          <w:bCs/>
          <w:color w:val="auto"/>
          <w:sz w:val="30"/>
          <w:szCs w:val="30"/>
        </w:rPr>
        <w:t>《建设项目环境影响报告表》编制说明</w:t>
      </w:r>
    </w:p>
    <w:p>
      <w:pPr>
        <w:tabs>
          <w:tab w:val="left" w:pos="6246"/>
        </w:tabs>
        <w:rPr>
          <w:rFonts w:ascii="Times New Roman" w:hAnsi="Times New Roman"/>
          <w:b/>
          <w:bCs/>
          <w:color w:val="auto"/>
          <w:sz w:val="28"/>
        </w:rPr>
      </w:pPr>
      <w:r>
        <w:rPr>
          <w:rFonts w:ascii="Times New Roman" w:hAnsi="Times New Roman"/>
          <w:b/>
          <w:bCs/>
          <w:color w:val="auto"/>
          <w:sz w:val="28"/>
        </w:rPr>
        <w:tab/>
      </w:r>
    </w:p>
    <w:p>
      <w:pPr>
        <w:ind w:left="105" w:leftChars="50" w:right="105" w:rightChars="50" w:firstLine="560"/>
        <w:rPr>
          <w:rFonts w:ascii="Times New Roman" w:hAnsi="Times New Roman"/>
          <w:color w:val="auto"/>
          <w:sz w:val="28"/>
          <w:szCs w:val="28"/>
        </w:rPr>
      </w:pPr>
      <w:r>
        <w:rPr>
          <w:rFonts w:ascii="Times New Roman" w:hAnsi="Times New Roman"/>
          <w:color w:val="auto"/>
          <w:sz w:val="28"/>
          <w:szCs w:val="28"/>
        </w:rPr>
        <w:t>《建设项目环境影响报告表》由具有从事环境影响评价工作资质的单位编制。</w:t>
      </w:r>
    </w:p>
    <w:p>
      <w:pPr>
        <w:ind w:left="105" w:leftChars="50" w:right="105" w:rightChars="50" w:firstLine="560"/>
        <w:rPr>
          <w:rFonts w:ascii="Times New Roman" w:hAnsi="Times New Roman"/>
          <w:color w:val="auto"/>
          <w:sz w:val="28"/>
          <w:szCs w:val="28"/>
        </w:rPr>
      </w:pPr>
      <w:r>
        <w:rPr>
          <w:rFonts w:ascii="Times New Roman" w:hAnsi="Times New Roman"/>
          <w:color w:val="auto"/>
          <w:sz w:val="28"/>
          <w:szCs w:val="28"/>
        </w:rPr>
        <w:t>1、项目名称───指项目立项批复时的名称，应不超过30个字（两个英文字段作一个汉字）。</w:t>
      </w:r>
    </w:p>
    <w:p>
      <w:pPr>
        <w:ind w:left="105" w:leftChars="50" w:right="105" w:rightChars="50" w:firstLine="560"/>
        <w:rPr>
          <w:rFonts w:ascii="Times New Roman" w:hAnsi="Times New Roman"/>
          <w:color w:val="auto"/>
          <w:sz w:val="28"/>
          <w:szCs w:val="28"/>
        </w:rPr>
      </w:pPr>
      <w:r>
        <w:rPr>
          <w:rFonts w:ascii="Times New Roman" w:hAnsi="Times New Roman"/>
          <w:color w:val="auto"/>
          <w:sz w:val="28"/>
          <w:szCs w:val="28"/>
        </w:rPr>
        <w:t>2、建设地点───指项目所在地详细地址，公路、铁路应填写起止地点。</w:t>
      </w:r>
    </w:p>
    <w:p>
      <w:pPr>
        <w:ind w:left="105" w:leftChars="50" w:right="105" w:rightChars="50" w:firstLine="560"/>
        <w:rPr>
          <w:rFonts w:ascii="Times New Roman" w:hAnsi="Times New Roman"/>
          <w:color w:val="auto"/>
          <w:sz w:val="28"/>
          <w:szCs w:val="28"/>
        </w:rPr>
      </w:pPr>
      <w:r>
        <w:rPr>
          <w:rFonts w:ascii="Times New Roman" w:hAnsi="Times New Roman"/>
          <w:color w:val="auto"/>
          <w:sz w:val="28"/>
          <w:szCs w:val="28"/>
        </w:rPr>
        <w:t>3、行业类别───按国标填写。</w:t>
      </w:r>
    </w:p>
    <w:p>
      <w:pPr>
        <w:ind w:left="105" w:leftChars="50" w:right="105" w:rightChars="50" w:firstLine="560"/>
        <w:rPr>
          <w:rFonts w:ascii="Times New Roman" w:hAnsi="Times New Roman"/>
          <w:color w:val="auto"/>
          <w:sz w:val="28"/>
          <w:szCs w:val="28"/>
        </w:rPr>
      </w:pPr>
      <w:r>
        <w:rPr>
          <w:rFonts w:ascii="Times New Roman" w:hAnsi="Times New Roman"/>
          <w:color w:val="auto"/>
          <w:sz w:val="28"/>
          <w:szCs w:val="28"/>
        </w:rPr>
        <w:t>4、总投资───指项目投资总额。</w:t>
      </w:r>
    </w:p>
    <w:p>
      <w:pPr>
        <w:ind w:left="105" w:leftChars="50" w:right="105" w:rightChars="50" w:firstLine="560"/>
        <w:rPr>
          <w:rFonts w:ascii="Times New Roman" w:hAnsi="Times New Roman"/>
          <w:color w:val="auto"/>
          <w:sz w:val="28"/>
          <w:szCs w:val="28"/>
        </w:rPr>
      </w:pPr>
      <w:r>
        <w:rPr>
          <w:rFonts w:ascii="Times New Roman" w:hAnsi="Times New Roman"/>
          <w:color w:val="auto"/>
          <w:sz w:val="28"/>
          <w:szCs w:val="28"/>
        </w:rPr>
        <w:t>5、主要环境保护目标───指项目区周围一定范围内集中居民住宅区、学校、医院、保护文物、风景名胜区、水源地和生态敏感点等，应尽可能给出保护目标、性质、规模和距厂界距离等。</w:t>
      </w:r>
    </w:p>
    <w:p>
      <w:pPr>
        <w:ind w:left="105" w:leftChars="50" w:right="105" w:rightChars="50" w:firstLine="560"/>
        <w:rPr>
          <w:rFonts w:ascii="Times New Roman" w:hAnsi="Times New Roman"/>
          <w:color w:val="auto"/>
          <w:sz w:val="28"/>
          <w:szCs w:val="28"/>
        </w:rPr>
      </w:pPr>
      <w:r>
        <w:rPr>
          <w:rFonts w:ascii="Times New Roman" w:hAnsi="Times New Roman"/>
          <w:color w:val="auto"/>
          <w:sz w:val="28"/>
          <w:szCs w:val="28"/>
        </w:rPr>
        <w:t>6、结论与建议───给出本项目清洁生产、达标排放和总量控制的分析结论，确定污染防治措施的有效性，说明本项目对环境造成的影响，给出建设项目环境可行性的明确结论。同时提出减少环境影响的其他建议。</w:t>
      </w:r>
    </w:p>
    <w:p>
      <w:pPr>
        <w:ind w:left="105" w:leftChars="50" w:right="105" w:rightChars="50" w:firstLine="560"/>
        <w:rPr>
          <w:rFonts w:ascii="Times New Roman" w:hAnsi="Times New Roman"/>
          <w:color w:val="auto"/>
          <w:sz w:val="28"/>
          <w:szCs w:val="28"/>
        </w:rPr>
      </w:pPr>
      <w:r>
        <w:rPr>
          <w:rFonts w:ascii="Times New Roman" w:hAnsi="Times New Roman"/>
          <w:color w:val="auto"/>
          <w:sz w:val="28"/>
          <w:szCs w:val="28"/>
        </w:rPr>
        <w:t>7、预审意见───由行业主管部门填写答复意见，无主管部门项目，可不填。</w:t>
      </w:r>
    </w:p>
    <w:p>
      <w:pPr>
        <w:ind w:left="105" w:leftChars="50" w:right="105" w:rightChars="50" w:firstLine="560"/>
        <w:rPr>
          <w:rFonts w:ascii="Times New Roman" w:hAnsi="Times New Roman"/>
          <w:color w:val="auto"/>
          <w:sz w:val="28"/>
          <w:szCs w:val="28"/>
        </w:rPr>
      </w:pPr>
      <w:r>
        <w:rPr>
          <w:rFonts w:ascii="Times New Roman" w:hAnsi="Times New Roman"/>
          <w:color w:val="auto"/>
          <w:sz w:val="28"/>
          <w:szCs w:val="28"/>
        </w:rPr>
        <w:t xml:space="preserve">8、审批意见───由负责审批该项目的环境保护行政主管部门批复。 </w:t>
      </w:r>
    </w:p>
    <w:p>
      <w:pPr>
        <w:pageBreakBefore/>
        <w:jc w:val="center"/>
        <w:rPr>
          <w:rFonts w:ascii="Times New Roman" w:hAnsi="Times New Roman"/>
          <w:b/>
          <w:color w:val="auto"/>
          <w:sz w:val="32"/>
          <w:szCs w:val="32"/>
        </w:rPr>
      </w:pPr>
      <w:r>
        <w:rPr>
          <w:rFonts w:ascii="Times New Roman" w:hAnsi="Times New Roman"/>
          <w:b/>
          <w:color w:val="auto"/>
          <w:sz w:val="32"/>
          <w:szCs w:val="32"/>
        </w:rPr>
        <w:t>目   录</w:t>
      </w:r>
    </w:p>
    <w:p>
      <w:pPr>
        <w:pStyle w:val="30"/>
        <w:tabs>
          <w:tab w:val="right" w:leader="dot" w:pos="8296"/>
        </w:tabs>
        <w:rPr>
          <w:rFonts w:ascii="Times New Roman" w:hAnsi="Times New Roman" w:cs="Times New Roman"/>
          <w:b w:val="0"/>
          <w:bCs w:val="0"/>
          <w:caps w:val="0"/>
          <w:color w:val="auto"/>
          <w:sz w:val="30"/>
          <w:szCs w:val="30"/>
        </w:rPr>
      </w:pPr>
      <w:r>
        <w:rPr>
          <w:rFonts w:ascii="Times New Roman" w:hAnsi="Times New Roman" w:cs="Times New Roman"/>
          <w:color w:val="auto"/>
          <w:sz w:val="30"/>
          <w:szCs w:val="30"/>
        </w:rPr>
        <w:fldChar w:fldCharType="begin"/>
      </w:r>
      <w:r>
        <w:rPr>
          <w:rFonts w:ascii="Times New Roman" w:hAnsi="Times New Roman" w:cs="Times New Roman"/>
          <w:color w:val="auto"/>
          <w:sz w:val="30"/>
          <w:szCs w:val="30"/>
        </w:rPr>
        <w:instrText xml:space="preserve"> TOC \o "1-1" \h \z \u </w:instrText>
      </w:r>
      <w:r>
        <w:rPr>
          <w:rFonts w:ascii="Times New Roman" w:hAnsi="Times New Roman" w:cs="Times New Roman"/>
          <w:color w:val="auto"/>
          <w:sz w:val="30"/>
          <w:szCs w:val="30"/>
        </w:rPr>
        <w:fldChar w:fldCharType="separate"/>
      </w:r>
      <w:r>
        <w:rPr>
          <w:color w:val="auto"/>
        </w:rPr>
        <w:fldChar w:fldCharType="begin"/>
      </w:r>
      <w:r>
        <w:rPr>
          <w:color w:val="auto"/>
        </w:rPr>
        <w:instrText xml:space="preserve"> HYPERLINK \l "_Toc513627174" </w:instrText>
      </w:r>
      <w:r>
        <w:rPr>
          <w:color w:val="auto"/>
        </w:rPr>
        <w:fldChar w:fldCharType="separate"/>
      </w:r>
      <w:r>
        <w:rPr>
          <w:rStyle w:val="54"/>
          <w:rFonts w:ascii="Times New Roman" w:hAnsi="Times New Roman" w:cs="Times New Roman"/>
          <w:color w:val="auto"/>
          <w:sz w:val="30"/>
          <w:szCs w:val="30"/>
        </w:rPr>
        <w:t>表一、建设项目基本情况</w:t>
      </w:r>
      <w:r>
        <w:rPr>
          <w:rFonts w:ascii="Times New Roman" w:hAnsi="Times New Roman" w:cs="Times New Roman"/>
          <w:color w:val="auto"/>
          <w:sz w:val="30"/>
          <w:szCs w:val="30"/>
        </w:rPr>
        <w:tab/>
      </w:r>
      <w:r>
        <w:rPr>
          <w:rFonts w:ascii="Times New Roman" w:hAnsi="Times New Roman" w:cs="Times New Roman"/>
          <w:color w:val="auto"/>
          <w:sz w:val="30"/>
          <w:szCs w:val="30"/>
        </w:rPr>
        <w:fldChar w:fldCharType="begin"/>
      </w:r>
      <w:r>
        <w:rPr>
          <w:rFonts w:ascii="Times New Roman" w:hAnsi="Times New Roman" w:cs="Times New Roman"/>
          <w:color w:val="auto"/>
          <w:sz w:val="30"/>
          <w:szCs w:val="30"/>
        </w:rPr>
        <w:instrText xml:space="preserve"> PAGEREF _Toc513627174 \h </w:instrText>
      </w:r>
      <w:r>
        <w:rPr>
          <w:rFonts w:ascii="Times New Roman" w:hAnsi="Times New Roman" w:cs="Times New Roman"/>
          <w:color w:val="auto"/>
          <w:sz w:val="30"/>
          <w:szCs w:val="30"/>
        </w:rPr>
        <w:fldChar w:fldCharType="separate"/>
      </w:r>
      <w:r>
        <w:rPr>
          <w:rFonts w:ascii="Times New Roman" w:hAnsi="Times New Roman" w:cs="Times New Roman"/>
          <w:color w:val="auto"/>
          <w:sz w:val="30"/>
          <w:szCs w:val="30"/>
        </w:rPr>
        <w:t>1</w:t>
      </w:r>
      <w:r>
        <w:rPr>
          <w:rFonts w:ascii="Times New Roman" w:hAnsi="Times New Roman" w:cs="Times New Roman"/>
          <w:color w:val="auto"/>
          <w:sz w:val="30"/>
          <w:szCs w:val="30"/>
        </w:rPr>
        <w:fldChar w:fldCharType="end"/>
      </w:r>
      <w:r>
        <w:rPr>
          <w:rFonts w:ascii="Times New Roman" w:hAnsi="Times New Roman" w:cs="Times New Roman"/>
          <w:color w:val="auto"/>
          <w:sz w:val="30"/>
          <w:szCs w:val="30"/>
        </w:rPr>
        <w:fldChar w:fldCharType="end"/>
      </w:r>
    </w:p>
    <w:p>
      <w:pPr>
        <w:pStyle w:val="30"/>
        <w:tabs>
          <w:tab w:val="right" w:leader="dot" w:pos="8296"/>
        </w:tabs>
        <w:rPr>
          <w:rFonts w:hint="eastAsia" w:ascii="Times New Roman" w:hAnsi="Times New Roman" w:eastAsia="宋体" w:cs="Times New Roman"/>
          <w:b w:val="0"/>
          <w:bCs w:val="0"/>
          <w:caps w:val="0"/>
          <w:color w:val="auto"/>
          <w:sz w:val="30"/>
          <w:szCs w:val="30"/>
          <w:lang w:eastAsia="zh-CN"/>
        </w:rPr>
      </w:pPr>
      <w:r>
        <w:rPr>
          <w:color w:val="auto"/>
        </w:rPr>
        <w:fldChar w:fldCharType="begin"/>
      </w:r>
      <w:r>
        <w:rPr>
          <w:color w:val="auto"/>
        </w:rPr>
        <w:instrText xml:space="preserve"> HYPERLINK \l "_Toc513627175" </w:instrText>
      </w:r>
      <w:r>
        <w:rPr>
          <w:color w:val="auto"/>
        </w:rPr>
        <w:fldChar w:fldCharType="separate"/>
      </w:r>
      <w:r>
        <w:rPr>
          <w:rStyle w:val="54"/>
          <w:rFonts w:ascii="Times New Roman" w:hAnsi="Times New Roman" w:cs="Times New Roman"/>
          <w:color w:val="auto"/>
          <w:spacing w:val="2"/>
          <w:sz w:val="30"/>
          <w:szCs w:val="30"/>
        </w:rPr>
        <w:t>表二、建设项目所在地自然环境社会环境简况</w:t>
      </w:r>
      <w:r>
        <w:rPr>
          <w:rFonts w:ascii="Times New Roman" w:hAnsi="Times New Roman" w:cs="Times New Roman"/>
          <w:color w:val="auto"/>
          <w:sz w:val="30"/>
          <w:szCs w:val="30"/>
        </w:rPr>
        <w:tab/>
      </w:r>
      <w:r>
        <w:rPr>
          <w:rFonts w:hint="eastAsia" w:ascii="Times New Roman" w:hAnsi="Times New Roman" w:cs="Times New Roman"/>
          <w:color w:val="auto"/>
          <w:sz w:val="30"/>
          <w:szCs w:val="30"/>
        </w:rPr>
        <w:t>1</w:t>
      </w:r>
      <w:r>
        <w:rPr>
          <w:rFonts w:hint="eastAsia" w:ascii="Times New Roman" w:hAnsi="Times New Roman" w:cs="Times New Roman"/>
          <w:color w:val="auto"/>
          <w:sz w:val="30"/>
          <w:szCs w:val="30"/>
        </w:rPr>
        <w:fldChar w:fldCharType="end"/>
      </w:r>
      <w:r>
        <w:rPr>
          <w:rFonts w:hint="eastAsia" w:ascii="Times New Roman" w:hAnsi="Times New Roman" w:cs="Times New Roman"/>
          <w:color w:val="auto"/>
          <w:sz w:val="30"/>
          <w:szCs w:val="30"/>
          <w:lang w:val="en-US" w:eastAsia="zh-CN"/>
        </w:rPr>
        <w:t>3</w:t>
      </w:r>
    </w:p>
    <w:p>
      <w:pPr>
        <w:pStyle w:val="30"/>
        <w:tabs>
          <w:tab w:val="right" w:leader="dot" w:pos="8296"/>
        </w:tabs>
        <w:rPr>
          <w:rFonts w:hint="eastAsia" w:ascii="Times New Roman" w:hAnsi="Times New Roman" w:eastAsia="宋体" w:cs="Times New Roman"/>
          <w:b w:val="0"/>
          <w:bCs w:val="0"/>
          <w:caps w:val="0"/>
          <w:color w:val="auto"/>
          <w:sz w:val="30"/>
          <w:szCs w:val="30"/>
          <w:lang w:eastAsia="zh-CN"/>
        </w:rPr>
      </w:pPr>
      <w:r>
        <w:rPr>
          <w:color w:val="auto"/>
        </w:rPr>
        <w:fldChar w:fldCharType="begin"/>
      </w:r>
      <w:r>
        <w:rPr>
          <w:color w:val="auto"/>
        </w:rPr>
        <w:instrText xml:space="preserve"> HYPERLINK \l "_Toc513627176" </w:instrText>
      </w:r>
      <w:r>
        <w:rPr>
          <w:color w:val="auto"/>
        </w:rPr>
        <w:fldChar w:fldCharType="separate"/>
      </w:r>
      <w:r>
        <w:rPr>
          <w:rStyle w:val="54"/>
          <w:rFonts w:ascii="Times New Roman" w:hAnsi="Times New Roman" w:cs="Times New Roman"/>
          <w:color w:val="auto"/>
          <w:spacing w:val="2"/>
          <w:sz w:val="30"/>
          <w:szCs w:val="30"/>
        </w:rPr>
        <w:t>表三、环境质量状况</w:t>
      </w:r>
      <w:r>
        <w:rPr>
          <w:rFonts w:ascii="Times New Roman" w:hAnsi="Times New Roman" w:cs="Times New Roman"/>
          <w:color w:val="auto"/>
          <w:sz w:val="30"/>
          <w:szCs w:val="30"/>
        </w:rPr>
        <w:tab/>
      </w:r>
      <w:r>
        <w:rPr>
          <w:rFonts w:hint="eastAsia" w:ascii="Times New Roman" w:hAnsi="Times New Roman" w:cs="Times New Roman"/>
          <w:color w:val="auto"/>
          <w:sz w:val="30"/>
          <w:szCs w:val="30"/>
        </w:rPr>
        <w:t>1</w:t>
      </w:r>
      <w:r>
        <w:rPr>
          <w:rFonts w:hint="eastAsia" w:ascii="Times New Roman" w:hAnsi="Times New Roman" w:cs="Times New Roman"/>
          <w:color w:val="auto"/>
          <w:sz w:val="30"/>
          <w:szCs w:val="30"/>
        </w:rPr>
        <w:fldChar w:fldCharType="end"/>
      </w:r>
      <w:r>
        <w:rPr>
          <w:rFonts w:hint="eastAsia" w:ascii="Times New Roman" w:hAnsi="Times New Roman" w:cs="Times New Roman"/>
          <w:color w:val="auto"/>
          <w:sz w:val="30"/>
          <w:szCs w:val="30"/>
          <w:lang w:val="en-US" w:eastAsia="zh-CN"/>
        </w:rPr>
        <w:t>6</w:t>
      </w:r>
    </w:p>
    <w:p>
      <w:pPr>
        <w:pStyle w:val="30"/>
        <w:tabs>
          <w:tab w:val="right" w:leader="dot" w:pos="8296"/>
        </w:tabs>
        <w:rPr>
          <w:rFonts w:ascii="Times New Roman" w:hAnsi="Times New Roman" w:cs="Times New Roman"/>
          <w:b w:val="0"/>
          <w:bCs w:val="0"/>
          <w:caps w:val="0"/>
          <w:color w:val="auto"/>
          <w:sz w:val="30"/>
          <w:szCs w:val="30"/>
        </w:rPr>
      </w:pPr>
      <w:r>
        <w:rPr>
          <w:color w:val="auto"/>
        </w:rPr>
        <w:fldChar w:fldCharType="begin"/>
      </w:r>
      <w:r>
        <w:rPr>
          <w:color w:val="auto"/>
        </w:rPr>
        <w:instrText xml:space="preserve"> HYPERLINK \l "_Toc513627177" </w:instrText>
      </w:r>
      <w:r>
        <w:rPr>
          <w:color w:val="auto"/>
        </w:rPr>
        <w:fldChar w:fldCharType="separate"/>
      </w:r>
      <w:r>
        <w:rPr>
          <w:rStyle w:val="54"/>
          <w:rFonts w:ascii="Times New Roman" w:hAnsi="Times New Roman" w:cs="Times New Roman"/>
          <w:color w:val="auto"/>
          <w:spacing w:val="2"/>
          <w:sz w:val="30"/>
          <w:szCs w:val="30"/>
        </w:rPr>
        <w:t>表四、评价适用标准</w:t>
      </w:r>
      <w:r>
        <w:rPr>
          <w:rFonts w:ascii="Times New Roman" w:hAnsi="Times New Roman" w:cs="Times New Roman"/>
          <w:color w:val="auto"/>
          <w:sz w:val="30"/>
          <w:szCs w:val="30"/>
        </w:rPr>
        <w:tab/>
      </w:r>
      <w:r>
        <w:rPr>
          <w:rFonts w:hint="eastAsia" w:ascii="Times New Roman" w:hAnsi="Times New Roman" w:cs="Times New Roman"/>
          <w:color w:val="auto"/>
          <w:sz w:val="30"/>
          <w:szCs w:val="30"/>
          <w:lang w:val="en-US" w:eastAsia="zh-CN"/>
        </w:rPr>
        <w:t>2</w:t>
      </w:r>
      <w:r>
        <w:rPr>
          <w:rFonts w:hint="eastAsia" w:ascii="Times New Roman" w:hAnsi="Times New Roman" w:cs="Times New Roman"/>
          <w:color w:val="auto"/>
          <w:sz w:val="30"/>
          <w:szCs w:val="30"/>
        </w:rPr>
        <w:fldChar w:fldCharType="end"/>
      </w:r>
      <w:r>
        <w:rPr>
          <w:rFonts w:hint="eastAsia" w:ascii="Times New Roman" w:hAnsi="Times New Roman" w:cs="Times New Roman"/>
          <w:color w:val="auto"/>
          <w:sz w:val="30"/>
          <w:szCs w:val="30"/>
          <w:lang w:val="en-US" w:eastAsia="zh-CN"/>
        </w:rPr>
        <w:t>0</w:t>
      </w:r>
    </w:p>
    <w:p>
      <w:pPr>
        <w:pStyle w:val="30"/>
        <w:tabs>
          <w:tab w:val="right" w:leader="dot" w:pos="8296"/>
        </w:tabs>
        <w:rPr>
          <w:rFonts w:hint="eastAsia" w:ascii="Times New Roman" w:hAnsi="Times New Roman" w:eastAsia="宋体" w:cs="Times New Roman"/>
          <w:b w:val="0"/>
          <w:bCs w:val="0"/>
          <w:caps w:val="0"/>
          <w:color w:val="auto"/>
          <w:sz w:val="30"/>
          <w:szCs w:val="30"/>
          <w:lang w:eastAsia="zh-CN"/>
        </w:rPr>
      </w:pPr>
      <w:r>
        <w:rPr>
          <w:color w:val="auto"/>
        </w:rPr>
        <w:fldChar w:fldCharType="begin"/>
      </w:r>
      <w:r>
        <w:rPr>
          <w:color w:val="auto"/>
        </w:rPr>
        <w:instrText xml:space="preserve"> HYPERLINK \l "_Toc513627178" </w:instrText>
      </w:r>
      <w:r>
        <w:rPr>
          <w:color w:val="auto"/>
        </w:rPr>
        <w:fldChar w:fldCharType="separate"/>
      </w:r>
      <w:r>
        <w:rPr>
          <w:rStyle w:val="54"/>
          <w:rFonts w:ascii="Times New Roman" w:hAnsi="Times New Roman" w:cs="Times New Roman"/>
          <w:color w:val="auto"/>
          <w:spacing w:val="2"/>
          <w:sz w:val="30"/>
          <w:szCs w:val="30"/>
        </w:rPr>
        <w:t>表五、建设项目工程分析</w:t>
      </w:r>
      <w:r>
        <w:rPr>
          <w:rFonts w:ascii="Times New Roman" w:hAnsi="Times New Roman" w:cs="Times New Roman"/>
          <w:color w:val="auto"/>
          <w:sz w:val="30"/>
          <w:szCs w:val="30"/>
        </w:rPr>
        <w:tab/>
      </w:r>
      <w:r>
        <w:rPr>
          <w:rFonts w:hint="eastAsia" w:ascii="Times New Roman" w:hAnsi="Times New Roman" w:cs="Times New Roman"/>
          <w:color w:val="auto"/>
          <w:sz w:val="30"/>
          <w:szCs w:val="30"/>
        </w:rPr>
        <w:t>2</w:t>
      </w:r>
      <w:r>
        <w:rPr>
          <w:rFonts w:hint="eastAsia" w:ascii="Times New Roman" w:hAnsi="Times New Roman" w:cs="Times New Roman"/>
          <w:color w:val="auto"/>
          <w:sz w:val="30"/>
          <w:szCs w:val="30"/>
        </w:rPr>
        <w:fldChar w:fldCharType="end"/>
      </w:r>
      <w:r>
        <w:rPr>
          <w:rFonts w:hint="eastAsia" w:ascii="Times New Roman" w:hAnsi="Times New Roman" w:cs="Times New Roman"/>
          <w:color w:val="auto"/>
          <w:sz w:val="30"/>
          <w:szCs w:val="30"/>
          <w:lang w:val="en-US" w:eastAsia="zh-CN"/>
        </w:rPr>
        <w:t>6</w:t>
      </w:r>
    </w:p>
    <w:p>
      <w:pPr>
        <w:pStyle w:val="30"/>
        <w:tabs>
          <w:tab w:val="right" w:leader="dot" w:pos="8296"/>
        </w:tabs>
        <w:rPr>
          <w:rFonts w:ascii="Times New Roman" w:hAnsi="Times New Roman" w:cs="Times New Roman"/>
          <w:b w:val="0"/>
          <w:bCs w:val="0"/>
          <w:caps w:val="0"/>
          <w:color w:val="auto"/>
          <w:sz w:val="30"/>
          <w:szCs w:val="30"/>
        </w:rPr>
      </w:pPr>
      <w:r>
        <w:rPr>
          <w:color w:val="auto"/>
        </w:rPr>
        <w:fldChar w:fldCharType="begin"/>
      </w:r>
      <w:r>
        <w:rPr>
          <w:color w:val="auto"/>
        </w:rPr>
        <w:instrText xml:space="preserve"> HYPERLINK \l "_Toc513627179" </w:instrText>
      </w:r>
      <w:r>
        <w:rPr>
          <w:color w:val="auto"/>
        </w:rPr>
        <w:fldChar w:fldCharType="separate"/>
      </w:r>
      <w:r>
        <w:rPr>
          <w:rStyle w:val="54"/>
          <w:rFonts w:ascii="Times New Roman" w:hAnsi="Times New Roman" w:cs="Times New Roman"/>
          <w:color w:val="auto"/>
          <w:spacing w:val="2"/>
          <w:sz w:val="30"/>
          <w:szCs w:val="30"/>
        </w:rPr>
        <w:t>表六、项目主要污染物产生及预计排放情况</w:t>
      </w:r>
      <w:r>
        <w:rPr>
          <w:rFonts w:ascii="Times New Roman" w:hAnsi="Times New Roman" w:cs="Times New Roman"/>
          <w:color w:val="auto"/>
          <w:sz w:val="30"/>
          <w:szCs w:val="30"/>
        </w:rPr>
        <w:tab/>
      </w:r>
      <w:r>
        <w:rPr>
          <w:rFonts w:ascii="Times New Roman" w:hAnsi="Times New Roman" w:cs="Times New Roman"/>
          <w:color w:val="auto"/>
          <w:sz w:val="30"/>
          <w:szCs w:val="30"/>
        </w:rPr>
        <w:fldChar w:fldCharType="begin"/>
      </w:r>
      <w:r>
        <w:rPr>
          <w:rFonts w:ascii="Times New Roman" w:hAnsi="Times New Roman" w:cs="Times New Roman"/>
          <w:color w:val="auto"/>
          <w:sz w:val="30"/>
          <w:szCs w:val="30"/>
        </w:rPr>
        <w:instrText xml:space="preserve"> PAGEREF _Toc513627179 \h </w:instrText>
      </w:r>
      <w:r>
        <w:rPr>
          <w:rFonts w:ascii="Times New Roman" w:hAnsi="Times New Roman" w:cs="Times New Roman"/>
          <w:color w:val="auto"/>
          <w:sz w:val="30"/>
          <w:szCs w:val="30"/>
        </w:rPr>
        <w:fldChar w:fldCharType="separate"/>
      </w:r>
      <w:r>
        <w:rPr>
          <w:rFonts w:hint="eastAsia" w:ascii="Times New Roman" w:hAnsi="Times New Roman" w:cs="Times New Roman"/>
          <w:color w:val="auto"/>
          <w:sz w:val="30"/>
          <w:szCs w:val="30"/>
          <w:lang w:val="en-US" w:eastAsia="zh-CN"/>
        </w:rPr>
        <w:t>46</w:t>
      </w:r>
      <w:r>
        <w:rPr>
          <w:rFonts w:ascii="Times New Roman" w:hAnsi="Times New Roman" w:cs="Times New Roman"/>
          <w:color w:val="auto"/>
          <w:sz w:val="30"/>
          <w:szCs w:val="30"/>
        </w:rPr>
        <w:fldChar w:fldCharType="end"/>
      </w:r>
      <w:r>
        <w:rPr>
          <w:rFonts w:ascii="Times New Roman" w:hAnsi="Times New Roman" w:cs="Times New Roman"/>
          <w:color w:val="auto"/>
          <w:sz w:val="30"/>
          <w:szCs w:val="30"/>
        </w:rPr>
        <w:fldChar w:fldCharType="end"/>
      </w:r>
    </w:p>
    <w:p>
      <w:pPr>
        <w:pStyle w:val="30"/>
        <w:tabs>
          <w:tab w:val="right" w:leader="dot" w:pos="8296"/>
        </w:tabs>
        <w:rPr>
          <w:rFonts w:ascii="Times New Roman" w:hAnsi="Times New Roman" w:cs="Times New Roman"/>
          <w:b w:val="0"/>
          <w:bCs w:val="0"/>
          <w:caps w:val="0"/>
          <w:color w:val="auto"/>
          <w:sz w:val="30"/>
          <w:szCs w:val="30"/>
        </w:rPr>
      </w:pPr>
      <w:r>
        <w:rPr>
          <w:color w:val="auto"/>
        </w:rPr>
        <w:fldChar w:fldCharType="begin"/>
      </w:r>
      <w:r>
        <w:rPr>
          <w:color w:val="auto"/>
        </w:rPr>
        <w:instrText xml:space="preserve"> HYPERLINK \l "_Toc513627180" </w:instrText>
      </w:r>
      <w:r>
        <w:rPr>
          <w:color w:val="auto"/>
        </w:rPr>
        <w:fldChar w:fldCharType="separate"/>
      </w:r>
      <w:r>
        <w:rPr>
          <w:rStyle w:val="54"/>
          <w:rFonts w:ascii="Times New Roman" w:hAnsi="Times New Roman" w:cs="Times New Roman"/>
          <w:color w:val="auto"/>
          <w:spacing w:val="2"/>
          <w:sz w:val="30"/>
          <w:szCs w:val="30"/>
        </w:rPr>
        <w:t>表七、环境影响分析</w:t>
      </w:r>
      <w:r>
        <w:rPr>
          <w:rFonts w:ascii="Times New Roman" w:hAnsi="Times New Roman" w:cs="Times New Roman"/>
          <w:color w:val="auto"/>
          <w:sz w:val="30"/>
          <w:szCs w:val="30"/>
        </w:rPr>
        <w:tab/>
      </w:r>
      <w:r>
        <w:rPr>
          <w:rFonts w:hint="eastAsia" w:ascii="Times New Roman" w:hAnsi="Times New Roman" w:cs="Times New Roman"/>
          <w:color w:val="auto"/>
          <w:sz w:val="30"/>
          <w:szCs w:val="30"/>
        </w:rPr>
        <w:t>4</w:t>
      </w:r>
      <w:r>
        <w:rPr>
          <w:rFonts w:hint="eastAsia" w:ascii="Times New Roman" w:hAnsi="Times New Roman" w:cs="Times New Roman"/>
          <w:color w:val="auto"/>
          <w:sz w:val="30"/>
          <w:szCs w:val="30"/>
        </w:rPr>
        <w:fldChar w:fldCharType="end"/>
      </w:r>
      <w:r>
        <w:rPr>
          <w:rFonts w:hint="eastAsia" w:ascii="Times New Roman" w:hAnsi="Times New Roman" w:cs="Times New Roman"/>
          <w:color w:val="auto"/>
          <w:sz w:val="30"/>
          <w:szCs w:val="30"/>
          <w:lang w:val="en-US" w:eastAsia="zh-CN"/>
        </w:rPr>
        <w:t>8</w:t>
      </w:r>
    </w:p>
    <w:p>
      <w:pPr>
        <w:pStyle w:val="30"/>
        <w:tabs>
          <w:tab w:val="right" w:leader="dot" w:pos="8296"/>
        </w:tabs>
        <w:rPr>
          <w:rFonts w:ascii="Times New Roman" w:hAnsi="Times New Roman" w:cs="Times New Roman"/>
          <w:b w:val="0"/>
          <w:bCs w:val="0"/>
          <w:caps w:val="0"/>
          <w:color w:val="auto"/>
          <w:sz w:val="30"/>
          <w:szCs w:val="30"/>
        </w:rPr>
      </w:pPr>
      <w:r>
        <w:rPr>
          <w:color w:val="auto"/>
        </w:rPr>
        <w:fldChar w:fldCharType="begin"/>
      </w:r>
      <w:r>
        <w:rPr>
          <w:color w:val="auto"/>
        </w:rPr>
        <w:instrText xml:space="preserve"> HYPERLINK \l "_Toc513627205" </w:instrText>
      </w:r>
      <w:r>
        <w:rPr>
          <w:color w:val="auto"/>
        </w:rPr>
        <w:fldChar w:fldCharType="separate"/>
      </w:r>
      <w:r>
        <w:rPr>
          <w:rStyle w:val="54"/>
          <w:rFonts w:ascii="Times New Roman" w:hAnsi="Times New Roman" w:cs="Times New Roman"/>
          <w:color w:val="auto"/>
          <w:spacing w:val="2"/>
          <w:sz w:val="30"/>
          <w:szCs w:val="30"/>
        </w:rPr>
        <w:t>表八、建设项目拟采取的防治措施及预期治理效果</w:t>
      </w:r>
      <w:r>
        <w:rPr>
          <w:rFonts w:ascii="Times New Roman" w:hAnsi="Times New Roman" w:cs="Times New Roman"/>
          <w:color w:val="auto"/>
          <w:sz w:val="30"/>
          <w:szCs w:val="30"/>
        </w:rPr>
        <w:tab/>
      </w:r>
      <w:r>
        <w:rPr>
          <w:rFonts w:hint="eastAsia" w:ascii="Times New Roman" w:hAnsi="Times New Roman" w:cs="Times New Roman"/>
          <w:color w:val="auto"/>
          <w:sz w:val="30"/>
          <w:szCs w:val="30"/>
        </w:rPr>
        <w:fldChar w:fldCharType="end"/>
      </w:r>
      <w:r>
        <w:rPr>
          <w:rFonts w:hint="eastAsia" w:ascii="Times New Roman" w:hAnsi="Times New Roman" w:cs="Times New Roman"/>
          <w:color w:val="auto"/>
          <w:sz w:val="30"/>
          <w:szCs w:val="30"/>
          <w:lang w:val="en-US" w:eastAsia="zh-CN"/>
        </w:rPr>
        <w:t>74</w:t>
      </w:r>
    </w:p>
    <w:p>
      <w:pPr>
        <w:pStyle w:val="30"/>
        <w:tabs>
          <w:tab w:val="right" w:leader="dot" w:pos="8296"/>
        </w:tabs>
        <w:rPr>
          <w:rFonts w:ascii="Times New Roman" w:hAnsi="Times New Roman" w:cs="Times New Roman"/>
          <w:b w:val="0"/>
          <w:bCs w:val="0"/>
          <w:caps w:val="0"/>
          <w:color w:val="auto"/>
          <w:sz w:val="30"/>
          <w:szCs w:val="30"/>
        </w:rPr>
      </w:pPr>
      <w:r>
        <w:rPr>
          <w:color w:val="auto"/>
        </w:rPr>
        <w:fldChar w:fldCharType="begin"/>
      </w:r>
      <w:r>
        <w:rPr>
          <w:color w:val="auto"/>
        </w:rPr>
        <w:instrText xml:space="preserve"> HYPERLINK \l "_Toc513627206" </w:instrText>
      </w:r>
      <w:r>
        <w:rPr>
          <w:color w:val="auto"/>
        </w:rPr>
        <w:fldChar w:fldCharType="separate"/>
      </w:r>
      <w:r>
        <w:rPr>
          <w:rStyle w:val="54"/>
          <w:rFonts w:ascii="Times New Roman" w:hAnsi="Times New Roman" w:cs="Times New Roman"/>
          <w:color w:val="auto"/>
          <w:spacing w:val="2"/>
          <w:sz w:val="30"/>
          <w:szCs w:val="30"/>
        </w:rPr>
        <w:t>表九、结论与建议</w:t>
      </w:r>
      <w:r>
        <w:rPr>
          <w:rFonts w:ascii="Times New Roman" w:hAnsi="Times New Roman" w:cs="Times New Roman"/>
          <w:color w:val="auto"/>
          <w:sz w:val="30"/>
          <w:szCs w:val="30"/>
        </w:rPr>
        <w:tab/>
      </w:r>
      <w:r>
        <w:rPr>
          <w:rFonts w:hint="eastAsia" w:ascii="Times New Roman" w:hAnsi="Times New Roman" w:cs="Times New Roman"/>
          <w:color w:val="auto"/>
          <w:sz w:val="30"/>
          <w:szCs w:val="30"/>
        </w:rPr>
        <w:fldChar w:fldCharType="end"/>
      </w:r>
      <w:r>
        <w:rPr>
          <w:rFonts w:hint="eastAsia" w:ascii="Times New Roman" w:hAnsi="Times New Roman" w:cs="Times New Roman"/>
          <w:color w:val="auto"/>
          <w:sz w:val="30"/>
          <w:szCs w:val="30"/>
          <w:lang w:val="en-US" w:eastAsia="zh-CN"/>
        </w:rPr>
        <w:t>78</w:t>
      </w:r>
    </w:p>
    <w:p>
      <w:pPr>
        <w:spacing w:line="360" w:lineRule="auto"/>
        <w:rPr>
          <w:rFonts w:ascii="Times New Roman" w:hAnsi="Times New Roman"/>
          <w:color w:val="auto"/>
          <w:sz w:val="30"/>
          <w:szCs w:val="30"/>
        </w:rPr>
      </w:pPr>
      <w:r>
        <w:rPr>
          <w:rFonts w:ascii="Times New Roman" w:hAnsi="Times New Roman"/>
          <w:color w:val="auto"/>
          <w:sz w:val="30"/>
          <w:szCs w:val="30"/>
        </w:rPr>
        <w:fldChar w:fldCharType="end"/>
      </w:r>
    </w:p>
    <w:p>
      <w:pPr>
        <w:pStyle w:val="2"/>
        <w:tabs>
          <w:tab w:val="left" w:pos="3060"/>
        </w:tabs>
        <w:rPr>
          <w:rFonts w:ascii="Times New Roman" w:hAnsi="Times New Roman"/>
          <w:color w:val="auto"/>
        </w:rPr>
      </w:pPr>
      <w:r>
        <w:rPr>
          <w:rFonts w:hint="eastAsia" w:ascii="Times New Roman" w:hAnsi="Times New Roman"/>
          <w:color w:val="auto"/>
        </w:rPr>
        <w:tab/>
      </w:r>
    </w:p>
    <w:p>
      <w:pPr>
        <w:pageBreakBefore/>
        <w:spacing w:line="360" w:lineRule="auto"/>
        <w:rPr>
          <w:rFonts w:hint="eastAsia" w:ascii="Times New Roman" w:hAnsi="Times New Roman"/>
          <w:b/>
          <w:color w:val="auto"/>
          <w:sz w:val="28"/>
          <w:szCs w:val="28"/>
          <w:lang w:eastAsia="zh-CN"/>
        </w:rPr>
      </w:pPr>
      <w:r>
        <w:rPr>
          <w:rFonts w:hint="eastAsia" w:ascii="Times New Roman" w:hAnsi="Times New Roman"/>
          <w:b/>
          <w:color w:val="auto"/>
          <w:sz w:val="28"/>
          <w:szCs w:val="28"/>
          <w:lang w:eastAsia="zh-CN"/>
        </w:rPr>
        <w:t>附表：</w:t>
      </w:r>
    </w:p>
    <w:p>
      <w:pPr>
        <w:pStyle w:val="2"/>
        <w:ind w:firstLine="480" w:firstLineChars="200"/>
        <w:rPr>
          <w:rFonts w:ascii="Times New Roman" w:hAnsi="Times New Roman"/>
          <w:color w:val="auto"/>
          <w:sz w:val="24"/>
        </w:rPr>
      </w:pPr>
      <w:r>
        <w:rPr>
          <w:rFonts w:ascii="Times New Roman" w:hAnsi="Times New Roman"/>
          <w:color w:val="auto"/>
          <w:sz w:val="24"/>
        </w:rPr>
        <w:t>附</w:t>
      </w:r>
      <w:r>
        <w:rPr>
          <w:rFonts w:hint="eastAsia" w:ascii="Times New Roman" w:hAnsi="Times New Roman"/>
          <w:color w:val="auto"/>
          <w:sz w:val="24"/>
          <w:lang w:eastAsia="zh-CN"/>
        </w:rPr>
        <w:t>表</w:t>
      </w:r>
      <w:r>
        <w:rPr>
          <w:rFonts w:ascii="Times New Roman" w:hAnsi="Times New Roman"/>
          <w:color w:val="auto"/>
          <w:sz w:val="24"/>
        </w:rPr>
        <w:t xml:space="preserve">1 </w:t>
      </w:r>
      <w:r>
        <w:rPr>
          <w:rFonts w:hint="eastAsia" w:ascii="Times New Roman" w:hAnsi="Times New Roman"/>
          <w:bCs/>
          <w:color w:val="auto"/>
          <w:sz w:val="24"/>
          <w:szCs w:val="24"/>
        </w:rPr>
        <w:t>大气环境影响评价自查表</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eastAsia="宋体"/>
          <w:color w:val="auto"/>
          <w:sz w:val="24"/>
          <w:szCs w:val="24"/>
          <w:lang w:val="en-US" w:eastAsia="zh-CN"/>
        </w:rPr>
      </w:pPr>
      <w:r>
        <w:rPr>
          <w:rFonts w:hint="eastAsia"/>
          <w:color w:val="auto"/>
          <w:sz w:val="24"/>
          <w:szCs w:val="24"/>
          <w:lang w:val="en-US" w:eastAsia="zh-CN"/>
        </w:rPr>
        <w:t>附表</w:t>
      </w:r>
      <w:r>
        <w:rPr>
          <w:rFonts w:hint="default"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lang w:val="en-US" w:eastAsia="zh-CN"/>
        </w:rPr>
        <w:t xml:space="preserve"> </w:t>
      </w:r>
      <w:r>
        <w:rPr>
          <w:rFonts w:hint="eastAsia" w:ascii="Times New Roman" w:hAnsi="Times New Roman"/>
          <w:bCs/>
          <w:color w:val="auto"/>
          <w:sz w:val="24"/>
          <w:szCs w:val="24"/>
        </w:rPr>
        <w:t>地表水环境影响自查表</w:t>
      </w:r>
    </w:p>
    <w:p>
      <w:pPr>
        <w:spacing w:line="360" w:lineRule="auto"/>
        <w:ind w:firstLine="480" w:firstLineChars="200"/>
        <w:rPr>
          <w:rFonts w:hint="eastAsia" w:ascii="Times New Roman" w:hAnsi="Times New Roman"/>
          <w:bCs/>
          <w:color w:val="auto"/>
          <w:sz w:val="24"/>
          <w:szCs w:val="24"/>
        </w:rPr>
      </w:pPr>
      <w:r>
        <w:rPr>
          <w:rFonts w:ascii="Times New Roman" w:hAnsi="Times New Roman"/>
          <w:color w:val="auto"/>
          <w:sz w:val="24"/>
        </w:rPr>
        <w:t>附</w:t>
      </w:r>
      <w:r>
        <w:rPr>
          <w:rFonts w:hint="eastAsia" w:ascii="Times New Roman" w:hAnsi="Times New Roman"/>
          <w:color w:val="auto"/>
          <w:sz w:val="24"/>
          <w:lang w:eastAsia="zh-CN"/>
        </w:rPr>
        <w:t>表</w:t>
      </w:r>
      <w:r>
        <w:rPr>
          <w:rFonts w:hint="eastAsia" w:ascii="Times New Roman" w:hAnsi="Times New Roman"/>
          <w:color w:val="auto"/>
          <w:sz w:val="24"/>
          <w:lang w:val="en-US" w:eastAsia="zh-CN"/>
        </w:rPr>
        <w:t>3</w:t>
      </w:r>
      <w:r>
        <w:rPr>
          <w:rFonts w:ascii="Times New Roman" w:hAnsi="Times New Roman"/>
          <w:color w:val="auto"/>
          <w:sz w:val="24"/>
        </w:rPr>
        <w:t xml:space="preserve"> </w:t>
      </w:r>
      <w:r>
        <w:rPr>
          <w:rFonts w:hint="eastAsia" w:ascii="Times New Roman" w:hAnsi="Times New Roman"/>
          <w:bCs/>
          <w:color w:val="auto"/>
          <w:sz w:val="24"/>
          <w:szCs w:val="24"/>
        </w:rPr>
        <w:t>环境风险评价自查表</w:t>
      </w:r>
    </w:p>
    <w:p>
      <w:pPr>
        <w:spacing w:line="360" w:lineRule="auto"/>
        <w:ind w:firstLine="480" w:firstLineChars="200"/>
        <w:rPr>
          <w:rFonts w:ascii="Times New Roman" w:hAnsi="Times New Roman"/>
          <w:color w:val="auto"/>
          <w:sz w:val="24"/>
        </w:rPr>
      </w:pPr>
      <w:r>
        <w:rPr>
          <w:rFonts w:ascii="Times New Roman" w:hAnsi="Times New Roman"/>
          <w:color w:val="auto"/>
          <w:sz w:val="24"/>
        </w:rPr>
        <w:t>附</w:t>
      </w:r>
      <w:r>
        <w:rPr>
          <w:rFonts w:hint="eastAsia" w:ascii="Times New Roman" w:hAnsi="Times New Roman"/>
          <w:color w:val="auto"/>
          <w:sz w:val="24"/>
          <w:lang w:eastAsia="zh-CN"/>
        </w:rPr>
        <w:t>表</w:t>
      </w:r>
      <w:r>
        <w:rPr>
          <w:rFonts w:hint="eastAsia" w:ascii="Times New Roman" w:hAnsi="Times New Roman"/>
          <w:color w:val="auto"/>
          <w:sz w:val="24"/>
          <w:lang w:val="en-US" w:eastAsia="zh-CN"/>
        </w:rPr>
        <w:t>4</w:t>
      </w:r>
      <w:r>
        <w:rPr>
          <w:rFonts w:ascii="Times New Roman" w:hAnsi="Times New Roman"/>
          <w:color w:val="auto"/>
          <w:sz w:val="24"/>
        </w:rPr>
        <w:t xml:space="preserve"> 基础信息表</w:t>
      </w:r>
    </w:p>
    <w:p>
      <w:pPr>
        <w:spacing w:line="360" w:lineRule="auto"/>
        <w:rPr>
          <w:rFonts w:hint="eastAsia" w:ascii="Times New Roman" w:hAnsi="Times New Roman"/>
          <w:b/>
          <w:color w:val="auto"/>
          <w:sz w:val="28"/>
          <w:szCs w:val="28"/>
          <w:lang w:eastAsia="zh-CN"/>
        </w:rPr>
      </w:pPr>
      <w:r>
        <w:rPr>
          <w:rFonts w:hint="eastAsia" w:ascii="Times New Roman" w:hAnsi="Times New Roman"/>
          <w:b/>
          <w:color w:val="auto"/>
          <w:sz w:val="28"/>
          <w:szCs w:val="28"/>
          <w:lang w:eastAsia="zh-CN"/>
        </w:rPr>
        <w:t>附件：</w:t>
      </w:r>
    </w:p>
    <w:p>
      <w:pPr>
        <w:spacing w:line="360" w:lineRule="auto"/>
        <w:ind w:firstLine="480" w:firstLineChars="200"/>
        <w:rPr>
          <w:color w:val="auto"/>
        </w:rPr>
      </w:pPr>
      <w:r>
        <w:rPr>
          <w:rFonts w:hint="eastAsia" w:ascii="Times New Roman" w:hAnsi="Times New Roman"/>
          <w:color w:val="auto"/>
          <w:sz w:val="24"/>
        </w:rPr>
        <w:t>附件</w:t>
      </w:r>
      <w:r>
        <w:rPr>
          <w:rFonts w:hint="eastAsia" w:ascii="Times New Roman" w:hAnsi="Times New Roman"/>
          <w:color w:val="auto"/>
          <w:sz w:val="24"/>
          <w:lang w:val="en-US" w:eastAsia="zh-CN"/>
        </w:rPr>
        <w:t>1</w:t>
      </w:r>
      <w:r>
        <w:rPr>
          <w:rFonts w:ascii="Times New Roman" w:hAnsi="Times New Roman"/>
          <w:color w:val="auto"/>
          <w:sz w:val="24"/>
        </w:rPr>
        <w:t>委托书</w:t>
      </w:r>
    </w:p>
    <w:p>
      <w:pPr>
        <w:spacing w:line="360" w:lineRule="auto"/>
        <w:ind w:firstLine="480" w:firstLineChars="200"/>
        <w:rPr>
          <w:rFonts w:ascii="Times New Roman" w:hAnsi="Times New Roman"/>
          <w:b/>
          <w:color w:val="auto"/>
          <w:sz w:val="28"/>
          <w:szCs w:val="28"/>
        </w:rPr>
      </w:pPr>
      <w:r>
        <w:rPr>
          <w:rFonts w:hint="eastAsia" w:ascii="Times New Roman" w:hAnsi="Times New Roman"/>
          <w:bCs/>
          <w:color w:val="auto"/>
          <w:sz w:val="24"/>
          <w:szCs w:val="24"/>
        </w:rPr>
        <w:t>附件</w:t>
      </w:r>
      <w:r>
        <w:rPr>
          <w:rFonts w:hint="eastAsia" w:ascii="Times New Roman" w:hAnsi="Times New Roman"/>
          <w:bCs/>
          <w:color w:val="auto"/>
          <w:sz w:val="24"/>
          <w:szCs w:val="24"/>
          <w:lang w:val="en-US" w:eastAsia="zh-CN"/>
        </w:rPr>
        <w:t>2</w:t>
      </w:r>
      <w:r>
        <w:rPr>
          <w:rFonts w:ascii="Times New Roman" w:hAnsi="Times New Roman"/>
          <w:color w:val="auto"/>
          <w:sz w:val="24"/>
        </w:rPr>
        <w:t>投资备案证</w:t>
      </w:r>
    </w:p>
    <w:p>
      <w:pPr>
        <w:spacing w:line="360" w:lineRule="auto"/>
        <w:ind w:firstLine="480" w:firstLineChars="200"/>
        <w:rPr>
          <w:bCs/>
          <w:color w:val="auto"/>
          <w:sz w:val="24"/>
          <w:szCs w:val="24"/>
        </w:rPr>
      </w:pPr>
      <w:r>
        <w:rPr>
          <w:rFonts w:hint="eastAsia" w:ascii="Times New Roman" w:hAnsi="Times New Roman"/>
          <w:bCs/>
          <w:color w:val="auto"/>
          <w:sz w:val="24"/>
          <w:szCs w:val="24"/>
        </w:rPr>
        <w:t>附件</w:t>
      </w:r>
      <w:r>
        <w:rPr>
          <w:rFonts w:hint="eastAsia" w:ascii="Times New Roman" w:hAnsi="Times New Roman"/>
          <w:bCs/>
          <w:color w:val="auto"/>
          <w:sz w:val="24"/>
          <w:szCs w:val="24"/>
          <w:lang w:val="en-US" w:eastAsia="zh-CN"/>
        </w:rPr>
        <w:t>3</w:t>
      </w:r>
      <w:r>
        <w:rPr>
          <w:rFonts w:hint="eastAsia" w:ascii="Times New Roman" w:hAnsi="Times New Roman"/>
          <w:color w:val="auto"/>
          <w:sz w:val="24"/>
        </w:rPr>
        <w:t>现状监测报告</w:t>
      </w:r>
    </w:p>
    <w:p>
      <w:pPr>
        <w:spacing w:line="360" w:lineRule="auto"/>
        <w:ind w:firstLine="480" w:firstLineChars="200"/>
        <w:rPr>
          <w:rFonts w:ascii="Times New Roman" w:hAnsi="Times New Roman"/>
          <w:bCs/>
          <w:color w:val="auto"/>
          <w:sz w:val="24"/>
          <w:szCs w:val="24"/>
        </w:rPr>
      </w:pPr>
      <w:r>
        <w:rPr>
          <w:rFonts w:hint="eastAsia" w:ascii="Times New Roman" w:hAnsi="Times New Roman"/>
          <w:bCs/>
          <w:color w:val="auto"/>
          <w:sz w:val="24"/>
          <w:szCs w:val="24"/>
        </w:rPr>
        <w:t>附件</w:t>
      </w:r>
      <w:r>
        <w:rPr>
          <w:rFonts w:hint="eastAsia" w:ascii="Times New Roman" w:hAnsi="Times New Roman"/>
          <w:bCs/>
          <w:color w:val="auto"/>
          <w:sz w:val="24"/>
          <w:szCs w:val="24"/>
          <w:lang w:val="en-US" w:eastAsia="zh-CN"/>
        </w:rPr>
        <w:t>4</w:t>
      </w:r>
      <w:r>
        <w:rPr>
          <w:rFonts w:hint="eastAsia" w:ascii="Times New Roman" w:hAnsi="Times New Roman"/>
          <w:bCs/>
          <w:color w:val="auto"/>
          <w:sz w:val="24"/>
          <w:szCs w:val="24"/>
        </w:rPr>
        <w:t xml:space="preserve"> </w:t>
      </w:r>
      <w:r>
        <w:rPr>
          <w:rFonts w:hint="eastAsia" w:ascii="Times New Roman" w:hAnsi="Times New Roman"/>
          <w:bCs/>
          <w:color w:val="auto"/>
          <w:sz w:val="24"/>
          <w:szCs w:val="24"/>
          <w:lang w:val="en-US" w:eastAsia="zh-CN"/>
        </w:rPr>
        <w:t>昆倘高速公路环评批复</w:t>
      </w:r>
    </w:p>
    <w:p>
      <w:pPr>
        <w:pStyle w:val="2"/>
        <w:ind w:firstLine="480" w:firstLineChars="200"/>
        <w:rPr>
          <w:rFonts w:hint="eastAsia" w:ascii="Times New Roman" w:hAnsi="Times New Roman"/>
          <w:bCs/>
          <w:color w:val="auto"/>
          <w:sz w:val="24"/>
          <w:szCs w:val="24"/>
          <w:lang w:val="en-US" w:eastAsia="zh-CN"/>
        </w:rPr>
      </w:pPr>
      <w:r>
        <w:rPr>
          <w:rFonts w:hint="eastAsia" w:ascii="Times New Roman" w:hAnsi="Times New Roman"/>
          <w:bCs/>
          <w:color w:val="auto"/>
          <w:sz w:val="24"/>
          <w:szCs w:val="24"/>
        </w:rPr>
        <w:t>附件</w:t>
      </w:r>
      <w:r>
        <w:rPr>
          <w:rFonts w:hint="eastAsia" w:ascii="Times New Roman" w:hAnsi="Times New Roman"/>
          <w:bCs/>
          <w:color w:val="auto"/>
          <w:sz w:val="24"/>
          <w:szCs w:val="24"/>
          <w:lang w:val="en-US" w:eastAsia="zh-CN"/>
        </w:rPr>
        <w:t>5</w:t>
      </w:r>
      <w:r>
        <w:rPr>
          <w:rFonts w:hint="eastAsia" w:ascii="Times New Roman" w:hAnsi="Times New Roman"/>
          <w:bCs/>
          <w:color w:val="auto"/>
          <w:sz w:val="24"/>
          <w:szCs w:val="24"/>
        </w:rPr>
        <w:t xml:space="preserve"> </w:t>
      </w:r>
      <w:r>
        <w:rPr>
          <w:rFonts w:hint="eastAsia" w:ascii="Times New Roman" w:hAnsi="Times New Roman"/>
          <w:bCs/>
          <w:color w:val="auto"/>
          <w:sz w:val="24"/>
          <w:szCs w:val="24"/>
          <w:lang w:val="en-US" w:eastAsia="zh-CN"/>
        </w:rPr>
        <w:t>昆倘高速公路环评关于4标段</w:t>
      </w:r>
    </w:p>
    <w:p>
      <w:pPr>
        <w:pStyle w:val="2"/>
        <w:ind w:firstLine="480" w:firstLineChars="200"/>
        <w:rPr>
          <w:rFonts w:ascii="Times New Roman" w:hAnsi="Times New Roman"/>
          <w:bCs/>
          <w:color w:val="auto"/>
          <w:sz w:val="24"/>
          <w:szCs w:val="24"/>
        </w:rPr>
      </w:pPr>
      <w:r>
        <w:rPr>
          <w:rFonts w:hint="eastAsia" w:ascii="Times New Roman" w:hAnsi="Times New Roman"/>
          <w:bCs/>
          <w:color w:val="auto"/>
          <w:sz w:val="24"/>
          <w:szCs w:val="24"/>
        </w:rPr>
        <w:t>附件</w:t>
      </w:r>
      <w:r>
        <w:rPr>
          <w:rFonts w:hint="eastAsia" w:ascii="Times New Roman" w:hAnsi="Times New Roman"/>
          <w:bCs/>
          <w:color w:val="auto"/>
          <w:sz w:val="24"/>
          <w:szCs w:val="24"/>
          <w:lang w:val="en-US" w:eastAsia="zh-CN"/>
        </w:rPr>
        <w:t>6生态红线查询文件</w:t>
      </w:r>
    </w:p>
    <w:p>
      <w:pPr>
        <w:pStyle w:val="2"/>
        <w:ind w:firstLine="480" w:firstLineChars="200"/>
        <w:rPr>
          <w:rFonts w:hint="eastAsia" w:ascii="Times New Roman" w:hAnsi="Times New Roman"/>
          <w:bCs/>
          <w:color w:val="auto"/>
          <w:sz w:val="24"/>
          <w:szCs w:val="24"/>
          <w:lang w:val="en-US" w:eastAsia="zh-CN"/>
        </w:rPr>
      </w:pPr>
      <w:r>
        <w:rPr>
          <w:rFonts w:hint="eastAsia" w:ascii="Times New Roman" w:hAnsi="Times New Roman"/>
          <w:bCs/>
          <w:color w:val="auto"/>
          <w:sz w:val="24"/>
          <w:szCs w:val="24"/>
          <w:lang w:val="en-US" w:eastAsia="zh-CN"/>
        </w:rPr>
        <w:t>附件7租地协议</w:t>
      </w:r>
    </w:p>
    <w:p>
      <w:pPr>
        <w:pStyle w:val="2"/>
        <w:ind w:firstLine="480" w:firstLineChars="200"/>
        <w:rPr>
          <w:rFonts w:hint="eastAsia" w:ascii="Times New Roman" w:hAnsi="Times New Roman"/>
          <w:bCs/>
          <w:color w:val="auto"/>
          <w:sz w:val="24"/>
          <w:szCs w:val="24"/>
        </w:rPr>
      </w:pPr>
      <w:r>
        <w:rPr>
          <w:rFonts w:hint="eastAsia" w:ascii="Times New Roman" w:hAnsi="Times New Roman"/>
          <w:bCs/>
          <w:color w:val="auto"/>
          <w:sz w:val="24"/>
          <w:szCs w:val="24"/>
        </w:rPr>
        <w:t>附件</w:t>
      </w:r>
      <w:r>
        <w:rPr>
          <w:rFonts w:hint="eastAsia" w:ascii="Times New Roman" w:hAnsi="Times New Roman"/>
          <w:bCs/>
          <w:color w:val="auto"/>
          <w:sz w:val="24"/>
          <w:szCs w:val="24"/>
          <w:lang w:val="en-US" w:eastAsia="zh-CN"/>
        </w:rPr>
        <w:t>8</w:t>
      </w:r>
      <w:r>
        <w:rPr>
          <w:rFonts w:hint="eastAsia" w:ascii="Times New Roman" w:hAnsi="Times New Roman"/>
          <w:bCs/>
          <w:color w:val="auto"/>
          <w:sz w:val="24"/>
          <w:szCs w:val="24"/>
        </w:rPr>
        <w:t xml:space="preserve"> 技术咨询合同</w:t>
      </w:r>
    </w:p>
    <w:p>
      <w:pPr>
        <w:spacing w:line="360" w:lineRule="auto"/>
        <w:ind w:firstLine="480" w:firstLineChars="200"/>
        <w:rPr>
          <w:rFonts w:hint="eastAsia" w:ascii="Times New Roman" w:hAnsi="Times New Roman"/>
          <w:bCs/>
          <w:color w:val="auto"/>
          <w:sz w:val="24"/>
          <w:szCs w:val="24"/>
          <w:lang w:val="en-US" w:eastAsia="zh-CN"/>
        </w:rPr>
      </w:pPr>
      <w:r>
        <w:rPr>
          <w:rFonts w:hint="eastAsia" w:ascii="Times New Roman" w:hAnsi="Times New Roman"/>
          <w:bCs/>
          <w:color w:val="auto"/>
          <w:sz w:val="24"/>
          <w:szCs w:val="24"/>
          <w:lang w:val="en-US" w:eastAsia="zh-CN"/>
        </w:rPr>
        <w:t>附件9</w:t>
      </w:r>
      <w:r>
        <w:rPr>
          <w:rFonts w:hint="eastAsia" w:ascii="Times New Roman" w:hAnsi="Times New Roman"/>
          <w:bCs/>
          <w:color w:val="auto"/>
          <w:sz w:val="24"/>
          <w:szCs w:val="24"/>
        </w:rPr>
        <w:t>工作进度表</w:t>
      </w:r>
    </w:p>
    <w:p>
      <w:pPr>
        <w:pStyle w:val="2"/>
        <w:ind w:firstLine="480" w:firstLineChars="200"/>
        <w:rPr>
          <w:rFonts w:hint="eastAsia" w:ascii="Times New Roman" w:hAnsi="Times New Roman"/>
          <w:bCs/>
          <w:color w:val="auto"/>
          <w:sz w:val="24"/>
          <w:szCs w:val="24"/>
        </w:rPr>
      </w:pPr>
      <w:r>
        <w:rPr>
          <w:rFonts w:hint="eastAsia" w:ascii="Times New Roman" w:hAnsi="Times New Roman"/>
          <w:bCs/>
          <w:color w:val="auto"/>
          <w:sz w:val="24"/>
          <w:szCs w:val="24"/>
          <w:lang w:val="en-US" w:eastAsia="zh-CN"/>
        </w:rPr>
        <w:t xml:space="preserve">附件10 </w:t>
      </w:r>
      <w:r>
        <w:rPr>
          <w:rFonts w:hint="eastAsia" w:ascii="Times New Roman" w:hAnsi="Times New Roman"/>
          <w:bCs/>
          <w:color w:val="auto"/>
          <w:sz w:val="24"/>
          <w:szCs w:val="24"/>
        </w:rPr>
        <w:t>两级审核表</w:t>
      </w:r>
    </w:p>
    <w:p>
      <w:pPr>
        <w:pStyle w:val="2"/>
        <w:ind w:firstLine="480" w:firstLineChars="200"/>
        <w:rPr>
          <w:rFonts w:hint="default" w:ascii="Times New Roman" w:hAnsi="Times New Roman" w:eastAsia="宋体"/>
          <w:bCs/>
          <w:color w:val="auto"/>
          <w:sz w:val="24"/>
          <w:szCs w:val="24"/>
          <w:lang w:val="en-US" w:eastAsia="zh-CN"/>
        </w:rPr>
      </w:pPr>
      <w:r>
        <w:rPr>
          <w:rFonts w:hint="eastAsia" w:ascii="Times New Roman" w:hAnsi="Times New Roman"/>
          <w:bCs/>
          <w:color w:val="auto"/>
          <w:sz w:val="24"/>
          <w:szCs w:val="24"/>
          <w:lang w:val="en-US" w:eastAsia="zh-CN"/>
        </w:rPr>
        <w:t>附件11修改对照表</w:t>
      </w:r>
    </w:p>
    <w:p>
      <w:pPr>
        <w:spacing w:line="360" w:lineRule="auto"/>
        <w:rPr>
          <w:rFonts w:ascii="Times New Roman" w:hAnsi="Times New Roman"/>
          <w:b/>
          <w:color w:val="auto"/>
          <w:sz w:val="28"/>
          <w:szCs w:val="28"/>
        </w:rPr>
      </w:pPr>
      <w:r>
        <w:rPr>
          <w:rFonts w:ascii="Times New Roman" w:hAnsi="Times New Roman"/>
          <w:b/>
          <w:color w:val="auto"/>
          <w:sz w:val="28"/>
          <w:szCs w:val="28"/>
        </w:rPr>
        <w:t>附图：</w:t>
      </w:r>
    </w:p>
    <w:p>
      <w:pPr>
        <w:spacing w:line="360" w:lineRule="auto"/>
        <w:ind w:firstLine="480" w:firstLineChars="200"/>
        <w:rPr>
          <w:rFonts w:ascii="Times New Roman" w:hAnsi="Times New Roman"/>
          <w:color w:val="auto"/>
          <w:sz w:val="24"/>
        </w:rPr>
      </w:pPr>
      <w:r>
        <w:rPr>
          <w:rFonts w:ascii="Times New Roman" w:hAnsi="Times New Roman"/>
          <w:color w:val="auto"/>
          <w:sz w:val="24"/>
        </w:rPr>
        <w:t>附图1 项目总平面布置图</w:t>
      </w:r>
    </w:p>
    <w:p>
      <w:pPr>
        <w:spacing w:line="360" w:lineRule="auto"/>
        <w:ind w:firstLine="480" w:firstLineChars="200"/>
        <w:rPr>
          <w:rFonts w:ascii="Times New Roman" w:hAnsi="Times New Roman"/>
          <w:color w:val="auto"/>
          <w:sz w:val="24"/>
        </w:rPr>
      </w:pPr>
      <w:r>
        <w:rPr>
          <w:rFonts w:ascii="Times New Roman" w:hAnsi="Times New Roman"/>
          <w:color w:val="auto"/>
          <w:sz w:val="24"/>
        </w:rPr>
        <w:t>附图2 项目地理位置图</w:t>
      </w:r>
    </w:p>
    <w:p>
      <w:pPr>
        <w:pStyle w:val="2"/>
        <w:ind w:firstLine="480" w:firstLineChars="200"/>
        <w:rPr>
          <w:rFonts w:ascii="Times New Roman" w:hAnsi="Times New Roman"/>
          <w:color w:val="auto"/>
          <w:sz w:val="24"/>
        </w:rPr>
      </w:pPr>
      <w:r>
        <w:rPr>
          <w:rFonts w:ascii="Times New Roman" w:hAnsi="Times New Roman"/>
          <w:color w:val="auto"/>
          <w:sz w:val="24"/>
        </w:rPr>
        <w:t>附图3 项目区域水系情况图</w:t>
      </w:r>
    </w:p>
    <w:p>
      <w:pPr>
        <w:pStyle w:val="2"/>
        <w:ind w:firstLine="480" w:firstLineChars="200"/>
        <w:rPr>
          <w:rFonts w:ascii="Times New Roman" w:hAnsi="Times New Roman"/>
          <w:color w:val="auto"/>
          <w:sz w:val="24"/>
        </w:rPr>
      </w:pPr>
      <w:r>
        <w:rPr>
          <w:rFonts w:hint="eastAsia" w:ascii="Times New Roman" w:hAnsi="Times New Roman"/>
          <w:color w:val="auto"/>
          <w:sz w:val="24"/>
        </w:rPr>
        <w:t>附图4 项目周边环境示意图</w:t>
      </w:r>
    </w:p>
    <w:p>
      <w:pPr>
        <w:rPr>
          <w:rFonts w:ascii="Times New Roman" w:hAnsi="Times New Roman"/>
          <w:b/>
          <w:bCs/>
          <w:color w:val="auto"/>
          <w:lang w:val="zh-CN"/>
        </w:rPr>
      </w:pPr>
    </w:p>
    <w:p>
      <w:pPr>
        <w:rPr>
          <w:rFonts w:ascii="Times New Roman" w:hAnsi="Times New Roman"/>
          <w:b/>
          <w:bCs/>
          <w:color w:val="auto"/>
          <w:lang w:val="zh-CN"/>
        </w:rPr>
        <w:sectPr>
          <w:headerReference r:id="rId3" w:type="default"/>
          <w:footerReference r:id="rId4" w:type="default"/>
          <w:footerReference r:id="rId5" w:type="even"/>
          <w:type w:val="continuous"/>
          <w:pgSz w:w="11906" w:h="16838"/>
          <w:pgMar w:top="1440" w:right="1800" w:bottom="1440" w:left="1800" w:header="851" w:footer="992" w:gutter="0"/>
          <w:cols w:space="720" w:num="1"/>
          <w:docGrid w:type="lines" w:linePitch="312" w:charSpace="0"/>
        </w:sectPr>
      </w:pPr>
    </w:p>
    <w:p>
      <w:pPr>
        <w:tabs>
          <w:tab w:val="left" w:pos="2969"/>
        </w:tabs>
        <w:spacing w:line="360" w:lineRule="auto"/>
        <w:outlineLvl w:val="0"/>
        <w:rPr>
          <w:rFonts w:ascii="Times New Roman" w:hAnsi="Times New Roman"/>
          <w:b/>
          <w:color w:val="auto"/>
          <w:sz w:val="30"/>
        </w:rPr>
      </w:pPr>
      <w:bookmarkStart w:id="0" w:name="_Toc513627174"/>
      <w:r>
        <w:rPr>
          <w:rFonts w:ascii="Times New Roman" w:hAnsi="Times New Roman"/>
          <w:b/>
          <w:color w:val="auto"/>
          <w:sz w:val="30"/>
        </w:rPr>
        <w:t>表一、建设项目基本情况</w:t>
      </w:r>
      <w:bookmarkEnd w:id="0"/>
    </w:p>
    <w:tbl>
      <w:tblPr>
        <w:tblStyle w:val="43"/>
        <w:tblW w:w="846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614"/>
        <w:gridCol w:w="617"/>
        <w:gridCol w:w="677"/>
        <w:gridCol w:w="174"/>
        <w:gridCol w:w="221"/>
        <w:gridCol w:w="1471"/>
        <w:gridCol w:w="34"/>
        <w:gridCol w:w="1027"/>
        <w:gridCol w:w="134"/>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207" w:type="dxa"/>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项目名称</w:t>
            </w:r>
          </w:p>
        </w:tc>
        <w:tc>
          <w:tcPr>
            <w:tcW w:w="7262" w:type="dxa"/>
            <w:gridSpan w:val="10"/>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rPr>
              <w:t>昆倘高速公路4标段附属建设项目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207" w:type="dxa"/>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szCs w:val="24"/>
              </w:rPr>
              <w:t>建设单位</w:t>
            </w:r>
          </w:p>
        </w:tc>
        <w:tc>
          <w:tcPr>
            <w:tcW w:w="7262" w:type="dxa"/>
            <w:gridSpan w:val="10"/>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rPr>
              <w:t>中铁五局集团有限公司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07" w:type="dxa"/>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szCs w:val="24"/>
              </w:rPr>
              <w:t>法人代表</w:t>
            </w:r>
          </w:p>
        </w:tc>
        <w:tc>
          <w:tcPr>
            <w:tcW w:w="2908" w:type="dxa"/>
            <w:gridSpan w:val="3"/>
            <w:vAlign w:val="center"/>
          </w:tcPr>
          <w:p>
            <w:pPr>
              <w:adjustRightInd w:val="0"/>
              <w:snapToGrid w:val="0"/>
              <w:spacing w:line="360" w:lineRule="auto"/>
              <w:jc w:val="center"/>
              <w:rPr>
                <w:rFonts w:ascii="Times New Roman" w:hAnsi="Times New Roman"/>
                <w:color w:val="auto"/>
                <w:sz w:val="24"/>
                <w:szCs w:val="24"/>
              </w:rPr>
            </w:pPr>
            <w:r>
              <w:rPr>
                <w:rFonts w:hint="eastAsia" w:ascii="Times New Roman" w:hAnsi="Times New Roman"/>
                <w:color w:val="auto"/>
                <w:sz w:val="24"/>
                <w:szCs w:val="24"/>
              </w:rPr>
              <w:t>徐中义</w:t>
            </w:r>
          </w:p>
        </w:tc>
        <w:tc>
          <w:tcPr>
            <w:tcW w:w="1900" w:type="dxa"/>
            <w:gridSpan w:val="4"/>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szCs w:val="24"/>
              </w:rPr>
              <w:t>联系人</w:t>
            </w:r>
          </w:p>
        </w:tc>
        <w:tc>
          <w:tcPr>
            <w:tcW w:w="2454" w:type="dxa"/>
            <w:gridSpan w:val="3"/>
            <w:vAlign w:val="center"/>
          </w:tcPr>
          <w:p>
            <w:pPr>
              <w:jc w:val="center"/>
              <w:rPr>
                <w:rFonts w:ascii="Times New Roman" w:hAnsi="Times New Roman"/>
                <w:color w:val="auto"/>
                <w:sz w:val="24"/>
                <w:szCs w:val="24"/>
              </w:rPr>
            </w:pPr>
            <w:r>
              <w:rPr>
                <w:rFonts w:ascii="Times New Roman" w:hAnsi="Times New Roman"/>
                <w:color w:val="auto"/>
                <w:sz w:val="24"/>
                <w:szCs w:val="24"/>
              </w:rPr>
              <w:t>孔维泽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7" w:type="dxa"/>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szCs w:val="24"/>
              </w:rPr>
              <w:t>通讯地址</w:t>
            </w:r>
          </w:p>
        </w:tc>
        <w:tc>
          <w:tcPr>
            <w:tcW w:w="7262" w:type="dxa"/>
            <w:gridSpan w:val="10"/>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rPr>
              <w:t>富明县东村镇西村村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7" w:type="dxa"/>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szCs w:val="24"/>
              </w:rPr>
              <w:t>联系电话</w:t>
            </w:r>
          </w:p>
        </w:tc>
        <w:tc>
          <w:tcPr>
            <w:tcW w:w="2231" w:type="dxa"/>
            <w:gridSpan w:val="2"/>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szCs w:val="24"/>
              </w:rPr>
              <w:t>18687609200</w:t>
            </w:r>
          </w:p>
        </w:tc>
        <w:tc>
          <w:tcPr>
            <w:tcW w:w="851" w:type="dxa"/>
            <w:gridSpan w:val="2"/>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szCs w:val="24"/>
              </w:rPr>
              <w:t>传真</w:t>
            </w:r>
          </w:p>
        </w:tc>
        <w:tc>
          <w:tcPr>
            <w:tcW w:w="1726" w:type="dxa"/>
            <w:gridSpan w:val="3"/>
            <w:vAlign w:val="center"/>
          </w:tcPr>
          <w:p>
            <w:pPr>
              <w:adjustRightInd w:val="0"/>
              <w:snapToGrid w:val="0"/>
              <w:spacing w:line="360" w:lineRule="auto"/>
              <w:jc w:val="center"/>
              <w:rPr>
                <w:rFonts w:hint="eastAsia" w:ascii="Times New Roman" w:hAnsi="Times New Roman" w:eastAsia="宋体"/>
                <w:color w:val="auto"/>
                <w:sz w:val="24"/>
                <w:szCs w:val="24"/>
                <w:lang w:val="en-US" w:eastAsia="zh-CN"/>
              </w:rPr>
            </w:pPr>
            <w:r>
              <w:rPr>
                <w:rFonts w:hint="eastAsia" w:ascii="Times New Roman" w:hAnsi="Times New Roman"/>
                <w:color w:val="auto"/>
                <w:sz w:val="24"/>
                <w:szCs w:val="24"/>
                <w:lang w:val="en-US" w:eastAsia="zh-CN"/>
              </w:rPr>
              <w:t>/</w:t>
            </w:r>
          </w:p>
        </w:tc>
        <w:tc>
          <w:tcPr>
            <w:tcW w:w="1027" w:type="dxa"/>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szCs w:val="24"/>
              </w:rPr>
              <w:t>邮政编码</w:t>
            </w:r>
          </w:p>
        </w:tc>
        <w:tc>
          <w:tcPr>
            <w:tcW w:w="1427" w:type="dxa"/>
            <w:gridSpan w:val="2"/>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rPr>
              <w:t>650400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207" w:type="dxa"/>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szCs w:val="24"/>
              </w:rPr>
              <w:t>建设地点</w:t>
            </w:r>
          </w:p>
        </w:tc>
        <w:tc>
          <w:tcPr>
            <w:tcW w:w="7262" w:type="dxa"/>
            <w:gridSpan w:val="10"/>
            <w:vAlign w:val="center"/>
          </w:tcPr>
          <w:p>
            <w:pPr>
              <w:adjustRightInd w:val="0"/>
              <w:snapToGrid w:val="0"/>
              <w:spacing w:line="360" w:lineRule="auto"/>
              <w:jc w:val="center"/>
              <w:rPr>
                <w:rFonts w:ascii="Times New Roman" w:hAnsi="Times New Roman"/>
                <w:color w:val="auto"/>
                <w:sz w:val="24"/>
                <w:szCs w:val="24"/>
              </w:rPr>
            </w:pPr>
            <w:r>
              <w:rPr>
                <w:rFonts w:ascii="Times New Roman" w:hAnsi="Times New Roman"/>
                <w:color w:val="auto"/>
                <w:sz w:val="24"/>
                <w:szCs w:val="24"/>
              </w:rPr>
              <w:t>云南省昆明市富明县东村镇西村村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7" w:type="dxa"/>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立项审批部门</w:t>
            </w:r>
          </w:p>
        </w:tc>
        <w:tc>
          <w:tcPr>
            <w:tcW w:w="3303" w:type="dxa"/>
            <w:gridSpan w:val="5"/>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rPr>
              <w:t>富明县发展和改革局</w:t>
            </w:r>
          </w:p>
        </w:tc>
        <w:tc>
          <w:tcPr>
            <w:tcW w:w="1471" w:type="dxa"/>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批准文号</w:t>
            </w:r>
          </w:p>
        </w:tc>
        <w:tc>
          <w:tcPr>
            <w:tcW w:w="2488" w:type="dxa"/>
            <w:gridSpan w:val="4"/>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rPr>
              <w:t>富发改企业备案[2019]10024号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7" w:type="dxa"/>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建设性质</w:t>
            </w:r>
          </w:p>
        </w:tc>
        <w:tc>
          <w:tcPr>
            <w:tcW w:w="3303" w:type="dxa"/>
            <w:gridSpan w:val="5"/>
            <w:vAlign w:val="center"/>
          </w:tcPr>
          <w:p>
            <w:pPr>
              <w:adjustRightInd w:val="0"/>
              <w:snapToGrid w:val="0"/>
              <w:spacing w:line="360" w:lineRule="exact"/>
              <w:jc w:val="center"/>
              <w:rPr>
                <w:rFonts w:ascii="Times New Roman" w:hAnsi="Times New Roman"/>
                <w:color w:val="auto"/>
                <w:sz w:val="24"/>
                <w:szCs w:val="24"/>
                <w:u w:val="single"/>
              </w:rPr>
            </w:pPr>
            <w:r>
              <w:rPr>
                <w:rFonts w:ascii="Times New Roman" w:hAnsi="Times New Roman"/>
                <w:color w:val="auto"/>
                <w:sz w:val="24"/>
                <w:szCs w:val="24"/>
              </w:rPr>
              <w:t>■新建  □改扩建 □搬迁</w:t>
            </w:r>
          </w:p>
        </w:tc>
        <w:tc>
          <w:tcPr>
            <w:tcW w:w="1471" w:type="dxa"/>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行业类别</w:t>
            </w:r>
          </w:p>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及代码</w:t>
            </w:r>
          </w:p>
        </w:tc>
        <w:tc>
          <w:tcPr>
            <w:tcW w:w="2488" w:type="dxa"/>
            <w:gridSpan w:val="4"/>
            <w:vAlign w:val="center"/>
          </w:tcPr>
          <w:p>
            <w:pPr>
              <w:adjustRightInd w:val="0"/>
              <w:snapToGrid w:val="0"/>
              <w:spacing w:line="360" w:lineRule="exact"/>
              <w:jc w:val="center"/>
              <w:rPr>
                <w:rFonts w:ascii="Times New Roman" w:hAnsi="Times New Roman"/>
                <w:color w:val="auto"/>
                <w:sz w:val="24"/>
                <w:szCs w:val="24"/>
              </w:rPr>
            </w:pPr>
            <w:r>
              <w:rPr>
                <w:rFonts w:hint="eastAsia" w:ascii="Times New Roman" w:hAnsi="Times New Roman"/>
                <w:color w:val="auto"/>
                <w:sz w:val="24"/>
                <w:szCs w:val="24"/>
                <w:highlight w:val="yellow"/>
              </w:rPr>
              <w:t>砼结构构件制造</w:t>
            </w:r>
            <w:r>
              <w:rPr>
                <w:rFonts w:ascii="Times New Roman" w:hAnsi="Times New Roman"/>
                <w:color w:val="auto"/>
                <w:sz w:val="24"/>
                <w:szCs w:val="24"/>
                <w:highlight w:val="yellow"/>
              </w:rPr>
              <w:t>(C30</w:t>
            </w:r>
            <w:r>
              <w:rPr>
                <w:rFonts w:hint="eastAsia" w:ascii="Times New Roman" w:hAnsi="Times New Roman"/>
                <w:color w:val="auto"/>
                <w:sz w:val="24"/>
                <w:szCs w:val="24"/>
                <w:highlight w:val="yellow"/>
              </w:rPr>
              <w:t>22</w:t>
            </w:r>
            <w:r>
              <w:rPr>
                <w:rFonts w:ascii="Times New Roman" w:hAnsi="Times New Roman"/>
                <w:color w:val="auto"/>
                <w:sz w:val="24"/>
                <w:szCs w:val="24"/>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dxa"/>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占地面积</w:t>
            </w:r>
          </w:p>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(平方米)</w:t>
            </w:r>
          </w:p>
        </w:tc>
        <w:tc>
          <w:tcPr>
            <w:tcW w:w="3303" w:type="dxa"/>
            <w:gridSpan w:val="5"/>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rPr>
              <w:t>35566.667</w:t>
            </w:r>
          </w:p>
        </w:tc>
        <w:tc>
          <w:tcPr>
            <w:tcW w:w="1471" w:type="dxa"/>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绿化面积</w:t>
            </w:r>
          </w:p>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(平方米)</w:t>
            </w:r>
          </w:p>
        </w:tc>
        <w:tc>
          <w:tcPr>
            <w:tcW w:w="2488" w:type="dxa"/>
            <w:gridSpan w:val="4"/>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7" w:type="dxa"/>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总投资</w:t>
            </w:r>
          </w:p>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(万元)</w:t>
            </w:r>
          </w:p>
        </w:tc>
        <w:tc>
          <w:tcPr>
            <w:tcW w:w="1614" w:type="dxa"/>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rPr>
              <w:t>750</w:t>
            </w:r>
          </w:p>
        </w:tc>
        <w:tc>
          <w:tcPr>
            <w:tcW w:w="1689" w:type="dxa"/>
            <w:gridSpan w:val="4"/>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其中：环保</w:t>
            </w:r>
          </w:p>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投资(万元)</w:t>
            </w:r>
          </w:p>
        </w:tc>
        <w:tc>
          <w:tcPr>
            <w:tcW w:w="1471" w:type="dxa"/>
            <w:vAlign w:val="center"/>
          </w:tcPr>
          <w:p>
            <w:pPr>
              <w:adjustRightInd w:val="0"/>
              <w:snapToGrid w:val="0"/>
              <w:spacing w:line="360" w:lineRule="exact"/>
              <w:ind w:firstLine="240" w:firstLineChars="100"/>
              <w:jc w:val="center"/>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lang w:val="en-US" w:eastAsia="zh-CN"/>
              </w:rPr>
              <w:t>62..6</w:t>
            </w:r>
          </w:p>
        </w:tc>
        <w:tc>
          <w:tcPr>
            <w:tcW w:w="1195" w:type="dxa"/>
            <w:gridSpan w:val="3"/>
            <w:vAlign w:val="center"/>
          </w:tcPr>
          <w:p>
            <w:pPr>
              <w:adjustRightInd w:val="0"/>
              <w:snapToGrid w:val="0"/>
              <w:spacing w:line="360" w:lineRule="exact"/>
              <w:jc w:val="center"/>
              <w:rPr>
                <w:rFonts w:ascii="Times New Roman" w:hAnsi="Times New Roman"/>
                <w:color w:val="auto"/>
                <w:spacing w:val="-20"/>
                <w:sz w:val="24"/>
                <w:szCs w:val="24"/>
              </w:rPr>
            </w:pPr>
            <w:r>
              <w:rPr>
                <w:rFonts w:ascii="Times New Roman" w:hAnsi="Times New Roman"/>
                <w:color w:val="auto"/>
                <w:sz w:val="24"/>
                <w:szCs w:val="24"/>
              </w:rPr>
              <w:t>环保投资占总投资比例</w:t>
            </w:r>
          </w:p>
        </w:tc>
        <w:tc>
          <w:tcPr>
            <w:tcW w:w="1293" w:type="dxa"/>
            <w:vAlign w:val="center"/>
          </w:tcPr>
          <w:p>
            <w:pPr>
              <w:adjustRightInd w:val="0"/>
              <w:snapToGrid w:val="0"/>
              <w:spacing w:line="360" w:lineRule="exact"/>
              <w:jc w:val="center"/>
              <w:rPr>
                <w:rFonts w:ascii="Times New Roman" w:hAnsi="Times New Roman"/>
                <w:color w:val="auto"/>
                <w:sz w:val="24"/>
                <w:szCs w:val="24"/>
              </w:rPr>
            </w:pPr>
            <w:r>
              <w:rPr>
                <w:rFonts w:hint="eastAsia" w:ascii="Times New Roman" w:hAnsi="Times New Roman"/>
                <w:color w:val="auto"/>
                <w:sz w:val="24"/>
                <w:szCs w:val="24"/>
                <w:lang w:val="en-US" w:eastAsia="zh-CN"/>
              </w:rPr>
              <w:t>8.35</w:t>
            </w:r>
            <w:r>
              <w:rPr>
                <w:rFonts w:ascii="Times New Roman" w:hAnsi="Times New Roman"/>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07" w:type="dxa"/>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评价经费</w:t>
            </w:r>
          </w:p>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(万元)</w:t>
            </w:r>
          </w:p>
        </w:tc>
        <w:tc>
          <w:tcPr>
            <w:tcW w:w="1614" w:type="dxa"/>
            <w:vAlign w:val="center"/>
          </w:tcPr>
          <w:p>
            <w:pPr>
              <w:adjustRightInd w:val="0"/>
              <w:snapToGrid w:val="0"/>
              <w:spacing w:line="360" w:lineRule="exact"/>
              <w:ind w:firstLine="240" w:firstLineChars="100"/>
              <w:jc w:val="center"/>
              <w:rPr>
                <w:rFonts w:hint="eastAsia" w:ascii="Times New Roman" w:hAnsi="Times New Roman" w:eastAsia="宋体"/>
                <w:color w:val="auto"/>
                <w:sz w:val="24"/>
                <w:szCs w:val="24"/>
                <w:lang w:val="en-US" w:eastAsia="zh-CN"/>
              </w:rPr>
            </w:pPr>
            <w:r>
              <w:rPr>
                <w:rFonts w:hint="eastAsia" w:ascii="Times New Roman" w:hAnsi="Times New Roman"/>
                <w:color w:val="auto"/>
                <w:sz w:val="24"/>
                <w:szCs w:val="24"/>
                <w:lang w:val="en-US" w:eastAsia="zh-CN"/>
              </w:rPr>
              <w:t>/</w:t>
            </w:r>
          </w:p>
        </w:tc>
        <w:tc>
          <w:tcPr>
            <w:tcW w:w="1689" w:type="dxa"/>
            <w:gridSpan w:val="4"/>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预期</w:t>
            </w:r>
          </w:p>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投产期</w:t>
            </w:r>
          </w:p>
        </w:tc>
        <w:tc>
          <w:tcPr>
            <w:tcW w:w="3959" w:type="dxa"/>
            <w:gridSpan w:val="5"/>
            <w:vAlign w:val="center"/>
          </w:tcPr>
          <w:p>
            <w:pPr>
              <w:adjustRightInd w:val="0"/>
              <w:snapToGrid w:val="0"/>
              <w:spacing w:line="360" w:lineRule="exact"/>
              <w:jc w:val="center"/>
              <w:rPr>
                <w:rFonts w:ascii="Times New Roman" w:hAnsi="Times New Roman"/>
                <w:color w:val="auto"/>
                <w:sz w:val="24"/>
                <w:szCs w:val="24"/>
              </w:rPr>
            </w:pPr>
            <w:r>
              <w:rPr>
                <w:rFonts w:ascii="Times New Roman" w:hAnsi="Times New Roman"/>
                <w:color w:val="auto"/>
                <w:sz w:val="24"/>
                <w:szCs w:val="24"/>
              </w:rPr>
              <w:t>20</w:t>
            </w:r>
            <w:r>
              <w:rPr>
                <w:rFonts w:hint="eastAsia" w:ascii="Times New Roman" w:hAnsi="Times New Roman"/>
                <w:color w:val="auto"/>
                <w:sz w:val="24"/>
                <w:szCs w:val="24"/>
                <w:lang w:val="en-US" w:eastAsia="zh-CN"/>
              </w:rPr>
              <w:t>20</w:t>
            </w:r>
            <w:r>
              <w:rPr>
                <w:rFonts w:ascii="Times New Roman" w:hAnsi="Times New Roman"/>
                <w:color w:val="auto"/>
                <w:sz w:val="24"/>
                <w:szCs w:val="24"/>
              </w:rPr>
              <w:t>年</w:t>
            </w:r>
            <w:r>
              <w:rPr>
                <w:rFonts w:hint="eastAsia" w:ascii="Times New Roman" w:hAnsi="Times New Roman"/>
                <w:color w:val="auto"/>
                <w:sz w:val="24"/>
                <w:szCs w:val="24"/>
                <w:lang w:val="en-US" w:eastAsia="zh-CN"/>
              </w:rPr>
              <w:t>3</w:t>
            </w:r>
            <w:r>
              <w:rPr>
                <w:rFonts w:ascii="Times New Roman" w:hAnsi="Times New Roman"/>
                <w:color w:val="auto"/>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7" w:hRule="atLeast"/>
        </w:trPr>
        <w:tc>
          <w:tcPr>
            <w:tcW w:w="8469" w:type="dxa"/>
            <w:gridSpan w:val="11"/>
            <w:vAlign w:val="center"/>
          </w:tcPr>
          <w:p>
            <w:pPr>
              <w:tabs>
                <w:tab w:val="left" w:pos="2395"/>
              </w:tabs>
              <w:adjustRightInd w:val="0"/>
              <w:snapToGrid w:val="0"/>
              <w:spacing w:line="360" w:lineRule="auto"/>
              <w:jc w:val="left"/>
              <w:rPr>
                <w:rFonts w:ascii="Times New Roman" w:hAnsi="Times New Roman"/>
                <w:b/>
                <w:bCs/>
                <w:color w:val="auto"/>
                <w:spacing w:val="2"/>
                <w:kern w:val="0"/>
                <w:sz w:val="24"/>
                <w:szCs w:val="24"/>
              </w:rPr>
            </w:pPr>
            <w:r>
              <w:rPr>
                <w:rFonts w:ascii="Times New Roman" w:hAnsi="Times New Roman"/>
                <w:b/>
                <w:bCs/>
                <w:color w:val="auto"/>
                <w:spacing w:val="2"/>
                <w:kern w:val="0"/>
                <w:sz w:val="24"/>
                <w:szCs w:val="24"/>
              </w:rPr>
              <w:t>1、项目由来</w:t>
            </w:r>
          </w:p>
          <w:p>
            <w:pPr>
              <w:pStyle w:val="267"/>
              <w:spacing w:line="360" w:lineRule="auto"/>
              <w:ind w:firstLine="480" w:firstLineChars="200"/>
              <w:jc w:val="left"/>
              <w:rPr>
                <w:rFonts w:hint="eastAsia" w:ascii="Times New Roman" w:hAnsi="Times New Roman" w:eastAsia="宋体"/>
                <w:color w:val="auto"/>
                <w:sz w:val="24"/>
                <w:szCs w:val="24"/>
                <w:lang w:eastAsia="zh-CN"/>
              </w:rPr>
            </w:pPr>
            <w:r>
              <w:rPr>
                <w:rFonts w:hint="eastAsia" w:ascii="Times New Roman" w:hAnsi="Times New Roman"/>
                <w:color w:val="auto"/>
                <w:sz w:val="24"/>
                <w:szCs w:val="24"/>
              </w:rPr>
              <w:t>为完善全省高速公路网络，方便区域交通，建设昆倘高速公路，建设公路过程中</w:t>
            </w:r>
            <w:r>
              <w:rPr>
                <w:rFonts w:ascii="Times New Roman" w:hAnsi="Times New Roman"/>
                <w:color w:val="auto"/>
                <w:sz w:val="24"/>
                <w:szCs w:val="24"/>
              </w:rPr>
              <w:t>需要大量混凝土以及钢筋作为原料，为</w:t>
            </w:r>
            <w:r>
              <w:rPr>
                <w:rFonts w:hint="eastAsia" w:ascii="Times New Roman" w:hAnsi="Times New Roman"/>
                <w:color w:val="auto"/>
                <w:sz w:val="24"/>
                <w:szCs w:val="24"/>
                <w:lang w:eastAsia="zh-CN"/>
              </w:rPr>
              <w:t>了</w:t>
            </w:r>
            <w:r>
              <w:rPr>
                <w:rFonts w:hint="eastAsia" w:ascii="Times New Roman" w:hAnsi="Times New Roman"/>
                <w:color w:val="auto"/>
                <w:sz w:val="24"/>
                <w:szCs w:val="24"/>
              </w:rPr>
              <w:t>加快高速公路的建设，使其能够尽快投入使用</w:t>
            </w:r>
            <w:r>
              <w:rPr>
                <w:rFonts w:ascii="Times New Roman" w:hAnsi="Times New Roman"/>
                <w:color w:val="auto"/>
                <w:sz w:val="24"/>
                <w:szCs w:val="24"/>
              </w:rPr>
              <w:t>，中铁五局集团有限公司拟在富明县东村镇</w:t>
            </w:r>
            <w:r>
              <w:rPr>
                <w:rFonts w:hint="eastAsia" w:ascii="Times New Roman" w:hAnsi="Times New Roman"/>
                <w:color w:val="auto"/>
                <w:sz w:val="24"/>
                <w:szCs w:val="24"/>
              </w:rPr>
              <w:t>西</w:t>
            </w:r>
            <w:r>
              <w:rPr>
                <w:rFonts w:ascii="Times New Roman" w:hAnsi="Times New Roman"/>
                <w:color w:val="auto"/>
                <w:sz w:val="24"/>
                <w:szCs w:val="24"/>
              </w:rPr>
              <w:t>村村</w:t>
            </w:r>
            <w:r>
              <w:rPr>
                <w:rFonts w:hint="eastAsia" w:ascii="Times New Roman" w:hAnsi="Times New Roman"/>
                <w:color w:val="auto"/>
                <w:sz w:val="24"/>
                <w:szCs w:val="24"/>
              </w:rPr>
              <w:t>昆明至倘甸高速公路线路K45+860左侧100米处建设昆倘高速公路4标段附属建设项目。</w:t>
            </w:r>
            <w:r>
              <w:rPr>
                <w:rFonts w:hint="eastAsia" w:ascii="Times New Roman" w:hAnsi="Times New Roman"/>
                <w:color w:val="auto"/>
                <w:sz w:val="24"/>
                <w:szCs w:val="24"/>
                <w:lang w:eastAsia="zh-CN"/>
              </w:rPr>
              <w:t>此项目单独立项单独备案单独环评。</w:t>
            </w:r>
          </w:p>
          <w:p>
            <w:pPr>
              <w:pStyle w:val="267"/>
              <w:spacing w:line="360" w:lineRule="auto"/>
              <w:ind w:firstLine="480" w:firstLineChars="200"/>
              <w:jc w:val="left"/>
              <w:rPr>
                <w:rFonts w:ascii="Times New Roman" w:hAnsi="Times New Roman"/>
                <w:color w:val="auto"/>
                <w:sz w:val="24"/>
                <w:szCs w:val="24"/>
              </w:rPr>
            </w:pPr>
            <w:r>
              <w:rPr>
                <w:rFonts w:hint="eastAsia" w:ascii="Times New Roman" w:hAnsi="Times New Roman"/>
                <w:color w:val="auto"/>
                <w:sz w:val="24"/>
                <w:szCs w:val="24"/>
              </w:rPr>
              <w:t>项目于2019年5月13日取得了富明县发展和改革局下发的投资备案证（富发改企业备案[2019]0024号）（详见附件</w:t>
            </w:r>
            <w:r>
              <w:rPr>
                <w:rFonts w:hint="eastAsia" w:ascii="Times New Roman" w:hAnsi="Times New Roman"/>
                <w:color w:val="auto"/>
                <w:sz w:val="24"/>
                <w:szCs w:val="24"/>
                <w:lang w:val="en-US" w:eastAsia="zh-CN"/>
              </w:rPr>
              <w:t>2</w:t>
            </w:r>
            <w:r>
              <w:rPr>
                <w:rFonts w:hint="eastAsia" w:ascii="Times New Roman" w:hAnsi="Times New Roman"/>
                <w:color w:val="auto"/>
                <w:sz w:val="24"/>
                <w:szCs w:val="24"/>
              </w:rPr>
              <w:t>）。项目规划占地面积为53.35亩，拟</w:t>
            </w:r>
            <w:r>
              <w:rPr>
                <w:rFonts w:ascii="Times New Roman" w:hAnsi="Times New Roman"/>
                <w:color w:val="auto"/>
                <w:sz w:val="24"/>
                <w:szCs w:val="24"/>
              </w:rPr>
              <w:t>修建混凝土拌合站</w:t>
            </w:r>
            <w:r>
              <w:rPr>
                <w:rFonts w:hint="eastAsia" w:ascii="Times New Roman" w:hAnsi="Times New Roman"/>
                <w:color w:val="auto"/>
                <w:sz w:val="24"/>
                <w:szCs w:val="24"/>
              </w:rPr>
              <w:t>一座</w:t>
            </w:r>
            <w:r>
              <w:rPr>
                <w:rFonts w:ascii="Times New Roman" w:hAnsi="Times New Roman"/>
                <w:color w:val="auto"/>
                <w:sz w:val="24"/>
                <w:szCs w:val="24"/>
              </w:rPr>
              <w:t>，占地面积6900</w:t>
            </w:r>
            <w:r>
              <w:rPr>
                <w:rFonts w:hint="eastAsia" w:ascii="Times New Roman" w:hAnsi="Times New Roman"/>
                <w:color w:val="auto"/>
                <w:sz w:val="24"/>
                <w:szCs w:val="24"/>
              </w:rPr>
              <w:t>m</w:t>
            </w:r>
            <w:r>
              <w:rPr>
                <w:rFonts w:hint="eastAsia" w:ascii="Times New Roman" w:hAnsi="Times New Roman"/>
                <w:color w:val="auto"/>
                <w:sz w:val="24"/>
                <w:szCs w:val="24"/>
                <w:vertAlign w:val="superscript"/>
              </w:rPr>
              <w:t>2</w:t>
            </w:r>
            <w:r>
              <w:rPr>
                <w:rFonts w:hint="eastAsia" w:ascii="Times New Roman" w:hAnsi="Times New Roman"/>
                <w:color w:val="auto"/>
                <w:sz w:val="24"/>
                <w:szCs w:val="24"/>
              </w:rPr>
              <w:t>；</w:t>
            </w:r>
            <w:r>
              <w:rPr>
                <w:rFonts w:ascii="Times New Roman" w:hAnsi="Times New Roman"/>
                <w:color w:val="auto"/>
                <w:sz w:val="24"/>
                <w:szCs w:val="24"/>
              </w:rPr>
              <w:t>大型钢筋集中加工场</w:t>
            </w:r>
            <w:r>
              <w:rPr>
                <w:rFonts w:hint="eastAsia" w:ascii="Times New Roman" w:hAnsi="Times New Roman"/>
                <w:color w:val="auto"/>
                <w:sz w:val="24"/>
                <w:szCs w:val="24"/>
              </w:rPr>
              <w:t>一座，钢构厂占地1500m</w:t>
            </w:r>
            <w:r>
              <w:rPr>
                <w:rFonts w:hint="eastAsia" w:ascii="Times New Roman" w:hAnsi="Times New Roman"/>
                <w:color w:val="auto"/>
                <w:sz w:val="24"/>
                <w:szCs w:val="24"/>
                <w:vertAlign w:val="superscript"/>
              </w:rPr>
              <w:t>2</w:t>
            </w:r>
            <w:r>
              <w:rPr>
                <w:rFonts w:ascii="Times New Roman" w:hAnsi="Times New Roman"/>
                <w:color w:val="auto"/>
                <w:sz w:val="24"/>
                <w:szCs w:val="24"/>
              </w:rPr>
              <w:t>。</w:t>
            </w:r>
            <w:r>
              <w:rPr>
                <w:rFonts w:hint="eastAsia" w:ascii="Times New Roman" w:hAnsi="Times New Roman"/>
                <w:color w:val="auto"/>
                <w:sz w:val="24"/>
                <w:szCs w:val="24"/>
              </w:rPr>
              <w:t>计划总投资750万元，年产混凝土10万m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，年加工钢筋8500t。该高速公路附属建设项目为高速公路配套工程，</w:t>
            </w:r>
            <w:r>
              <w:rPr>
                <w:rFonts w:hint="eastAsia" w:ascii="Times New Roman" w:hAnsi="Times New Roman"/>
                <w:color w:val="auto"/>
                <w:sz w:val="24"/>
                <w:szCs w:val="24"/>
                <w:lang w:eastAsia="zh-CN"/>
              </w:rPr>
              <w:t>服务年限</w:t>
            </w:r>
            <w:r>
              <w:rPr>
                <w:rFonts w:hint="eastAsia" w:ascii="Times New Roman" w:hAnsi="Times New Roman"/>
                <w:color w:val="auto"/>
                <w:sz w:val="24"/>
                <w:szCs w:val="24"/>
                <w:highlight w:val="none"/>
                <w:lang w:val="en-US" w:eastAsia="zh-CN"/>
              </w:rPr>
              <w:t>29个月</w:t>
            </w:r>
            <w:r>
              <w:rPr>
                <w:rFonts w:hint="eastAsia" w:ascii="Times New Roman" w:hAnsi="Times New Roman"/>
                <w:color w:val="auto"/>
                <w:sz w:val="24"/>
                <w:szCs w:val="24"/>
                <w:lang w:val="en-US" w:eastAsia="zh-CN"/>
              </w:rPr>
              <w:t>，</w:t>
            </w:r>
            <w:r>
              <w:rPr>
                <w:rFonts w:hint="eastAsia" w:ascii="Times New Roman" w:hAnsi="Times New Roman"/>
                <w:color w:val="auto"/>
                <w:sz w:val="24"/>
                <w:szCs w:val="24"/>
              </w:rPr>
              <w:t>高速公路建设完成</w:t>
            </w:r>
            <w:r>
              <w:rPr>
                <w:rFonts w:hint="eastAsia" w:ascii="Times New Roman" w:hAnsi="Times New Roman"/>
                <w:color w:val="auto"/>
                <w:sz w:val="24"/>
                <w:szCs w:val="24"/>
                <w:lang w:eastAsia="zh-CN"/>
              </w:rPr>
              <w:t>投入运行前将对其</w:t>
            </w:r>
            <w:r>
              <w:rPr>
                <w:rFonts w:hint="eastAsia" w:ascii="Times New Roman" w:hAnsi="Times New Roman"/>
                <w:color w:val="auto"/>
                <w:sz w:val="24"/>
                <w:szCs w:val="24"/>
              </w:rPr>
              <w:t>进行拆除</w:t>
            </w:r>
            <w:r>
              <w:rPr>
                <w:rFonts w:hint="eastAsia" w:ascii="Times New Roman" w:hAnsi="Times New Roman"/>
                <w:color w:val="auto"/>
                <w:sz w:val="24"/>
                <w:szCs w:val="24"/>
                <w:lang w:eastAsia="zh-CN"/>
              </w:rPr>
              <w:t>，并对</w:t>
            </w:r>
            <w:r>
              <w:rPr>
                <w:rFonts w:hint="eastAsia" w:ascii="Times New Roman" w:hAnsi="Times New Roman"/>
                <w:color w:val="auto"/>
                <w:sz w:val="24"/>
                <w:szCs w:val="24"/>
              </w:rPr>
              <w:t>场地恢复处理。</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根据《中华人民共和国环境保护法》、《中华人民共和国环境影响评价法》、《建设项目环境影响评价分类管理名录》（2018年4月28日）、《建设项目环境保护管理条例》等相关规定，本项目属于十九、非金属矿物制品业中50砼结构构件制造、商品混凝土加工，</w:t>
            </w:r>
            <w:r>
              <w:rPr>
                <w:rFonts w:hint="eastAsia" w:ascii="Times New Roman" w:hAnsi="Times New Roman"/>
                <w:color w:val="auto"/>
                <w:sz w:val="24"/>
                <w:szCs w:val="24"/>
                <w:lang w:eastAsia="zh-CN"/>
              </w:rPr>
              <w:t>以及二十二、金属制品业中</w:t>
            </w:r>
            <w:r>
              <w:rPr>
                <w:rFonts w:hint="eastAsia" w:ascii="Times New Roman" w:hAnsi="Times New Roman"/>
                <w:color w:val="auto"/>
                <w:sz w:val="24"/>
                <w:szCs w:val="24"/>
                <w:lang w:val="en-US" w:eastAsia="zh-CN"/>
              </w:rPr>
              <w:t>67金属制品加工制造中的其他类，</w:t>
            </w:r>
            <w:r>
              <w:rPr>
                <w:rFonts w:ascii="Times New Roman" w:hAnsi="Times New Roman"/>
                <w:color w:val="auto"/>
                <w:sz w:val="24"/>
                <w:szCs w:val="24"/>
              </w:rPr>
              <w:t>需编制环境影响报告表。我公司受该项目建设方的委托（委托书见附件</w:t>
            </w:r>
            <w:r>
              <w:rPr>
                <w:rFonts w:hint="eastAsia" w:ascii="Times New Roman" w:hAnsi="Times New Roman"/>
                <w:color w:val="auto"/>
                <w:sz w:val="24"/>
                <w:szCs w:val="24"/>
                <w:lang w:val="en-US" w:eastAsia="zh-CN"/>
              </w:rPr>
              <w:t>1</w:t>
            </w:r>
            <w:r>
              <w:rPr>
                <w:rFonts w:ascii="Times New Roman" w:hAnsi="Times New Roman"/>
                <w:color w:val="auto"/>
                <w:sz w:val="24"/>
                <w:szCs w:val="24"/>
              </w:rPr>
              <w:t>），承担《昆倘高速公路4标段附属</w:t>
            </w:r>
            <w:r>
              <w:rPr>
                <w:rFonts w:hint="eastAsia" w:ascii="Times New Roman" w:hAnsi="Times New Roman"/>
                <w:color w:val="auto"/>
                <w:sz w:val="24"/>
                <w:szCs w:val="24"/>
                <w:lang w:eastAsia="zh-CN"/>
              </w:rPr>
              <w:t>建设</w:t>
            </w:r>
            <w:r>
              <w:rPr>
                <w:rFonts w:ascii="Times New Roman" w:hAnsi="Times New Roman"/>
                <w:color w:val="auto"/>
                <w:sz w:val="24"/>
                <w:szCs w:val="24"/>
              </w:rPr>
              <w:t>项目环境影响报告表》的编制工作。接受委托后，</w:t>
            </w:r>
            <w:r>
              <w:rPr>
                <w:rFonts w:hint="eastAsia" w:ascii="Times New Roman" w:hAnsi="Times New Roman"/>
                <w:color w:val="auto"/>
                <w:sz w:val="24"/>
                <w:szCs w:val="24"/>
              </w:rPr>
              <w:t>我单位</w:t>
            </w:r>
            <w:r>
              <w:rPr>
                <w:rFonts w:ascii="Times New Roman" w:hAnsi="Times New Roman"/>
                <w:color w:val="auto"/>
                <w:sz w:val="24"/>
                <w:szCs w:val="24"/>
              </w:rPr>
              <w:t>组织人员到现场进行详细踏勘，经过现场详细踏勘，收集相关资料后，编制了《昆倘高速公路4标段附属</w:t>
            </w:r>
            <w:r>
              <w:rPr>
                <w:rFonts w:hint="eastAsia" w:ascii="Times New Roman" w:hAnsi="Times New Roman"/>
                <w:color w:val="auto"/>
                <w:sz w:val="24"/>
                <w:szCs w:val="24"/>
                <w:lang w:eastAsia="zh-CN"/>
              </w:rPr>
              <w:t>建设</w:t>
            </w:r>
            <w:r>
              <w:rPr>
                <w:rFonts w:ascii="Times New Roman" w:hAnsi="Times New Roman"/>
                <w:color w:val="auto"/>
                <w:sz w:val="24"/>
                <w:szCs w:val="24"/>
              </w:rPr>
              <w:t>项目环境影响报告表》，供建设单位上报审查。</w:t>
            </w:r>
          </w:p>
          <w:p>
            <w:pPr>
              <w:tabs>
                <w:tab w:val="left" w:pos="2395"/>
              </w:tabs>
              <w:adjustRightInd w:val="0"/>
              <w:snapToGrid w:val="0"/>
              <w:spacing w:line="360" w:lineRule="auto"/>
              <w:jc w:val="left"/>
              <w:rPr>
                <w:rFonts w:ascii="Times New Roman" w:hAnsi="Times New Roman"/>
                <w:b/>
                <w:bCs/>
                <w:color w:val="auto"/>
                <w:spacing w:val="2"/>
                <w:kern w:val="0"/>
                <w:sz w:val="24"/>
                <w:szCs w:val="24"/>
              </w:rPr>
            </w:pPr>
            <w:r>
              <w:rPr>
                <w:rFonts w:ascii="Times New Roman" w:hAnsi="Times New Roman"/>
                <w:b/>
                <w:bCs/>
                <w:color w:val="auto"/>
                <w:spacing w:val="2"/>
                <w:kern w:val="0"/>
                <w:sz w:val="24"/>
                <w:szCs w:val="24"/>
              </w:rPr>
              <w:t>2、项目概况</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项目名称：昆倘高速公路4标段附属</w:t>
            </w:r>
            <w:r>
              <w:rPr>
                <w:rFonts w:hint="eastAsia" w:ascii="宋体" w:hAnsi="宋体" w:cs="宋体"/>
                <w:color w:val="auto"/>
                <w:sz w:val="24"/>
                <w:szCs w:val="24"/>
                <w:lang w:eastAsia="zh-CN"/>
              </w:rPr>
              <w:t>建设</w:t>
            </w:r>
            <w:r>
              <w:rPr>
                <w:rFonts w:hint="eastAsia" w:ascii="宋体" w:hAnsi="宋体" w:cs="宋体"/>
                <w:color w:val="auto"/>
                <w:sz w:val="24"/>
                <w:szCs w:val="24"/>
              </w:rPr>
              <w:t>项目</w:t>
            </w:r>
          </w:p>
          <w:p>
            <w:pPr>
              <w:autoSpaceDE w:val="0"/>
              <w:autoSpaceDN w:val="0"/>
              <w:adjustRightInd w:val="0"/>
              <w:spacing w:line="360" w:lineRule="auto"/>
              <w:ind w:firstLine="480" w:firstLineChars="200"/>
              <w:rPr>
                <w:rFonts w:ascii="Times New Roman" w:hAnsi="Times New Roman"/>
                <w:color w:val="auto"/>
                <w:sz w:val="24"/>
                <w:szCs w:val="24"/>
              </w:rPr>
            </w:pPr>
            <w:r>
              <w:rPr>
                <w:rFonts w:hint="eastAsia" w:ascii="宋体" w:hAnsi="宋体" w:cs="宋体"/>
                <w:color w:val="auto"/>
                <w:sz w:val="24"/>
                <w:szCs w:val="24"/>
              </w:rPr>
              <w:t>建设地点：富明县东村镇西村村</w:t>
            </w:r>
            <w:r>
              <w:rPr>
                <w:rFonts w:hint="eastAsia" w:ascii="Times New Roman" w:hAnsi="Times New Roman"/>
                <w:color w:val="auto"/>
                <w:sz w:val="24"/>
                <w:szCs w:val="24"/>
              </w:rPr>
              <w:t>昆明至倘甸高速公路线路K45+860左侧100米处</w:t>
            </w:r>
            <w:r>
              <w:rPr>
                <w:rFonts w:hint="eastAsia" w:ascii="宋体" w:hAnsi="宋体" w:cs="宋体"/>
                <w:color w:val="auto"/>
                <w:sz w:val="24"/>
                <w:szCs w:val="24"/>
              </w:rPr>
              <w:t>，中心地理位置坐标为东经</w:t>
            </w:r>
            <w:r>
              <w:rPr>
                <w:rFonts w:ascii="Times New Roman" w:hAnsi="Times New Roman"/>
                <w:color w:val="auto"/>
                <w:sz w:val="24"/>
                <w:szCs w:val="24"/>
              </w:rPr>
              <w:t>102°39'</w:t>
            </w:r>
            <w:r>
              <w:rPr>
                <w:rFonts w:hint="eastAsia" w:ascii="Times New Roman" w:hAnsi="Times New Roman"/>
                <w:color w:val="auto"/>
                <w:sz w:val="24"/>
                <w:szCs w:val="24"/>
                <w:lang w:val="en-US" w:eastAsia="zh-CN"/>
              </w:rPr>
              <w:t>40.66</w:t>
            </w:r>
            <w:r>
              <w:rPr>
                <w:rFonts w:ascii="Times New Roman" w:hAnsi="Times New Roman"/>
                <w:color w:val="auto"/>
                <w:sz w:val="24"/>
                <w:szCs w:val="24"/>
              </w:rPr>
              <w:t>"，北纬 25°32'</w:t>
            </w:r>
            <w:r>
              <w:rPr>
                <w:rFonts w:hint="eastAsia" w:ascii="Times New Roman" w:hAnsi="Times New Roman"/>
                <w:color w:val="auto"/>
                <w:sz w:val="24"/>
                <w:szCs w:val="24"/>
                <w:lang w:val="en-US" w:eastAsia="zh-CN"/>
              </w:rPr>
              <w:t>9.94</w:t>
            </w:r>
            <w:r>
              <w:rPr>
                <w:rFonts w:ascii="Times New Roman" w:hAnsi="Times New Roman"/>
                <w:color w:val="auto"/>
                <w:sz w:val="24"/>
                <w:szCs w:val="24"/>
              </w:rPr>
              <w:t>"。</w:t>
            </w:r>
          </w:p>
          <w:p>
            <w:pPr>
              <w:autoSpaceDE w:val="0"/>
              <w:autoSpaceDN w:val="0"/>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建设单位：中铁五局集团有限公司</w:t>
            </w:r>
          </w:p>
          <w:p>
            <w:pPr>
              <w:autoSpaceDE w:val="0"/>
              <w:autoSpaceDN w:val="0"/>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建设性质：新建</w:t>
            </w:r>
          </w:p>
          <w:p>
            <w:pPr>
              <w:autoSpaceDE w:val="0"/>
              <w:autoSpaceDN w:val="0"/>
              <w:adjustRightIn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占地面积：35566.667m</w:t>
            </w:r>
            <w:r>
              <w:rPr>
                <w:rFonts w:ascii="Times New Roman" w:hAnsi="Times New Roman"/>
                <w:color w:val="auto"/>
                <w:sz w:val="24"/>
                <w:szCs w:val="24"/>
                <w:vertAlign w:val="superscript"/>
              </w:rPr>
              <w:t>2</w:t>
            </w:r>
          </w:p>
          <w:p>
            <w:pPr>
              <w:autoSpaceDE w:val="0"/>
              <w:autoSpaceDN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总投资：750万元</w:t>
            </w:r>
          </w:p>
          <w:p>
            <w:pPr>
              <w:pStyle w:val="2"/>
              <w:rPr>
                <w:rFonts w:hint="eastAsia" w:ascii="Times New Roman" w:hAnsi="Times New Roman"/>
                <w:color w:val="auto"/>
                <w:spacing w:val="2"/>
                <w:kern w:val="0"/>
                <w:sz w:val="24"/>
                <w:szCs w:val="24"/>
                <w:lang w:val="en-US" w:eastAsia="zh-CN"/>
              </w:rPr>
            </w:pPr>
            <w:r>
              <w:rPr>
                <w:rFonts w:hint="eastAsia" w:ascii="Times New Roman" w:hAnsi="Times New Roman"/>
                <w:color w:val="auto"/>
                <w:spacing w:val="2"/>
                <w:kern w:val="0"/>
                <w:sz w:val="24"/>
                <w:szCs w:val="24"/>
                <w:lang w:val="en-US" w:eastAsia="zh-CN"/>
              </w:rPr>
              <w:t>2.1用地</w:t>
            </w:r>
          </w:p>
          <w:p>
            <w:pPr>
              <w:pStyle w:val="2"/>
              <w:ind w:firstLine="488" w:firstLineChars="200"/>
              <w:rPr>
                <w:rFonts w:hint="default" w:ascii="Times New Roman" w:hAnsi="Times New Roman"/>
                <w:color w:val="auto"/>
                <w:spacing w:val="2"/>
                <w:kern w:val="0"/>
                <w:sz w:val="24"/>
                <w:szCs w:val="24"/>
                <w:lang w:val="en-US" w:eastAsia="zh-CN"/>
              </w:rPr>
            </w:pPr>
            <w:r>
              <w:rPr>
                <w:rFonts w:hint="eastAsia" w:ascii="Times New Roman" w:hAnsi="Times New Roman"/>
                <w:color w:val="auto"/>
                <w:spacing w:val="2"/>
                <w:kern w:val="0"/>
                <w:sz w:val="24"/>
                <w:szCs w:val="24"/>
                <w:lang w:val="en-US" w:eastAsia="zh-CN"/>
              </w:rPr>
              <w:t>项目用地为租用附近农民土地（租赁协议见附件7），全部为旱地，土地利用现状一览表见表1-1。项目建设用地一览表见表1-2。</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b/>
                <w:bCs/>
                <w:color w:val="auto"/>
                <w:spacing w:val="2"/>
                <w:kern w:val="0"/>
                <w:sz w:val="24"/>
                <w:szCs w:val="24"/>
                <w:lang w:val="en-US" w:eastAsia="zh-CN"/>
              </w:rPr>
            </w:pPr>
            <w:r>
              <w:rPr>
                <w:rFonts w:hint="eastAsia" w:ascii="Times New Roman" w:hAnsi="Times New Roman"/>
                <w:b/>
                <w:bCs/>
                <w:color w:val="auto"/>
                <w:spacing w:val="2"/>
                <w:kern w:val="0"/>
                <w:sz w:val="24"/>
                <w:szCs w:val="24"/>
                <w:lang w:val="en-US" w:eastAsia="zh-CN"/>
              </w:rPr>
              <w:t>表1-1 土地利用现状一览表见</w:t>
            </w:r>
          </w:p>
          <w:tbl>
            <w:tblPr>
              <w:tblStyle w:val="44"/>
              <w:tblW w:w="8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6"/>
              <w:gridCol w:w="4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olor w:val="auto"/>
                      <w:spacing w:val="2"/>
                      <w:kern w:val="0"/>
                      <w:sz w:val="21"/>
                      <w:szCs w:val="21"/>
                      <w:vertAlign w:val="baseline"/>
                      <w:lang w:val="en-US" w:eastAsia="zh-CN"/>
                    </w:rPr>
                  </w:pPr>
                  <w:r>
                    <w:rPr>
                      <w:rFonts w:hint="eastAsia" w:ascii="Times New Roman" w:hAnsi="Times New Roman"/>
                      <w:color w:val="auto"/>
                      <w:spacing w:val="2"/>
                      <w:kern w:val="0"/>
                      <w:sz w:val="21"/>
                      <w:szCs w:val="21"/>
                      <w:vertAlign w:val="baseline"/>
                      <w:lang w:val="en-US" w:eastAsia="zh-CN"/>
                    </w:rPr>
                    <w:t>土地类型</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olor w:val="auto"/>
                      <w:spacing w:val="2"/>
                      <w:kern w:val="0"/>
                      <w:sz w:val="21"/>
                      <w:szCs w:val="21"/>
                      <w:vertAlign w:val="baseline"/>
                      <w:lang w:val="en-US" w:eastAsia="zh-CN"/>
                    </w:rPr>
                  </w:pPr>
                  <w:r>
                    <w:rPr>
                      <w:rFonts w:hint="eastAsia" w:ascii="Times New Roman" w:hAnsi="Times New Roman"/>
                      <w:color w:val="auto"/>
                      <w:spacing w:val="2"/>
                      <w:kern w:val="0"/>
                      <w:sz w:val="21"/>
                      <w:szCs w:val="21"/>
                      <w:vertAlign w:val="baseline"/>
                      <w:lang w:val="en-US" w:eastAsia="zh-CN"/>
                    </w:rPr>
                    <w:t>占地面积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olor w:val="auto"/>
                      <w:spacing w:val="2"/>
                      <w:kern w:val="0"/>
                      <w:sz w:val="21"/>
                      <w:szCs w:val="21"/>
                      <w:vertAlign w:val="baseline"/>
                      <w:lang w:val="en-US" w:eastAsia="zh-CN"/>
                    </w:rPr>
                  </w:pPr>
                  <w:r>
                    <w:rPr>
                      <w:rFonts w:hint="eastAsia" w:ascii="Times New Roman" w:hAnsi="Times New Roman"/>
                      <w:color w:val="auto"/>
                      <w:spacing w:val="2"/>
                      <w:kern w:val="0"/>
                      <w:sz w:val="21"/>
                      <w:szCs w:val="21"/>
                      <w:vertAlign w:val="baseline"/>
                      <w:lang w:val="en-US" w:eastAsia="zh-CN"/>
                    </w:rPr>
                    <w:t>旱地</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olor w:val="auto"/>
                      <w:spacing w:val="2"/>
                      <w:kern w:val="0"/>
                      <w:sz w:val="21"/>
                      <w:szCs w:val="21"/>
                      <w:vertAlign w:val="baseline"/>
                      <w:lang w:val="en-US" w:eastAsia="zh-CN"/>
                    </w:rPr>
                  </w:pPr>
                  <w:r>
                    <w:rPr>
                      <w:rFonts w:hint="eastAsia" w:ascii="Times New Roman" w:hAnsi="Times New Roman"/>
                      <w:color w:val="auto"/>
                      <w:spacing w:val="2"/>
                      <w:kern w:val="0"/>
                      <w:sz w:val="21"/>
                      <w:szCs w:val="21"/>
                      <w:vertAlign w:val="baseline"/>
                      <w:lang w:val="en-US" w:eastAsia="zh-CN"/>
                    </w:rPr>
                    <w:t>53.35亩</w:t>
                  </w:r>
                </w:p>
              </w:tc>
            </w:tr>
          </w:tbl>
          <w:p>
            <w:pPr>
              <w:keepNext w:val="0"/>
              <w:keepLines w:val="0"/>
              <w:pageBreakBefore w:val="0"/>
              <w:widowControl w:val="0"/>
              <w:tabs>
                <w:tab w:val="left" w:pos="239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b/>
                <w:bCs/>
                <w:color w:val="auto"/>
                <w:spacing w:val="2"/>
                <w:kern w:val="0"/>
                <w:sz w:val="24"/>
                <w:szCs w:val="24"/>
                <w:lang w:val="en-US" w:eastAsia="zh-CN"/>
              </w:rPr>
            </w:pPr>
            <w:r>
              <w:rPr>
                <w:rFonts w:hint="eastAsia" w:ascii="Times New Roman" w:hAnsi="Times New Roman"/>
                <w:b/>
                <w:bCs/>
                <w:color w:val="auto"/>
                <w:spacing w:val="2"/>
                <w:kern w:val="0"/>
                <w:sz w:val="24"/>
                <w:szCs w:val="24"/>
                <w:lang w:val="en-US" w:eastAsia="zh-CN"/>
              </w:rPr>
              <w:t>表1-2建设用地一览表</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6"/>
              <w:gridCol w:w="4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建设内容</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占地面积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混凝土拌合站</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6900m</w:t>
                  </w:r>
                  <w:r>
                    <w:rPr>
                      <w:rFonts w:hint="default" w:ascii="Times New Roman" w:hAnsi="Times New Roman" w:cs="Times New Roman"/>
                      <w:color w:val="auto"/>
                      <w:sz w:val="21"/>
                      <w:szCs w:val="21"/>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钢筋集中加工场</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1500m</w:t>
                  </w:r>
                  <w:r>
                    <w:rPr>
                      <w:rFonts w:hint="default" w:ascii="Times New Roman" w:hAnsi="Times New Roman" w:cs="Times New Roman"/>
                      <w:color w:val="auto"/>
                      <w:sz w:val="21"/>
                      <w:szCs w:val="21"/>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实验室</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600m</w:t>
                  </w:r>
                  <w:r>
                    <w:rPr>
                      <w:rFonts w:hint="default" w:ascii="Times New Roman" w:hAnsi="Times New Roman" w:cs="Times New Roman"/>
                      <w:color w:val="auto"/>
                      <w:sz w:val="21"/>
                      <w:szCs w:val="21"/>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办公楼</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500m</w:t>
                  </w:r>
                  <w:r>
                    <w:rPr>
                      <w:rFonts w:hint="default" w:ascii="Times New Roman" w:hAnsi="Times New Roman" w:cs="Times New Roman"/>
                      <w:color w:val="auto"/>
                      <w:sz w:val="21"/>
                      <w:szCs w:val="21"/>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宿舍</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531.4m</w:t>
                  </w:r>
                  <w:r>
                    <w:rPr>
                      <w:rFonts w:hint="default" w:ascii="Times New Roman" w:hAnsi="Times New Roman" w:cs="Times New Roman"/>
                      <w:color w:val="auto"/>
                      <w:sz w:val="21"/>
                      <w:szCs w:val="21"/>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食堂</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105.9m</w:t>
                  </w:r>
                  <w:r>
                    <w:rPr>
                      <w:rFonts w:hint="default" w:ascii="Times New Roman" w:hAnsi="Times New Roman" w:cs="Times New Roman"/>
                      <w:color w:val="auto"/>
                      <w:sz w:val="21"/>
                      <w:szCs w:val="21"/>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机修车间</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140m</w:t>
                  </w:r>
                  <w:r>
                    <w:rPr>
                      <w:rFonts w:hint="default" w:ascii="Times New Roman" w:hAnsi="Times New Roman" w:cs="Times New Roman"/>
                      <w:color w:val="auto"/>
                      <w:sz w:val="21"/>
                      <w:szCs w:val="21"/>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乙炔、氧气、二氧化碳房</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30m</w:t>
                  </w:r>
                  <w:r>
                    <w:rPr>
                      <w:rFonts w:hint="default" w:ascii="Times New Roman" w:hAnsi="Times New Roman" w:cs="Times New Roman"/>
                      <w:color w:val="auto"/>
                      <w:sz w:val="21"/>
                      <w:szCs w:val="21"/>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临时堆场</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32m</w:t>
                  </w:r>
                  <w:r>
                    <w:rPr>
                      <w:rFonts w:hint="default" w:ascii="Times New Roman" w:hAnsi="Times New Roman" w:cs="Times New Roman"/>
                      <w:color w:val="auto"/>
                      <w:sz w:val="21"/>
                      <w:szCs w:val="21"/>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进场道路</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15500m</w:t>
                  </w:r>
                  <w:r>
                    <w:rPr>
                      <w:rFonts w:hint="default" w:ascii="Times New Roman" w:hAnsi="Times New Roman" w:cs="Times New Roman"/>
                      <w:color w:val="auto"/>
                      <w:sz w:val="21"/>
                      <w:szCs w:val="21"/>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其他占地</w:t>
                  </w:r>
                </w:p>
              </w:tc>
              <w:tc>
                <w:tcPr>
                  <w:tcW w:w="412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9727.367m</w:t>
                  </w:r>
                  <w:r>
                    <w:rPr>
                      <w:rFonts w:hint="eastAsia" w:ascii="Times New Roman" w:hAnsi="Times New Roman" w:cs="Times New Roman"/>
                      <w:color w:val="auto"/>
                      <w:sz w:val="21"/>
                      <w:szCs w:val="21"/>
                      <w:vertAlign w:val="superscript"/>
                      <w:lang w:val="en-US" w:eastAsia="zh-CN"/>
                    </w:rPr>
                    <w:t>2</w:t>
                  </w:r>
                </w:p>
              </w:tc>
            </w:tr>
          </w:tbl>
          <w:p>
            <w:pPr>
              <w:keepNext w:val="0"/>
              <w:keepLines w:val="0"/>
              <w:pageBreakBefore w:val="0"/>
              <w:widowControl w:val="0"/>
              <w:tabs>
                <w:tab w:val="left" w:pos="2395"/>
              </w:tabs>
              <w:kinsoku/>
              <w:wordWrap/>
              <w:overflowPunct/>
              <w:topLinePunct w:val="0"/>
              <w:autoSpaceDE/>
              <w:autoSpaceDN/>
              <w:bidi w:val="0"/>
              <w:adjustRightInd w:val="0"/>
              <w:snapToGrid w:val="0"/>
              <w:spacing w:line="360" w:lineRule="auto"/>
              <w:ind w:firstLine="0" w:firstLineChars="0"/>
              <w:jc w:val="left"/>
              <w:textAlignment w:val="auto"/>
              <w:rPr>
                <w:rFonts w:hint="eastAsia" w:ascii="Times New Roman" w:hAnsi="Times New Roman"/>
                <w:b w:val="0"/>
                <w:bCs w:val="0"/>
                <w:color w:val="auto"/>
                <w:spacing w:val="2"/>
                <w:kern w:val="0"/>
                <w:sz w:val="24"/>
                <w:szCs w:val="24"/>
                <w:lang w:val="en-US" w:eastAsia="zh-CN"/>
              </w:rPr>
            </w:pPr>
            <w:r>
              <w:rPr>
                <w:rFonts w:hint="eastAsia" w:ascii="Times New Roman" w:hAnsi="Times New Roman"/>
                <w:b w:val="0"/>
                <w:bCs w:val="0"/>
                <w:color w:val="auto"/>
                <w:spacing w:val="2"/>
                <w:kern w:val="0"/>
                <w:sz w:val="24"/>
                <w:szCs w:val="24"/>
                <w:lang w:val="en-US" w:eastAsia="zh-CN"/>
              </w:rPr>
              <w:t>2.2服务年限</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该项目为昆倘高速公路</w:t>
            </w:r>
            <w:r>
              <w:rPr>
                <w:rFonts w:hint="eastAsia" w:ascii="Times New Roman" w:hAnsi="Times New Roman" w:cs="Times New Roman"/>
                <w:color w:val="auto"/>
                <w:sz w:val="24"/>
                <w:szCs w:val="24"/>
                <w:lang w:val="en-US" w:eastAsia="zh-CN"/>
              </w:rPr>
              <w:t>4标段</w:t>
            </w:r>
            <w:r>
              <w:rPr>
                <w:rFonts w:hint="default" w:ascii="Times New Roman" w:hAnsi="Times New Roman" w:cs="Times New Roman"/>
                <w:color w:val="auto"/>
                <w:sz w:val="24"/>
                <w:szCs w:val="24"/>
                <w:lang w:val="en-US" w:eastAsia="zh-CN"/>
              </w:rPr>
              <w:t>附属建设项目，服务于昆倘高速</w:t>
            </w:r>
            <w:r>
              <w:rPr>
                <w:rFonts w:hint="eastAsia" w:ascii="Times New Roman" w:hAnsi="Times New Roman" w:cs="Times New Roman"/>
                <w:color w:val="auto"/>
                <w:sz w:val="24"/>
                <w:szCs w:val="24"/>
                <w:lang w:val="en-US" w:eastAsia="zh-CN"/>
              </w:rPr>
              <w:t>公路</w:t>
            </w:r>
            <w:r>
              <w:rPr>
                <w:rFonts w:hint="default" w:ascii="Times New Roman" w:hAnsi="Times New Roman" w:cs="Times New Roman"/>
                <w:color w:val="auto"/>
                <w:sz w:val="24"/>
                <w:szCs w:val="24"/>
                <w:lang w:val="en-US" w:eastAsia="zh-CN"/>
              </w:rPr>
              <w:t>4标段建设</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昆倘高速公路</w:t>
            </w:r>
            <w:r>
              <w:rPr>
                <w:rFonts w:hint="eastAsia" w:ascii="Times New Roman" w:hAnsi="Times New Roman" w:cs="Times New Roman"/>
                <w:color w:val="auto"/>
                <w:sz w:val="24"/>
                <w:szCs w:val="24"/>
                <w:lang w:val="en-US" w:eastAsia="zh-CN"/>
              </w:rPr>
              <w:t>4标段</w:t>
            </w:r>
            <w:r>
              <w:rPr>
                <w:rFonts w:hint="eastAsia" w:ascii="Times New Roman" w:hAnsi="Times New Roman" w:cs="Times New Roman"/>
                <w:color w:val="auto"/>
                <w:sz w:val="24"/>
                <w:szCs w:val="24"/>
                <w:highlight w:val="yellow"/>
                <w:lang w:val="en-US" w:eastAsia="zh-CN"/>
              </w:rPr>
              <w:t>计划</w:t>
            </w:r>
            <w:r>
              <w:rPr>
                <w:rFonts w:hint="default" w:ascii="Times New Roman" w:hAnsi="Times New Roman" w:cs="Times New Roman"/>
                <w:color w:val="auto"/>
                <w:sz w:val="24"/>
                <w:szCs w:val="24"/>
                <w:highlight w:val="yellow"/>
                <w:lang w:val="en-US" w:eastAsia="zh-CN"/>
              </w:rPr>
              <w:t>开工时间2019年</w:t>
            </w:r>
            <w:r>
              <w:rPr>
                <w:rFonts w:hint="eastAsia" w:ascii="Times New Roman" w:hAnsi="Times New Roman" w:cs="Times New Roman"/>
                <w:color w:val="auto"/>
                <w:sz w:val="24"/>
                <w:szCs w:val="24"/>
                <w:highlight w:val="yellow"/>
                <w:lang w:val="en-US" w:eastAsia="zh-CN"/>
              </w:rPr>
              <w:t>9</w:t>
            </w:r>
            <w:r>
              <w:rPr>
                <w:rFonts w:hint="default" w:ascii="Times New Roman" w:hAnsi="Times New Roman" w:cs="Times New Roman"/>
                <w:color w:val="auto"/>
                <w:sz w:val="24"/>
                <w:szCs w:val="24"/>
                <w:highlight w:val="yellow"/>
                <w:lang w:val="en-US" w:eastAsia="zh-CN"/>
              </w:rPr>
              <w:t>月1日，竣工时间2022年</w:t>
            </w:r>
            <w:r>
              <w:rPr>
                <w:rFonts w:hint="eastAsia" w:ascii="Times New Roman" w:hAnsi="Times New Roman" w:cs="Times New Roman"/>
                <w:color w:val="auto"/>
                <w:sz w:val="24"/>
                <w:szCs w:val="24"/>
                <w:highlight w:val="yellow"/>
                <w:lang w:val="en-US" w:eastAsia="zh-CN"/>
              </w:rPr>
              <w:t>8</w:t>
            </w:r>
            <w:r>
              <w:rPr>
                <w:rFonts w:hint="default" w:ascii="Times New Roman" w:hAnsi="Times New Roman" w:cs="Times New Roman"/>
                <w:color w:val="auto"/>
                <w:sz w:val="24"/>
                <w:szCs w:val="24"/>
                <w:highlight w:val="yellow"/>
                <w:lang w:val="en-US" w:eastAsia="zh-CN"/>
              </w:rPr>
              <w:t>月31日</w:t>
            </w:r>
            <w:r>
              <w:rPr>
                <w:rFonts w:hint="default" w:ascii="Times New Roman" w:hAnsi="Times New Roman" w:cs="Times New Roman"/>
                <w:color w:val="auto"/>
                <w:sz w:val="24"/>
                <w:szCs w:val="24"/>
                <w:lang w:val="en-US" w:eastAsia="zh-CN"/>
              </w:rPr>
              <w:t>，本项目服务年限</w:t>
            </w:r>
            <w:r>
              <w:rPr>
                <w:rFonts w:hint="eastAsia" w:ascii="Times New Roman" w:hAnsi="Times New Roman" w:cs="Times New Roman"/>
                <w:color w:val="auto"/>
                <w:sz w:val="24"/>
                <w:szCs w:val="24"/>
                <w:lang w:val="en-US" w:eastAsia="zh-CN"/>
              </w:rPr>
              <w:t>29个月</w:t>
            </w:r>
            <w:r>
              <w:rPr>
                <w:rFonts w:hint="default" w:ascii="Times New Roman" w:hAnsi="Times New Roman" w:cs="Times New Roman"/>
                <w:color w:val="auto"/>
                <w:sz w:val="24"/>
                <w:szCs w:val="24"/>
                <w:lang w:val="en-US" w:eastAsia="zh-CN"/>
              </w:rPr>
              <w:t>。</w:t>
            </w:r>
          </w:p>
          <w:p>
            <w:pPr>
              <w:tabs>
                <w:tab w:val="left" w:pos="2395"/>
              </w:tabs>
              <w:adjustRightInd w:val="0"/>
              <w:snapToGrid w:val="0"/>
              <w:spacing w:line="360" w:lineRule="auto"/>
              <w:jc w:val="left"/>
              <w:rPr>
                <w:color w:val="auto"/>
              </w:rPr>
            </w:pPr>
            <w:r>
              <w:rPr>
                <w:rFonts w:hint="eastAsia" w:ascii="Times New Roman" w:hAnsi="Times New Roman"/>
                <w:b/>
                <w:bCs/>
                <w:color w:val="auto"/>
                <w:spacing w:val="2"/>
                <w:kern w:val="0"/>
                <w:sz w:val="24"/>
                <w:szCs w:val="24"/>
              </w:rPr>
              <w:t>3、建设规模</w:t>
            </w:r>
          </w:p>
          <w:p>
            <w:pPr>
              <w:tabs>
                <w:tab w:val="left" w:pos="2395"/>
              </w:tabs>
              <w:adjustRightInd w:val="0"/>
              <w:snapToGrid w:val="0"/>
              <w:spacing w:line="360" w:lineRule="auto"/>
              <w:ind w:firstLine="488" w:firstLineChars="200"/>
              <w:rPr>
                <w:rFonts w:hint="eastAsia" w:ascii="Times New Roman" w:hAnsi="Times New Roman"/>
                <w:color w:val="auto"/>
                <w:spacing w:val="2"/>
                <w:kern w:val="0"/>
                <w:sz w:val="24"/>
                <w:szCs w:val="24"/>
              </w:rPr>
            </w:pPr>
            <w:r>
              <w:rPr>
                <w:rFonts w:hint="eastAsia" w:ascii="Times New Roman" w:hAnsi="Times New Roman"/>
                <w:color w:val="auto"/>
                <w:spacing w:val="2"/>
                <w:kern w:val="0"/>
                <w:sz w:val="24"/>
                <w:szCs w:val="24"/>
              </w:rPr>
              <w:t>项目拟建设一条混凝土生产线，年产混凝土10万m</w:t>
            </w:r>
            <w:r>
              <w:rPr>
                <w:rFonts w:hint="eastAsia" w:ascii="Times New Roman" w:hAnsi="Times New Roman"/>
                <w:color w:val="auto"/>
                <w:spacing w:val="2"/>
                <w:kern w:val="0"/>
                <w:sz w:val="24"/>
                <w:szCs w:val="24"/>
                <w:vertAlign w:val="superscript"/>
              </w:rPr>
              <w:t>3</w:t>
            </w:r>
            <w:r>
              <w:rPr>
                <w:rFonts w:hint="eastAsia" w:ascii="Times New Roman" w:hAnsi="Times New Roman"/>
                <w:color w:val="auto"/>
                <w:spacing w:val="2"/>
                <w:kern w:val="0"/>
                <w:sz w:val="24"/>
                <w:szCs w:val="24"/>
              </w:rPr>
              <w:t>；一座钢筋加工厂，包括两条钢筋笼生产线、一条钢筋弯曲机及钢筋剪切生产线，年加工钢筋8500t。</w:t>
            </w:r>
          </w:p>
          <w:p>
            <w:pPr>
              <w:pStyle w:val="2"/>
              <w:numPr>
                <w:ilvl w:val="0"/>
                <w:numId w:val="1"/>
              </w:numPr>
              <w:rPr>
                <w:rFonts w:hint="eastAsia" w:ascii="Times New Roman" w:hAnsi="Times New Roman"/>
                <w:b/>
                <w:bCs/>
                <w:color w:val="auto"/>
                <w:spacing w:val="2"/>
                <w:kern w:val="0"/>
                <w:sz w:val="24"/>
                <w:szCs w:val="24"/>
                <w:lang w:val="en-US" w:eastAsia="zh-CN"/>
              </w:rPr>
            </w:pPr>
            <w:r>
              <w:rPr>
                <w:rFonts w:hint="eastAsia" w:ascii="Times New Roman" w:hAnsi="Times New Roman"/>
                <w:b/>
                <w:bCs/>
                <w:color w:val="auto"/>
                <w:spacing w:val="2"/>
                <w:kern w:val="0"/>
                <w:sz w:val="24"/>
                <w:szCs w:val="24"/>
                <w:lang w:val="en-US" w:eastAsia="zh-CN"/>
              </w:rPr>
              <w:t>产品方案</w:t>
            </w:r>
          </w:p>
          <w:p>
            <w:pPr>
              <w:pStyle w:val="2"/>
              <w:numPr>
                <w:ilvl w:val="0"/>
                <w:numId w:val="2"/>
              </w:numPr>
              <w:ind w:firstLine="488" w:firstLineChars="200"/>
              <w:rPr>
                <w:rFonts w:hint="eastAsia" w:ascii="Times New Roman" w:hAnsi="Times New Roman"/>
                <w:color w:val="auto"/>
                <w:spacing w:val="2"/>
                <w:kern w:val="0"/>
                <w:sz w:val="24"/>
                <w:szCs w:val="24"/>
                <w:lang w:val="en-US" w:eastAsia="zh-CN"/>
              </w:rPr>
            </w:pPr>
            <w:r>
              <w:rPr>
                <w:rFonts w:hint="eastAsia" w:ascii="Times New Roman" w:hAnsi="Times New Roman"/>
                <w:color w:val="auto"/>
                <w:spacing w:val="2"/>
                <w:kern w:val="0"/>
                <w:sz w:val="24"/>
                <w:szCs w:val="24"/>
                <w:lang w:val="en-US" w:eastAsia="zh-CN"/>
              </w:rPr>
              <w:t>混凝土</w:t>
            </w:r>
          </w:p>
          <w:p>
            <w:pPr>
              <w:pStyle w:val="2"/>
              <w:numPr>
                <w:ilvl w:val="0"/>
                <w:numId w:val="0"/>
              </w:numPr>
              <w:ind w:firstLine="488" w:firstLineChars="200"/>
              <w:rPr>
                <w:rFonts w:hint="eastAsia" w:ascii="Times New Roman" w:hAnsi="Times New Roman"/>
                <w:color w:val="auto"/>
                <w:spacing w:val="2"/>
                <w:kern w:val="0"/>
                <w:sz w:val="24"/>
                <w:szCs w:val="24"/>
                <w:lang w:val="en-US" w:eastAsia="zh-CN"/>
              </w:rPr>
            </w:pPr>
            <w:r>
              <w:rPr>
                <w:rFonts w:hint="eastAsia" w:ascii="Times New Roman" w:hAnsi="Times New Roman"/>
                <w:color w:val="auto"/>
                <w:spacing w:val="2"/>
                <w:kern w:val="0"/>
                <w:sz w:val="24"/>
                <w:szCs w:val="24"/>
                <w:lang w:val="en-US" w:eastAsia="zh-CN"/>
              </w:rPr>
              <w:t>项目生产的混凝土按强度等级主要包括C30、C35、C40、C50四个品种，此外，根据高速公路需要生产供应干硬混凝土、高标号混凝土以及轻质混凝土，项目商品混凝土年产量10万m</w:t>
            </w:r>
            <w:r>
              <w:rPr>
                <w:rFonts w:hint="eastAsia" w:ascii="Times New Roman" w:hAnsi="Times New Roman"/>
                <w:color w:val="auto"/>
                <w:spacing w:val="2"/>
                <w:kern w:val="0"/>
                <w:sz w:val="24"/>
                <w:szCs w:val="24"/>
                <w:vertAlign w:val="superscript"/>
                <w:lang w:val="en-US" w:eastAsia="zh-CN"/>
              </w:rPr>
              <w:t>3</w:t>
            </w:r>
            <w:r>
              <w:rPr>
                <w:rFonts w:hint="eastAsia" w:ascii="Times New Roman" w:hAnsi="Times New Roman"/>
                <w:color w:val="auto"/>
                <w:spacing w:val="2"/>
                <w:kern w:val="0"/>
                <w:sz w:val="24"/>
                <w:szCs w:val="24"/>
                <w:lang w:val="en-US" w:eastAsia="zh-CN"/>
              </w:rPr>
              <w:t>，每个品种的产量根据高速公路建设需求调整制定。该项目生产混凝土只用于昆倘高速公路建设，不存在外卖及其他使用情况。</w:t>
            </w:r>
          </w:p>
          <w:p>
            <w:pPr>
              <w:pStyle w:val="2"/>
              <w:numPr>
                <w:ilvl w:val="0"/>
                <w:numId w:val="0"/>
              </w:numPr>
              <w:ind w:firstLine="488" w:firstLineChars="200"/>
              <w:rPr>
                <w:rFonts w:hint="eastAsia" w:ascii="Times New Roman" w:hAnsi="Times New Roman"/>
                <w:color w:val="auto"/>
                <w:spacing w:val="2"/>
                <w:kern w:val="0"/>
                <w:sz w:val="24"/>
                <w:szCs w:val="24"/>
                <w:lang w:val="en-US" w:eastAsia="zh-CN"/>
              </w:rPr>
            </w:pPr>
            <w:r>
              <w:rPr>
                <w:rFonts w:hint="eastAsia" w:ascii="Times New Roman" w:hAnsi="Times New Roman"/>
                <w:color w:val="auto"/>
                <w:spacing w:val="2"/>
                <w:kern w:val="0"/>
                <w:sz w:val="24"/>
                <w:szCs w:val="24"/>
                <w:lang w:val="en-US" w:eastAsia="zh-CN"/>
              </w:rPr>
              <w:t>根据使用材料的特点与质量成本考核的关系选用混凝土配合比。</w:t>
            </w:r>
          </w:p>
          <w:p>
            <w:pPr>
              <w:pStyle w:val="2"/>
              <w:numPr>
                <w:ilvl w:val="0"/>
                <w:numId w:val="0"/>
              </w:numPr>
              <w:ind w:firstLine="488" w:firstLineChars="200"/>
              <w:rPr>
                <w:rFonts w:hint="eastAsia" w:ascii="Times New Roman" w:hAnsi="Times New Roman"/>
                <w:color w:val="auto"/>
                <w:spacing w:val="2"/>
                <w:kern w:val="0"/>
                <w:sz w:val="24"/>
                <w:szCs w:val="24"/>
                <w:lang w:val="en-US" w:eastAsia="zh-CN"/>
              </w:rPr>
            </w:pPr>
            <w:r>
              <w:rPr>
                <w:rFonts w:hint="eastAsia" w:ascii="Times New Roman" w:hAnsi="Times New Roman"/>
                <w:color w:val="auto"/>
                <w:spacing w:val="2"/>
                <w:kern w:val="0"/>
                <w:sz w:val="24"/>
                <w:szCs w:val="24"/>
                <w:lang w:val="en-US" w:eastAsia="zh-CN"/>
              </w:rPr>
              <w:t>混凝土的强度质量应达到下列要求：(最终目标：C20以下的混凝土标准差≤3.0，C20以上的混凝土(含C20)标准差≤3.5）。</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color w:val="auto"/>
                <w:spacing w:val="2"/>
                <w:kern w:val="0"/>
                <w:sz w:val="24"/>
                <w:szCs w:val="24"/>
                <w:lang w:val="en-US" w:eastAsia="zh-CN"/>
              </w:rPr>
            </w:pPr>
            <w:r>
              <w:rPr>
                <w:rFonts w:hint="eastAsia" w:ascii="Times New Roman" w:hAnsi="Times New Roman"/>
                <w:b/>
                <w:bCs/>
                <w:color w:val="auto"/>
                <w:spacing w:val="2"/>
                <w:kern w:val="0"/>
                <w:sz w:val="24"/>
                <w:szCs w:val="24"/>
                <w:lang w:val="en-US" w:eastAsia="zh-CN"/>
              </w:rPr>
              <w:t>表1-3   产品质量标准</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096"/>
              <w:gridCol w:w="900"/>
              <w:gridCol w:w="1650"/>
              <w:gridCol w:w="3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一类目标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强度等级</w:t>
                  </w:r>
                </w:p>
              </w:tc>
              <w:tc>
                <w:tcPr>
                  <w:tcW w:w="6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强度平均值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标准差</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不合格率（强度达不到设计等级的百分率）</w:t>
                  </w:r>
                </w:p>
              </w:tc>
              <w:tc>
                <w:tcPr>
                  <w:tcW w:w="239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C30</w:t>
                  </w:r>
                </w:p>
              </w:tc>
              <w:tc>
                <w:tcPr>
                  <w:tcW w:w="6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35</w:t>
                  </w:r>
                  <w:r>
                    <w:rPr>
                      <w:rFonts w:hint="eastAsia" w:ascii="Times New Roman" w:hAnsi="Times New Roman" w:cs="Times New Roman"/>
                      <w:color w:val="auto"/>
                      <w:spacing w:val="2"/>
                      <w:kern w:val="0"/>
                      <w:sz w:val="21"/>
                      <w:szCs w:val="21"/>
                      <w:lang w:val="en-US" w:eastAsia="zh-CN"/>
                    </w:rPr>
                    <w:t>-</w:t>
                  </w:r>
                  <w:r>
                    <w:rPr>
                      <w:rFonts w:hint="default" w:ascii="Times New Roman" w:hAnsi="Times New Roman" w:cs="Times New Roman"/>
                      <w:color w:val="auto"/>
                      <w:spacing w:val="2"/>
                      <w:kern w:val="0"/>
                      <w:sz w:val="21"/>
                      <w:szCs w:val="21"/>
                      <w:lang w:val="en-US" w:eastAsia="zh-CN"/>
                    </w:rPr>
                    <w:t>37</w:t>
                  </w:r>
                </w:p>
              </w:tc>
              <w:tc>
                <w:tcPr>
                  <w:tcW w:w="545"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3.0-4.0</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&lt; 1%</w:t>
                  </w:r>
                </w:p>
              </w:tc>
              <w:tc>
                <w:tcPr>
                  <w:tcW w:w="2390" w:type="pct"/>
                  <w:vMerge w:val="restar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冬季(12月1日～次年3月15日) 按强度平均值的上限控制；其余时间按强度平均值的下限控制。C50及C50以上强度等级的以单个试块强度为考核。配合比管理正常情况下冬季矿渣替代水泥比例为10%-20%，C30以下的尽量不用；其余时间矿渣替代水泥比例20-30%或者更高，视具体工程而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C35</w:t>
                  </w:r>
                </w:p>
              </w:tc>
              <w:tc>
                <w:tcPr>
                  <w:tcW w:w="6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40.5</w:t>
                  </w:r>
                  <w:r>
                    <w:rPr>
                      <w:rFonts w:hint="eastAsia" w:ascii="Times New Roman" w:hAnsi="Times New Roman" w:cs="Times New Roman"/>
                      <w:color w:val="auto"/>
                      <w:spacing w:val="2"/>
                      <w:kern w:val="0"/>
                      <w:sz w:val="21"/>
                      <w:szCs w:val="21"/>
                      <w:lang w:val="en-US" w:eastAsia="zh-CN"/>
                    </w:rPr>
                    <w:t>-</w:t>
                  </w:r>
                  <w:r>
                    <w:rPr>
                      <w:rFonts w:hint="default" w:ascii="Times New Roman" w:hAnsi="Times New Roman" w:cs="Times New Roman"/>
                      <w:color w:val="auto"/>
                      <w:spacing w:val="2"/>
                      <w:kern w:val="0"/>
                      <w:sz w:val="21"/>
                      <w:szCs w:val="21"/>
                      <w:lang w:val="en-US" w:eastAsia="zh-CN"/>
                    </w:rPr>
                    <w:t>42.5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3.5-4.5</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&lt; 1%</w:t>
                  </w:r>
                </w:p>
              </w:tc>
              <w:tc>
                <w:tcPr>
                  <w:tcW w:w="2390" w:type="pct"/>
                  <w:vMerge w:val="continue"/>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C40</w:t>
                  </w:r>
                </w:p>
              </w:tc>
              <w:tc>
                <w:tcPr>
                  <w:tcW w:w="6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45.5</w:t>
                  </w:r>
                  <w:r>
                    <w:rPr>
                      <w:rFonts w:hint="eastAsia" w:ascii="Times New Roman" w:hAnsi="Times New Roman" w:cs="Times New Roman"/>
                      <w:color w:val="auto"/>
                      <w:spacing w:val="2"/>
                      <w:kern w:val="0"/>
                      <w:sz w:val="21"/>
                      <w:szCs w:val="21"/>
                      <w:lang w:val="en-US" w:eastAsia="zh-CN"/>
                    </w:rPr>
                    <w:t>-</w:t>
                  </w:r>
                  <w:r>
                    <w:rPr>
                      <w:rFonts w:hint="default" w:ascii="Times New Roman" w:hAnsi="Times New Roman" w:cs="Times New Roman"/>
                      <w:color w:val="auto"/>
                      <w:spacing w:val="2"/>
                      <w:kern w:val="0"/>
                      <w:sz w:val="21"/>
                      <w:szCs w:val="21"/>
                      <w:lang w:val="en-US" w:eastAsia="zh-CN"/>
                    </w:rPr>
                    <w:t>47.5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3.5～45</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&lt; 1%</w:t>
                  </w:r>
                </w:p>
              </w:tc>
              <w:tc>
                <w:tcPr>
                  <w:tcW w:w="2390" w:type="pct"/>
                  <w:vMerge w:val="continue"/>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C50</w:t>
                  </w:r>
                </w:p>
              </w:tc>
              <w:tc>
                <w:tcPr>
                  <w:tcW w:w="6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55.5</w:t>
                  </w:r>
                  <w:r>
                    <w:rPr>
                      <w:rFonts w:hint="eastAsia" w:ascii="Times New Roman" w:hAnsi="Times New Roman" w:cs="Times New Roman"/>
                      <w:color w:val="auto"/>
                      <w:spacing w:val="2"/>
                      <w:kern w:val="0"/>
                      <w:sz w:val="21"/>
                      <w:szCs w:val="21"/>
                      <w:lang w:val="en-US" w:eastAsia="zh-CN"/>
                    </w:rPr>
                    <w:t>-</w:t>
                  </w:r>
                  <w:r>
                    <w:rPr>
                      <w:rFonts w:hint="default" w:ascii="Times New Roman" w:hAnsi="Times New Roman" w:cs="Times New Roman"/>
                      <w:color w:val="auto"/>
                      <w:spacing w:val="2"/>
                      <w:kern w:val="0"/>
                      <w:sz w:val="21"/>
                      <w:szCs w:val="21"/>
                      <w:lang w:val="en-US" w:eastAsia="zh-CN"/>
                    </w:rPr>
                    <w:t>57.5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4.0~5.0</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2"/>
                      <w:kern w:val="0"/>
                      <w:sz w:val="21"/>
                      <w:szCs w:val="21"/>
                      <w:lang w:val="en-US" w:eastAsia="zh-CN" w:bidi="ar-SA"/>
                    </w:rPr>
                  </w:pPr>
                  <w:r>
                    <w:rPr>
                      <w:rFonts w:hint="default" w:ascii="Times New Roman" w:hAnsi="Times New Roman" w:cs="Times New Roman"/>
                      <w:color w:val="auto"/>
                      <w:spacing w:val="2"/>
                      <w:kern w:val="0"/>
                      <w:sz w:val="21"/>
                      <w:szCs w:val="21"/>
                      <w:lang w:val="en-US" w:eastAsia="zh-CN"/>
                    </w:rPr>
                    <w:t>0</w:t>
                  </w:r>
                </w:p>
              </w:tc>
              <w:tc>
                <w:tcPr>
                  <w:tcW w:w="2390" w:type="pct"/>
                  <w:vMerge w:val="continue"/>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8" w:type="pct"/>
                  <w:gridSpan w:val="3"/>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强度目标控制范围</w:t>
                  </w:r>
                </w:p>
              </w:tc>
              <w:tc>
                <w:tcPr>
                  <w:tcW w:w="3391" w:type="pct"/>
                  <w:gridSpan w:val="2"/>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设计强度的120%-130%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二类目标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强度等级</w:t>
                  </w:r>
                </w:p>
              </w:tc>
              <w:tc>
                <w:tcPr>
                  <w:tcW w:w="6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强度平均值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标准差</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不合格率（强度达不到设计等级的百分率）</w:t>
                  </w:r>
                </w:p>
              </w:tc>
              <w:tc>
                <w:tcPr>
                  <w:tcW w:w="239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C30</w:t>
                  </w:r>
                </w:p>
              </w:tc>
              <w:tc>
                <w:tcPr>
                  <w:tcW w:w="6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34</w:t>
                  </w:r>
                  <w:r>
                    <w:rPr>
                      <w:rFonts w:hint="eastAsia" w:ascii="Times New Roman" w:hAnsi="Times New Roman" w:cs="Times New Roman"/>
                      <w:color w:val="auto"/>
                      <w:spacing w:val="2"/>
                      <w:kern w:val="0"/>
                      <w:sz w:val="21"/>
                      <w:szCs w:val="21"/>
                      <w:lang w:val="en-US" w:eastAsia="zh-CN"/>
                    </w:rPr>
                    <w:t>-</w:t>
                  </w:r>
                  <w:r>
                    <w:rPr>
                      <w:rFonts w:hint="default" w:ascii="Times New Roman" w:hAnsi="Times New Roman" w:cs="Times New Roman"/>
                      <w:color w:val="auto"/>
                      <w:spacing w:val="2"/>
                      <w:kern w:val="0"/>
                      <w:sz w:val="21"/>
                      <w:szCs w:val="21"/>
                      <w:lang w:val="en-US" w:eastAsia="zh-CN"/>
                    </w:rPr>
                    <w:t>367</w:t>
                  </w:r>
                </w:p>
              </w:tc>
              <w:tc>
                <w:tcPr>
                  <w:tcW w:w="545"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3.0~4.0</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&lt; 1%</w:t>
                  </w:r>
                </w:p>
              </w:tc>
              <w:tc>
                <w:tcPr>
                  <w:tcW w:w="2390" w:type="pct"/>
                  <w:vMerge w:val="restar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冬季（12月1日～次年3月15日）按强度平均值的上限控制；其余时间按强度平均值的下限控制。C50及C50以上强度等级的以单个试块强度为考核。配合比管理：正常情况下冬季矿渣替代水泥比例为10%-20%，C30以下的尽量不用；其余时间矿渣替代水泥比例20--3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C35</w:t>
                  </w:r>
                </w:p>
              </w:tc>
              <w:tc>
                <w:tcPr>
                  <w:tcW w:w="6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39.5</w:t>
                  </w:r>
                  <w:r>
                    <w:rPr>
                      <w:rFonts w:hint="eastAsia" w:ascii="Times New Roman" w:hAnsi="Times New Roman" w:cs="Times New Roman"/>
                      <w:color w:val="auto"/>
                      <w:spacing w:val="2"/>
                      <w:kern w:val="0"/>
                      <w:sz w:val="21"/>
                      <w:szCs w:val="21"/>
                      <w:lang w:val="en-US" w:eastAsia="zh-CN"/>
                    </w:rPr>
                    <w:t>-</w:t>
                  </w:r>
                  <w:r>
                    <w:rPr>
                      <w:rFonts w:hint="default" w:ascii="Times New Roman" w:hAnsi="Times New Roman" w:cs="Times New Roman"/>
                      <w:color w:val="auto"/>
                      <w:spacing w:val="2"/>
                      <w:kern w:val="0"/>
                      <w:sz w:val="21"/>
                      <w:szCs w:val="21"/>
                      <w:lang w:val="en-US" w:eastAsia="zh-CN"/>
                    </w:rPr>
                    <w:t>41.5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3.5~4.5</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&lt; 1%</w:t>
                  </w:r>
                </w:p>
              </w:tc>
              <w:tc>
                <w:tcPr>
                  <w:tcW w:w="2390" w:type="pct"/>
                  <w:vMerge w:val="continue"/>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C40</w:t>
                  </w:r>
                </w:p>
              </w:tc>
              <w:tc>
                <w:tcPr>
                  <w:tcW w:w="6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45</w:t>
                  </w:r>
                  <w:r>
                    <w:rPr>
                      <w:rFonts w:hint="eastAsia" w:ascii="Times New Roman" w:hAnsi="Times New Roman" w:cs="Times New Roman"/>
                      <w:color w:val="auto"/>
                      <w:spacing w:val="2"/>
                      <w:kern w:val="0"/>
                      <w:sz w:val="21"/>
                      <w:szCs w:val="21"/>
                      <w:lang w:val="en-US" w:eastAsia="zh-CN"/>
                    </w:rPr>
                    <w:t>-</w:t>
                  </w:r>
                  <w:r>
                    <w:rPr>
                      <w:rFonts w:hint="default" w:ascii="Times New Roman" w:hAnsi="Times New Roman" w:cs="Times New Roman"/>
                      <w:color w:val="auto"/>
                      <w:spacing w:val="2"/>
                      <w:kern w:val="0"/>
                      <w:sz w:val="21"/>
                      <w:szCs w:val="21"/>
                      <w:lang w:val="en-US" w:eastAsia="zh-CN"/>
                    </w:rPr>
                    <w:t>47</w:t>
                  </w:r>
                </w:p>
              </w:tc>
              <w:tc>
                <w:tcPr>
                  <w:tcW w:w="545"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3.5~45</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&lt; 1%</w:t>
                  </w:r>
                </w:p>
              </w:tc>
              <w:tc>
                <w:tcPr>
                  <w:tcW w:w="2390" w:type="pct"/>
                  <w:vMerge w:val="continue"/>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C50</w:t>
                  </w:r>
                </w:p>
              </w:tc>
              <w:tc>
                <w:tcPr>
                  <w:tcW w:w="664"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55</w:t>
                  </w:r>
                  <w:r>
                    <w:rPr>
                      <w:rFonts w:hint="eastAsia" w:ascii="Times New Roman" w:hAnsi="Times New Roman" w:cs="Times New Roman"/>
                      <w:color w:val="auto"/>
                      <w:spacing w:val="2"/>
                      <w:kern w:val="0"/>
                      <w:sz w:val="21"/>
                      <w:szCs w:val="21"/>
                      <w:lang w:val="en-US" w:eastAsia="zh-CN"/>
                    </w:rPr>
                    <w:t>-</w:t>
                  </w:r>
                  <w:r>
                    <w:rPr>
                      <w:rFonts w:hint="default" w:ascii="Times New Roman" w:hAnsi="Times New Roman" w:cs="Times New Roman"/>
                      <w:color w:val="auto"/>
                      <w:spacing w:val="2"/>
                      <w:kern w:val="0"/>
                      <w:sz w:val="21"/>
                      <w:szCs w:val="21"/>
                      <w:lang w:val="en-US" w:eastAsia="zh-CN"/>
                    </w:rPr>
                    <w:t>57</w:t>
                  </w:r>
                </w:p>
              </w:tc>
              <w:tc>
                <w:tcPr>
                  <w:tcW w:w="545"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4.0~5.0</w:t>
                  </w:r>
                </w:p>
              </w:tc>
              <w:tc>
                <w:tcPr>
                  <w:tcW w:w="1000" w:type="pct"/>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0</w:t>
                  </w:r>
                </w:p>
              </w:tc>
              <w:tc>
                <w:tcPr>
                  <w:tcW w:w="2390" w:type="pct"/>
                  <w:vMerge w:val="continue"/>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8" w:type="pct"/>
                  <w:gridSpan w:val="3"/>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强度目标控制范围</w:t>
                  </w:r>
                </w:p>
              </w:tc>
              <w:tc>
                <w:tcPr>
                  <w:tcW w:w="3391" w:type="pct"/>
                  <w:gridSpan w:val="2"/>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2"/>
                      <w:kern w:val="0"/>
                      <w:sz w:val="21"/>
                      <w:szCs w:val="21"/>
                      <w:lang w:val="en-US" w:eastAsia="zh-CN"/>
                    </w:rPr>
                  </w:pPr>
                  <w:r>
                    <w:rPr>
                      <w:rFonts w:hint="default" w:ascii="Times New Roman" w:hAnsi="Times New Roman" w:cs="Times New Roman"/>
                      <w:color w:val="auto"/>
                      <w:spacing w:val="2"/>
                      <w:kern w:val="0"/>
                      <w:sz w:val="21"/>
                      <w:szCs w:val="21"/>
                      <w:lang w:val="en-US" w:eastAsia="zh-CN"/>
                    </w:rPr>
                    <w:t>设计强度的110%—120%</w:t>
                  </w:r>
                </w:p>
              </w:tc>
            </w:tr>
          </w:tbl>
          <w:p>
            <w:pPr>
              <w:keepNext w:val="0"/>
              <w:keepLines w:val="0"/>
              <w:pageBreakBefore w:val="0"/>
              <w:widowControl w:val="0"/>
              <w:numPr>
                <w:ilvl w:val="0"/>
                <w:numId w:val="2"/>
              </w:numPr>
              <w:tabs>
                <w:tab w:val="left" w:pos="2395"/>
              </w:tabs>
              <w:kinsoku/>
              <w:wordWrap/>
              <w:overflowPunct/>
              <w:topLinePunct w:val="0"/>
              <w:autoSpaceDE/>
              <w:autoSpaceDN/>
              <w:bidi w:val="0"/>
              <w:adjustRightInd w:val="0"/>
              <w:snapToGrid w:val="0"/>
              <w:spacing w:line="360" w:lineRule="auto"/>
              <w:ind w:left="0" w:leftChars="0" w:firstLine="488" w:firstLineChars="200"/>
              <w:jc w:val="both"/>
              <w:textAlignment w:val="auto"/>
              <w:rPr>
                <w:rFonts w:hint="eastAsia" w:ascii="Times New Roman" w:hAnsi="Times New Roman"/>
                <w:b w:val="0"/>
                <w:bCs w:val="0"/>
                <w:color w:val="auto"/>
                <w:spacing w:val="2"/>
                <w:kern w:val="0"/>
                <w:sz w:val="24"/>
                <w:szCs w:val="24"/>
                <w:lang w:val="en-US" w:eastAsia="zh-CN"/>
              </w:rPr>
            </w:pPr>
            <w:r>
              <w:rPr>
                <w:rFonts w:hint="eastAsia" w:ascii="Times New Roman" w:hAnsi="Times New Roman"/>
                <w:b w:val="0"/>
                <w:bCs w:val="0"/>
                <w:color w:val="auto"/>
                <w:spacing w:val="2"/>
                <w:kern w:val="0"/>
                <w:sz w:val="24"/>
                <w:szCs w:val="24"/>
                <w:lang w:val="en-US" w:eastAsia="zh-CN"/>
              </w:rPr>
              <w:t>钢筋</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color w:val="auto"/>
                <w:sz w:val="24"/>
                <w:szCs w:val="24"/>
                <w:lang w:val="en-US" w:eastAsia="zh-CN"/>
              </w:rPr>
            </w:pPr>
            <w:r>
              <w:rPr>
                <w:rFonts w:hint="eastAsia"/>
                <w:color w:val="auto"/>
                <w:sz w:val="24"/>
                <w:szCs w:val="24"/>
                <w:lang w:val="en-US" w:eastAsia="zh-CN"/>
              </w:rPr>
              <w:t>项目加工的钢筋主要用于高速公路建设，主要通过加工成品钢筋生产各种型号的钢筋笼、钢筋段。不同型号的钢筋产品量根据高速公路的建设需求进行调整制定，不存在外卖及其他使用情况。</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color w:val="auto"/>
                <w:sz w:val="24"/>
                <w:szCs w:val="24"/>
                <w:lang w:val="en-US" w:eastAsia="zh-CN"/>
              </w:rPr>
            </w:pPr>
            <w:r>
              <w:rPr>
                <w:rFonts w:hint="eastAsia"/>
                <w:color w:val="auto"/>
                <w:sz w:val="24"/>
                <w:szCs w:val="24"/>
                <w:lang w:val="en-US" w:eastAsia="zh-CN"/>
              </w:rPr>
              <w:t>钢筋笼主要生产直径</w:t>
            </w:r>
            <w:r>
              <w:rPr>
                <w:rFonts w:hint="default" w:ascii="Times New Roman" w:hAnsi="Times New Roman" w:cs="Times New Roman"/>
                <w:color w:val="auto"/>
                <w:sz w:val="24"/>
                <w:szCs w:val="24"/>
                <w:lang w:val="en-US" w:eastAsia="zh-CN"/>
              </w:rPr>
              <w:t>1.7、1.9、2.1</w:t>
            </w:r>
            <w:r>
              <w:rPr>
                <w:rFonts w:hint="eastAsia"/>
                <w:color w:val="auto"/>
                <w:sz w:val="24"/>
                <w:szCs w:val="24"/>
                <w:lang w:val="en-US" w:eastAsia="zh-CN"/>
              </w:rPr>
              <w:t>米几个尺寸，长度根据钢筋长度来定，有</w:t>
            </w:r>
            <w:r>
              <w:rPr>
                <w:rFonts w:hint="default" w:ascii="Times New Roman" w:hAnsi="Times New Roman" w:cs="Times New Roman"/>
                <w:color w:val="auto"/>
                <w:sz w:val="24"/>
                <w:szCs w:val="24"/>
                <w:lang w:val="en-US" w:eastAsia="zh-CN"/>
              </w:rPr>
              <w:t>12米和9米的</w:t>
            </w:r>
            <w:r>
              <w:rPr>
                <w:rFonts w:hint="eastAsia" w:ascii="Times New Roman" w:hAnsi="Times New Roman" w:cs="Times New Roman"/>
                <w:color w:val="auto"/>
                <w:sz w:val="24"/>
                <w:szCs w:val="24"/>
                <w:lang w:val="en-US" w:eastAsia="zh-CN"/>
              </w:rPr>
              <w:t>，其他钢筋段为零散钢筋，具体尺寸根据现场施工进行调整。</w:t>
            </w:r>
          </w:p>
          <w:p>
            <w:pPr>
              <w:keepNext w:val="0"/>
              <w:keepLines w:val="0"/>
              <w:pageBreakBefore w:val="0"/>
              <w:widowControl w:val="0"/>
              <w:tabs>
                <w:tab w:val="left" w:pos="2395"/>
              </w:tabs>
              <w:kinsoku/>
              <w:wordWrap/>
              <w:overflowPunct/>
              <w:topLinePunct w:val="0"/>
              <w:autoSpaceDE/>
              <w:autoSpaceDN/>
              <w:bidi w:val="0"/>
              <w:adjustRightInd w:val="0"/>
              <w:snapToGrid w:val="0"/>
              <w:spacing w:line="360" w:lineRule="auto"/>
              <w:jc w:val="left"/>
              <w:textAlignment w:val="auto"/>
              <w:rPr>
                <w:rFonts w:ascii="Times New Roman" w:hAnsi="Times New Roman"/>
                <w:b/>
                <w:bCs/>
                <w:color w:val="auto"/>
                <w:spacing w:val="2"/>
                <w:kern w:val="0"/>
                <w:sz w:val="24"/>
                <w:szCs w:val="24"/>
              </w:rPr>
            </w:pPr>
            <w:r>
              <w:rPr>
                <w:rFonts w:hint="eastAsia" w:ascii="Times New Roman" w:hAnsi="Times New Roman"/>
                <w:b/>
                <w:bCs/>
                <w:color w:val="auto"/>
                <w:spacing w:val="2"/>
                <w:kern w:val="0"/>
                <w:sz w:val="24"/>
                <w:szCs w:val="24"/>
                <w:lang w:val="en-US" w:eastAsia="zh-CN"/>
              </w:rPr>
              <w:t>5</w:t>
            </w:r>
            <w:r>
              <w:rPr>
                <w:rFonts w:hint="eastAsia" w:ascii="Times New Roman" w:hAnsi="Times New Roman"/>
                <w:b/>
                <w:bCs/>
                <w:color w:val="auto"/>
                <w:spacing w:val="2"/>
                <w:kern w:val="0"/>
                <w:sz w:val="24"/>
                <w:szCs w:val="24"/>
              </w:rPr>
              <w:t>、</w:t>
            </w:r>
            <w:r>
              <w:rPr>
                <w:rFonts w:ascii="Times New Roman" w:hAnsi="Times New Roman"/>
                <w:b/>
                <w:bCs/>
                <w:color w:val="auto"/>
                <w:spacing w:val="2"/>
                <w:kern w:val="0"/>
                <w:sz w:val="24"/>
                <w:szCs w:val="24"/>
              </w:rPr>
              <w:t>主要建设内容</w:t>
            </w:r>
          </w:p>
          <w:p>
            <w:pPr>
              <w:autoSpaceDE w:val="0"/>
              <w:autoSpaceDN w:val="0"/>
              <w:adjustRightInd w:val="0"/>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拟</w:t>
            </w:r>
            <w:r>
              <w:rPr>
                <w:rFonts w:ascii="Times New Roman" w:hAnsi="Times New Roman"/>
                <w:color w:val="auto"/>
                <w:sz w:val="24"/>
                <w:szCs w:val="24"/>
              </w:rPr>
              <w:t>建项目位于富明县东村镇西村村</w:t>
            </w:r>
            <w:r>
              <w:rPr>
                <w:rFonts w:hint="eastAsia" w:ascii="Times New Roman" w:hAnsi="Times New Roman"/>
                <w:color w:val="auto"/>
                <w:sz w:val="24"/>
                <w:szCs w:val="24"/>
                <w:lang w:eastAsia="zh-CN"/>
              </w:rPr>
              <w:t>，</w:t>
            </w:r>
            <w:r>
              <w:rPr>
                <w:rFonts w:hint="eastAsia" w:ascii="Times New Roman" w:hAnsi="Times New Roman"/>
                <w:color w:val="auto"/>
                <w:sz w:val="24"/>
                <w:szCs w:val="24"/>
              </w:rPr>
              <w:t>昆明至倘甸高速公路线路K45+860左侧100米处</w:t>
            </w:r>
            <w:r>
              <w:rPr>
                <w:rFonts w:ascii="Times New Roman" w:hAnsi="Times New Roman"/>
                <w:color w:val="auto"/>
                <w:sz w:val="24"/>
                <w:szCs w:val="24"/>
              </w:rPr>
              <w:t>，占地面积35566.667m</w:t>
            </w:r>
            <w:r>
              <w:rPr>
                <w:rFonts w:ascii="Times New Roman" w:hAnsi="Times New Roman"/>
                <w:color w:val="auto"/>
                <w:sz w:val="24"/>
                <w:szCs w:val="24"/>
                <w:vertAlign w:val="superscript"/>
              </w:rPr>
              <w:t>2</w:t>
            </w:r>
            <w:r>
              <w:rPr>
                <w:rFonts w:hint="eastAsia" w:ascii="Times New Roman" w:hAnsi="Times New Roman"/>
                <w:color w:val="auto"/>
                <w:sz w:val="24"/>
                <w:szCs w:val="24"/>
              </w:rPr>
              <w:t>（53.35亩）</w:t>
            </w:r>
            <w:r>
              <w:rPr>
                <w:rFonts w:ascii="Times New Roman" w:hAnsi="Times New Roman"/>
                <w:color w:val="auto"/>
                <w:sz w:val="24"/>
                <w:szCs w:val="24"/>
              </w:rPr>
              <w:t>，其中混凝土拌合站占地面积6900</w:t>
            </w:r>
            <w:r>
              <w:rPr>
                <w:rFonts w:hint="eastAsia" w:ascii="Times New Roman" w:hAnsi="Times New Roman"/>
                <w:color w:val="auto"/>
                <w:sz w:val="24"/>
                <w:szCs w:val="24"/>
              </w:rPr>
              <w:t>m</w:t>
            </w:r>
            <w:r>
              <w:rPr>
                <w:rFonts w:hint="eastAsia" w:ascii="Times New Roman" w:hAnsi="Times New Roman"/>
                <w:color w:val="auto"/>
                <w:sz w:val="24"/>
                <w:szCs w:val="24"/>
                <w:vertAlign w:val="superscript"/>
              </w:rPr>
              <w:t>2</w:t>
            </w:r>
            <w:r>
              <w:rPr>
                <w:rFonts w:ascii="Times New Roman" w:hAnsi="Times New Roman"/>
                <w:color w:val="auto"/>
                <w:sz w:val="24"/>
                <w:szCs w:val="24"/>
              </w:rPr>
              <w:t>，钢筋加工场占地1500</w:t>
            </w:r>
            <w:r>
              <w:rPr>
                <w:rFonts w:hint="eastAsia" w:ascii="Times New Roman" w:hAnsi="Times New Roman"/>
                <w:color w:val="auto"/>
                <w:sz w:val="24"/>
                <w:szCs w:val="24"/>
              </w:rPr>
              <w:t>m</w:t>
            </w:r>
            <w:r>
              <w:rPr>
                <w:rFonts w:hint="eastAsia" w:ascii="Times New Roman" w:hAnsi="Times New Roman"/>
                <w:color w:val="auto"/>
                <w:sz w:val="24"/>
                <w:szCs w:val="24"/>
                <w:vertAlign w:val="superscript"/>
              </w:rPr>
              <w:t>2</w:t>
            </w:r>
            <w:r>
              <w:rPr>
                <w:rFonts w:hint="eastAsia" w:ascii="Times New Roman" w:hAnsi="Times New Roman"/>
                <w:color w:val="auto"/>
                <w:sz w:val="24"/>
                <w:szCs w:val="24"/>
              </w:rPr>
              <w:t>。</w:t>
            </w:r>
            <w:r>
              <w:rPr>
                <w:rFonts w:ascii="Times New Roman" w:hAnsi="Times New Roman"/>
                <w:color w:val="auto"/>
                <w:sz w:val="24"/>
                <w:szCs w:val="24"/>
              </w:rPr>
              <w:t>建设内容</w:t>
            </w:r>
            <w:r>
              <w:rPr>
                <w:rFonts w:hint="eastAsia" w:ascii="Times New Roman" w:hAnsi="Times New Roman"/>
                <w:color w:val="auto"/>
                <w:sz w:val="24"/>
                <w:szCs w:val="24"/>
              </w:rPr>
              <w:t>分为主体工程、辅助工程、储运工程、公用工程、环保工程。主体工程为混凝土拌合站、钢筋加工场；辅助工程</w:t>
            </w:r>
            <w:r>
              <w:rPr>
                <w:rFonts w:ascii="Times New Roman" w:hAnsi="Times New Roman"/>
                <w:color w:val="auto"/>
                <w:sz w:val="24"/>
                <w:szCs w:val="24"/>
              </w:rPr>
              <w:t>主要有实验室、办公楼、宿舍、食堂、</w:t>
            </w:r>
            <w:r>
              <w:rPr>
                <w:rFonts w:hint="eastAsia" w:ascii="Times New Roman" w:hAnsi="Times New Roman"/>
                <w:color w:val="auto"/>
                <w:sz w:val="24"/>
                <w:szCs w:val="24"/>
              </w:rPr>
              <w:t>机修车间；储运工程主要有水泥料仓、粉煤灰料仓、储水池、碎石堆棚、机制砂堆棚、河沙堆棚、钢筋原料堆区、钢筋成品堆放区；公用工程包括给水、排水、供电、消防系统；环保工程包括一个四级沉淀池、一个</w:t>
            </w:r>
            <w:r>
              <w:rPr>
                <w:rFonts w:hint="eastAsia" w:ascii="Times New Roman" w:hAnsi="Times New Roman"/>
                <w:color w:val="auto"/>
                <w:sz w:val="24"/>
                <w:szCs w:val="24"/>
                <w:lang w:eastAsia="zh-CN"/>
              </w:rPr>
              <w:t>蓄水池</w:t>
            </w:r>
            <w:r>
              <w:rPr>
                <w:rFonts w:hint="eastAsia" w:ascii="Times New Roman" w:hAnsi="Times New Roman"/>
                <w:color w:val="auto"/>
                <w:sz w:val="24"/>
                <w:szCs w:val="24"/>
              </w:rPr>
              <w:t>、一个隔油池、一个化粪池、</w:t>
            </w:r>
            <w:r>
              <w:rPr>
                <w:rFonts w:hint="eastAsia" w:ascii="Times New Roman" w:hAnsi="Times New Roman"/>
                <w:color w:val="auto"/>
                <w:sz w:val="24"/>
                <w:szCs w:val="24"/>
                <w:lang w:eastAsia="zh-CN"/>
              </w:rPr>
              <w:t>一个中水处理站、</w:t>
            </w:r>
            <w:r>
              <w:rPr>
                <w:rFonts w:hint="eastAsia" w:ascii="Times New Roman" w:hAnsi="Times New Roman"/>
                <w:color w:val="auto"/>
                <w:sz w:val="24"/>
                <w:szCs w:val="24"/>
              </w:rPr>
              <w:t>一个初期雨水收集池、</w:t>
            </w:r>
            <w:r>
              <w:rPr>
                <w:rFonts w:hint="eastAsia" w:ascii="Times New Roman" w:hAnsi="Times New Roman"/>
                <w:color w:val="auto"/>
                <w:sz w:val="24"/>
                <w:szCs w:val="24"/>
                <w:lang w:eastAsia="zh-CN"/>
              </w:rPr>
              <w:t>十二</w:t>
            </w:r>
            <w:r>
              <w:rPr>
                <w:rFonts w:hint="eastAsia" w:ascii="Times New Roman" w:hAnsi="Times New Roman"/>
                <w:color w:val="auto"/>
                <w:sz w:val="24"/>
                <w:szCs w:val="24"/>
              </w:rPr>
              <w:t>套布袋除尘、</w:t>
            </w:r>
            <w:r>
              <w:rPr>
                <w:rFonts w:hint="eastAsia" w:ascii="Times New Roman" w:hAnsi="Times New Roman"/>
                <w:color w:val="auto"/>
                <w:sz w:val="24"/>
                <w:szCs w:val="24"/>
                <w:lang w:eastAsia="zh-CN"/>
              </w:rPr>
              <w:t>十二个排气筒、</w:t>
            </w:r>
            <w:r>
              <w:rPr>
                <w:rFonts w:hint="eastAsia" w:ascii="Times New Roman" w:hAnsi="Times New Roman"/>
                <w:color w:val="auto"/>
                <w:sz w:val="24"/>
                <w:szCs w:val="24"/>
              </w:rPr>
              <w:t>一套油烟净化设备、一个危废暂存间等。</w:t>
            </w:r>
            <w:r>
              <w:rPr>
                <w:rFonts w:ascii="Times New Roman" w:hAnsi="Times New Roman"/>
                <w:color w:val="auto"/>
                <w:sz w:val="24"/>
                <w:szCs w:val="24"/>
              </w:rPr>
              <w:t>项目工程一览表见表1</w:t>
            </w:r>
            <w:r>
              <w:rPr>
                <w:rFonts w:hint="eastAsia" w:ascii="Times New Roman" w:hAnsi="Times New Roman"/>
                <w:color w:val="auto"/>
                <w:sz w:val="24"/>
                <w:szCs w:val="24"/>
              </w:rPr>
              <w:t>-</w:t>
            </w:r>
            <w:r>
              <w:rPr>
                <w:rFonts w:hint="eastAsia" w:ascii="Times New Roman" w:hAnsi="Times New Roman"/>
                <w:color w:val="auto"/>
                <w:sz w:val="24"/>
                <w:szCs w:val="24"/>
                <w:lang w:val="en-US" w:eastAsia="zh-CN"/>
              </w:rPr>
              <w:t>4</w:t>
            </w:r>
            <w:r>
              <w:rPr>
                <w:rFonts w:ascii="Times New Roman" w:hAnsi="Times New Roman"/>
                <w:color w:val="auto"/>
                <w:sz w:val="24"/>
                <w:szCs w:val="24"/>
              </w:rPr>
              <w:t>。</w:t>
            </w:r>
          </w:p>
          <w:p>
            <w:pPr>
              <w:jc w:val="center"/>
              <w:rPr>
                <w:rFonts w:ascii="Times New Roman" w:hAnsi="Times New Roman"/>
                <w:b/>
                <w:bCs/>
                <w:color w:val="auto"/>
                <w:sz w:val="24"/>
                <w:szCs w:val="24"/>
              </w:rPr>
            </w:pPr>
            <w:r>
              <w:rPr>
                <w:rFonts w:ascii="Times New Roman" w:hAnsi="Times New Roman"/>
                <w:b/>
                <w:bCs/>
                <w:color w:val="auto"/>
                <w:sz w:val="24"/>
                <w:szCs w:val="24"/>
              </w:rPr>
              <w:t>表1-</w:t>
            </w:r>
            <w:r>
              <w:rPr>
                <w:rFonts w:hint="eastAsia" w:ascii="Times New Roman" w:hAnsi="Times New Roman"/>
                <w:b/>
                <w:bCs/>
                <w:color w:val="auto"/>
                <w:sz w:val="24"/>
                <w:szCs w:val="24"/>
                <w:lang w:val="en-US" w:eastAsia="zh-CN"/>
              </w:rPr>
              <w:t>4</w:t>
            </w:r>
            <w:r>
              <w:rPr>
                <w:rFonts w:ascii="Times New Roman" w:hAnsi="Times New Roman"/>
                <w:b/>
                <w:bCs/>
                <w:color w:val="auto"/>
                <w:sz w:val="24"/>
                <w:szCs w:val="24"/>
              </w:rPr>
              <w:t xml:space="preserve"> 工程组成一览表</w:t>
            </w:r>
          </w:p>
          <w:tbl>
            <w:tblPr>
              <w:tblStyle w:val="43"/>
              <w:tblW w:w="82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818"/>
              <w:gridCol w:w="1194"/>
              <w:gridCol w:w="4450"/>
              <w:gridCol w:w="13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250" w:type="dxa"/>
                  <w:gridSpan w:val="2"/>
                  <w:vAlign w:val="center"/>
                </w:tcPr>
                <w:p>
                  <w:pPr>
                    <w:pStyle w:val="267"/>
                    <w:spacing w:line="245" w:lineRule="auto"/>
                    <w:ind w:left="123"/>
                    <w:jc w:val="center"/>
                    <w:rPr>
                      <w:rFonts w:ascii="Times New Roman" w:hAnsi="Times New Roman"/>
                      <w:color w:val="auto"/>
                    </w:rPr>
                  </w:pPr>
                  <w:r>
                    <w:rPr>
                      <w:rFonts w:ascii="Times New Roman" w:hAnsi="Times New Roman"/>
                      <w:color w:val="auto"/>
                    </w:rPr>
                    <w:t>项目名称</w:t>
                  </w:r>
                </w:p>
              </w:tc>
              <w:tc>
                <w:tcPr>
                  <w:tcW w:w="5644" w:type="dxa"/>
                  <w:gridSpan w:val="2"/>
                  <w:vAlign w:val="center"/>
                </w:tcPr>
                <w:p>
                  <w:pPr>
                    <w:pStyle w:val="267"/>
                    <w:spacing w:line="245" w:lineRule="auto"/>
                    <w:ind w:left="123"/>
                    <w:jc w:val="center"/>
                    <w:rPr>
                      <w:rFonts w:ascii="Times New Roman" w:hAnsi="Times New Roman"/>
                      <w:color w:val="auto"/>
                    </w:rPr>
                  </w:pPr>
                  <w:r>
                    <w:rPr>
                      <w:rFonts w:ascii="Times New Roman" w:hAnsi="Times New Roman"/>
                      <w:color w:val="auto"/>
                    </w:rPr>
                    <w:t>建设内容</w:t>
                  </w:r>
                </w:p>
              </w:tc>
              <w:tc>
                <w:tcPr>
                  <w:tcW w:w="1349" w:type="dxa"/>
                  <w:vAlign w:val="center"/>
                </w:tcPr>
                <w:p>
                  <w:pPr>
                    <w:pStyle w:val="267"/>
                    <w:spacing w:line="245" w:lineRule="auto"/>
                    <w:ind w:left="123"/>
                    <w:jc w:val="center"/>
                    <w:rPr>
                      <w:rFonts w:ascii="Times New Roman" w:hAnsi="Times New Roman"/>
                      <w:color w:val="auto"/>
                    </w:rPr>
                  </w:pPr>
                  <w:r>
                    <w:rPr>
                      <w:rFonts w:ascii="Times New Roman" w:hAnsi="Times New Roman"/>
                      <w:color w:val="auto"/>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432" w:type="dxa"/>
                  <w:vMerge w:val="restart"/>
                  <w:vAlign w:val="center"/>
                </w:tcPr>
                <w:p>
                  <w:pPr>
                    <w:pStyle w:val="267"/>
                    <w:spacing w:line="245" w:lineRule="auto"/>
                    <w:jc w:val="center"/>
                    <w:rPr>
                      <w:rFonts w:ascii="Times New Roman" w:hAnsi="Times New Roman"/>
                      <w:color w:val="auto"/>
                    </w:rPr>
                  </w:pPr>
                  <w:r>
                    <w:rPr>
                      <w:rFonts w:ascii="Times New Roman" w:hAnsi="Times New Roman"/>
                      <w:color w:val="auto"/>
                    </w:rPr>
                    <w:t>主体 工程</w:t>
                  </w:r>
                </w:p>
              </w:tc>
              <w:tc>
                <w:tcPr>
                  <w:tcW w:w="818" w:type="dxa"/>
                  <w:vAlign w:val="center"/>
                </w:tcPr>
                <w:p>
                  <w:pPr>
                    <w:pStyle w:val="267"/>
                    <w:spacing w:line="245" w:lineRule="auto"/>
                    <w:jc w:val="center"/>
                    <w:rPr>
                      <w:rFonts w:ascii="Times New Roman" w:hAnsi="Times New Roman"/>
                      <w:color w:val="auto"/>
                    </w:rPr>
                  </w:pPr>
                  <w:r>
                    <w:rPr>
                      <w:rFonts w:ascii="Times New Roman" w:hAnsi="Times New Roman"/>
                      <w:color w:val="auto"/>
                    </w:rPr>
                    <w:t>混凝土拌合站</w:t>
                  </w:r>
                </w:p>
              </w:tc>
              <w:tc>
                <w:tcPr>
                  <w:tcW w:w="5644" w:type="dxa"/>
                  <w:gridSpan w:val="2"/>
                  <w:vAlign w:val="center"/>
                </w:tcPr>
                <w:p>
                  <w:pPr>
                    <w:pStyle w:val="267"/>
                    <w:spacing w:line="245" w:lineRule="auto"/>
                    <w:jc w:val="center"/>
                    <w:rPr>
                      <w:rFonts w:ascii="Times New Roman" w:hAnsi="Times New Roman"/>
                      <w:color w:val="auto"/>
                    </w:rPr>
                  </w:pPr>
                  <w:r>
                    <w:rPr>
                      <w:rFonts w:ascii="Times New Roman" w:hAnsi="Times New Roman"/>
                      <w:color w:val="auto"/>
                    </w:rPr>
                    <w:t>混凝土拌合站划分砂石料存放区域</w:t>
                  </w:r>
                  <w:r>
                    <w:rPr>
                      <w:rFonts w:hint="eastAsia" w:ascii="Times New Roman" w:hAnsi="Times New Roman"/>
                      <w:color w:val="auto"/>
                    </w:rPr>
                    <w:t>、</w:t>
                  </w:r>
                  <w:r>
                    <w:rPr>
                      <w:rFonts w:ascii="Times New Roman" w:hAnsi="Times New Roman"/>
                      <w:color w:val="auto"/>
                    </w:rPr>
                    <w:t>材料计量区、混凝土拌合站作业区、材料机具库、、混凝土运输车辆停放区</w:t>
                  </w:r>
                  <w:r>
                    <w:rPr>
                      <w:rFonts w:hint="eastAsia" w:ascii="Times New Roman" w:hAnsi="Times New Roman"/>
                      <w:color w:val="auto"/>
                    </w:rPr>
                    <w:t>。</w:t>
                  </w:r>
                </w:p>
              </w:tc>
              <w:tc>
                <w:tcPr>
                  <w:tcW w:w="1349" w:type="dxa"/>
                  <w:vAlign w:val="center"/>
                </w:tcPr>
                <w:p>
                  <w:pPr>
                    <w:pStyle w:val="267"/>
                    <w:spacing w:line="245" w:lineRule="auto"/>
                    <w:jc w:val="center"/>
                    <w:rPr>
                      <w:rFonts w:hint="default" w:ascii="Times New Roman" w:hAnsi="Times New Roman" w:eastAsia="宋体"/>
                      <w:color w:val="auto"/>
                      <w:lang w:val="en-US" w:eastAsia="zh-CN"/>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32" w:type="dxa"/>
                  <w:vMerge w:val="continue"/>
                  <w:vAlign w:val="center"/>
                </w:tcPr>
                <w:p>
                  <w:pPr>
                    <w:pStyle w:val="267"/>
                    <w:spacing w:line="245" w:lineRule="auto"/>
                    <w:jc w:val="center"/>
                    <w:rPr>
                      <w:rFonts w:ascii="Times New Roman" w:hAnsi="Times New Roman"/>
                      <w:color w:val="auto"/>
                    </w:rPr>
                  </w:pPr>
                </w:p>
              </w:tc>
              <w:tc>
                <w:tcPr>
                  <w:tcW w:w="818" w:type="dxa"/>
                  <w:vAlign w:val="center"/>
                </w:tcPr>
                <w:p>
                  <w:pPr>
                    <w:pStyle w:val="267"/>
                    <w:spacing w:line="245" w:lineRule="auto"/>
                    <w:jc w:val="center"/>
                    <w:rPr>
                      <w:rFonts w:ascii="Times New Roman" w:hAnsi="Times New Roman"/>
                      <w:color w:val="auto"/>
                    </w:rPr>
                  </w:pPr>
                  <w:r>
                    <w:rPr>
                      <w:rFonts w:ascii="Times New Roman" w:hAnsi="Times New Roman"/>
                      <w:color w:val="auto"/>
                    </w:rPr>
                    <w:t>钢筋加工场</w:t>
                  </w:r>
                </w:p>
              </w:tc>
              <w:tc>
                <w:tcPr>
                  <w:tcW w:w="5644" w:type="dxa"/>
                  <w:gridSpan w:val="2"/>
                  <w:vAlign w:val="center"/>
                </w:tcPr>
                <w:p>
                  <w:pPr>
                    <w:pStyle w:val="267"/>
                    <w:spacing w:line="245" w:lineRule="auto"/>
                    <w:jc w:val="center"/>
                    <w:rPr>
                      <w:rFonts w:ascii="Times New Roman" w:hAnsi="Times New Roman"/>
                      <w:color w:val="auto"/>
                    </w:rPr>
                  </w:pPr>
                  <w:r>
                    <w:rPr>
                      <w:rFonts w:ascii="Times New Roman" w:hAnsi="Times New Roman"/>
                      <w:color w:val="auto"/>
                    </w:rPr>
                    <w:t>钢筋加工厂包括两条钢筋笼生产线、一条钢筋弯曲机及钢筋剪切生产线。</w:t>
                  </w:r>
                </w:p>
              </w:tc>
              <w:tc>
                <w:tcPr>
                  <w:tcW w:w="1349" w:type="dxa"/>
                  <w:vAlign w:val="center"/>
                </w:tcPr>
                <w:p>
                  <w:pPr>
                    <w:pStyle w:val="267"/>
                    <w:spacing w:line="245" w:lineRule="auto"/>
                    <w:jc w:val="both"/>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432" w:type="dxa"/>
                  <w:vMerge w:val="restart"/>
                  <w:vAlign w:val="center"/>
                </w:tcPr>
                <w:p>
                  <w:pPr>
                    <w:pStyle w:val="267"/>
                    <w:spacing w:line="245" w:lineRule="auto"/>
                    <w:jc w:val="center"/>
                    <w:rPr>
                      <w:rFonts w:ascii="Times New Roman" w:hAnsi="Times New Roman"/>
                      <w:color w:val="auto"/>
                    </w:rPr>
                  </w:pPr>
                  <w:r>
                    <w:rPr>
                      <w:rFonts w:ascii="Times New Roman" w:hAnsi="Times New Roman"/>
                      <w:color w:val="auto"/>
                    </w:rPr>
                    <w:t>辅助工程</w:t>
                  </w:r>
                </w:p>
                <w:p>
                  <w:pPr>
                    <w:jc w:val="center"/>
                    <w:rPr>
                      <w:rFonts w:ascii="Times New Roman" w:hAnsi="Times New Roman"/>
                      <w:color w:val="auto"/>
                    </w:rPr>
                  </w:pPr>
                </w:p>
              </w:tc>
              <w:tc>
                <w:tcPr>
                  <w:tcW w:w="818" w:type="dxa"/>
                  <w:vAlign w:val="center"/>
                </w:tcPr>
                <w:p>
                  <w:pPr>
                    <w:pStyle w:val="267"/>
                    <w:spacing w:line="245" w:lineRule="auto"/>
                    <w:jc w:val="center"/>
                    <w:rPr>
                      <w:rFonts w:ascii="Times New Roman" w:hAnsi="Times New Roman"/>
                      <w:color w:val="auto"/>
                    </w:rPr>
                  </w:pPr>
                  <w:r>
                    <w:rPr>
                      <w:rFonts w:ascii="Times New Roman" w:hAnsi="Times New Roman"/>
                      <w:color w:val="auto"/>
                    </w:rPr>
                    <w:t>实验室</w:t>
                  </w:r>
                </w:p>
              </w:tc>
              <w:tc>
                <w:tcPr>
                  <w:tcW w:w="5644" w:type="dxa"/>
                  <w:gridSpan w:val="2"/>
                  <w:vAlign w:val="center"/>
                </w:tcPr>
                <w:p>
                  <w:pPr>
                    <w:pStyle w:val="267"/>
                    <w:spacing w:line="245" w:lineRule="auto"/>
                    <w:jc w:val="center"/>
                    <w:rPr>
                      <w:rFonts w:hint="eastAsia" w:ascii="Times New Roman" w:hAnsi="Times New Roman" w:eastAsia="宋体"/>
                      <w:color w:val="auto"/>
                      <w:lang w:eastAsia="zh-CN"/>
                    </w:rPr>
                  </w:pPr>
                  <w:r>
                    <w:rPr>
                      <w:rFonts w:ascii="Times New Roman" w:hAnsi="Times New Roman"/>
                      <w:color w:val="auto"/>
                    </w:rPr>
                    <w:t>位于混凝土拌合站东面，占地面积600m</w:t>
                  </w:r>
                  <w:r>
                    <w:rPr>
                      <w:rFonts w:ascii="Times New Roman" w:hAnsi="Times New Roman"/>
                      <w:color w:val="auto"/>
                      <w:vertAlign w:val="superscript"/>
                    </w:rPr>
                    <w:t>2</w:t>
                  </w:r>
                  <w:r>
                    <w:rPr>
                      <w:rFonts w:hint="eastAsia" w:ascii="Times New Roman" w:hAnsi="Times New Roman"/>
                      <w:color w:val="auto"/>
                      <w:lang w:eastAsia="zh-CN"/>
                    </w:rPr>
                    <w:t>，</w:t>
                  </w:r>
                  <w:r>
                    <w:rPr>
                      <w:rFonts w:ascii="Times New Roman" w:hAnsi="Times New Roman"/>
                      <w:color w:val="auto"/>
                    </w:rPr>
                    <w:t>用于混凝土</w:t>
                  </w:r>
                  <w:r>
                    <w:rPr>
                      <w:rFonts w:hint="eastAsia" w:ascii="Times New Roman" w:hAnsi="Times New Roman"/>
                      <w:color w:val="auto"/>
                    </w:rPr>
                    <w:t>、</w:t>
                  </w:r>
                  <w:r>
                    <w:rPr>
                      <w:rFonts w:ascii="Times New Roman" w:hAnsi="Times New Roman"/>
                      <w:color w:val="auto"/>
                    </w:rPr>
                    <w:t>钢筋焊接强度试验</w:t>
                  </w:r>
                  <w:r>
                    <w:rPr>
                      <w:rFonts w:hint="eastAsia" w:ascii="Times New Roman" w:hAnsi="Times New Roman"/>
                      <w:color w:val="auto"/>
                      <w:lang w:eastAsia="zh-CN"/>
                    </w:rPr>
                    <w:t>，均为力学试验，不使用化学药剂。</w:t>
                  </w:r>
                </w:p>
              </w:tc>
              <w:tc>
                <w:tcPr>
                  <w:tcW w:w="1349" w:type="dxa"/>
                  <w:vAlign w:val="center"/>
                </w:tcPr>
                <w:p>
                  <w:pPr>
                    <w:pStyle w:val="267"/>
                    <w:spacing w:line="245" w:lineRule="auto"/>
                    <w:jc w:val="both"/>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line="245" w:lineRule="auto"/>
                    <w:jc w:val="center"/>
                    <w:rPr>
                      <w:rFonts w:ascii="Times New Roman" w:hAnsi="Times New Roman"/>
                      <w:color w:val="auto"/>
                    </w:rPr>
                  </w:pPr>
                  <w:r>
                    <w:rPr>
                      <w:rFonts w:ascii="Times New Roman" w:hAnsi="Times New Roman"/>
                      <w:color w:val="auto"/>
                    </w:rPr>
                    <w:t>办公楼</w:t>
                  </w:r>
                </w:p>
              </w:tc>
              <w:tc>
                <w:tcPr>
                  <w:tcW w:w="5644" w:type="dxa"/>
                  <w:gridSpan w:val="2"/>
                  <w:vAlign w:val="center"/>
                </w:tcPr>
                <w:p>
                  <w:pPr>
                    <w:pStyle w:val="267"/>
                    <w:spacing w:before="18" w:line="332" w:lineRule="exact"/>
                    <w:ind w:right="-8"/>
                    <w:jc w:val="center"/>
                    <w:rPr>
                      <w:rFonts w:ascii="Times New Roman" w:hAnsi="Times New Roman"/>
                      <w:color w:val="auto"/>
                    </w:rPr>
                  </w:pPr>
                  <w:r>
                    <w:rPr>
                      <w:rFonts w:ascii="Times New Roman" w:hAnsi="Times New Roman"/>
                      <w:color w:val="auto"/>
                    </w:rPr>
                    <w:t>占地面积500m</w:t>
                  </w:r>
                  <w:r>
                    <w:rPr>
                      <w:rFonts w:ascii="Times New Roman" w:hAnsi="Times New Roman"/>
                      <w:color w:val="auto"/>
                      <w:vertAlign w:val="superscript"/>
                    </w:rPr>
                    <w:t>2</w:t>
                  </w:r>
                  <w:r>
                    <w:rPr>
                      <w:rFonts w:ascii="Times New Roman" w:hAnsi="Times New Roman"/>
                      <w:color w:val="auto"/>
                    </w:rPr>
                    <w:t>，包括站长室、会议室、值班室等。</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432" w:type="dxa"/>
                  <w:vMerge w:val="continue"/>
                  <w:vAlign w:val="center"/>
                </w:tcPr>
                <w:p>
                  <w:pPr>
                    <w:pStyle w:val="267"/>
                    <w:spacing w:line="245" w:lineRule="auto"/>
                    <w:jc w:val="center"/>
                    <w:rPr>
                      <w:rFonts w:ascii="Times New Roman" w:hAnsi="Times New Roman"/>
                      <w:color w:val="auto"/>
                    </w:rPr>
                  </w:pPr>
                </w:p>
              </w:tc>
              <w:tc>
                <w:tcPr>
                  <w:tcW w:w="818" w:type="dxa"/>
                  <w:vAlign w:val="center"/>
                </w:tcPr>
                <w:p>
                  <w:pPr>
                    <w:pStyle w:val="267"/>
                    <w:spacing w:before="4" w:line="280" w:lineRule="exact"/>
                    <w:jc w:val="center"/>
                    <w:rPr>
                      <w:rFonts w:ascii="Times New Roman" w:hAnsi="Times New Roman"/>
                      <w:color w:val="auto"/>
                    </w:rPr>
                  </w:pPr>
                  <w:r>
                    <w:rPr>
                      <w:rFonts w:ascii="Times New Roman" w:hAnsi="Times New Roman"/>
                      <w:color w:val="auto"/>
                    </w:rPr>
                    <w:t>宿舍</w:t>
                  </w:r>
                </w:p>
              </w:tc>
              <w:tc>
                <w:tcPr>
                  <w:tcW w:w="5644" w:type="dxa"/>
                  <w:gridSpan w:val="2"/>
                  <w:vAlign w:val="center"/>
                </w:tcPr>
                <w:p>
                  <w:pPr>
                    <w:pStyle w:val="267"/>
                    <w:spacing w:line="245" w:lineRule="auto"/>
                    <w:jc w:val="center"/>
                    <w:rPr>
                      <w:rFonts w:ascii="Times New Roman" w:hAnsi="Times New Roman"/>
                      <w:color w:val="auto"/>
                    </w:rPr>
                  </w:pPr>
                  <w:r>
                    <w:rPr>
                      <w:rFonts w:ascii="Times New Roman" w:hAnsi="Times New Roman"/>
                      <w:color w:val="auto"/>
                    </w:rPr>
                    <w:t>位于实验室旁，</w:t>
                  </w:r>
                  <w:r>
                    <w:rPr>
                      <w:rFonts w:hint="eastAsia" w:ascii="Times New Roman" w:hAnsi="Times New Roman"/>
                      <w:color w:val="auto"/>
                    </w:rPr>
                    <w:t>两层</w:t>
                  </w:r>
                  <w:r>
                    <w:rPr>
                      <w:rFonts w:ascii="Times New Roman" w:hAnsi="Times New Roman"/>
                      <w:color w:val="auto"/>
                    </w:rPr>
                    <w:t>砖混结构，共两栋。管理人员宿舍占地面积为245.5m</w:t>
                  </w:r>
                  <w:r>
                    <w:rPr>
                      <w:rFonts w:ascii="Times New Roman" w:hAnsi="Times New Roman"/>
                      <w:color w:val="auto"/>
                      <w:vertAlign w:val="superscript"/>
                    </w:rPr>
                    <w:t>2</w:t>
                  </w:r>
                  <w:r>
                    <w:rPr>
                      <w:rFonts w:ascii="Times New Roman" w:hAnsi="Times New Roman"/>
                      <w:color w:val="auto"/>
                    </w:rPr>
                    <w:t>，员工宿舍占地面积285.9m</w:t>
                  </w:r>
                  <w:r>
                    <w:rPr>
                      <w:rFonts w:ascii="Times New Roman" w:hAnsi="Times New Roman"/>
                      <w:color w:val="auto"/>
                      <w:vertAlign w:val="superscript"/>
                    </w:rPr>
                    <w:t>2</w:t>
                  </w:r>
                  <w:r>
                    <w:rPr>
                      <w:rFonts w:ascii="Times New Roman" w:hAnsi="Times New Roman"/>
                      <w:color w:val="auto"/>
                    </w:rPr>
                    <w:t>。</w:t>
                  </w:r>
                </w:p>
              </w:tc>
              <w:tc>
                <w:tcPr>
                  <w:tcW w:w="1349" w:type="dxa"/>
                  <w:vAlign w:val="center"/>
                </w:tcPr>
                <w:p>
                  <w:pPr>
                    <w:pStyle w:val="267"/>
                    <w:spacing w:line="245" w:lineRule="auto"/>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ascii="Times New Roman" w:hAnsi="Times New Roman"/>
                      <w:color w:val="auto"/>
                    </w:rPr>
                  </w:pPr>
                  <w:r>
                    <w:rPr>
                      <w:rFonts w:ascii="Times New Roman" w:hAnsi="Times New Roman"/>
                      <w:color w:val="auto"/>
                    </w:rPr>
                    <w:t>食堂</w:t>
                  </w:r>
                </w:p>
              </w:tc>
              <w:tc>
                <w:tcPr>
                  <w:tcW w:w="5644" w:type="dxa"/>
                  <w:gridSpan w:val="2"/>
                  <w:vAlign w:val="center"/>
                </w:tcPr>
                <w:p>
                  <w:pPr>
                    <w:pStyle w:val="267"/>
                    <w:spacing w:line="291" w:lineRule="exact"/>
                    <w:jc w:val="center"/>
                    <w:rPr>
                      <w:rFonts w:ascii="Times New Roman" w:hAnsi="Times New Roman"/>
                      <w:color w:val="auto"/>
                    </w:rPr>
                  </w:pPr>
                  <w:r>
                    <w:rPr>
                      <w:rFonts w:ascii="Times New Roman" w:hAnsi="Times New Roman"/>
                      <w:color w:val="auto"/>
                    </w:rPr>
                    <w:t>位于混凝土拌合站东面，紧邻外围围墙，约占地105.9m</w:t>
                  </w:r>
                  <w:r>
                    <w:rPr>
                      <w:rFonts w:ascii="Times New Roman" w:hAnsi="Times New Roman"/>
                      <w:color w:val="auto"/>
                      <w:vertAlign w:val="superscript"/>
                    </w:rPr>
                    <w:t>2</w:t>
                  </w:r>
                  <w:r>
                    <w:rPr>
                      <w:rFonts w:ascii="Times New Roman" w:hAnsi="Times New Roman"/>
                      <w:color w:val="auto"/>
                    </w:rPr>
                    <w:t>。</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ascii="Times New Roman" w:hAnsi="Times New Roman"/>
                      <w:color w:val="auto"/>
                    </w:rPr>
                  </w:pPr>
                  <w:r>
                    <w:rPr>
                      <w:rFonts w:ascii="Times New Roman" w:hAnsi="Times New Roman"/>
                      <w:color w:val="auto"/>
                    </w:rPr>
                    <w:t>机修车间</w:t>
                  </w:r>
                </w:p>
              </w:tc>
              <w:tc>
                <w:tcPr>
                  <w:tcW w:w="5644" w:type="dxa"/>
                  <w:gridSpan w:val="2"/>
                  <w:vAlign w:val="center"/>
                </w:tcPr>
                <w:p>
                  <w:pPr>
                    <w:pStyle w:val="267"/>
                    <w:spacing w:line="291" w:lineRule="exact"/>
                    <w:jc w:val="center"/>
                    <w:rPr>
                      <w:rFonts w:ascii="Times New Roman" w:hAnsi="Times New Roman"/>
                      <w:color w:val="auto"/>
                    </w:rPr>
                  </w:pPr>
                  <w:r>
                    <w:rPr>
                      <w:rFonts w:ascii="Times New Roman" w:hAnsi="Times New Roman"/>
                      <w:color w:val="auto"/>
                    </w:rPr>
                    <w:t>占地面积140m</w:t>
                  </w:r>
                  <w:r>
                    <w:rPr>
                      <w:rFonts w:ascii="Times New Roman" w:hAnsi="Times New Roman"/>
                      <w:color w:val="auto"/>
                      <w:vertAlign w:val="superscript"/>
                    </w:rPr>
                    <w:t>2</w:t>
                  </w:r>
                  <w:r>
                    <w:rPr>
                      <w:rFonts w:hint="eastAsia" w:ascii="Times New Roman" w:hAnsi="Times New Roman"/>
                      <w:color w:val="auto"/>
                    </w:rPr>
                    <w:t>，用于修理拌合站机械设备和运输车辆。</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hint="eastAsia" w:ascii="Times New Roman" w:hAnsi="Times New Roman" w:eastAsia="宋体"/>
                      <w:color w:val="auto"/>
                      <w:lang w:eastAsia="zh-CN"/>
                    </w:rPr>
                  </w:pPr>
                  <w:r>
                    <w:rPr>
                      <w:rFonts w:hint="eastAsia" w:ascii="Times New Roman" w:hAnsi="Times New Roman"/>
                      <w:color w:val="auto"/>
                      <w:lang w:eastAsia="zh-CN"/>
                    </w:rPr>
                    <w:t>乙炔房</w:t>
                  </w:r>
                </w:p>
              </w:tc>
              <w:tc>
                <w:tcPr>
                  <w:tcW w:w="5644" w:type="dxa"/>
                  <w:gridSpan w:val="2"/>
                  <w:vAlign w:val="center"/>
                </w:tcPr>
                <w:p>
                  <w:pPr>
                    <w:pStyle w:val="267"/>
                    <w:spacing w:line="291" w:lineRule="exact"/>
                    <w:jc w:val="center"/>
                    <w:rPr>
                      <w:rFonts w:hint="default" w:ascii="Times New Roman" w:hAnsi="Times New Roman" w:eastAsia="宋体"/>
                      <w:color w:val="auto"/>
                      <w:lang w:val="en-US" w:eastAsia="zh-CN"/>
                    </w:rPr>
                  </w:pPr>
                  <w:r>
                    <w:rPr>
                      <w:rFonts w:hint="eastAsia" w:ascii="Times New Roman" w:hAnsi="Times New Roman"/>
                      <w:color w:val="auto"/>
                      <w:lang w:eastAsia="zh-CN"/>
                    </w:rPr>
                    <w:t>占地面积</w:t>
                  </w:r>
                  <w:r>
                    <w:rPr>
                      <w:rFonts w:hint="eastAsia" w:ascii="Times New Roman" w:hAnsi="Times New Roman"/>
                      <w:color w:val="auto"/>
                      <w:lang w:val="en-US" w:eastAsia="zh-CN"/>
                    </w:rPr>
                    <w:t>1</w:t>
                  </w:r>
                  <w:r>
                    <w:rPr>
                      <w:rFonts w:hint="eastAsia" w:ascii="Times New Roman" w:hAnsi="Times New Roman"/>
                      <w:color w:val="auto"/>
                      <w:highlight w:val="yellow"/>
                      <w:lang w:val="en-US" w:eastAsia="zh-CN"/>
                    </w:rPr>
                    <w:t>0m</w:t>
                  </w:r>
                  <w:r>
                    <w:rPr>
                      <w:rFonts w:hint="eastAsia" w:ascii="Times New Roman" w:hAnsi="Times New Roman"/>
                      <w:color w:val="auto"/>
                      <w:highlight w:val="yellow"/>
                      <w:vertAlign w:val="superscript"/>
                      <w:lang w:val="en-US" w:eastAsia="zh-CN"/>
                    </w:rPr>
                    <w:t>2</w:t>
                  </w:r>
                  <w:r>
                    <w:rPr>
                      <w:rFonts w:hint="eastAsia" w:ascii="Times New Roman" w:hAnsi="Times New Roman"/>
                      <w:color w:val="auto"/>
                      <w:lang w:val="en-US" w:eastAsia="zh-CN"/>
                    </w:rPr>
                    <w:t>,用于储存切割使用的乙炔瓶。</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hint="eastAsia" w:ascii="Times New Roman" w:hAnsi="Times New Roman" w:eastAsia="宋体"/>
                      <w:color w:val="auto"/>
                      <w:lang w:eastAsia="zh-CN"/>
                    </w:rPr>
                  </w:pPr>
                  <w:r>
                    <w:rPr>
                      <w:rFonts w:hint="eastAsia" w:ascii="Times New Roman" w:hAnsi="Times New Roman"/>
                      <w:color w:val="auto"/>
                      <w:lang w:eastAsia="zh-CN"/>
                    </w:rPr>
                    <w:t>氧气房</w:t>
                  </w:r>
                </w:p>
              </w:tc>
              <w:tc>
                <w:tcPr>
                  <w:tcW w:w="5644" w:type="dxa"/>
                  <w:gridSpan w:val="2"/>
                  <w:vAlign w:val="center"/>
                </w:tcPr>
                <w:p>
                  <w:pPr>
                    <w:pStyle w:val="267"/>
                    <w:spacing w:line="291" w:lineRule="exact"/>
                    <w:jc w:val="center"/>
                    <w:rPr>
                      <w:rFonts w:ascii="Times New Roman" w:hAnsi="Times New Roman"/>
                      <w:color w:val="auto"/>
                    </w:rPr>
                  </w:pPr>
                  <w:r>
                    <w:rPr>
                      <w:rFonts w:hint="eastAsia" w:ascii="Times New Roman" w:hAnsi="Times New Roman"/>
                      <w:color w:val="auto"/>
                      <w:lang w:eastAsia="zh-CN"/>
                    </w:rPr>
                    <w:t>占地面积</w:t>
                  </w:r>
                  <w:r>
                    <w:rPr>
                      <w:rFonts w:hint="eastAsia" w:ascii="Times New Roman" w:hAnsi="Times New Roman"/>
                      <w:color w:val="auto"/>
                      <w:lang w:val="en-US" w:eastAsia="zh-CN"/>
                    </w:rPr>
                    <w:t>10</w:t>
                  </w:r>
                  <w:r>
                    <w:rPr>
                      <w:rFonts w:hint="eastAsia" w:ascii="Times New Roman" w:hAnsi="Times New Roman"/>
                      <w:color w:val="auto"/>
                      <w:highlight w:val="yellow"/>
                      <w:lang w:val="en-US" w:eastAsia="zh-CN"/>
                    </w:rPr>
                    <w:t>m</w:t>
                  </w:r>
                  <w:r>
                    <w:rPr>
                      <w:rFonts w:hint="eastAsia" w:ascii="Times New Roman" w:hAnsi="Times New Roman"/>
                      <w:color w:val="auto"/>
                      <w:highlight w:val="yellow"/>
                      <w:vertAlign w:val="superscript"/>
                      <w:lang w:val="en-US" w:eastAsia="zh-CN"/>
                    </w:rPr>
                    <w:t>2</w:t>
                  </w:r>
                  <w:r>
                    <w:rPr>
                      <w:rFonts w:hint="eastAsia" w:ascii="Times New Roman" w:hAnsi="Times New Roman"/>
                      <w:color w:val="auto"/>
                      <w:highlight w:val="yellow"/>
                      <w:lang w:val="en-US" w:eastAsia="zh-CN"/>
                    </w:rPr>
                    <w:t>,</w:t>
                  </w:r>
                  <w:r>
                    <w:rPr>
                      <w:rFonts w:hint="eastAsia" w:ascii="Times New Roman" w:hAnsi="Times New Roman"/>
                      <w:color w:val="auto"/>
                      <w:lang w:val="en-US" w:eastAsia="zh-CN"/>
                    </w:rPr>
                    <w:t>用于储存切割使用的氧气瓶。</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hint="eastAsia" w:ascii="Times New Roman" w:hAnsi="Times New Roman" w:eastAsia="宋体"/>
                      <w:color w:val="auto"/>
                      <w:lang w:eastAsia="zh-CN"/>
                    </w:rPr>
                  </w:pPr>
                  <w:r>
                    <w:rPr>
                      <w:rFonts w:hint="eastAsia" w:ascii="Times New Roman" w:hAnsi="Times New Roman"/>
                      <w:color w:val="auto"/>
                      <w:lang w:eastAsia="zh-CN"/>
                    </w:rPr>
                    <w:t>二氧化碳房</w:t>
                  </w:r>
                </w:p>
              </w:tc>
              <w:tc>
                <w:tcPr>
                  <w:tcW w:w="5644" w:type="dxa"/>
                  <w:gridSpan w:val="2"/>
                  <w:vAlign w:val="center"/>
                </w:tcPr>
                <w:p>
                  <w:pPr>
                    <w:pStyle w:val="267"/>
                    <w:spacing w:line="291" w:lineRule="exact"/>
                    <w:jc w:val="center"/>
                    <w:rPr>
                      <w:rFonts w:ascii="Times New Roman" w:hAnsi="Times New Roman"/>
                      <w:color w:val="auto"/>
                    </w:rPr>
                  </w:pPr>
                  <w:r>
                    <w:rPr>
                      <w:rFonts w:hint="eastAsia" w:ascii="Times New Roman" w:hAnsi="Times New Roman"/>
                      <w:color w:val="auto"/>
                      <w:lang w:eastAsia="zh-CN"/>
                    </w:rPr>
                    <w:t>占地面积</w:t>
                  </w:r>
                  <w:r>
                    <w:rPr>
                      <w:rFonts w:hint="eastAsia" w:ascii="Times New Roman" w:hAnsi="Times New Roman"/>
                      <w:color w:val="auto"/>
                      <w:highlight w:val="yellow"/>
                      <w:lang w:val="en-US" w:eastAsia="zh-CN"/>
                    </w:rPr>
                    <w:t>10m</w:t>
                  </w:r>
                  <w:r>
                    <w:rPr>
                      <w:rFonts w:hint="eastAsia" w:ascii="Times New Roman" w:hAnsi="Times New Roman"/>
                      <w:color w:val="auto"/>
                      <w:highlight w:val="yellow"/>
                      <w:vertAlign w:val="superscript"/>
                      <w:lang w:val="en-US" w:eastAsia="zh-CN"/>
                    </w:rPr>
                    <w:t>2</w:t>
                  </w:r>
                  <w:r>
                    <w:rPr>
                      <w:rFonts w:hint="eastAsia" w:ascii="Times New Roman" w:hAnsi="Times New Roman"/>
                      <w:color w:val="auto"/>
                      <w:highlight w:val="yellow"/>
                      <w:lang w:val="en-US" w:eastAsia="zh-CN"/>
                    </w:rPr>
                    <w:t>,用于储存焊接使用的二氧化碳瓶。</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hint="eastAsia" w:ascii="Times New Roman" w:hAnsi="Times New Roman"/>
                      <w:color w:val="auto"/>
                      <w:lang w:eastAsia="zh-CN"/>
                    </w:rPr>
                  </w:pPr>
                  <w:r>
                    <w:rPr>
                      <w:rFonts w:hint="eastAsia" w:ascii="Times New Roman" w:hAnsi="Times New Roman"/>
                      <w:color w:val="auto"/>
                      <w:lang w:eastAsia="zh-CN"/>
                    </w:rPr>
                    <w:t>临时堆场</w:t>
                  </w:r>
                </w:p>
              </w:tc>
              <w:tc>
                <w:tcPr>
                  <w:tcW w:w="5644" w:type="dxa"/>
                  <w:gridSpan w:val="2"/>
                  <w:vAlign w:val="center"/>
                </w:tcPr>
                <w:p>
                  <w:pPr>
                    <w:pStyle w:val="267"/>
                    <w:spacing w:line="291" w:lineRule="exact"/>
                    <w:jc w:val="center"/>
                    <w:rPr>
                      <w:rFonts w:hint="default" w:ascii="Times New Roman" w:hAnsi="Times New Roman"/>
                      <w:color w:val="auto"/>
                      <w:lang w:val="en-US" w:eastAsia="zh-CN"/>
                    </w:rPr>
                  </w:pPr>
                  <w:r>
                    <w:rPr>
                      <w:rFonts w:hint="eastAsia" w:ascii="Times New Roman" w:hAnsi="Times New Roman"/>
                      <w:color w:val="auto"/>
                      <w:lang w:val="en-US" w:eastAsia="zh-CN"/>
                    </w:rPr>
                    <w:t>占地面积32m</w:t>
                  </w:r>
                  <w:r>
                    <w:rPr>
                      <w:rFonts w:hint="eastAsia" w:ascii="Times New Roman" w:hAnsi="Times New Roman"/>
                      <w:color w:val="auto"/>
                      <w:vertAlign w:val="superscript"/>
                      <w:lang w:val="en-US" w:eastAsia="zh-CN"/>
                    </w:rPr>
                    <w:t>2</w:t>
                  </w:r>
                  <w:r>
                    <w:rPr>
                      <w:rFonts w:hint="eastAsia" w:ascii="Times New Roman" w:hAnsi="Times New Roman"/>
                      <w:color w:val="auto"/>
                      <w:lang w:val="en-US" w:eastAsia="zh-CN"/>
                    </w:rPr>
                    <w:t>，用于临时堆存项目施工产生的土石方。</w:t>
                  </w:r>
                </w:p>
              </w:tc>
              <w:tc>
                <w:tcPr>
                  <w:tcW w:w="1349" w:type="dxa"/>
                  <w:vAlign w:val="center"/>
                </w:tcPr>
                <w:p>
                  <w:pPr>
                    <w:pStyle w:val="267"/>
                    <w:jc w:val="center"/>
                    <w:rPr>
                      <w:rFonts w:hint="eastAsia" w:ascii="Times New Roman" w:hAnsi="Times New Roman" w:eastAsia="宋体"/>
                      <w:color w:val="auto"/>
                      <w:lang w:eastAsia="zh-CN"/>
                    </w:rPr>
                  </w:pPr>
                  <w:r>
                    <w:rPr>
                      <w:rFonts w:hint="eastAsia" w:ascii="Times New Roman" w:hAnsi="Times New Roman"/>
                      <w:color w:val="auto"/>
                      <w:lang w:eastAsia="zh-CN"/>
                    </w:rPr>
                    <w:t>新建，可研提出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432" w:type="dxa"/>
                  <w:vMerge w:val="restart"/>
                  <w:vAlign w:val="center"/>
                </w:tcPr>
                <w:p>
                  <w:pPr>
                    <w:jc w:val="center"/>
                    <w:rPr>
                      <w:rFonts w:ascii="Times New Roman" w:hAnsi="Times New Roman"/>
                      <w:color w:val="auto"/>
                    </w:rPr>
                  </w:pPr>
                  <w:r>
                    <w:rPr>
                      <w:rFonts w:ascii="Times New Roman" w:hAnsi="Times New Roman"/>
                      <w:color w:val="auto"/>
                    </w:rPr>
                    <w:t>储运工程</w:t>
                  </w:r>
                </w:p>
              </w:tc>
              <w:tc>
                <w:tcPr>
                  <w:tcW w:w="818" w:type="dxa"/>
                  <w:vAlign w:val="center"/>
                </w:tcPr>
                <w:p>
                  <w:pPr>
                    <w:pStyle w:val="267"/>
                    <w:spacing w:before="4" w:line="280" w:lineRule="exact"/>
                    <w:jc w:val="center"/>
                    <w:rPr>
                      <w:rFonts w:ascii="Times New Roman" w:hAnsi="Times New Roman"/>
                      <w:color w:val="auto"/>
                    </w:rPr>
                  </w:pPr>
                  <w:r>
                    <w:rPr>
                      <w:rFonts w:hint="eastAsia" w:ascii="Times New Roman" w:hAnsi="Times New Roman"/>
                      <w:color w:val="auto"/>
                    </w:rPr>
                    <w:t>水泥</w:t>
                  </w:r>
                  <w:r>
                    <w:rPr>
                      <w:rFonts w:ascii="Times New Roman" w:hAnsi="Times New Roman"/>
                      <w:color w:val="auto"/>
                    </w:rPr>
                    <w:t>料仓</w:t>
                  </w:r>
                </w:p>
              </w:tc>
              <w:tc>
                <w:tcPr>
                  <w:tcW w:w="5644" w:type="dxa"/>
                  <w:gridSpan w:val="2"/>
                  <w:vAlign w:val="center"/>
                </w:tcPr>
                <w:p>
                  <w:pPr>
                    <w:pStyle w:val="267"/>
                    <w:spacing w:line="294" w:lineRule="exact"/>
                    <w:jc w:val="center"/>
                    <w:rPr>
                      <w:rFonts w:ascii="Times New Roman" w:hAnsi="Times New Roman"/>
                      <w:color w:val="auto"/>
                    </w:rPr>
                  </w:pPr>
                  <w:r>
                    <w:rPr>
                      <w:rFonts w:hint="eastAsia" w:ascii="Times New Roman" w:hAnsi="Times New Roman"/>
                      <w:color w:val="auto"/>
                    </w:rPr>
                    <w:t>设置8个水泥料仓，</w:t>
                  </w:r>
                  <w:r>
                    <w:rPr>
                      <w:rFonts w:ascii="Times New Roman" w:hAnsi="Times New Roman"/>
                      <w:color w:val="auto"/>
                    </w:rPr>
                    <w:t>每个</w:t>
                  </w:r>
                  <w:r>
                    <w:rPr>
                      <w:rFonts w:hint="eastAsia" w:ascii="Times New Roman" w:hAnsi="Times New Roman"/>
                      <w:color w:val="auto"/>
                    </w:rPr>
                    <w:t>200t</w:t>
                  </w:r>
                  <w:r>
                    <w:rPr>
                      <w:rFonts w:ascii="Times New Roman" w:hAnsi="Times New Roman"/>
                      <w:color w:val="auto"/>
                    </w:rPr>
                    <w:t>，用于储存</w:t>
                  </w:r>
                  <w:r>
                    <w:rPr>
                      <w:rFonts w:hint="eastAsia" w:ascii="Times New Roman" w:hAnsi="Times New Roman"/>
                      <w:color w:val="auto"/>
                    </w:rPr>
                    <w:t>水泥，仓顶设置布袋除尘器。</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ascii="Times New Roman" w:hAnsi="Times New Roman"/>
                      <w:color w:val="auto"/>
                    </w:rPr>
                  </w:pPr>
                  <w:r>
                    <w:rPr>
                      <w:rFonts w:hint="eastAsia" w:ascii="Times New Roman" w:hAnsi="Times New Roman"/>
                      <w:color w:val="auto"/>
                    </w:rPr>
                    <w:t>粉煤灰料仓</w:t>
                  </w:r>
                </w:p>
              </w:tc>
              <w:tc>
                <w:tcPr>
                  <w:tcW w:w="5644" w:type="dxa"/>
                  <w:gridSpan w:val="2"/>
                  <w:vAlign w:val="center"/>
                </w:tcPr>
                <w:p>
                  <w:pPr>
                    <w:pStyle w:val="267"/>
                    <w:spacing w:line="294" w:lineRule="exact"/>
                    <w:jc w:val="center"/>
                    <w:rPr>
                      <w:rFonts w:ascii="Times New Roman" w:hAnsi="Times New Roman"/>
                      <w:color w:val="auto"/>
                    </w:rPr>
                  </w:pPr>
                  <w:r>
                    <w:rPr>
                      <w:rFonts w:hint="eastAsia" w:ascii="Times New Roman" w:hAnsi="Times New Roman"/>
                      <w:color w:val="auto"/>
                    </w:rPr>
                    <w:t>设置4个粉煤灰料仓，每个200t，用于储存粉煤灰，仓顶设置布袋除尘器。</w:t>
                  </w:r>
                </w:p>
              </w:tc>
              <w:tc>
                <w:tcPr>
                  <w:tcW w:w="1349" w:type="dxa"/>
                  <w:vAlign w:val="center"/>
                </w:tcPr>
                <w:p>
                  <w:pPr>
                    <w:pStyle w:val="267"/>
                    <w:jc w:val="center"/>
                    <w:rPr>
                      <w:rFonts w:ascii="Times New Roman" w:hAnsi="Times New Roman"/>
                      <w:color w:val="auto"/>
                    </w:rPr>
                  </w:pPr>
                  <w:r>
                    <w:rPr>
                      <w:rFonts w:hint="eastAsia"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ascii="Times New Roman" w:hAnsi="Times New Roman"/>
                      <w:color w:val="auto"/>
                    </w:rPr>
                  </w:pPr>
                  <w:r>
                    <w:rPr>
                      <w:rFonts w:ascii="Times New Roman" w:hAnsi="Times New Roman"/>
                      <w:color w:val="auto"/>
                    </w:rPr>
                    <w:t>储水池</w:t>
                  </w:r>
                </w:p>
              </w:tc>
              <w:tc>
                <w:tcPr>
                  <w:tcW w:w="5644" w:type="dxa"/>
                  <w:gridSpan w:val="2"/>
                  <w:vAlign w:val="center"/>
                </w:tcPr>
                <w:p>
                  <w:pPr>
                    <w:pStyle w:val="267"/>
                    <w:spacing w:line="294" w:lineRule="exact"/>
                    <w:jc w:val="center"/>
                    <w:rPr>
                      <w:rFonts w:ascii="Times New Roman" w:hAnsi="Times New Roman"/>
                      <w:color w:val="auto"/>
                    </w:rPr>
                  </w:pPr>
                  <w:r>
                    <w:rPr>
                      <w:rFonts w:ascii="Times New Roman" w:hAnsi="Times New Roman"/>
                      <w:color w:val="auto"/>
                    </w:rPr>
                    <w:t>混凝土拌合站旁设置一个300m</w:t>
                  </w:r>
                  <w:r>
                    <w:rPr>
                      <w:rFonts w:ascii="Times New Roman" w:hAnsi="Times New Roman"/>
                      <w:color w:val="auto"/>
                      <w:vertAlign w:val="superscript"/>
                    </w:rPr>
                    <w:t>3</w:t>
                  </w:r>
                  <w:r>
                    <w:rPr>
                      <w:rFonts w:ascii="Times New Roman" w:hAnsi="Times New Roman"/>
                      <w:color w:val="auto"/>
                    </w:rPr>
                    <w:t>储水池，用于混凝土生产。</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ascii="Times New Roman" w:hAnsi="Times New Roman"/>
                      <w:color w:val="auto"/>
                    </w:rPr>
                  </w:pPr>
                  <w:r>
                    <w:rPr>
                      <w:rFonts w:hint="eastAsia" w:ascii="Times New Roman" w:hAnsi="Times New Roman"/>
                      <w:color w:val="auto"/>
                    </w:rPr>
                    <w:t>碎石堆棚</w:t>
                  </w:r>
                </w:p>
              </w:tc>
              <w:tc>
                <w:tcPr>
                  <w:tcW w:w="5644" w:type="dxa"/>
                  <w:gridSpan w:val="2"/>
                  <w:vAlign w:val="center"/>
                </w:tcPr>
                <w:p>
                  <w:pPr>
                    <w:pStyle w:val="267"/>
                    <w:spacing w:line="294" w:lineRule="exact"/>
                    <w:jc w:val="center"/>
                    <w:rPr>
                      <w:rFonts w:ascii="Times New Roman" w:hAnsi="Times New Roman"/>
                      <w:color w:val="auto"/>
                    </w:rPr>
                  </w:pPr>
                  <w:r>
                    <w:rPr>
                      <w:rFonts w:hint="eastAsia" w:ascii="Times New Roman" w:hAnsi="Times New Roman"/>
                      <w:color w:val="auto"/>
                    </w:rPr>
                    <w:t>设置外墙采用2.5m高、40cm厚的C20混凝土，轻型钢结构顶棚的碎石堆棚3个，每个占地面积180m</w:t>
                  </w:r>
                  <w:r>
                    <w:rPr>
                      <w:rFonts w:hint="eastAsia" w:ascii="Times New Roman" w:hAnsi="Times New Roman"/>
                      <w:color w:val="auto"/>
                      <w:vertAlign w:val="superscript"/>
                    </w:rPr>
                    <w:t>2</w:t>
                  </w:r>
                  <w:r>
                    <w:rPr>
                      <w:rFonts w:hint="eastAsia" w:ascii="Times New Roman" w:hAnsi="Times New Roman"/>
                      <w:color w:val="auto"/>
                    </w:rPr>
                    <w:t>，用于储存外购碎石</w:t>
                  </w:r>
                  <w:r>
                    <w:rPr>
                      <w:rFonts w:hint="eastAsia" w:ascii="Times New Roman" w:hAnsi="Times New Roman"/>
                      <w:color w:val="auto"/>
                      <w:lang w:eastAsia="zh-CN"/>
                    </w:rPr>
                    <w:t>，同时设置</w:t>
                  </w:r>
                  <w:r>
                    <w:rPr>
                      <w:rFonts w:hint="eastAsia" w:ascii="Times New Roman" w:hAnsi="Times New Roman"/>
                      <w:color w:val="auto"/>
                      <w:lang w:val="en-US" w:eastAsia="zh-CN"/>
                    </w:rPr>
                    <w:t>6个喷头用于晴天洒水降尘</w:t>
                  </w:r>
                  <w:r>
                    <w:rPr>
                      <w:rFonts w:hint="eastAsia" w:ascii="Times New Roman" w:hAnsi="Times New Roman"/>
                      <w:color w:val="auto"/>
                    </w:rPr>
                    <w:t>。</w:t>
                  </w:r>
                </w:p>
              </w:tc>
              <w:tc>
                <w:tcPr>
                  <w:tcW w:w="1349" w:type="dxa"/>
                  <w:vAlign w:val="center"/>
                </w:tcPr>
                <w:p>
                  <w:pPr>
                    <w:pStyle w:val="267"/>
                    <w:jc w:val="both"/>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ascii="Times New Roman" w:hAnsi="Times New Roman"/>
                      <w:color w:val="auto"/>
                    </w:rPr>
                  </w:pPr>
                  <w:r>
                    <w:rPr>
                      <w:rFonts w:hint="eastAsia" w:ascii="Times New Roman" w:hAnsi="Times New Roman"/>
                      <w:color w:val="auto"/>
                    </w:rPr>
                    <w:t>机制砂堆棚</w:t>
                  </w:r>
                </w:p>
              </w:tc>
              <w:tc>
                <w:tcPr>
                  <w:tcW w:w="5644" w:type="dxa"/>
                  <w:gridSpan w:val="2"/>
                  <w:vAlign w:val="center"/>
                </w:tcPr>
                <w:p>
                  <w:pPr>
                    <w:pStyle w:val="267"/>
                    <w:spacing w:line="294" w:lineRule="exact"/>
                    <w:jc w:val="center"/>
                    <w:rPr>
                      <w:rFonts w:ascii="Times New Roman" w:hAnsi="Times New Roman"/>
                      <w:color w:val="auto"/>
                    </w:rPr>
                  </w:pPr>
                  <w:r>
                    <w:rPr>
                      <w:rFonts w:hint="eastAsia" w:ascii="Times New Roman" w:hAnsi="Times New Roman"/>
                      <w:color w:val="auto"/>
                    </w:rPr>
                    <w:t>设置外墙采用2.5m高、40cm厚的C20混凝土，轻型钢结构顶棚的机制砂堆棚2个，每个占地面积180m</w:t>
                  </w:r>
                  <w:r>
                    <w:rPr>
                      <w:rFonts w:hint="eastAsia" w:ascii="Times New Roman" w:hAnsi="Times New Roman"/>
                      <w:color w:val="auto"/>
                      <w:vertAlign w:val="superscript"/>
                    </w:rPr>
                    <w:t>2</w:t>
                  </w:r>
                  <w:r>
                    <w:rPr>
                      <w:rFonts w:hint="eastAsia" w:ascii="Times New Roman" w:hAnsi="Times New Roman"/>
                      <w:color w:val="auto"/>
                    </w:rPr>
                    <w:t>，用于储存外购机制砂</w:t>
                  </w:r>
                  <w:r>
                    <w:rPr>
                      <w:rFonts w:hint="eastAsia" w:ascii="Times New Roman" w:hAnsi="Times New Roman"/>
                      <w:color w:val="auto"/>
                      <w:lang w:eastAsia="zh-CN"/>
                    </w:rPr>
                    <w:t>，同时设置</w:t>
                  </w:r>
                  <w:r>
                    <w:rPr>
                      <w:rFonts w:hint="eastAsia" w:ascii="Times New Roman" w:hAnsi="Times New Roman"/>
                      <w:color w:val="auto"/>
                      <w:lang w:val="en-US" w:eastAsia="zh-CN"/>
                    </w:rPr>
                    <w:t>4个喷头用于晴天洒水降尘</w:t>
                  </w:r>
                  <w:r>
                    <w:rPr>
                      <w:rFonts w:hint="eastAsia" w:ascii="Times New Roman" w:hAnsi="Times New Roman"/>
                      <w:color w:val="auto"/>
                    </w:rPr>
                    <w:t>。</w:t>
                  </w:r>
                </w:p>
              </w:tc>
              <w:tc>
                <w:tcPr>
                  <w:tcW w:w="1349" w:type="dxa"/>
                  <w:vAlign w:val="center"/>
                </w:tcPr>
                <w:p>
                  <w:pPr>
                    <w:rPr>
                      <w:rFonts w:hint="eastAsia" w:ascii="Times New Roman" w:hAnsi="Times New Roman"/>
                      <w:color w:val="auto"/>
                    </w:rPr>
                  </w:pPr>
                  <w:r>
                    <w:rPr>
                      <w:rFonts w:hint="eastAsia"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ascii="Times New Roman" w:hAnsi="Times New Roman"/>
                      <w:color w:val="auto"/>
                    </w:rPr>
                  </w:pPr>
                  <w:r>
                    <w:rPr>
                      <w:rFonts w:hint="eastAsia" w:ascii="Times New Roman" w:hAnsi="Times New Roman"/>
                      <w:color w:val="auto"/>
                    </w:rPr>
                    <w:t>河沙堆棚</w:t>
                  </w:r>
                </w:p>
              </w:tc>
              <w:tc>
                <w:tcPr>
                  <w:tcW w:w="5644" w:type="dxa"/>
                  <w:gridSpan w:val="2"/>
                  <w:vAlign w:val="center"/>
                </w:tcPr>
                <w:p>
                  <w:pPr>
                    <w:pStyle w:val="267"/>
                    <w:spacing w:line="294" w:lineRule="exact"/>
                    <w:jc w:val="center"/>
                    <w:rPr>
                      <w:rFonts w:ascii="Times New Roman" w:hAnsi="Times New Roman"/>
                      <w:color w:val="auto"/>
                    </w:rPr>
                  </w:pPr>
                  <w:r>
                    <w:rPr>
                      <w:rFonts w:hint="eastAsia" w:ascii="Times New Roman" w:hAnsi="Times New Roman"/>
                      <w:color w:val="auto"/>
                    </w:rPr>
                    <w:t>设置外墙采用2.5m高、40cm厚的C20混凝土，轻型钢结构顶棚的河沙堆棚2个，每个占地面积180m</w:t>
                  </w:r>
                  <w:r>
                    <w:rPr>
                      <w:rFonts w:hint="eastAsia" w:ascii="Times New Roman" w:hAnsi="Times New Roman"/>
                      <w:color w:val="auto"/>
                      <w:vertAlign w:val="superscript"/>
                    </w:rPr>
                    <w:t>2</w:t>
                  </w:r>
                  <w:r>
                    <w:rPr>
                      <w:rFonts w:hint="eastAsia" w:ascii="Times New Roman" w:hAnsi="Times New Roman"/>
                      <w:color w:val="auto"/>
                    </w:rPr>
                    <w:t>，用于储存外购河沙</w:t>
                  </w:r>
                  <w:r>
                    <w:rPr>
                      <w:rFonts w:hint="eastAsia" w:ascii="Times New Roman" w:hAnsi="Times New Roman"/>
                      <w:color w:val="auto"/>
                      <w:lang w:eastAsia="zh-CN"/>
                    </w:rPr>
                    <w:t>，同时设置</w:t>
                  </w:r>
                  <w:r>
                    <w:rPr>
                      <w:rFonts w:hint="eastAsia" w:ascii="Times New Roman" w:hAnsi="Times New Roman"/>
                      <w:color w:val="auto"/>
                      <w:lang w:val="en-US" w:eastAsia="zh-CN"/>
                    </w:rPr>
                    <w:t>4个喷头用于晴天洒水降尘</w:t>
                  </w:r>
                  <w:r>
                    <w:rPr>
                      <w:rFonts w:hint="eastAsia" w:ascii="Times New Roman" w:hAnsi="Times New Roman"/>
                      <w:color w:val="auto"/>
                    </w:rPr>
                    <w:t>。</w:t>
                  </w:r>
                </w:p>
              </w:tc>
              <w:tc>
                <w:tcPr>
                  <w:tcW w:w="1349" w:type="dxa"/>
                  <w:vAlign w:val="center"/>
                </w:tcPr>
                <w:p>
                  <w:pPr>
                    <w:pStyle w:val="267"/>
                    <w:jc w:val="center"/>
                    <w:rPr>
                      <w:rFonts w:ascii="Times New Roman" w:hAnsi="Times New Roman"/>
                      <w:color w:val="auto"/>
                    </w:rPr>
                  </w:pPr>
                  <w:r>
                    <w:rPr>
                      <w:rFonts w:hint="eastAsia"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ascii="Times New Roman" w:hAnsi="Times New Roman"/>
                      <w:color w:val="auto"/>
                    </w:rPr>
                  </w:pPr>
                  <w:r>
                    <w:rPr>
                      <w:rFonts w:hint="eastAsia" w:ascii="Times New Roman" w:hAnsi="Times New Roman"/>
                      <w:color w:val="auto"/>
                    </w:rPr>
                    <w:t>钢筋原料堆放区</w:t>
                  </w:r>
                </w:p>
              </w:tc>
              <w:tc>
                <w:tcPr>
                  <w:tcW w:w="5644" w:type="dxa"/>
                  <w:gridSpan w:val="2"/>
                  <w:vAlign w:val="center"/>
                </w:tcPr>
                <w:p>
                  <w:pPr>
                    <w:pStyle w:val="267"/>
                    <w:spacing w:line="294" w:lineRule="exact"/>
                    <w:jc w:val="center"/>
                    <w:rPr>
                      <w:rFonts w:ascii="Times New Roman" w:hAnsi="Times New Roman"/>
                      <w:color w:val="auto"/>
                    </w:rPr>
                  </w:pPr>
                  <w:r>
                    <w:rPr>
                      <w:rFonts w:hint="eastAsia" w:ascii="Times New Roman" w:hAnsi="Times New Roman"/>
                      <w:color w:val="auto"/>
                    </w:rPr>
                    <w:t>钢结构搭设，占地面积391m</w:t>
                  </w:r>
                  <w:r>
                    <w:rPr>
                      <w:rFonts w:hint="eastAsia" w:ascii="Times New Roman" w:hAnsi="Times New Roman"/>
                      <w:color w:val="auto"/>
                      <w:vertAlign w:val="superscript"/>
                    </w:rPr>
                    <w:t>2</w:t>
                  </w:r>
                  <w:r>
                    <w:rPr>
                      <w:rFonts w:hint="eastAsia" w:ascii="Times New Roman" w:hAnsi="Times New Roman"/>
                      <w:color w:val="auto"/>
                    </w:rPr>
                    <w:t>。</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spacing w:before="4" w:line="280" w:lineRule="exact"/>
                    <w:jc w:val="center"/>
                    <w:rPr>
                      <w:rFonts w:ascii="Times New Roman" w:hAnsi="Times New Roman"/>
                      <w:color w:val="auto"/>
                    </w:rPr>
                  </w:pPr>
                  <w:r>
                    <w:rPr>
                      <w:rFonts w:hint="eastAsia" w:ascii="Times New Roman" w:hAnsi="Times New Roman"/>
                      <w:color w:val="auto"/>
                    </w:rPr>
                    <w:t>钢筋成品堆放区</w:t>
                  </w:r>
                </w:p>
              </w:tc>
              <w:tc>
                <w:tcPr>
                  <w:tcW w:w="5644" w:type="dxa"/>
                  <w:gridSpan w:val="2"/>
                  <w:vAlign w:val="center"/>
                </w:tcPr>
                <w:p>
                  <w:pPr>
                    <w:pStyle w:val="267"/>
                    <w:spacing w:line="294" w:lineRule="exact"/>
                    <w:jc w:val="center"/>
                    <w:rPr>
                      <w:rFonts w:ascii="Times New Roman" w:hAnsi="Times New Roman"/>
                      <w:color w:val="auto"/>
                    </w:rPr>
                  </w:pPr>
                  <w:r>
                    <w:rPr>
                      <w:rFonts w:hint="eastAsia" w:ascii="Times New Roman" w:hAnsi="Times New Roman"/>
                      <w:color w:val="auto"/>
                    </w:rPr>
                    <w:t>钢结构搭设，占地面积243m</w:t>
                  </w:r>
                  <w:r>
                    <w:rPr>
                      <w:rFonts w:hint="eastAsia" w:ascii="Times New Roman" w:hAnsi="Times New Roman"/>
                      <w:color w:val="auto"/>
                      <w:vertAlign w:val="superscript"/>
                    </w:rPr>
                    <w:t>2</w:t>
                  </w:r>
                  <w:r>
                    <w:rPr>
                      <w:rFonts w:hint="eastAsia" w:ascii="Times New Roman" w:hAnsi="Times New Roman"/>
                      <w:color w:val="auto"/>
                    </w:rPr>
                    <w:t>。</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432" w:type="dxa"/>
                  <w:vMerge w:val="restart"/>
                  <w:vAlign w:val="center"/>
                </w:tcPr>
                <w:p>
                  <w:pPr>
                    <w:pStyle w:val="267"/>
                    <w:spacing w:line="245" w:lineRule="auto"/>
                    <w:jc w:val="center"/>
                    <w:rPr>
                      <w:rFonts w:ascii="Times New Roman" w:hAnsi="Times New Roman"/>
                      <w:color w:val="auto"/>
                    </w:rPr>
                  </w:pPr>
                  <w:r>
                    <w:rPr>
                      <w:rFonts w:ascii="Times New Roman" w:hAnsi="Times New Roman"/>
                      <w:color w:val="auto"/>
                    </w:rPr>
                    <w:t>公用 工程</w:t>
                  </w:r>
                </w:p>
              </w:tc>
              <w:tc>
                <w:tcPr>
                  <w:tcW w:w="818" w:type="dxa"/>
                  <w:vAlign w:val="center"/>
                </w:tcPr>
                <w:p>
                  <w:pPr>
                    <w:pStyle w:val="267"/>
                    <w:spacing w:line="245" w:lineRule="auto"/>
                    <w:jc w:val="center"/>
                    <w:rPr>
                      <w:rFonts w:ascii="Times New Roman" w:hAnsi="Times New Roman"/>
                      <w:color w:val="auto"/>
                    </w:rPr>
                  </w:pPr>
                  <w:r>
                    <w:rPr>
                      <w:rFonts w:ascii="Times New Roman" w:hAnsi="Times New Roman"/>
                      <w:color w:val="auto"/>
                    </w:rPr>
                    <w:t>给水</w:t>
                  </w:r>
                </w:p>
              </w:tc>
              <w:tc>
                <w:tcPr>
                  <w:tcW w:w="5644" w:type="dxa"/>
                  <w:gridSpan w:val="2"/>
                  <w:vAlign w:val="center"/>
                </w:tcPr>
                <w:p>
                  <w:pPr>
                    <w:pStyle w:val="267"/>
                    <w:spacing w:line="245" w:lineRule="auto"/>
                    <w:jc w:val="center"/>
                    <w:rPr>
                      <w:rFonts w:ascii="Times New Roman" w:hAnsi="Times New Roman"/>
                      <w:color w:val="auto"/>
                    </w:rPr>
                  </w:pPr>
                  <w:r>
                    <w:rPr>
                      <w:rFonts w:ascii="Times New Roman" w:hAnsi="Times New Roman"/>
                      <w:color w:val="auto"/>
                    </w:rPr>
                    <w:t>项目供水取自项目区</w:t>
                  </w:r>
                  <w:r>
                    <w:rPr>
                      <w:rFonts w:hint="eastAsia" w:ascii="Times New Roman" w:hAnsi="Times New Roman"/>
                      <w:color w:val="auto"/>
                    </w:rPr>
                    <w:t>北面约100m处</w:t>
                  </w:r>
                  <w:r>
                    <w:rPr>
                      <w:rFonts w:ascii="Times New Roman" w:hAnsi="Times New Roman"/>
                      <w:color w:val="auto"/>
                    </w:rPr>
                    <w:t>山泉水</w:t>
                  </w:r>
                  <w:r>
                    <w:rPr>
                      <w:rFonts w:hint="eastAsia" w:ascii="Times New Roman" w:hAnsi="Times New Roman"/>
                      <w:color w:val="auto"/>
                    </w:rPr>
                    <w:t>，设置DN50管道引入厂区</w:t>
                  </w:r>
                  <w:r>
                    <w:rPr>
                      <w:rFonts w:ascii="Times New Roman" w:hAnsi="Times New Roman"/>
                      <w:color w:val="auto"/>
                    </w:rPr>
                    <w:t>。</w:t>
                  </w:r>
                  <w:r>
                    <w:rPr>
                      <w:rFonts w:hint="eastAsia" w:ascii="Times New Roman" w:hAnsi="Times New Roman"/>
                      <w:color w:val="auto"/>
                      <w:lang w:eastAsia="zh-CN"/>
                    </w:rPr>
                    <w:t>该水源无其他用途，水质较好，水量稳定。</w:t>
                  </w:r>
                </w:p>
              </w:tc>
              <w:tc>
                <w:tcPr>
                  <w:tcW w:w="1349" w:type="dxa"/>
                  <w:vAlign w:val="center"/>
                </w:tcPr>
                <w:p>
                  <w:pPr>
                    <w:pStyle w:val="267"/>
                    <w:spacing w:line="245" w:lineRule="auto"/>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jc w:val="center"/>
                    <w:rPr>
                      <w:rFonts w:ascii="Times New Roman" w:hAnsi="Times New Roman"/>
                      <w:color w:val="auto"/>
                    </w:rPr>
                  </w:pPr>
                  <w:r>
                    <w:rPr>
                      <w:rFonts w:ascii="Times New Roman" w:hAnsi="Times New Roman"/>
                      <w:color w:val="auto"/>
                    </w:rPr>
                    <w:t>排水</w:t>
                  </w:r>
                </w:p>
              </w:tc>
              <w:tc>
                <w:tcPr>
                  <w:tcW w:w="5644" w:type="dxa"/>
                  <w:gridSpan w:val="2"/>
                  <w:vAlign w:val="center"/>
                </w:tcPr>
                <w:p>
                  <w:pPr>
                    <w:pStyle w:val="267"/>
                    <w:spacing w:line="275" w:lineRule="exact"/>
                    <w:jc w:val="center"/>
                    <w:rPr>
                      <w:rFonts w:hint="eastAsia" w:ascii="Times New Roman" w:hAnsi="Times New Roman" w:eastAsia="宋体"/>
                      <w:color w:val="auto"/>
                      <w:lang w:eastAsia="zh-CN"/>
                    </w:rPr>
                  </w:pPr>
                  <w:r>
                    <w:rPr>
                      <w:rFonts w:ascii="Times New Roman" w:hAnsi="Times New Roman"/>
                      <w:color w:val="auto"/>
                    </w:rPr>
                    <w:t>实施雨污分流，</w:t>
                  </w:r>
                  <w:r>
                    <w:rPr>
                      <w:rFonts w:hint="eastAsia" w:ascii="Times New Roman" w:hAnsi="Times New Roman"/>
                      <w:color w:val="auto"/>
                    </w:rPr>
                    <w:t>初期</w:t>
                  </w:r>
                  <w:r>
                    <w:rPr>
                      <w:rFonts w:ascii="Times New Roman" w:hAnsi="Times New Roman"/>
                      <w:color w:val="auto"/>
                    </w:rPr>
                    <w:t>雨水</w:t>
                  </w:r>
                  <w:r>
                    <w:rPr>
                      <w:rFonts w:hint="eastAsia" w:ascii="Times New Roman" w:hAnsi="Times New Roman"/>
                      <w:color w:val="auto"/>
                    </w:rPr>
                    <w:t>经收集沉淀后补充生产用水；车辆清洗废水沉淀后回用于生产；</w:t>
                  </w:r>
                  <w:r>
                    <w:rPr>
                      <w:rFonts w:hint="eastAsia" w:ascii="Times New Roman" w:hAnsi="Times New Roman"/>
                      <w:color w:val="auto"/>
                      <w:lang w:eastAsia="zh-CN"/>
                    </w:rPr>
                    <w:t>生活污水进入化粪池，食堂废水经隔油池处理后进入化粪池，化粪池处理后排入中水处理站处理达标后回用于场地降尘。</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jc w:val="center"/>
                    <w:rPr>
                      <w:rFonts w:ascii="Times New Roman" w:hAnsi="Times New Roman"/>
                      <w:color w:val="auto"/>
                    </w:rPr>
                  </w:pPr>
                  <w:r>
                    <w:rPr>
                      <w:rFonts w:ascii="Times New Roman" w:hAnsi="Times New Roman"/>
                      <w:color w:val="auto"/>
                    </w:rPr>
                    <w:t>供电</w:t>
                  </w:r>
                </w:p>
              </w:tc>
              <w:tc>
                <w:tcPr>
                  <w:tcW w:w="5644" w:type="dxa"/>
                  <w:gridSpan w:val="2"/>
                  <w:vAlign w:val="center"/>
                </w:tcPr>
                <w:p>
                  <w:pPr>
                    <w:pStyle w:val="267"/>
                    <w:spacing w:line="291" w:lineRule="exact"/>
                    <w:ind w:right="2"/>
                    <w:jc w:val="center"/>
                    <w:rPr>
                      <w:rFonts w:ascii="Times New Roman" w:hAnsi="Times New Roman"/>
                      <w:color w:val="auto"/>
                    </w:rPr>
                  </w:pPr>
                  <w:r>
                    <w:rPr>
                      <w:rFonts w:hint="eastAsia" w:ascii="Times New Roman" w:hAnsi="Times New Roman"/>
                      <w:color w:val="auto"/>
                    </w:rPr>
                    <w:t>从东村镇附近接入，满足用电需求。</w:t>
                  </w:r>
                </w:p>
              </w:tc>
              <w:tc>
                <w:tcPr>
                  <w:tcW w:w="1349" w:type="dxa"/>
                  <w:vAlign w:val="center"/>
                </w:tcPr>
                <w:p>
                  <w:pPr>
                    <w:pStyle w:val="267"/>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jc w:val="center"/>
                    <w:rPr>
                      <w:rFonts w:ascii="Times New Roman" w:hAnsi="Times New Roman"/>
                      <w:color w:val="auto"/>
                    </w:rPr>
                  </w:pPr>
                  <w:r>
                    <w:rPr>
                      <w:rFonts w:ascii="Times New Roman" w:hAnsi="Times New Roman"/>
                      <w:color w:val="auto"/>
                    </w:rPr>
                    <w:t>消防</w:t>
                  </w:r>
                </w:p>
              </w:tc>
              <w:tc>
                <w:tcPr>
                  <w:tcW w:w="5644" w:type="dxa"/>
                  <w:gridSpan w:val="2"/>
                  <w:vAlign w:val="center"/>
                </w:tcPr>
                <w:p>
                  <w:pPr>
                    <w:pStyle w:val="267"/>
                    <w:spacing w:line="275" w:lineRule="exact"/>
                    <w:jc w:val="center"/>
                    <w:rPr>
                      <w:rFonts w:ascii="Times New Roman" w:hAnsi="Times New Roman"/>
                      <w:color w:val="auto"/>
                    </w:rPr>
                  </w:pPr>
                  <w:r>
                    <w:rPr>
                      <w:rFonts w:ascii="Times New Roman" w:hAnsi="Times New Roman"/>
                      <w:color w:val="auto"/>
                    </w:rPr>
                    <w:t>按要求配备灭火器及相应的消防设施。设2座3m</w:t>
                  </w:r>
                  <w:r>
                    <w:rPr>
                      <w:rFonts w:ascii="Times New Roman" w:hAnsi="Times New Roman"/>
                      <w:color w:val="auto"/>
                      <w:vertAlign w:val="superscript"/>
                    </w:rPr>
                    <w:t>3</w:t>
                  </w:r>
                  <w:r>
                    <w:rPr>
                      <w:rFonts w:ascii="Times New Roman" w:hAnsi="Times New Roman"/>
                      <w:color w:val="auto"/>
                    </w:rPr>
                    <w:t>消防水池；2座2m</w:t>
                  </w:r>
                  <w:r>
                    <w:rPr>
                      <w:rFonts w:ascii="Times New Roman" w:hAnsi="Times New Roman"/>
                      <w:color w:val="auto"/>
                      <w:vertAlign w:val="superscript"/>
                    </w:rPr>
                    <w:t>3</w:t>
                  </w:r>
                  <w:r>
                    <w:rPr>
                      <w:rFonts w:ascii="Times New Roman" w:hAnsi="Times New Roman"/>
                      <w:color w:val="auto"/>
                    </w:rPr>
                    <w:t>/个的消防砂池</w:t>
                  </w:r>
                  <w:r>
                    <w:rPr>
                      <w:rFonts w:hint="eastAsia" w:ascii="Times New Roman" w:hAnsi="Times New Roman"/>
                      <w:color w:val="auto"/>
                    </w:rPr>
                    <w:t>；灭火器若干</w:t>
                  </w:r>
                  <w:r>
                    <w:rPr>
                      <w:rFonts w:ascii="Times New Roman" w:hAnsi="Times New Roman"/>
                      <w:color w:val="auto"/>
                    </w:rPr>
                    <w:t>。</w:t>
                  </w:r>
                </w:p>
              </w:tc>
              <w:tc>
                <w:tcPr>
                  <w:tcW w:w="1349" w:type="dxa"/>
                  <w:vAlign w:val="center"/>
                </w:tcPr>
                <w:p>
                  <w:pPr>
                    <w:pStyle w:val="267"/>
                    <w:spacing w:line="275" w:lineRule="exact"/>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jc w:val="center"/>
              </w:trPr>
              <w:tc>
                <w:tcPr>
                  <w:tcW w:w="432" w:type="dxa"/>
                  <w:vMerge w:val="continue"/>
                  <w:vAlign w:val="center"/>
                </w:tcPr>
                <w:p>
                  <w:pPr>
                    <w:jc w:val="center"/>
                    <w:rPr>
                      <w:rFonts w:ascii="Times New Roman" w:hAnsi="Times New Roman"/>
                      <w:color w:val="auto"/>
                    </w:rPr>
                  </w:pPr>
                </w:p>
              </w:tc>
              <w:tc>
                <w:tcPr>
                  <w:tcW w:w="818" w:type="dxa"/>
                  <w:vAlign w:val="center"/>
                </w:tcPr>
                <w:p>
                  <w:pPr>
                    <w:pStyle w:val="267"/>
                    <w:jc w:val="center"/>
                    <w:rPr>
                      <w:rFonts w:hint="eastAsia" w:ascii="Times New Roman" w:hAnsi="Times New Roman" w:eastAsia="宋体"/>
                      <w:color w:val="auto"/>
                      <w:lang w:eastAsia="zh-CN"/>
                    </w:rPr>
                  </w:pPr>
                  <w:r>
                    <w:rPr>
                      <w:rFonts w:hint="eastAsia" w:ascii="Times New Roman" w:hAnsi="Times New Roman"/>
                      <w:color w:val="auto"/>
                      <w:lang w:eastAsia="zh-CN"/>
                    </w:rPr>
                    <w:t>进场道路</w:t>
                  </w:r>
                </w:p>
              </w:tc>
              <w:tc>
                <w:tcPr>
                  <w:tcW w:w="5644" w:type="dxa"/>
                  <w:gridSpan w:val="2"/>
                  <w:vAlign w:val="center"/>
                </w:tcPr>
                <w:p>
                  <w:pPr>
                    <w:pStyle w:val="267"/>
                    <w:spacing w:line="275" w:lineRule="exact"/>
                    <w:jc w:val="center"/>
                    <w:rPr>
                      <w:rFonts w:hint="default" w:ascii="Times New Roman" w:hAnsi="Times New Roman" w:eastAsia="宋体"/>
                      <w:color w:val="auto"/>
                      <w:lang w:val="en-US" w:eastAsia="zh-CN"/>
                    </w:rPr>
                  </w:pPr>
                  <w:r>
                    <w:rPr>
                      <w:rFonts w:hint="eastAsia" w:ascii="Times New Roman" w:hAnsi="Times New Roman"/>
                      <w:color w:val="auto"/>
                      <w:lang w:eastAsia="zh-CN"/>
                    </w:rPr>
                    <w:t>用于运输车辆进出项目区，占地面积</w:t>
                  </w:r>
                  <w:r>
                    <w:rPr>
                      <w:rFonts w:hint="eastAsia" w:ascii="Times New Roman" w:hAnsi="Times New Roman"/>
                      <w:color w:val="auto"/>
                      <w:lang w:val="en-US" w:eastAsia="zh-CN"/>
                    </w:rPr>
                    <w:t>15500m</w:t>
                  </w:r>
                  <w:r>
                    <w:rPr>
                      <w:rFonts w:hint="eastAsia" w:ascii="Times New Roman" w:hAnsi="Times New Roman"/>
                      <w:color w:val="auto"/>
                      <w:vertAlign w:val="superscript"/>
                      <w:lang w:val="en-US" w:eastAsia="zh-CN"/>
                    </w:rPr>
                    <w:t>2</w:t>
                  </w:r>
                  <w:r>
                    <w:rPr>
                      <w:rFonts w:hint="eastAsia" w:ascii="Times New Roman" w:hAnsi="Times New Roman"/>
                      <w:color w:val="auto"/>
                      <w:lang w:val="en-US" w:eastAsia="zh-CN"/>
                    </w:rPr>
                    <w:t>，宽8m，全厂长1937.5m。</w:t>
                  </w:r>
                </w:p>
              </w:tc>
              <w:tc>
                <w:tcPr>
                  <w:tcW w:w="1349" w:type="dxa"/>
                  <w:vAlign w:val="center"/>
                </w:tcPr>
                <w:p>
                  <w:pPr>
                    <w:pStyle w:val="267"/>
                    <w:spacing w:line="275" w:lineRule="exact"/>
                    <w:jc w:val="center"/>
                    <w:rPr>
                      <w:rFonts w:hint="eastAsia" w:ascii="Times New Roman" w:hAnsi="Times New Roman" w:eastAsia="宋体"/>
                      <w:color w:val="auto"/>
                      <w:lang w:eastAsia="zh-CN"/>
                    </w:rPr>
                  </w:pPr>
                  <w:r>
                    <w:rPr>
                      <w:rFonts w:hint="eastAsia" w:ascii="Times New Roman" w:hAnsi="Times New Roman"/>
                      <w:color w:val="auto"/>
                      <w:lang w:eastAsia="zh-CN"/>
                    </w:rPr>
                    <w:t>新建，可研提出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 w:hRule="atLeast"/>
                <w:jc w:val="center"/>
              </w:trPr>
              <w:tc>
                <w:tcPr>
                  <w:tcW w:w="432" w:type="dxa"/>
                  <w:vMerge w:val="restart"/>
                  <w:vAlign w:val="center"/>
                </w:tcPr>
                <w:p>
                  <w:pPr>
                    <w:pStyle w:val="267"/>
                    <w:spacing w:line="245" w:lineRule="auto"/>
                    <w:jc w:val="center"/>
                    <w:rPr>
                      <w:rFonts w:ascii="Times New Roman" w:hAnsi="Times New Roman"/>
                      <w:color w:val="auto"/>
                    </w:rPr>
                  </w:pPr>
                </w:p>
                <w:p>
                  <w:pPr>
                    <w:pStyle w:val="267"/>
                    <w:spacing w:line="245" w:lineRule="auto"/>
                    <w:jc w:val="center"/>
                    <w:rPr>
                      <w:rFonts w:ascii="Times New Roman" w:hAnsi="Times New Roman"/>
                      <w:color w:val="auto"/>
                    </w:rPr>
                  </w:pPr>
                  <w:r>
                    <w:rPr>
                      <w:rFonts w:ascii="Times New Roman" w:hAnsi="Times New Roman"/>
                      <w:color w:val="auto"/>
                    </w:rPr>
                    <w:t>环保工程</w:t>
                  </w:r>
                </w:p>
                <w:p>
                  <w:pPr>
                    <w:pStyle w:val="267"/>
                    <w:spacing w:line="245" w:lineRule="auto"/>
                    <w:jc w:val="center"/>
                    <w:rPr>
                      <w:rFonts w:ascii="Times New Roman" w:hAnsi="Times New Roman"/>
                      <w:color w:val="auto"/>
                    </w:rPr>
                  </w:pPr>
                </w:p>
              </w:tc>
              <w:tc>
                <w:tcPr>
                  <w:tcW w:w="818" w:type="dxa"/>
                  <w:vMerge w:val="restart"/>
                  <w:vAlign w:val="center"/>
                </w:tcPr>
                <w:p>
                  <w:pPr>
                    <w:pStyle w:val="267"/>
                    <w:spacing w:line="245" w:lineRule="auto"/>
                    <w:jc w:val="center"/>
                    <w:rPr>
                      <w:rFonts w:ascii="Times New Roman" w:hAnsi="Times New Roman"/>
                      <w:color w:val="auto"/>
                    </w:rPr>
                  </w:pPr>
                  <w:r>
                    <w:rPr>
                      <w:rFonts w:ascii="Times New Roman" w:hAnsi="Times New Roman"/>
                      <w:color w:val="auto"/>
                    </w:rPr>
                    <w:t>废水治理设施</w:t>
                  </w:r>
                </w:p>
              </w:tc>
              <w:tc>
                <w:tcPr>
                  <w:tcW w:w="1194" w:type="dxa"/>
                  <w:vAlign w:val="center"/>
                </w:tcPr>
                <w:p>
                  <w:pPr>
                    <w:pStyle w:val="267"/>
                    <w:spacing w:line="245" w:lineRule="auto"/>
                    <w:jc w:val="center"/>
                    <w:rPr>
                      <w:rFonts w:ascii="Times New Roman" w:hAnsi="Times New Roman"/>
                      <w:color w:val="auto"/>
                    </w:rPr>
                  </w:pPr>
                  <w:r>
                    <w:rPr>
                      <w:rFonts w:hint="eastAsia" w:ascii="Times New Roman" w:hAnsi="Times New Roman"/>
                      <w:color w:val="auto"/>
                    </w:rPr>
                    <w:t>四级沉淀池</w:t>
                  </w:r>
                </w:p>
              </w:tc>
              <w:tc>
                <w:tcPr>
                  <w:tcW w:w="4450" w:type="dxa"/>
                  <w:vAlign w:val="center"/>
                </w:tcPr>
                <w:p>
                  <w:pPr>
                    <w:pStyle w:val="267"/>
                    <w:spacing w:line="245" w:lineRule="auto"/>
                    <w:jc w:val="center"/>
                    <w:rPr>
                      <w:rFonts w:ascii="Times New Roman" w:hAnsi="Times New Roman"/>
                      <w:color w:val="auto"/>
                    </w:rPr>
                  </w:pPr>
                  <w:r>
                    <w:rPr>
                      <w:rFonts w:hint="eastAsia" w:ascii="Times New Roman" w:hAnsi="Times New Roman"/>
                      <w:color w:val="auto"/>
                    </w:rPr>
                    <w:t>设置1个20m</w:t>
                  </w:r>
                  <w:r>
                    <w:rPr>
                      <w:rFonts w:hint="eastAsia" w:ascii="Times New Roman" w:hAnsi="Times New Roman"/>
                      <w:color w:val="auto"/>
                      <w:vertAlign w:val="superscript"/>
                    </w:rPr>
                    <w:t>3</w:t>
                  </w:r>
                  <w:r>
                    <w:rPr>
                      <w:rFonts w:hint="eastAsia" w:ascii="Times New Roman" w:hAnsi="Times New Roman"/>
                      <w:color w:val="auto"/>
                    </w:rPr>
                    <w:t>四级沉淀池，用于处理车辆清洗废水后回用于生产。</w:t>
                  </w:r>
                </w:p>
              </w:tc>
              <w:tc>
                <w:tcPr>
                  <w:tcW w:w="1349" w:type="dxa"/>
                  <w:vMerge w:val="restart"/>
                  <w:vAlign w:val="center"/>
                </w:tcPr>
                <w:p>
                  <w:pPr>
                    <w:pStyle w:val="267"/>
                    <w:spacing w:line="245" w:lineRule="auto"/>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 w:hRule="atLeast"/>
                <w:jc w:val="center"/>
              </w:trPr>
              <w:tc>
                <w:tcPr>
                  <w:tcW w:w="432" w:type="dxa"/>
                  <w:vMerge w:val="continue"/>
                  <w:vAlign w:val="center"/>
                </w:tcPr>
                <w:p>
                  <w:pPr>
                    <w:pStyle w:val="267"/>
                    <w:spacing w:line="245" w:lineRule="auto"/>
                    <w:jc w:val="center"/>
                    <w:rPr>
                      <w:rFonts w:ascii="Times New Roman" w:hAnsi="Times New Roman"/>
                      <w:color w:val="auto"/>
                    </w:rPr>
                  </w:pPr>
                </w:p>
              </w:tc>
              <w:tc>
                <w:tcPr>
                  <w:tcW w:w="818" w:type="dxa"/>
                  <w:vMerge w:val="continue"/>
                  <w:vAlign w:val="center"/>
                </w:tcPr>
                <w:p>
                  <w:pPr>
                    <w:pStyle w:val="267"/>
                    <w:spacing w:line="245" w:lineRule="auto"/>
                    <w:jc w:val="center"/>
                    <w:rPr>
                      <w:rFonts w:ascii="Times New Roman" w:hAnsi="Times New Roman"/>
                      <w:color w:val="auto"/>
                    </w:rPr>
                  </w:pPr>
                </w:p>
              </w:tc>
              <w:tc>
                <w:tcPr>
                  <w:tcW w:w="1194" w:type="dxa"/>
                  <w:vAlign w:val="center"/>
                </w:tcPr>
                <w:p>
                  <w:pPr>
                    <w:pStyle w:val="267"/>
                    <w:spacing w:line="245" w:lineRule="auto"/>
                    <w:jc w:val="center"/>
                    <w:rPr>
                      <w:rFonts w:ascii="Times New Roman" w:hAnsi="Times New Roman"/>
                      <w:color w:val="auto"/>
                    </w:rPr>
                  </w:pPr>
                  <w:r>
                    <w:rPr>
                      <w:rFonts w:hint="eastAsia" w:ascii="Times New Roman" w:hAnsi="Times New Roman"/>
                      <w:color w:val="auto"/>
                    </w:rPr>
                    <w:t>隔油池</w:t>
                  </w:r>
                </w:p>
              </w:tc>
              <w:tc>
                <w:tcPr>
                  <w:tcW w:w="4450" w:type="dxa"/>
                  <w:vAlign w:val="center"/>
                </w:tcPr>
                <w:p>
                  <w:pPr>
                    <w:pStyle w:val="267"/>
                    <w:spacing w:line="245" w:lineRule="auto"/>
                    <w:jc w:val="center"/>
                    <w:rPr>
                      <w:rFonts w:ascii="Times New Roman" w:hAnsi="Times New Roman"/>
                      <w:color w:val="auto"/>
                    </w:rPr>
                  </w:pPr>
                  <w:r>
                    <w:rPr>
                      <w:rFonts w:hint="eastAsia" w:ascii="Times New Roman" w:hAnsi="Times New Roman"/>
                      <w:color w:val="auto"/>
                    </w:rPr>
                    <w:t>设置1个1m</w:t>
                  </w:r>
                  <w:r>
                    <w:rPr>
                      <w:rFonts w:hint="eastAsia" w:ascii="Times New Roman" w:hAnsi="Times New Roman"/>
                      <w:color w:val="auto"/>
                      <w:vertAlign w:val="superscript"/>
                    </w:rPr>
                    <w:t>3</w:t>
                  </w:r>
                  <w:r>
                    <w:rPr>
                      <w:rFonts w:hint="eastAsia" w:ascii="Times New Roman" w:hAnsi="Times New Roman"/>
                      <w:color w:val="auto"/>
                    </w:rPr>
                    <w:t>隔油池处理食堂废水，后进入化粪池。</w:t>
                  </w:r>
                </w:p>
              </w:tc>
              <w:tc>
                <w:tcPr>
                  <w:tcW w:w="1349" w:type="dxa"/>
                  <w:vMerge w:val="continue"/>
                  <w:vAlign w:val="center"/>
                </w:tcPr>
                <w:p>
                  <w:pPr>
                    <w:pStyle w:val="267"/>
                    <w:spacing w:line="245" w:lineRule="auto"/>
                    <w:jc w:val="center"/>
                    <w:rPr>
                      <w:rFonts w:ascii="Times New Roman" w:hAns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 w:hRule="atLeast"/>
                <w:jc w:val="center"/>
              </w:trPr>
              <w:tc>
                <w:tcPr>
                  <w:tcW w:w="432" w:type="dxa"/>
                  <w:vMerge w:val="continue"/>
                  <w:vAlign w:val="center"/>
                </w:tcPr>
                <w:p>
                  <w:pPr>
                    <w:pStyle w:val="267"/>
                    <w:spacing w:line="245" w:lineRule="auto"/>
                    <w:jc w:val="center"/>
                    <w:rPr>
                      <w:rFonts w:ascii="Times New Roman" w:hAnsi="Times New Roman"/>
                      <w:color w:val="auto"/>
                    </w:rPr>
                  </w:pPr>
                </w:p>
              </w:tc>
              <w:tc>
                <w:tcPr>
                  <w:tcW w:w="818" w:type="dxa"/>
                  <w:vMerge w:val="continue"/>
                  <w:vAlign w:val="center"/>
                </w:tcPr>
                <w:p>
                  <w:pPr>
                    <w:pStyle w:val="267"/>
                    <w:spacing w:line="245" w:lineRule="auto"/>
                    <w:jc w:val="center"/>
                    <w:rPr>
                      <w:rFonts w:ascii="Times New Roman" w:hAnsi="Times New Roman"/>
                      <w:color w:val="auto"/>
                    </w:rPr>
                  </w:pPr>
                </w:p>
              </w:tc>
              <w:tc>
                <w:tcPr>
                  <w:tcW w:w="1194" w:type="dxa"/>
                  <w:vAlign w:val="center"/>
                </w:tcPr>
                <w:p>
                  <w:pPr>
                    <w:pStyle w:val="267"/>
                    <w:spacing w:line="245" w:lineRule="auto"/>
                    <w:jc w:val="center"/>
                    <w:rPr>
                      <w:rFonts w:ascii="Times New Roman" w:hAnsi="Times New Roman"/>
                      <w:color w:val="auto"/>
                    </w:rPr>
                  </w:pPr>
                  <w:r>
                    <w:rPr>
                      <w:rFonts w:hint="eastAsia" w:ascii="Times New Roman" w:hAnsi="Times New Roman"/>
                      <w:color w:val="auto"/>
                    </w:rPr>
                    <w:t>化粪池</w:t>
                  </w:r>
                </w:p>
              </w:tc>
              <w:tc>
                <w:tcPr>
                  <w:tcW w:w="4450" w:type="dxa"/>
                  <w:vAlign w:val="center"/>
                </w:tcPr>
                <w:p>
                  <w:pPr>
                    <w:pStyle w:val="267"/>
                    <w:spacing w:line="245" w:lineRule="auto"/>
                    <w:jc w:val="center"/>
                    <w:rPr>
                      <w:rFonts w:hint="default" w:ascii="Times New Roman" w:hAnsi="Times New Roman" w:eastAsia="宋体"/>
                      <w:color w:val="auto"/>
                      <w:lang w:val="en-US" w:eastAsia="zh-CN"/>
                    </w:rPr>
                  </w:pPr>
                  <w:r>
                    <w:rPr>
                      <w:rFonts w:hint="eastAsia" w:ascii="Times New Roman" w:hAnsi="Times New Roman"/>
                      <w:color w:val="auto"/>
                    </w:rPr>
                    <w:t>设置1个10m</w:t>
                  </w:r>
                  <w:r>
                    <w:rPr>
                      <w:rFonts w:hint="eastAsia" w:ascii="Times New Roman" w:hAnsi="Times New Roman"/>
                      <w:color w:val="auto"/>
                      <w:vertAlign w:val="superscript"/>
                    </w:rPr>
                    <w:t>3</w:t>
                  </w:r>
                  <w:r>
                    <w:rPr>
                      <w:rFonts w:hint="eastAsia" w:ascii="Times New Roman" w:hAnsi="Times New Roman"/>
                      <w:color w:val="auto"/>
                    </w:rPr>
                    <w:t>化粪池</w:t>
                  </w:r>
                  <w:r>
                    <w:rPr>
                      <w:rFonts w:hint="eastAsia" w:ascii="Times New Roman" w:hAnsi="Times New Roman"/>
                      <w:color w:val="auto"/>
                      <w:lang w:val="en-US" w:eastAsia="zh-CN"/>
                    </w:rPr>
                    <w:t>,对生活污水进行预处理。</w:t>
                  </w:r>
                </w:p>
              </w:tc>
              <w:tc>
                <w:tcPr>
                  <w:tcW w:w="1349" w:type="dxa"/>
                  <w:vMerge w:val="continue"/>
                  <w:tcBorders>
                    <w:bottom w:val="single" w:color="auto" w:sz="4" w:space="0"/>
                  </w:tcBorders>
                  <w:vAlign w:val="center"/>
                </w:tcPr>
                <w:p>
                  <w:pPr>
                    <w:pStyle w:val="267"/>
                    <w:spacing w:line="245" w:lineRule="auto"/>
                    <w:jc w:val="center"/>
                    <w:rPr>
                      <w:rFonts w:ascii="Times New Roman" w:hAns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 w:hRule="atLeast"/>
                <w:jc w:val="center"/>
              </w:trPr>
              <w:tc>
                <w:tcPr>
                  <w:tcW w:w="432" w:type="dxa"/>
                  <w:vMerge w:val="continue"/>
                  <w:vAlign w:val="center"/>
                </w:tcPr>
                <w:p>
                  <w:pPr>
                    <w:pStyle w:val="267"/>
                    <w:spacing w:line="245" w:lineRule="auto"/>
                    <w:jc w:val="center"/>
                    <w:rPr>
                      <w:rFonts w:ascii="Times New Roman" w:hAnsi="Times New Roman"/>
                      <w:color w:val="auto"/>
                    </w:rPr>
                  </w:pPr>
                </w:p>
              </w:tc>
              <w:tc>
                <w:tcPr>
                  <w:tcW w:w="818" w:type="dxa"/>
                  <w:vMerge w:val="continue"/>
                  <w:vAlign w:val="center"/>
                </w:tcPr>
                <w:p>
                  <w:pPr>
                    <w:pStyle w:val="267"/>
                    <w:spacing w:line="245" w:lineRule="auto"/>
                    <w:jc w:val="center"/>
                    <w:rPr>
                      <w:rFonts w:ascii="Times New Roman" w:hAnsi="Times New Roman"/>
                      <w:color w:val="auto"/>
                    </w:rPr>
                  </w:pPr>
                </w:p>
              </w:tc>
              <w:tc>
                <w:tcPr>
                  <w:tcW w:w="1194" w:type="dxa"/>
                  <w:vAlign w:val="center"/>
                </w:tcPr>
                <w:p>
                  <w:pPr>
                    <w:pStyle w:val="267"/>
                    <w:spacing w:line="245" w:lineRule="auto"/>
                    <w:jc w:val="center"/>
                    <w:rPr>
                      <w:rFonts w:hint="eastAsia" w:ascii="Times New Roman" w:hAnsi="Times New Roman" w:eastAsia="宋体"/>
                      <w:color w:val="auto"/>
                      <w:lang w:eastAsia="zh-CN"/>
                    </w:rPr>
                  </w:pPr>
                  <w:r>
                    <w:rPr>
                      <w:rFonts w:hint="eastAsia" w:ascii="Times New Roman" w:hAnsi="Times New Roman"/>
                      <w:color w:val="auto"/>
                      <w:lang w:eastAsia="zh-CN"/>
                    </w:rPr>
                    <w:t>中水处理站</w:t>
                  </w:r>
                </w:p>
              </w:tc>
              <w:tc>
                <w:tcPr>
                  <w:tcW w:w="4450" w:type="dxa"/>
                  <w:vAlign w:val="center"/>
                </w:tcPr>
                <w:p>
                  <w:pPr>
                    <w:pStyle w:val="267"/>
                    <w:spacing w:line="245" w:lineRule="auto"/>
                    <w:jc w:val="center"/>
                    <w:rPr>
                      <w:rFonts w:hint="eastAsia" w:ascii="Times New Roman" w:hAnsi="Times New Roman"/>
                      <w:color w:val="auto"/>
                    </w:rPr>
                  </w:pPr>
                  <w:r>
                    <w:rPr>
                      <w:rFonts w:hint="eastAsia" w:ascii="Times New Roman" w:hAnsi="Times New Roman"/>
                      <w:color w:val="auto"/>
                    </w:rPr>
                    <w:t>一座，位于</w:t>
                  </w:r>
                  <w:r>
                    <w:rPr>
                      <w:rFonts w:hint="eastAsia" w:ascii="Times New Roman" w:hAnsi="Times New Roman"/>
                      <w:color w:val="auto"/>
                      <w:lang w:eastAsia="zh-CN"/>
                    </w:rPr>
                    <w:t>浴室和厨房之间</w:t>
                  </w:r>
                  <w:r>
                    <w:rPr>
                      <w:rFonts w:hint="eastAsia" w:ascii="Times New Roman" w:hAnsi="Times New Roman"/>
                      <w:color w:val="auto"/>
                    </w:rPr>
                    <w:t>，处理规模为</w:t>
                  </w:r>
                  <w:r>
                    <w:rPr>
                      <w:rFonts w:hint="eastAsia" w:ascii="Times New Roman" w:hAnsi="Times New Roman"/>
                      <w:color w:val="auto"/>
                      <w:lang w:val="en-US" w:eastAsia="zh-CN"/>
                    </w:rPr>
                    <w:t>8</w:t>
                  </w:r>
                  <w:r>
                    <w:rPr>
                      <w:rFonts w:hint="eastAsia" w:ascii="Times New Roman" w:hAnsi="Times New Roman"/>
                      <w:color w:val="auto"/>
                    </w:rPr>
                    <w:t>m</w:t>
                  </w:r>
                  <w:r>
                    <w:rPr>
                      <w:rFonts w:hint="eastAsia" w:ascii="Times New Roman" w:hAnsi="Times New Roman"/>
                      <w:color w:val="auto"/>
                      <w:vertAlign w:val="superscript"/>
                    </w:rPr>
                    <w:t>3</w:t>
                  </w:r>
                  <w:r>
                    <w:rPr>
                      <w:rFonts w:hint="eastAsia" w:ascii="Times New Roman" w:hAnsi="Times New Roman"/>
                      <w:color w:val="auto"/>
                    </w:rPr>
                    <w:t>/d，采用“A/O”污水处理工艺</w:t>
                  </w:r>
                </w:p>
              </w:tc>
              <w:tc>
                <w:tcPr>
                  <w:tcW w:w="1349" w:type="dxa"/>
                  <w:vMerge w:val="restart"/>
                  <w:tcBorders>
                    <w:top w:val="single" w:color="auto" w:sz="4" w:space="0"/>
                  </w:tcBorders>
                  <w:vAlign w:val="center"/>
                </w:tcPr>
                <w:p>
                  <w:pPr>
                    <w:pStyle w:val="267"/>
                    <w:spacing w:line="245" w:lineRule="auto"/>
                    <w:jc w:val="center"/>
                    <w:rPr>
                      <w:rFonts w:hint="eastAsia" w:ascii="Times New Roman" w:hAnsi="Times New Roman" w:eastAsia="宋体"/>
                      <w:color w:val="auto"/>
                      <w:lang w:eastAsia="zh-CN"/>
                    </w:rPr>
                  </w:pPr>
                  <w:r>
                    <w:rPr>
                      <w:rFonts w:hint="eastAsia" w:ascii="Times New Roman" w:hAnsi="Times New Roman"/>
                      <w:color w:val="auto"/>
                      <w:lang w:eastAsia="zh-CN"/>
                    </w:rPr>
                    <w:t>新建，环评提出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 w:hRule="atLeast"/>
                <w:jc w:val="center"/>
              </w:trPr>
              <w:tc>
                <w:tcPr>
                  <w:tcW w:w="432" w:type="dxa"/>
                  <w:vMerge w:val="continue"/>
                  <w:vAlign w:val="center"/>
                </w:tcPr>
                <w:p>
                  <w:pPr>
                    <w:pStyle w:val="267"/>
                    <w:spacing w:line="245" w:lineRule="auto"/>
                    <w:jc w:val="center"/>
                    <w:rPr>
                      <w:rFonts w:ascii="Times New Roman" w:hAnsi="Times New Roman"/>
                      <w:color w:val="auto"/>
                    </w:rPr>
                  </w:pPr>
                </w:p>
              </w:tc>
              <w:tc>
                <w:tcPr>
                  <w:tcW w:w="818" w:type="dxa"/>
                  <w:vMerge w:val="continue"/>
                  <w:vAlign w:val="center"/>
                </w:tcPr>
                <w:p>
                  <w:pPr>
                    <w:pStyle w:val="267"/>
                    <w:spacing w:line="245" w:lineRule="auto"/>
                    <w:jc w:val="center"/>
                    <w:rPr>
                      <w:rFonts w:ascii="Times New Roman" w:hAnsi="Times New Roman"/>
                      <w:color w:val="auto"/>
                    </w:rPr>
                  </w:pPr>
                </w:p>
              </w:tc>
              <w:tc>
                <w:tcPr>
                  <w:tcW w:w="1194" w:type="dxa"/>
                  <w:vAlign w:val="center"/>
                </w:tcPr>
                <w:p>
                  <w:pPr>
                    <w:pStyle w:val="267"/>
                    <w:spacing w:line="245" w:lineRule="auto"/>
                    <w:jc w:val="center"/>
                    <w:rPr>
                      <w:rFonts w:hint="eastAsia" w:ascii="Times New Roman" w:hAnsi="Times New Roman" w:eastAsia="宋体" w:cs="Times New Roman"/>
                      <w:color w:val="auto"/>
                      <w:kern w:val="2"/>
                      <w:sz w:val="21"/>
                      <w:szCs w:val="22"/>
                      <w:lang w:val="en-US" w:eastAsia="zh-CN" w:bidi="ar-SA"/>
                    </w:rPr>
                  </w:pPr>
                  <w:r>
                    <w:rPr>
                      <w:rFonts w:hint="eastAsia" w:ascii="Times New Roman" w:hAnsi="Times New Roman"/>
                      <w:color w:val="auto"/>
                      <w:lang w:eastAsia="zh-CN"/>
                    </w:rPr>
                    <w:t>蓄水池</w:t>
                  </w:r>
                </w:p>
              </w:tc>
              <w:tc>
                <w:tcPr>
                  <w:tcW w:w="4450" w:type="dxa"/>
                  <w:vAlign w:val="center"/>
                </w:tcPr>
                <w:p>
                  <w:pPr>
                    <w:pStyle w:val="267"/>
                    <w:spacing w:line="245" w:lineRule="auto"/>
                    <w:jc w:val="center"/>
                    <w:rPr>
                      <w:rFonts w:hint="eastAsia" w:ascii="Times New Roman" w:hAnsi="Times New Roman" w:eastAsia="宋体" w:cs="Times New Roman"/>
                      <w:color w:val="auto"/>
                      <w:kern w:val="2"/>
                      <w:sz w:val="21"/>
                      <w:szCs w:val="22"/>
                      <w:lang w:val="en-US" w:eastAsia="zh-CN" w:bidi="ar-SA"/>
                    </w:rPr>
                  </w:pPr>
                  <w:r>
                    <w:rPr>
                      <w:rFonts w:hint="eastAsia" w:ascii="Times New Roman" w:hAnsi="Times New Roman"/>
                      <w:color w:val="auto"/>
                    </w:rPr>
                    <w:t>设置1个</w:t>
                  </w:r>
                  <w:r>
                    <w:rPr>
                      <w:rFonts w:hint="eastAsia" w:ascii="Times New Roman" w:hAnsi="Times New Roman"/>
                      <w:color w:val="auto"/>
                      <w:lang w:val="en-US" w:eastAsia="zh-CN"/>
                    </w:rPr>
                    <w:t>40</w:t>
                  </w:r>
                  <w:r>
                    <w:rPr>
                      <w:rFonts w:hint="eastAsia" w:ascii="Times New Roman" w:hAnsi="Times New Roman"/>
                      <w:color w:val="auto"/>
                    </w:rPr>
                    <w:t>m</w:t>
                  </w:r>
                  <w:r>
                    <w:rPr>
                      <w:rFonts w:hint="eastAsia" w:ascii="Times New Roman" w:hAnsi="Times New Roman"/>
                      <w:color w:val="auto"/>
                      <w:vertAlign w:val="superscript"/>
                    </w:rPr>
                    <w:t>3</w:t>
                  </w:r>
                  <w:r>
                    <w:rPr>
                      <w:rFonts w:hint="eastAsia" w:ascii="Times New Roman" w:hAnsi="Times New Roman"/>
                      <w:color w:val="auto"/>
                      <w:lang w:eastAsia="zh-CN"/>
                    </w:rPr>
                    <w:t>蓄水</w:t>
                  </w:r>
                  <w:r>
                    <w:rPr>
                      <w:rFonts w:hint="eastAsia" w:ascii="Times New Roman" w:hAnsi="Times New Roman"/>
                      <w:color w:val="auto"/>
                    </w:rPr>
                    <w:t>池，用于</w:t>
                  </w:r>
                  <w:r>
                    <w:rPr>
                      <w:rFonts w:hint="eastAsia" w:ascii="Times New Roman" w:hAnsi="Times New Roman"/>
                      <w:color w:val="auto"/>
                      <w:lang w:eastAsia="zh-CN"/>
                    </w:rPr>
                    <w:t>暂存雨天处理达标后的生活污水</w:t>
                  </w:r>
                  <w:r>
                    <w:rPr>
                      <w:rFonts w:hint="eastAsia" w:ascii="Times New Roman" w:hAnsi="Times New Roman"/>
                      <w:color w:val="auto"/>
                    </w:rPr>
                    <w:t>。</w:t>
                  </w:r>
                </w:p>
              </w:tc>
              <w:tc>
                <w:tcPr>
                  <w:tcW w:w="1349" w:type="dxa"/>
                  <w:vMerge w:val="continue"/>
                  <w:vAlign w:val="center"/>
                </w:tcPr>
                <w:p>
                  <w:pPr>
                    <w:pStyle w:val="267"/>
                    <w:spacing w:line="245" w:lineRule="auto"/>
                    <w:jc w:val="center"/>
                    <w:rPr>
                      <w:rFonts w:ascii="Times New Roman" w:hAns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 w:hRule="atLeast"/>
                <w:jc w:val="center"/>
              </w:trPr>
              <w:tc>
                <w:tcPr>
                  <w:tcW w:w="432" w:type="dxa"/>
                  <w:vMerge w:val="continue"/>
                  <w:vAlign w:val="center"/>
                </w:tcPr>
                <w:p>
                  <w:pPr>
                    <w:pStyle w:val="267"/>
                    <w:spacing w:line="245" w:lineRule="auto"/>
                    <w:jc w:val="center"/>
                    <w:rPr>
                      <w:rFonts w:ascii="Times New Roman" w:hAnsi="Times New Roman"/>
                      <w:color w:val="auto"/>
                    </w:rPr>
                  </w:pPr>
                </w:p>
              </w:tc>
              <w:tc>
                <w:tcPr>
                  <w:tcW w:w="818" w:type="dxa"/>
                  <w:vMerge w:val="continue"/>
                  <w:vAlign w:val="center"/>
                </w:tcPr>
                <w:p>
                  <w:pPr>
                    <w:pStyle w:val="267"/>
                    <w:spacing w:line="245" w:lineRule="auto"/>
                    <w:jc w:val="center"/>
                    <w:rPr>
                      <w:rFonts w:ascii="Times New Roman" w:hAnsi="Times New Roman"/>
                      <w:color w:val="auto"/>
                    </w:rPr>
                  </w:pPr>
                </w:p>
              </w:tc>
              <w:tc>
                <w:tcPr>
                  <w:tcW w:w="1194" w:type="dxa"/>
                  <w:vAlign w:val="center"/>
                </w:tcPr>
                <w:p>
                  <w:pPr>
                    <w:pStyle w:val="267"/>
                    <w:spacing w:line="245" w:lineRule="auto"/>
                    <w:jc w:val="center"/>
                    <w:rPr>
                      <w:rFonts w:ascii="Times New Roman" w:hAnsi="Times New Roman"/>
                      <w:color w:val="auto"/>
                    </w:rPr>
                  </w:pPr>
                  <w:r>
                    <w:rPr>
                      <w:rFonts w:hint="eastAsia" w:ascii="Times New Roman" w:hAnsi="Times New Roman"/>
                      <w:color w:val="auto"/>
                    </w:rPr>
                    <w:t>初期雨水收集池</w:t>
                  </w:r>
                </w:p>
              </w:tc>
              <w:tc>
                <w:tcPr>
                  <w:tcW w:w="4450" w:type="dxa"/>
                  <w:vAlign w:val="center"/>
                </w:tcPr>
                <w:p>
                  <w:pPr>
                    <w:pStyle w:val="267"/>
                    <w:spacing w:line="245" w:lineRule="auto"/>
                    <w:jc w:val="center"/>
                    <w:rPr>
                      <w:rFonts w:ascii="Times New Roman" w:hAnsi="Times New Roman"/>
                      <w:color w:val="auto"/>
                    </w:rPr>
                  </w:pPr>
                  <w:r>
                    <w:rPr>
                      <w:rFonts w:hint="eastAsia" w:ascii="Times New Roman" w:hAnsi="Times New Roman"/>
                      <w:color w:val="auto"/>
                    </w:rPr>
                    <w:t>设置1个40m</w:t>
                  </w:r>
                  <w:r>
                    <w:rPr>
                      <w:rFonts w:hint="eastAsia" w:ascii="Times New Roman" w:hAnsi="Times New Roman"/>
                      <w:color w:val="auto"/>
                      <w:vertAlign w:val="superscript"/>
                    </w:rPr>
                    <w:t>3</w:t>
                  </w:r>
                  <w:r>
                    <w:rPr>
                      <w:rFonts w:hint="eastAsia" w:ascii="Times New Roman" w:hAnsi="Times New Roman"/>
                      <w:color w:val="auto"/>
                    </w:rPr>
                    <w:t>初期雨水收集池，暂存初期雨水，用于生产补充用水。</w:t>
                  </w:r>
                </w:p>
              </w:tc>
              <w:tc>
                <w:tcPr>
                  <w:tcW w:w="1349" w:type="dxa"/>
                  <w:vMerge w:val="continue"/>
                  <w:vAlign w:val="center"/>
                </w:tcPr>
                <w:p>
                  <w:pPr>
                    <w:pStyle w:val="267"/>
                    <w:spacing w:line="245" w:lineRule="auto"/>
                    <w:jc w:val="center"/>
                    <w:rPr>
                      <w:rFonts w:ascii="Times New Roman" w:hAns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 w:hRule="atLeast"/>
                <w:jc w:val="center"/>
              </w:trPr>
              <w:tc>
                <w:tcPr>
                  <w:tcW w:w="432" w:type="dxa"/>
                  <w:vMerge w:val="continue"/>
                  <w:vAlign w:val="center"/>
                </w:tcPr>
                <w:p>
                  <w:pPr>
                    <w:jc w:val="center"/>
                    <w:rPr>
                      <w:rFonts w:ascii="Times New Roman" w:hAnsi="Times New Roman"/>
                      <w:color w:val="auto"/>
                    </w:rPr>
                  </w:pPr>
                </w:p>
              </w:tc>
              <w:tc>
                <w:tcPr>
                  <w:tcW w:w="818" w:type="dxa"/>
                  <w:vMerge w:val="restart"/>
                  <w:vAlign w:val="center"/>
                </w:tcPr>
                <w:p>
                  <w:pPr>
                    <w:adjustRightInd w:val="0"/>
                    <w:snapToGrid w:val="0"/>
                    <w:spacing w:line="340" w:lineRule="exact"/>
                    <w:jc w:val="center"/>
                    <w:rPr>
                      <w:rFonts w:ascii="Times New Roman" w:hAnsi="Times New Roman"/>
                      <w:color w:val="auto"/>
                    </w:rPr>
                  </w:pPr>
                  <w:r>
                    <w:rPr>
                      <w:rFonts w:ascii="Times New Roman" w:hAnsi="Times New Roman"/>
                      <w:color w:val="auto"/>
                    </w:rPr>
                    <w:t>废气治理设施</w:t>
                  </w:r>
                </w:p>
              </w:tc>
              <w:tc>
                <w:tcPr>
                  <w:tcW w:w="1194" w:type="dxa"/>
                  <w:vAlign w:val="center"/>
                </w:tcPr>
                <w:p>
                  <w:pPr>
                    <w:adjustRightInd w:val="0"/>
                    <w:snapToGrid w:val="0"/>
                    <w:spacing w:line="340" w:lineRule="exact"/>
                    <w:jc w:val="center"/>
                    <w:rPr>
                      <w:rFonts w:ascii="Times New Roman" w:hAnsi="Times New Roman"/>
                      <w:color w:val="auto"/>
                    </w:rPr>
                  </w:pPr>
                  <w:r>
                    <w:rPr>
                      <w:rFonts w:hint="eastAsia" w:ascii="Times New Roman" w:hAnsi="Times New Roman"/>
                      <w:color w:val="auto"/>
                    </w:rPr>
                    <w:t>碎石、河沙、机制砂堆棚</w:t>
                  </w:r>
                </w:p>
              </w:tc>
              <w:tc>
                <w:tcPr>
                  <w:tcW w:w="4450" w:type="dxa"/>
                  <w:vAlign w:val="center"/>
                </w:tcPr>
                <w:p>
                  <w:pPr>
                    <w:adjustRightInd w:val="0"/>
                    <w:snapToGrid w:val="0"/>
                    <w:spacing w:line="340" w:lineRule="exact"/>
                    <w:jc w:val="center"/>
                    <w:rPr>
                      <w:rFonts w:ascii="Times New Roman" w:hAnsi="Times New Roman"/>
                      <w:color w:val="auto"/>
                    </w:rPr>
                  </w:pPr>
                  <w:r>
                    <w:rPr>
                      <w:rFonts w:ascii="Times New Roman" w:hAnsi="Times New Roman"/>
                      <w:color w:val="auto"/>
                    </w:rPr>
                    <w:t>设置</w:t>
                  </w:r>
                  <w:r>
                    <w:rPr>
                      <w:rFonts w:hint="eastAsia" w:ascii="Times New Roman" w:hAnsi="Times New Roman"/>
                      <w:color w:val="auto"/>
                    </w:rPr>
                    <w:t>彩钢瓦</w:t>
                  </w:r>
                  <w:r>
                    <w:rPr>
                      <w:rFonts w:ascii="Times New Roman" w:hAnsi="Times New Roman"/>
                      <w:color w:val="auto"/>
                    </w:rPr>
                    <w:t>顶棚及三面挡墙，喷雾洒水降尘措施</w:t>
                  </w:r>
                  <w:r>
                    <w:rPr>
                      <w:rFonts w:hint="eastAsia" w:ascii="Times New Roman" w:hAnsi="Times New Roman"/>
                      <w:color w:val="auto"/>
                    </w:rPr>
                    <w:t>。</w:t>
                  </w:r>
                </w:p>
              </w:tc>
              <w:tc>
                <w:tcPr>
                  <w:tcW w:w="1349" w:type="dxa"/>
                  <w:vMerge w:val="restart"/>
                  <w:vAlign w:val="center"/>
                </w:tcPr>
                <w:p>
                  <w:pPr>
                    <w:jc w:val="center"/>
                    <w:rPr>
                      <w:rFonts w:ascii="Times New Roman" w:hAnsi="Times New Roman"/>
                      <w:color w:val="auto"/>
                    </w:rPr>
                  </w:pPr>
                  <w:r>
                    <w:rPr>
                      <w:rFonts w:ascii="Times New Roman" w:hAnsi="Times New Roman"/>
                      <w:color w:val="auto"/>
                    </w:rPr>
                    <w:t>新建</w:t>
                  </w:r>
                  <w:r>
                    <w:rPr>
                      <w:rFonts w:hint="eastAsia" w:ascii="Times New Roman" w:hAnsi="Times New Roman"/>
                      <w:color w:val="auto"/>
                      <w:lang w:eastAsia="zh-CN"/>
                    </w:rPr>
                    <w:t>，</w:t>
                  </w:r>
                  <w:r>
                    <w:rPr>
                      <w:rFonts w:hint="eastAsia" w:ascii="Times New Roman" w:hAnsi="Times New Roman"/>
                      <w:color w:val="auto"/>
                      <w:lang w:val="en-US" w:eastAsia="zh-CN"/>
                    </w:rPr>
                    <w:t>可研提出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32" w:type="dxa"/>
                  <w:vMerge w:val="continue"/>
                  <w:vAlign w:val="center"/>
                </w:tcPr>
                <w:p>
                  <w:pPr>
                    <w:adjustRightInd w:val="0"/>
                    <w:snapToGrid w:val="0"/>
                    <w:spacing w:line="340" w:lineRule="exact"/>
                    <w:jc w:val="center"/>
                    <w:rPr>
                      <w:color w:val="auto"/>
                    </w:rPr>
                  </w:pPr>
                </w:p>
              </w:tc>
              <w:tc>
                <w:tcPr>
                  <w:tcW w:w="818" w:type="dxa"/>
                  <w:vMerge w:val="continue"/>
                  <w:vAlign w:val="center"/>
                </w:tcPr>
                <w:p>
                  <w:pPr>
                    <w:adjustRightInd w:val="0"/>
                    <w:snapToGrid w:val="0"/>
                    <w:spacing w:line="340" w:lineRule="exact"/>
                    <w:jc w:val="center"/>
                    <w:rPr>
                      <w:color w:val="auto"/>
                    </w:rPr>
                  </w:pPr>
                </w:p>
              </w:tc>
              <w:tc>
                <w:tcPr>
                  <w:tcW w:w="1194" w:type="dxa"/>
                  <w:vAlign w:val="center"/>
                </w:tcPr>
                <w:p>
                  <w:pPr>
                    <w:adjustRightInd w:val="0"/>
                    <w:snapToGrid w:val="0"/>
                    <w:spacing w:line="340" w:lineRule="exact"/>
                    <w:jc w:val="center"/>
                    <w:rPr>
                      <w:rFonts w:ascii="Times New Roman" w:hAnsi="Times New Roman"/>
                      <w:color w:val="auto"/>
                    </w:rPr>
                  </w:pPr>
                  <w:r>
                    <w:rPr>
                      <w:rFonts w:hint="eastAsia" w:ascii="Times New Roman" w:hAnsi="Times New Roman"/>
                      <w:color w:val="auto"/>
                    </w:rPr>
                    <w:t>水泥料仓</w:t>
                  </w:r>
                </w:p>
              </w:tc>
              <w:tc>
                <w:tcPr>
                  <w:tcW w:w="4450" w:type="dxa"/>
                  <w:vAlign w:val="center"/>
                </w:tcPr>
                <w:p>
                  <w:pPr>
                    <w:adjustRightInd w:val="0"/>
                    <w:snapToGrid w:val="0"/>
                    <w:spacing w:line="340" w:lineRule="exact"/>
                    <w:jc w:val="center"/>
                    <w:rPr>
                      <w:rFonts w:ascii="Times New Roman" w:hAnsi="Times New Roman"/>
                      <w:color w:val="auto"/>
                    </w:rPr>
                  </w:pPr>
                  <w:r>
                    <w:rPr>
                      <w:rFonts w:hint="eastAsia" w:ascii="Times New Roman" w:hAnsi="Times New Roman"/>
                      <w:color w:val="auto"/>
                    </w:rPr>
                    <w:t>本项目共设置8个水泥仓，每个水泥仓顶单独配置1套SV-Z1型布袋除尘器（效率99.8%布袋除尘，风量</w:t>
                  </w:r>
                  <w:r>
                    <w:rPr>
                      <w:rFonts w:hint="eastAsia" w:ascii="Times New Roman" w:hAnsi="Times New Roman"/>
                      <w:color w:val="auto"/>
                      <w:lang w:val="en-US" w:eastAsia="zh-CN"/>
                    </w:rPr>
                    <w:t>2</w:t>
                  </w:r>
                  <w:r>
                    <w:rPr>
                      <w:rFonts w:hint="eastAsia" w:ascii="Times New Roman" w:hAnsi="Times New Roman"/>
                      <w:color w:val="auto"/>
                    </w:rPr>
                    <w:t>000Nm</w:t>
                  </w:r>
                  <w:r>
                    <w:rPr>
                      <w:rFonts w:hint="eastAsia" w:ascii="Times New Roman" w:hAnsi="Times New Roman"/>
                      <w:color w:val="auto"/>
                      <w:vertAlign w:val="superscript"/>
                    </w:rPr>
                    <w:t>3</w:t>
                  </w:r>
                  <w:r>
                    <w:rPr>
                      <w:rFonts w:hint="eastAsia" w:ascii="Times New Roman" w:hAnsi="Times New Roman"/>
                      <w:color w:val="auto"/>
                    </w:rPr>
                    <w:t>/h），水泥仓在装料时，仓内含尘废气经过布袋除尘器处理后，由仓顶排放，排放高度为15m（水泥仓高13.5m+排气筒1.5m，∮=0.3m</w:t>
                  </w:r>
                  <w:r>
                    <w:rPr>
                      <w:rFonts w:hint="eastAsia" w:ascii="Times New Roman" w:hAnsi="Times New Roman"/>
                      <w:color w:val="auto"/>
                      <w:lang w:val="en-US" w:eastAsia="zh-CN"/>
                    </w:rPr>
                    <w:t>,1#、2#、3#、4#、5#、6#、7#、8#</w:t>
                  </w:r>
                  <w:r>
                    <w:rPr>
                      <w:rFonts w:hint="eastAsia" w:ascii="Times New Roman" w:hAnsi="Times New Roman"/>
                      <w:color w:val="auto"/>
                    </w:rPr>
                    <w:t>）。</w:t>
                  </w:r>
                </w:p>
              </w:tc>
              <w:tc>
                <w:tcPr>
                  <w:tcW w:w="1349" w:type="dxa"/>
                  <w:vMerge w:val="continue"/>
                  <w:vAlign w:val="center"/>
                </w:tcPr>
                <w:p>
                  <w:pPr>
                    <w:adjustRightInd w:val="0"/>
                    <w:snapToGrid w:val="0"/>
                    <w:spacing w:line="340" w:lineRule="exact"/>
                    <w:jc w:val="center"/>
                    <w:rPr>
                      <w:rFonts w:ascii="Times New Roman" w:hAns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 w:hRule="atLeast"/>
                <w:jc w:val="center"/>
              </w:trPr>
              <w:tc>
                <w:tcPr>
                  <w:tcW w:w="432" w:type="dxa"/>
                  <w:vMerge w:val="continue"/>
                  <w:vAlign w:val="center"/>
                </w:tcPr>
                <w:p>
                  <w:pPr>
                    <w:adjustRightInd w:val="0"/>
                    <w:snapToGrid w:val="0"/>
                    <w:spacing w:line="340" w:lineRule="exact"/>
                    <w:jc w:val="center"/>
                    <w:rPr>
                      <w:color w:val="auto"/>
                    </w:rPr>
                  </w:pPr>
                </w:p>
              </w:tc>
              <w:tc>
                <w:tcPr>
                  <w:tcW w:w="818" w:type="dxa"/>
                  <w:vMerge w:val="continue"/>
                  <w:vAlign w:val="center"/>
                </w:tcPr>
                <w:p>
                  <w:pPr>
                    <w:adjustRightInd w:val="0"/>
                    <w:snapToGrid w:val="0"/>
                    <w:spacing w:line="340" w:lineRule="exact"/>
                    <w:jc w:val="center"/>
                    <w:rPr>
                      <w:color w:val="auto"/>
                    </w:rPr>
                  </w:pPr>
                </w:p>
              </w:tc>
              <w:tc>
                <w:tcPr>
                  <w:tcW w:w="1194" w:type="dxa"/>
                  <w:vAlign w:val="center"/>
                </w:tcPr>
                <w:p>
                  <w:pPr>
                    <w:adjustRightInd w:val="0"/>
                    <w:snapToGrid w:val="0"/>
                    <w:spacing w:line="340" w:lineRule="exact"/>
                    <w:jc w:val="center"/>
                    <w:rPr>
                      <w:rFonts w:ascii="Times New Roman" w:hAnsi="Times New Roman"/>
                      <w:color w:val="auto"/>
                    </w:rPr>
                  </w:pPr>
                  <w:r>
                    <w:rPr>
                      <w:rFonts w:hint="eastAsia" w:ascii="Times New Roman" w:hAnsi="Times New Roman"/>
                      <w:color w:val="auto"/>
                    </w:rPr>
                    <w:t>粉煤灰料仓</w:t>
                  </w:r>
                </w:p>
              </w:tc>
              <w:tc>
                <w:tcPr>
                  <w:tcW w:w="4450" w:type="dxa"/>
                  <w:vAlign w:val="center"/>
                </w:tcPr>
                <w:p>
                  <w:pPr>
                    <w:adjustRightInd w:val="0"/>
                    <w:snapToGrid w:val="0"/>
                    <w:spacing w:line="340" w:lineRule="exact"/>
                    <w:jc w:val="center"/>
                    <w:rPr>
                      <w:rFonts w:ascii="Times New Roman" w:hAnsi="Times New Roman"/>
                      <w:color w:val="auto"/>
                    </w:rPr>
                  </w:pPr>
                  <w:r>
                    <w:rPr>
                      <w:rFonts w:hint="eastAsia" w:ascii="Times New Roman" w:hAnsi="Times New Roman"/>
                      <w:color w:val="auto"/>
                    </w:rPr>
                    <w:t>本项目共设置4个粉煤灰仓，每个粉煤灰仓顶单独配置1套SV-Z1型布袋除尘器（效率99.8%布袋除尘，风量</w:t>
                  </w:r>
                  <w:r>
                    <w:rPr>
                      <w:rFonts w:hint="eastAsia" w:ascii="Times New Roman" w:hAnsi="Times New Roman"/>
                      <w:color w:val="auto"/>
                      <w:lang w:val="en-US" w:eastAsia="zh-CN"/>
                    </w:rPr>
                    <w:t>2</w:t>
                  </w:r>
                  <w:r>
                    <w:rPr>
                      <w:rFonts w:hint="eastAsia" w:ascii="Times New Roman" w:hAnsi="Times New Roman"/>
                      <w:color w:val="auto"/>
                    </w:rPr>
                    <w:t>000Nm</w:t>
                  </w:r>
                  <w:r>
                    <w:rPr>
                      <w:rFonts w:hint="eastAsia" w:ascii="Times New Roman" w:hAnsi="Times New Roman"/>
                      <w:color w:val="auto"/>
                      <w:vertAlign w:val="superscript"/>
                    </w:rPr>
                    <w:t>3</w:t>
                  </w:r>
                  <w:r>
                    <w:rPr>
                      <w:rFonts w:hint="eastAsia" w:ascii="Times New Roman" w:hAnsi="Times New Roman"/>
                      <w:color w:val="auto"/>
                    </w:rPr>
                    <w:t>/h），粉煤灰仓在装料时，仓内含尘废气经过布袋除尘器处理后，由仓顶排放，排放高度为15m（水泥仓高13.5m+排气筒1.5m，∮=0.3m</w:t>
                  </w:r>
                  <w:r>
                    <w:rPr>
                      <w:rFonts w:hint="eastAsia" w:ascii="Times New Roman" w:hAnsi="Times New Roman"/>
                      <w:color w:val="auto"/>
                      <w:lang w:eastAsia="zh-CN"/>
                    </w:rPr>
                    <w:t>，</w:t>
                  </w:r>
                  <w:r>
                    <w:rPr>
                      <w:rFonts w:hint="default" w:ascii="Times New Roman" w:hAnsi="Times New Roman" w:cs="Times New Roman"/>
                      <w:color w:val="auto"/>
                      <w:lang w:val="en-US" w:eastAsia="zh-CN"/>
                    </w:rPr>
                    <w:t>9#、10#、11#、12#</w:t>
                  </w:r>
                  <w:r>
                    <w:rPr>
                      <w:rFonts w:hint="eastAsia" w:ascii="Times New Roman" w:hAnsi="Times New Roman"/>
                      <w:color w:val="auto"/>
                    </w:rPr>
                    <w:t>）。</w:t>
                  </w:r>
                </w:p>
              </w:tc>
              <w:tc>
                <w:tcPr>
                  <w:tcW w:w="1349" w:type="dxa"/>
                  <w:vMerge w:val="continue"/>
                  <w:vAlign w:val="center"/>
                </w:tcPr>
                <w:p>
                  <w:pPr>
                    <w:adjustRightInd w:val="0"/>
                    <w:snapToGrid w:val="0"/>
                    <w:spacing w:line="340" w:lineRule="exact"/>
                    <w:jc w:val="center"/>
                    <w:rPr>
                      <w:rFonts w:ascii="Times New Roman" w:hAns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 w:hRule="atLeast"/>
                <w:jc w:val="center"/>
              </w:trPr>
              <w:tc>
                <w:tcPr>
                  <w:tcW w:w="432" w:type="dxa"/>
                  <w:vMerge w:val="continue"/>
                  <w:vAlign w:val="center"/>
                </w:tcPr>
                <w:p>
                  <w:pPr>
                    <w:adjustRightInd w:val="0"/>
                    <w:snapToGrid w:val="0"/>
                    <w:spacing w:line="340" w:lineRule="exact"/>
                    <w:jc w:val="center"/>
                    <w:rPr>
                      <w:rFonts w:ascii="Times New Roman" w:hAnsi="Times New Roman"/>
                      <w:color w:val="auto"/>
                    </w:rPr>
                  </w:pPr>
                </w:p>
              </w:tc>
              <w:tc>
                <w:tcPr>
                  <w:tcW w:w="818" w:type="dxa"/>
                  <w:vMerge w:val="continue"/>
                  <w:vAlign w:val="center"/>
                </w:tcPr>
                <w:p>
                  <w:pPr>
                    <w:adjustRightInd w:val="0"/>
                    <w:snapToGrid w:val="0"/>
                    <w:spacing w:line="340" w:lineRule="exact"/>
                    <w:jc w:val="center"/>
                    <w:rPr>
                      <w:rFonts w:ascii="Times New Roman" w:hAnsi="Times New Roman"/>
                      <w:color w:val="auto"/>
                    </w:rPr>
                  </w:pPr>
                </w:p>
              </w:tc>
              <w:tc>
                <w:tcPr>
                  <w:tcW w:w="1194" w:type="dxa"/>
                  <w:vAlign w:val="center"/>
                </w:tcPr>
                <w:p>
                  <w:pPr>
                    <w:adjustRightInd w:val="0"/>
                    <w:snapToGrid w:val="0"/>
                    <w:spacing w:line="340" w:lineRule="exact"/>
                    <w:jc w:val="center"/>
                    <w:rPr>
                      <w:rFonts w:ascii="Times New Roman" w:hAnsi="Times New Roman"/>
                      <w:color w:val="auto"/>
                    </w:rPr>
                  </w:pPr>
                  <w:r>
                    <w:rPr>
                      <w:rFonts w:hint="eastAsia" w:ascii="Times New Roman" w:hAnsi="Times New Roman"/>
                      <w:color w:val="auto"/>
                    </w:rPr>
                    <w:t>食堂</w:t>
                  </w:r>
                </w:p>
              </w:tc>
              <w:tc>
                <w:tcPr>
                  <w:tcW w:w="4450" w:type="dxa"/>
                  <w:vAlign w:val="center"/>
                </w:tcPr>
                <w:p>
                  <w:pPr>
                    <w:adjustRightInd w:val="0"/>
                    <w:snapToGrid w:val="0"/>
                    <w:spacing w:line="340" w:lineRule="exact"/>
                    <w:jc w:val="center"/>
                    <w:rPr>
                      <w:rFonts w:ascii="Times New Roman" w:hAnsi="Times New Roman"/>
                      <w:color w:val="auto"/>
                    </w:rPr>
                  </w:pPr>
                  <w:r>
                    <w:rPr>
                      <w:rFonts w:hint="eastAsia" w:ascii="Times New Roman" w:hAnsi="Times New Roman"/>
                      <w:color w:val="auto"/>
                    </w:rPr>
                    <w:t>设置</w:t>
                  </w:r>
                  <w:r>
                    <w:rPr>
                      <w:rFonts w:ascii="Times New Roman" w:hAnsi="Times New Roman"/>
                      <w:color w:val="auto"/>
                    </w:rPr>
                    <w:t>一套</w:t>
                  </w:r>
                  <w:r>
                    <w:rPr>
                      <w:rFonts w:hint="eastAsia" w:ascii="Times New Roman" w:hAnsi="Times New Roman"/>
                      <w:color w:val="auto"/>
                    </w:rPr>
                    <w:t>净化效率60%</w:t>
                  </w:r>
                  <w:r>
                    <w:rPr>
                      <w:rFonts w:ascii="Times New Roman" w:hAnsi="Times New Roman"/>
                      <w:color w:val="auto"/>
                    </w:rPr>
                    <w:t>油烟净化设备内置烟道，高于屋顶1.5m高的排气筒</w:t>
                  </w:r>
                  <w:r>
                    <w:rPr>
                      <w:rFonts w:hint="eastAsia" w:ascii="Times New Roman" w:hAnsi="Times New Roman"/>
                      <w:color w:val="auto"/>
                    </w:rPr>
                    <w:t>。</w:t>
                  </w:r>
                </w:p>
              </w:tc>
              <w:tc>
                <w:tcPr>
                  <w:tcW w:w="1349" w:type="dxa"/>
                  <w:vMerge w:val="continue"/>
                  <w:vAlign w:val="center"/>
                </w:tcPr>
                <w:p>
                  <w:pPr>
                    <w:adjustRightInd w:val="0"/>
                    <w:snapToGrid w:val="0"/>
                    <w:spacing w:line="340" w:lineRule="exact"/>
                    <w:jc w:val="center"/>
                    <w:rPr>
                      <w:rFonts w:ascii="Times New Roman" w:hAnsi="Times New Roman"/>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 w:hRule="atLeast"/>
                <w:jc w:val="center"/>
              </w:trPr>
              <w:tc>
                <w:tcPr>
                  <w:tcW w:w="432" w:type="dxa"/>
                  <w:vMerge w:val="continue"/>
                  <w:vAlign w:val="center"/>
                </w:tcPr>
                <w:p>
                  <w:pPr>
                    <w:adjustRightInd w:val="0"/>
                    <w:snapToGrid w:val="0"/>
                    <w:spacing w:line="340" w:lineRule="exact"/>
                    <w:jc w:val="center"/>
                    <w:rPr>
                      <w:rFonts w:ascii="Times New Roman" w:hAnsi="Times New Roman"/>
                      <w:color w:val="auto"/>
                    </w:rPr>
                  </w:pPr>
                </w:p>
              </w:tc>
              <w:tc>
                <w:tcPr>
                  <w:tcW w:w="818" w:type="dxa"/>
                  <w:vMerge w:val="restart"/>
                  <w:vAlign w:val="center"/>
                </w:tcPr>
                <w:p>
                  <w:pPr>
                    <w:jc w:val="center"/>
                    <w:rPr>
                      <w:rFonts w:ascii="Times New Roman" w:hAnsi="Times New Roman"/>
                      <w:color w:val="auto"/>
                    </w:rPr>
                  </w:pPr>
                  <w:r>
                    <w:rPr>
                      <w:rFonts w:ascii="Times New Roman" w:hAnsi="Times New Roman"/>
                      <w:color w:val="auto"/>
                    </w:rPr>
                    <w:t>固废</w:t>
                  </w:r>
                </w:p>
                <w:p>
                  <w:pPr>
                    <w:pStyle w:val="267"/>
                    <w:jc w:val="center"/>
                    <w:rPr>
                      <w:rFonts w:ascii="Times New Roman" w:hAnsi="Times New Roman"/>
                      <w:color w:val="auto"/>
                    </w:rPr>
                  </w:pPr>
                </w:p>
              </w:tc>
              <w:tc>
                <w:tcPr>
                  <w:tcW w:w="1194" w:type="dxa"/>
                  <w:vAlign w:val="center"/>
                </w:tcPr>
                <w:p>
                  <w:pPr>
                    <w:adjustRightInd w:val="0"/>
                    <w:snapToGrid w:val="0"/>
                    <w:spacing w:line="340" w:lineRule="exact"/>
                    <w:jc w:val="center"/>
                    <w:rPr>
                      <w:rFonts w:ascii="Times New Roman" w:hAnsi="Times New Roman"/>
                      <w:color w:val="auto"/>
                    </w:rPr>
                  </w:pPr>
                  <w:r>
                    <w:rPr>
                      <w:rFonts w:hint="eastAsia" w:ascii="Times New Roman" w:hAnsi="Times New Roman"/>
                      <w:color w:val="auto"/>
                    </w:rPr>
                    <w:t>危废</w:t>
                  </w:r>
                </w:p>
              </w:tc>
              <w:tc>
                <w:tcPr>
                  <w:tcW w:w="4450" w:type="dxa"/>
                  <w:vAlign w:val="center"/>
                </w:tcPr>
                <w:p>
                  <w:pPr>
                    <w:adjustRightInd w:val="0"/>
                    <w:snapToGrid w:val="0"/>
                    <w:spacing w:line="340" w:lineRule="exact"/>
                    <w:jc w:val="center"/>
                    <w:rPr>
                      <w:rFonts w:ascii="Times New Roman" w:hAnsi="Times New Roman"/>
                      <w:color w:val="auto"/>
                    </w:rPr>
                  </w:pPr>
                  <w:r>
                    <w:rPr>
                      <w:rFonts w:hint="eastAsia" w:ascii="Times New Roman" w:hAnsi="Times New Roman"/>
                      <w:color w:val="auto"/>
                    </w:rPr>
                    <w:t>设置1个5m</w:t>
                  </w:r>
                  <w:r>
                    <w:rPr>
                      <w:rFonts w:hint="eastAsia" w:ascii="Times New Roman" w:hAnsi="Times New Roman"/>
                      <w:color w:val="auto"/>
                      <w:vertAlign w:val="superscript"/>
                    </w:rPr>
                    <w:t>2</w:t>
                  </w:r>
                  <w:r>
                    <w:rPr>
                      <w:rFonts w:hint="eastAsia" w:ascii="Times New Roman" w:hAnsi="Times New Roman"/>
                      <w:color w:val="auto"/>
                    </w:rPr>
                    <w:t>危废暂存间，废机油</w:t>
                  </w:r>
                  <w:r>
                    <w:rPr>
                      <w:rFonts w:hint="eastAsia" w:ascii="Times New Roman" w:hAnsi="Times New Roman"/>
                      <w:color w:val="auto"/>
                      <w:lang w:eastAsia="zh-CN"/>
                    </w:rPr>
                    <w:t>、隔油池油脂</w:t>
                  </w:r>
                  <w:r>
                    <w:rPr>
                      <w:rFonts w:hint="eastAsia" w:ascii="Times New Roman" w:hAnsi="Times New Roman"/>
                      <w:color w:val="auto"/>
                    </w:rPr>
                    <w:t>收集、暂存过程中的管理应严格按照《危险废物贮存污染控制标准》（GB18597-2001）执行。</w:t>
                  </w:r>
                </w:p>
              </w:tc>
              <w:tc>
                <w:tcPr>
                  <w:tcW w:w="1349" w:type="dxa"/>
                  <w:vAlign w:val="center"/>
                </w:tcPr>
                <w:p>
                  <w:pPr>
                    <w:adjustRightInd w:val="0"/>
                    <w:snapToGrid w:val="0"/>
                    <w:spacing w:line="340" w:lineRule="exact"/>
                    <w:jc w:val="center"/>
                    <w:rPr>
                      <w:rFonts w:hint="eastAsia" w:eastAsia="宋体"/>
                      <w:color w:val="auto"/>
                      <w:sz w:val="21"/>
                      <w:szCs w:val="21"/>
                      <w:lang w:eastAsia="zh-CN"/>
                    </w:rPr>
                  </w:pPr>
                  <w:r>
                    <w:rPr>
                      <w:rFonts w:hint="eastAsia"/>
                      <w:color w:val="auto"/>
                      <w:sz w:val="21"/>
                      <w:szCs w:val="21"/>
                    </w:rPr>
                    <w:t>新建</w:t>
                  </w:r>
                  <w:r>
                    <w:rPr>
                      <w:rFonts w:hint="eastAsia"/>
                      <w:color w:val="auto"/>
                      <w:sz w:val="21"/>
                      <w:szCs w:val="21"/>
                      <w:lang w:eastAsia="zh-CN"/>
                    </w:rPr>
                    <w:t>，</w:t>
                  </w:r>
                  <w:r>
                    <w:rPr>
                      <w:rFonts w:hint="eastAsia" w:ascii="Times New Roman" w:hAnsi="Times New Roman"/>
                      <w:color w:val="auto"/>
                      <w:sz w:val="21"/>
                      <w:szCs w:val="21"/>
                      <w:lang w:eastAsia="zh-CN"/>
                    </w:rPr>
                    <w:t>环评要求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32" w:type="dxa"/>
                  <w:vMerge w:val="continue"/>
                  <w:vAlign w:val="center"/>
                </w:tcPr>
                <w:p>
                  <w:pPr>
                    <w:jc w:val="center"/>
                    <w:rPr>
                      <w:rFonts w:ascii="Times New Roman" w:hAnsi="Times New Roman"/>
                      <w:color w:val="auto"/>
                    </w:rPr>
                  </w:pPr>
                </w:p>
              </w:tc>
              <w:tc>
                <w:tcPr>
                  <w:tcW w:w="818" w:type="dxa"/>
                  <w:vMerge w:val="continue"/>
                  <w:vAlign w:val="center"/>
                </w:tcPr>
                <w:p>
                  <w:pPr>
                    <w:pStyle w:val="267"/>
                    <w:jc w:val="center"/>
                    <w:rPr>
                      <w:rFonts w:ascii="Times New Roman" w:hAnsi="Times New Roman"/>
                      <w:color w:val="auto"/>
                    </w:rPr>
                  </w:pPr>
                </w:p>
              </w:tc>
              <w:tc>
                <w:tcPr>
                  <w:tcW w:w="1194" w:type="dxa"/>
                  <w:vAlign w:val="center"/>
                </w:tcPr>
                <w:p>
                  <w:pPr>
                    <w:pStyle w:val="267"/>
                    <w:jc w:val="center"/>
                    <w:rPr>
                      <w:rFonts w:ascii="Times New Roman" w:hAnsi="Times New Roman"/>
                      <w:color w:val="auto"/>
                    </w:rPr>
                  </w:pPr>
                  <w:r>
                    <w:rPr>
                      <w:rFonts w:hint="eastAsia" w:ascii="Times New Roman" w:hAnsi="Times New Roman"/>
                      <w:color w:val="auto"/>
                    </w:rPr>
                    <w:t>生活垃圾</w:t>
                  </w:r>
                </w:p>
              </w:tc>
              <w:tc>
                <w:tcPr>
                  <w:tcW w:w="4450" w:type="dxa"/>
                  <w:vAlign w:val="center"/>
                </w:tcPr>
                <w:p>
                  <w:pPr>
                    <w:pStyle w:val="267"/>
                    <w:jc w:val="center"/>
                    <w:rPr>
                      <w:rFonts w:ascii="Times New Roman" w:hAnsi="Times New Roman"/>
                      <w:color w:val="auto"/>
                    </w:rPr>
                  </w:pPr>
                  <w:r>
                    <w:rPr>
                      <w:rFonts w:ascii="Times New Roman" w:hAnsi="Times New Roman"/>
                      <w:color w:val="auto"/>
                    </w:rPr>
                    <w:t>设垃圾桶，生活垃圾</w:t>
                  </w:r>
                  <w:r>
                    <w:rPr>
                      <w:rFonts w:hint="eastAsia" w:ascii="Times New Roman" w:hAnsi="Times New Roman"/>
                      <w:color w:val="auto"/>
                    </w:rPr>
                    <w:t>按照环卫部门要求</w:t>
                  </w:r>
                  <w:r>
                    <w:rPr>
                      <w:rFonts w:ascii="Times New Roman" w:hAnsi="Times New Roman"/>
                      <w:color w:val="auto"/>
                    </w:rPr>
                    <w:t>处置。</w:t>
                  </w:r>
                </w:p>
              </w:tc>
              <w:tc>
                <w:tcPr>
                  <w:tcW w:w="1349" w:type="dxa"/>
                  <w:vAlign w:val="center"/>
                </w:tcPr>
                <w:p>
                  <w:pPr>
                    <w:jc w:val="center"/>
                    <w:rPr>
                      <w:rFonts w:ascii="Times New Roman" w:hAnsi="Times New Roman"/>
                      <w:color w:val="auto"/>
                      <w:sz w:val="21"/>
                      <w:szCs w:val="21"/>
                    </w:rPr>
                  </w:pPr>
                  <w:r>
                    <w:rPr>
                      <w:rFonts w:ascii="Times New Roman" w:hAnsi="Times New Roman"/>
                      <w:color w:val="auto"/>
                      <w:sz w:val="21"/>
                      <w:szCs w:val="21"/>
                    </w:rPr>
                    <w:t>新建</w:t>
                  </w:r>
                  <w:r>
                    <w:rPr>
                      <w:rFonts w:hint="eastAsia" w:ascii="Times New Roman" w:hAnsi="Times New Roman"/>
                      <w:color w:val="auto"/>
                      <w:sz w:val="21"/>
                      <w:szCs w:val="21"/>
                      <w:lang w:eastAsia="zh-CN"/>
                    </w:rPr>
                    <w:t>，</w:t>
                  </w:r>
                  <w:r>
                    <w:rPr>
                      <w:rFonts w:hint="eastAsia" w:ascii="Times New Roman" w:hAnsi="Times New Roman"/>
                      <w:color w:val="auto"/>
                      <w:sz w:val="21"/>
                      <w:szCs w:val="21"/>
                      <w:lang w:val="en-US" w:eastAsia="zh-CN"/>
                    </w:rPr>
                    <w:t>可研提出</w:t>
                  </w:r>
                </w:p>
              </w:tc>
            </w:tr>
          </w:tbl>
          <w:p>
            <w:pPr>
              <w:adjustRightInd w:val="0"/>
              <w:snapToGrid w:val="0"/>
              <w:spacing w:line="360" w:lineRule="auto"/>
              <w:rPr>
                <w:rFonts w:ascii="Times New Roman" w:hAnsi="Times New Roman"/>
                <w:b/>
                <w:color w:val="auto"/>
                <w:sz w:val="24"/>
                <w:szCs w:val="24"/>
              </w:rPr>
            </w:pPr>
            <w:r>
              <w:rPr>
                <w:rFonts w:ascii="Times New Roman" w:hAnsi="Times New Roman"/>
                <w:b/>
                <w:color w:val="auto"/>
                <w:sz w:val="24"/>
                <w:szCs w:val="24"/>
              </w:rPr>
              <w:t>4、项目总平面布置</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拟建场地占地面积</w:t>
            </w:r>
            <w:r>
              <w:rPr>
                <w:rFonts w:ascii="Times New Roman" w:hAnsi="Times New Roman"/>
                <w:bCs/>
                <w:color w:val="auto"/>
                <w:sz w:val="24"/>
                <w:szCs w:val="24"/>
              </w:rPr>
              <w:t>35566.667m</w:t>
            </w:r>
            <w:r>
              <w:rPr>
                <w:rFonts w:ascii="Times New Roman" w:hAnsi="Times New Roman"/>
                <w:bCs/>
                <w:color w:val="auto"/>
                <w:sz w:val="24"/>
                <w:szCs w:val="24"/>
                <w:vertAlign w:val="superscript"/>
              </w:rPr>
              <w:t>2</w:t>
            </w:r>
            <w:r>
              <w:rPr>
                <w:rFonts w:ascii="Times New Roman" w:hAnsi="Times New Roman"/>
                <w:bCs/>
                <w:color w:val="auto"/>
                <w:sz w:val="24"/>
                <w:szCs w:val="24"/>
              </w:rPr>
              <w:t>（53.35亩）</w:t>
            </w:r>
            <w:r>
              <w:rPr>
                <w:rFonts w:ascii="Times New Roman" w:hAnsi="Times New Roman"/>
                <w:color w:val="auto"/>
                <w:sz w:val="24"/>
                <w:szCs w:val="24"/>
              </w:rPr>
              <w:t>，本次建设是在保证生产运营和消防安全基础上，将用地分为3个区域，分别混凝土生产区</w:t>
            </w:r>
            <w:r>
              <w:rPr>
                <w:rFonts w:hint="eastAsia" w:ascii="Times New Roman" w:hAnsi="Times New Roman"/>
                <w:color w:val="auto"/>
                <w:sz w:val="24"/>
                <w:szCs w:val="24"/>
              </w:rPr>
              <w:t>、钢筋加工区</w:t>
            </w:r>
            <w:r>
              <w:rPr>
                <w:rFonts w:ascii="Times New Roman" w:hAnsi="Times New Roman"/>
                <w:color w:val="auto"/>
                <w:sz w:val="24"/>
                <w:szCs w:val="24"/>
              </w:rPr>
              <w:t>和办公生活区。自南向北依次布置钢筋加工厂、办公区和混凝土生产区，生活区和实验室在混凝土生产区东侧</w:t>
            </w:r>
            <w:r>
              <w:rPr>
                <w:rFonts w:hint="eastAsia" w:ascii="Times New Roman" w:hAnsi="Times New Roman"/>
                <w:color w:val="auto"/>
                <w:sz w:val="24"/>
                <w:szCs w:val="24"/>
              </w:rPr>
              <w:t>，</w:t>
            </w:r>
            <w:r>
              <w:rPr>
                <w:rFonts w:ascii="Times New Roman" w:hAnsi="Times New Roman"/>
                <w:color w:val="auto"/>
                <w:sz w:val="24"/>
                <w:szCs w:val="24"/>
              </w:rPr>
              <w:t>宿舍楼位于</w:t>
            </w:r>
            <w:r>
              <w:rPr>
                <w:rFonts w:hint="eastAsia" w:ascii="Times New Roman" w:hAnsi="Times New Roman"/>
                <w:color w:val="auto"/>
                <w:sz w:val="24"/>
                <w:szCs w:val="24"/>
              </w:rPr>
              <w:t>实验室</w:t>
            </w:r>
            <w:r>
              <w:rPr>
                <w:rFonts w:ascii="Times New Roman" w:hAnsi="Times New Roman"/>
                <w:color w:val="auto"/>
                <w:sz w:val="24"/>
                <w:szCs w:val="24"/>
              </w:rPr>
              <w:t>的</w:t>
            </w:r>
            <w:r>
              <w:rPr>
                <w:rFonts w:hint="eastAsia" w:ascii="Times New Roman" w:hAnsi="Times New Roman"/>
                <w:color w:val="auto"/>
                <w:sz w:val="24"/>
                <w:szCs w:val="24"/>
              </w:rPr>
              <w:t>北</w:t>
            </w:r>
            <w:r>
              <w:rPr>
                <w:rFonts w:ascii="Times New Roman" w:hAnsi="Times New Roman"/>
                <w:color w:val="auto"/>
                <w:sz w:val="24"/>
                <w:szCs w:val="24"/>
              </w:rPr>
              <w:t>面，</w:t>
            </w:r>
            <w:r>
              <w:rPr>
                <w:rFonts w:hint="eastAsia" w:ascii="Times New Roman" w:hAnsi="Times New Roman"/>
                <w:color w:val="auto"/>
                <w:sz w:val="24"/>
                <w:szCs w:val="24"/>
              </w:rPr>
              <w:t>食堂位于宿舍楼北面</w:t>
            </w:r>
            <w:r>
              <w:rPr>
                <w:rFonts w:ascii="Times New Roman" w:hAnsi="Times New Roman"/>
                <w:color w:val="auto"/>
                <w:sz w:val="24"/>
                <w:szCs w:val="24"/>
              </w:rPr>
              <w:t>。</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混凝土生产区在项目区北侧位置，便于生产和运出，自北向南依次布置砂石料</w:t>
            </w:r>
            <w:r>
              <w:rPr>
                <w:rFonts w:hint="eastAsia" w:ascii="Times New Roman" w:hAnsi="Times New Roman"/>
                <w:color w:val="auto"/>
                <w:sz w:val="24"/>
                <w:szCs w:val="24"/>
              </w:rPr>
              <w:t>堆棚</w:t>
            </w:r>
            <w:r>
              <w:rPr>
                <w:rFonts w:ascii="Times New Roman" w:hAnsi="Times New Roman"/>
                <w:color w:val="auto"/>
                <w:sz w:val="24"/>
                <w:szCs w:val="24"/>
              </w:rPr>
              <w:t>、砂石料配料仓、搅拌楼、搅拌楼就近布置水泥及粉煤灰</w:t>
            </w:r>
            <w:r>
              <w:rPr>
                <w:rFonts w:hint="eastAsia" w:ascii="Times New Roman" w:hAnsi="Times New Roman"/>
                <w:color w:val="auto"/>
                <w:sz w:val="24"/>
                <w:szCs w:val="24"/>
              </w:rPr>
              <w:t>料仓</w:t>
            </w:r>
            <w:r>
              <w:rPr>
                <w:rFonts w:ascii="Times New Roman" w:hAnsi="Times New Roman"/>
                <w:color w:val="auto"/>
                <w:sz w:val="24"/>
                <w:szCs w:val="24"/>
              </w:rPr>
              <w:t>、回车场，</w:t>
            </w:r>
            <w:r>
              <w:rPr>
                <w:rFonts w:hint="eastAsia" w:ascii="Times New Roman" w:hAnsi="Times New Roman"/>
                <w:color w:val="auto"/>
                <w:sz w:val="24"/>
                <w:szCs w:val="24"/>
              </w:rPr>
              <w:t>东</w:t>
            </w:r>
            <w:r>
              <w:rPr>
                <w:rFonts w:ascii="Times New Roman" w:hAnsi="Times New Roman"/>
                <w:color w:val="auto"/>
                <w:sz w:val="24"/>
                <w:szCs w:val="24"/>
              </w:rPr>
              <w:t>面建设机修车间。办公区紧邻</w:t>
            </w:r>
            <w:r>
              <w:rPr>
                <w:rFonts w:hint="eastAsia" w:ascii="Times New Roman" w:hAnsi="Times New Roman"/>
                <w:color w:val="auto"/>
                <w:sz w:val="24"/>
                <w:szCs w:val="24"/>
              </w:rPr>
              <w:t>拌合站</w:t>
            </w:r>
            <w:r>
              <w:rPr>
                <w:rFonts w:ascii="Times New Roman" w:hAnsi="Times New Roman"/>
                <w:color w:val="auto"/>
                <w:sz w:val="24"/>
                <w:szCs w:val="24"/>
              </w:rPr>
              <w:t>，生活区由北向南分别设置食堂、职工宿舍楼、实验室。</w:t>
            </w:r>
          </w:p>
          <w:p>
            <w:pPr>
              <w:pStyle w:val="2"/>
              <w:ind w:firstLine="480" w:firstLineChars="200"/>
              <w:rPr>
                <w:rFonts w:ascii="Times New Roman" w:hAnsi="Times New Roman"/>
                <w:color w:val="auto"/>
              </w:rPr>
            </w:pPr>
            <w:r>
              <w:rPr>
                <w:rFonts w:ascii="Times New Roman" w:hAnsi="Times New Roman"/>
                <w:color w:val="auto"/>
                <w:sz w:val="24"/>
                <w:szCs w:val="24"/>
              </w:rPr>
              <w:t>项目建设为临时性的，</w:t>
            </w:r>
            <w:r>
              <w:rPr>
                <w:rFonts w:hint="eastAsia" w:ascii="Times New Roman" w:hAnsi="Times New Roman"/>
                <w:color w:val="auto"/>
                <w:sz w:val="24"/>
                <w:szCs w:val="24"/>
                <w:lang w:eastAsia="zh-CN"/>
              </w:rPr>
              <w:t>高速公路建成投产前进行拆除，</w:t>
            </w:r>
            <w:r>
              <w:rPr>
                <w:rFonts w:ascii="Times New Roman" w:hAnsi="Times New Roman"/>
                <w:color w:val="auto"/>
                <w:sz w:val="24"/>
                <w:szCs w:val="24"/>
              </w:rPr>
              <w:t>因此不设置绿化区域。</w:t>
            </w:r>
          </w:p>
          <w:p>
            <w:pPr>
              <w:tabs>
                <w:tab w:val="left" w:pos="2395"/>
              </w:tabs>
              <w:adjustRightInd w:val="0"/>
              <w:snapToGrid w:val="0"/>
              <w:spacing w:line="360" w:lineRule="auto"/>
              <w:ind w:firstLine="480" w:firstLineChars="200"/>
              <w:jc w:val="left"/>
              <w:rPr>
                <w:rFonts w:ascii="Times New Roman" w:hAnsi="Times New Roman"/>
                <w:color w:val="auto"/>
                <w:sz w:val="24"/>
                <w:szCs w:val="24"/>
              </w:rPr>
            </w:pPr>
            <w:r>
              <w:rPr>
                <w:rFonts w:ascii="Times New Roman" w:hAnsi="Times New Roman"/>
                <w:color w:val="auto"/>
                <w:sz w:val="24"/>
                <w:szCs w:val="24"/>
              </w:rPr>
              <w:t>项目总平面布置见附图1。</w:t>
            </w:r>
          </w:p>
          <w:p>
            <w:pPr>
              <w:tabs>
                <w:tab w:val="left" w:pos="2395"/>
              </w:tabs>
              <w:adjustRightInd w:val="0"/>
              <w:snapToGrid w:val="0"/>
              <w:spacing w:line="360" w:lineRule="auto"/>
              <w:jc w:val="left"/>
              <w:rPr>
                <w:rFonts w:ascii="Times New Roman" w:hAnsi="Times New Roman"/>
                <w:b/>
                <w:bCs/>
                <w:color w:val="auto"/>
                <w:spacing w:val="2"/>
                <w:kern w:val="0"/>
                <w:sz w:val="24"/>
                <w:szCs w:val="24"/>
              </w:rPr>
            </w:pPr>
            <w:r>
              <w:rPr>
                <w:rFonts w:ascii="Times New Roman" w:hAnsi="Times New Roman"/>
                <w:b/>
                <w:bCs/>
                <w:color w:val="auto"/>
                <w:spacing w:val="2"/>
                <w:kern w:val="0"/>
                <w:sz w:val="24"/>
                <w:szCs w:val="24"/>
              </w:rPr>
              <w:t>5、主要设备</w:t>
            </w:r>
          </w:p>
          <w:p>
            <w:pPr>
              <w:adjustRightInd w:val="0"/>
              <w:snapToGrid w:val="0"/>
              <w:spacing w:line="360" w:lineRule="auto"/>
              <w:ind w:firstLine="360" w:firstLineChars="150"/>
              <w:rPr>
                <w:rFonts w:ascii="Times New Roman" w:hAnsi="Times New Roman"/>
                <w:color w:val="auto"/>
                <w:sz w:val="24"/>
                <w:szCs w:val="24"/>
              </w:rPr>
            </w:pPr>
            <w:r>
              <w:rPr>
                <w:rFonts w:ascii="Times New Roman" w:hAnsi="Times New Roman"/>
                <w:color w:val="auto"/>
                <w:sz w:val="24"/>
                <w:szCs w:val="24"/>
              </w:rPr>
              <w:t>项目主要设备见下表。</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color w:val="auto"/>
                <w:kern w:val="0"/>
                <w:sz w:val="24"/>
                <w:szCs w:val="24"/>
              </w:rPr>
            </w:pPr>
            <w:bookmarkStart w:id="1" w:name="_Toc433298966"/>
            <w:r>
              <w:rPr>
                <w:rFonts w:ascii="Times New Roman" w:hAnsi="Times New Roman"/>
                <w:b/>
                <w:color w:val="auto"/>
                <w:kern w:val="0"/>
                <w:sz w:val="24"/>
                <w:szCs w:val="24"/>
              </w:rPr>
              <w:t>表1-</w:t>
            </w:r>
            <w:r>
              <w:rPr>
                <w:rFonts w:hint="eastAsia" w:ascii="Times New Roman" w:hAnsi="Times New Roman"/>
                <w:b/>
                <w:color w:val="auto"/>
                <w:kern w:val="0"/>
                <w:sz w:val="24"/>
                <w:szCs w:val="24"/>
                <w:lang w:val="en-US" w:eastAsia="zh-CN"/>
              </w:rPr>
              <w:t>5</w:t>
            </w:r>
            <w:r>
              <w:rPr>
                <w:rFonts w:ascii="Times New Roman" w:hAnsi="Times New Roman"/>
                <w:b/>
                <w:color w:val="auto"/>
                <w:kern w:val="0"/>
                <w:sz w:val="24"/>
                <w:szCs w:val="24"/>
              </w:rPr>
              <w:t>主要设备一览表</w:t>
            </w:r>
            <w:bookmarkEnd w:id="1"/>
          </w:p>
          <w:tbl>
            <w:tblPr>
              <w:tblStyle w:val="44"/>
              <w:tblW w:w="8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1763"/>
              <w:gridCol w:w="1785"/>
              <w:gridCol w:w="1648"/>
              <w:gridCol w:w="1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序号</w:t>
                  </w:r>
                </w:p>
              </w:tc>
              <w:tc>
                <w:tcPr>
                  <w:tcW w:w="1763"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设备名称</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型号</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数量</w:t>
                  </w:r>
                </w:p>
              </w:tc>
              <w:tc>
                <w:tcPr>
                  <w:tcW w:w="1649"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1</w:t>
                  </w:r>
                </w:p>
              </w:tc>
              <w:tc>
                <w:tcPr>
                  <w:tcW w:w="1763" w:type="dxa"/>
                  <w:vAlign w:val="center"/>
                </w:tcPr>
                <w:p>
                  <w:pPr>
                    <w:pStyle w:val="5"/>
                    <w:ind w:firstLine="0" w:firstLineChars="0"/>
                    <w:jc w:val="center"/>
                    <w:rPr>
                      <w:rFonts w:ascii="Times New Roman" w:hAnsi="Times New Roman"/>
                      <w:color w:val="auto"/>
                      <w:sz w:val="21"/>
                      <w:szCs w:val="21"/>
                    </w:rPr>
                  </w:pPr>
                  <w:r>
                    <w:rPr>
                      <w:rFonts w:ascii="Times New Roman" w:hAnsi="Times New Roman"/>
                      <w:color w:val="auto"/>
                      <w:sz w:val="21"/>
                      <w:szCs w:val="21"/>
                    </w:rPr>
                    <w:t>混凝土搅拌机</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HZS120</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2</w:t>
                  </w:r>
                </w:p>
              </w:tc>
              <w:tc>
                <w:tcPr>
                  <w:tcW w:w="1649" w:type="dxa"/>
                  <w:vMerge w:val="restart"/>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混凝土拌合站设备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rPr>
                    <w:t>2</w:t>
                  </w:r>
                </w:p>
              </w:tc>
              <w:tc>
                <w:tcPr>
                  <w:tcW w:w="1763"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装载机</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ZL50</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2</w:t>
                  </w:r>
                </w:p>
              </w:tc>
              <w:tc>
                <w:tcPr>
                  <w:tcW w:w="1649" w:type="dxa"/>
                  <w:vMerge w:val="continue"/>
                  <w:vAlign w:val="center"/>
                </w:tcPr>
                <w:p>
                  <w:pPr>
                    <w:pStyle w:val="5"/>
                    <w:ind w:firstLine="21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rPr>
                    <w:t>3</w:t>
                  </w:r>
                </w:p>
              </w:tc>
              <w:tc>
                <w:tcPr>
                  <w:tcW w:w="1763"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水泵</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80LG50-20×5</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2</w:t>
                  </w:r>
                </w:p>
              </w:tc>
              <w:tc>
                <w:tcPr>
                  <w:tcW w:w="1649" w:type="dxa"/>
                  <w:vMerge w:val="continue"/>
                  <w:vAlign w:val="center"/>
                </w:tcPr>
                <w:p>
                  <w:pPr>
                    <w:pStyle w:val="5"/>
                    <w:ind w:firstLine="21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rPr>
                    <w:t>4</w:t>
                  </w:r>
                </w:p>
              </w:tc>
              <w:tc>
                <w:tcPr>
                  <w:tcW w:w="1763"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汽车衡</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SCS</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1</w:t>
                  </w:r>
                </w:p>
              </w:tc>
              <w:tc>
                <w:tcPr>
                  <w:tcW w:w="1649" w:type="dxa"/>
                  <w:vMerge w:val="continue"/>
                  <w:vAlign w:val="center"/>
                </w:tcPr>
                <w:p>
                  <w:pPr>
                    <w:pStyle w:val="5"/>
                    <w:ind w:firstLine="21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rPr>
                    <w:t>5</w:t>
                  </w:r>
                </w:p>
              </w:tc>
              <w:tc>
                <w:tcPr>
                  <w:tcW w:w="1763"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变压器</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500kva</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1</w:t>
                  </w:r>
                </w:p>
              </w:tc>
              <w:tc>
                <w:tcPr>
                  <w:tcW w:w="1649" w:type="dxa"/>
                  <w:vMerge w:val="continue"/>
                  <w:vAlign w:val="center"/>
                </w:tcPr>
                <w:p>
                  <w:pPr>
                    <w:pStyle w:val="5"/>
                    <w:ind w:firstLine="21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rPr>
                    <w:t>6</w:t>
                  </w:r>
                </w:p>
              </w:tc>
              <w:tc>
                <w:tcPr>
                  <w:tcW w:w="1763"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混凝土罐车</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8</w:t>
                  </w:r>
                </w:p>
              </w:tc>
              <w:tc>
                <w:tcPr>
                  <w:tcW w:w="1649" w:type="dxa"/>
                  <w:vMerge w:val="continue"/>
                  <w:vAlign w:val="center"/>
                </w:tcPr>
                <w:p>
                  <w:pPr>
                    <w:pStyle w:val="5"/>
                    <w:ind w:firstLine="21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rPr>
                    <w:t>7</w:t>
                  </w:r>
                </w:p>
              </w:tc>
              <w:tc>
                <w:tcPr>
                  <w:tcW w:w="1763"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rPr>
                    <w:t>风机</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1000Nm</w:t>
                  </w:r>
                  <w:r>
                    <w:rPr>
                      <w:rFonts w:ascii="Times New Roman" w:hAnsi="Times New Roman"/>
                      <w:color w:val="auto"/>
                      <w:sz w:val="21"/>
                      <w:szCs w:val="21"/>
                      <w:vertAlign w:val="superscript"/>
                    </w:rPr>
                    <w:t>3</w:t>
                  </w:r>
                  <w:r>
                    <w:rPr>
                      <w:rFonts w:ascii="Times New Roman" w:hAnsi="Times New Roman"/>
                      <w:color w:val="auto"/>
                      <w:sz w:val="21"/>
                      <w:szCs w:val="21"/>
                    </w:rPr>
                    <w:t>/h</w:t>
                  </w:r>
                </w:p>
              </w:tc>
              <w:tc>
                <w:tcPr>
                  <w:tcW w:w="1648" w:type="dxa"/>
                  <w:vAlign w:val="center"/>
                </w:tcPr>
                <w:p>
                  <w:pPr>
                    <w:pStyle w:val="5"/>
                    <w:ind w:firstLine="210"/>
                    <w:jc w:val="center"/>
                    <w:rPr>
                      <w:rFonts w:hint="eastAsia" w:ascii="Times New Roman" w:hAnsi="Times New Roman" w:eastAsia="宋体"/>
                      <w:color w:val="auto"/>
                      <w:sz w:val="21"/>
                      <w:szCs w:val="21"/>
                      <w:lang w:val="en-US" w:eastAsia="zh-CN"/>
                    </w:rPr>
                  </w:pPr>
                  <w:r>
                    <w:rPr>
                      <w:rFonts w:hint="eastAsia" w:ascii="Times New Roman" w:hAnsi="Times New Roman"/>
                      <w:color w:val="auto"/>
                      <w:sz w:val="21"/>
                      <w:szCs w:val="21"/>
                    </w:rPr>
                    <w:t>1</w:t>
                  </w:r>
                  <w:r>
                    <w:rPr>
                      <w:rStyle w:val="56"/>
                      <w:rFonts w:hint="eastAsia"/>
                      <w:color w:val="auto"/>
                      <w:kern w:val="2"/>
                      <w:lang w:val="en-US" w:eastAsia="zh-CN"/>
                    </w:rPr>
                    <w:t>2</w:t>
                  </w:r>
                </w:p>
              </w:tc>
              <w:tc>
                <w:tcPr>
                  <w:tcW w:w="1649" w:type="dxa"/>
                  <w:vMerge w:val="continue"/>
                  <w:vAlign w:val="center"/>
                </w:tcPr>
                <w:p>
                  <w:pPr>
                    <w:pStyle w:val="5"/>
                    <w:ind w:firstLine="21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hint="eastAsia"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8</w:t>
                  </w:r>
                </w:p>
              </w:tc>
              <w:tc>
                <w:tcPr>
                  <w:tcW w:w="1763" w:type="dxa"/>
                  <w:vAlign w:val="center"/>
                </w:tcPr>
                <w:p>
                  <w:pPr>
                    <w:pStyle w:val="5"/>
                    <w:ind w:firstLine="210"/>
                    <w:jc w:val="center"/>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集料斗</w:t>
                  </w:r>
                </w:p>
              </w:tc>
              <w:tc>
                <w:tcPr>
                  <w:tcW w:w="1785" w:type="dxa"/>
                  <w:vAlign w:val="center"/>
                </w:tcPr>
                <w:p>
                  <w:pPr>
                    <w:pStyle w:val="5"/>
                    <w:ind w:firstLine="210"/>
                    <w:jc w:val="center"/>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w:t>
                  </w:r>
                </w:p>
              </w:tc>
              <w:tc>
                <w:tcPr>
                  <w:tcW w:w="1648" w:type="dxa"/>
                  <w:vAlign w:val="center"/>
                </w:tcPr>
                <w:p>
                  <w:pPr>
                    <w:pStyle w:val="5"/>
                    <w:ind w:firstLine="210"/>
                    <w:jc w:val="center"/>
                    <w:rPr>
                      <w:rFonts w:hint="eastAsia"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1</w:t>
                  </w:r>
                </w:p>
              </w:tc>
              <w:tc>
                <w:tcPr>
                  <w:tcW w:w="1649" w:type="dxa"/>
                  <w:vMerge w:val="continue"/>
                  <w:vAlign w:val="center"/>
                </w:tcPr>
                <w:p>
                  <w:pPr>
                    <w:pStyle w:val="5"/>
                    <w:ind w:firstLine="21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rPr>
                    <w:t>9</w:t>
                  </w:r>
                </w:p>
              </w:tc>
              <w:tc>
                <w:tcPr>
                  <w:tcW w:w="1763"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控弯曲机</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LTWG-12</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1</w:t>
                  </w:r>
                </w:p>
              </w:tc>
              <w:tc>
                <w:tcPr>
                  <w:tcW w:w="1649" w:type="dxa"/>
                  <w:vMerge w:val="restart"/>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钢筋加工厂设备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rPr>
                    <w:t>10</w:t>
                  </w:r>
                </w:p>
              </w:tc>
              <w:tc>
                <w:tcPr>
                  <w:tcW w:w="1763"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气体保护焊机</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NB500</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4</w:t>
                  </w:r>
                </w:p>
              </w:tc>
              <w:tc>
                <w:tcPr>
                  <w:tcW w:w="1649" w:type="dxa"/>
                  <w:vMerge w:val="continue"/>
                  <w:vAlign w:val="center"/>
                </w:tcPr>
                <w:p>
                  <w:pPr>
                    <w:pStyle w:val="5"/>
                    <w:ind w:firstLine="21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lang w:val="en-US" w:eastAsia="zh-CN"/>
                    </w:rPr>
                    <w:t>11</w:t>
                  </w:r>
                </w:p>
              </w:tc>
              <w:tc>
                <w:tcPr>
                  <w:tcW w:w="1763"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套丝机</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HG40</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2</w:t>
                  </w:r>
                </w:p>
              </w:tc>
              <w:tc>
                <w:tcPr>
                  <w:tcW w:w="1649" w:type="dxa"/>
                  <w:vMerge w:val="continue"/>
                  <w:vAlign w:val="center"/>
                </w:tcPr>
                <w:p>
                  <w:pPr>
                    <w:pStyle w:val="5"/>
                    <w:ind w:firstLine="21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rPr>
                    <w:t>12</w:t>
                  </w:r>
                </w:p>
              </w:tc>
              <w:tc>
                <w:tcPr>
                  <w:tcW w:w="1763"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lang w:eastAsia="zh-CN"/>
                    </w:rPr>
                    <w:t>火焰枪</w:t>
                  </w:r>
                </w:p>
              </w:tc>
              <w:tc>
                <w:tcPr>
                  <w:tcW w:w="1785" w:type="dxa"/>
                  <w:vAlign w:val="center"/>
                </w:tcPr>
                <w:p>
                  <w:pPr>
                    <w:pStyle w:val="5"/>
                    <w:ind w:firstLine="210"/>
                    <w:jc w:val="center"/>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w:t>
                  </w:r>
                </w:p>
              </w:tc>
              <w:tc>
                <w:tcPr>
                  <w:tcW w:w="1648" w:type="dxa"/>
                  <w:vAlign w:val="center"/>
                </w:tcPr>
                <w:p>
                  <w:pPr>
                    <w:pStyle w:val="5"/>
                    <w:ind w:firstLine="210"/>
                    <w:jc w:val="center"/>
                    <w:rPr>
                      <w:rFonts w:hint="eastAsia"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4</w:t>
                  </w:r>
                </w:p>
              </w:tc>
              <w:tc>
                <w:tcPr>
                  <w:tcW w:w="1649" w:type="dxa"/>
                  <w:vMerge w:val="continue"/>
                  <w:vAlign w:val="center"/>
                </w:tcPr>
                <w:p>
                  <w:pPr>
                    <w:pStyle w:val="5"/>
                    <w:ind w:firstLine="21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8" w:type="dxa"/>
                  <w:vAlign w:val="center"/>
                </w:tcPr>
                <w:p>
                  <w:pPr>
                    <w:pStyle w:val="5"/>
                    <w:ind w:firstLine="210"/>
                    <w:jc w:val="center"/>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13</w:t>
                  </w:r>
                </w:p>
              </w:tc>
              <w:tc>
                <w:tcPr>
                  <w:tcW w:w="1763" w:type="dxa"/>
                  <w:vAlign w:val="center"/>
                </w:tcPr>
                <w:p>
                  <w:pPr>
                    <w:pStyle w:val="5"/>
                    <w:ind w:firstLine="210"/>
                    <w:jc w:val="center"/>
                    <w:rPr>
                      <w:rFonts w:ascii="Times New Roman" w:hAnsi="Times New Roman"/>
                      <w:color w:val="auto"/>
                      <w:sz w:val="21"/>
                      <w:szCs w:val="21"/>
                    </w:rPr>
                  </w:pPr>
                  <w:r>
                    <w:rPr>
                      <w:rFonts w:hint="eastAsia" w:ascii="Times New Roman" w:hAnsi="Times New Roman"/>
                      <w:color w:val="auto"/>
                      <w:sz w:val="21"/>
                      <w:szCs w:val="21"/>
                      <w:lang w:eastAsia="zh-CN"/>
                    </w:rPr>
                    <w:t>柴油</w:t>
                  </w:r>
                  <w:r>
                    <w:rPr>
                      <w:rFonts w:ascii="Times New Roman" w:hAnsi="Times New Roman"/>
                      <w:color w:val="auto"/>
                      <w:sz w:val="21"/>
                      <w:szCs w:val="21"/>
                    </w:rPr>
                    <w:t>发电机</w:t>
                  </w:r>
                </w:p>
              </w:tc>
              <w:tc>
                <w:tcPr>
                  <w:tcW w:w="1785"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3</w:t>
                  </w:r>
                  <w:r>
                    <w:rPr>
                      <w:rFonts w:hint="eastAsia" w:ascii="Times New Roman" w:hAnsi="Times New Roman"/>
                      <w:color w:val="auto"/>
                      <w:sz w:val="21"/>
                      <w:szCs w:val="21"/>
                      <w:lang w:val="en-US" w:eastAsia="zh-CN"/>
                    </w:rPr>
                    <w:t>2</w:t>
                  </w:r>
                  <w:r>
                    <w:rPr>
                      <w:rFonts w:ascii="Times New Roman" w:hAnsi="Times New Roman"/>
                      <w:color w:val="auto"/>
                      <w:sz w:val="21"/>
                      <w:szCs w:val="21"/>
                    </w:rPr>
                    <w:t>0KW</w:t>
                  </w:r>
                </w:p>
              </w:tc>
              <w:tc>
                <w:tcPr>
                  <w:tcW w:w="16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1</w:t>
                  </w:r>
                </w:p>
              </w:tc>
              <w:tc>
                <w:tcPr>
                  <w:tcW w:w="1649"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备用</w:t>
                  </w:r>
                </w:p>
              </w:tc>
            </w:tr>
          </w:tbl>
          <w:p>
            <w:pPr>
              <w:adjustRightInd w:val="0"/>
              <w:snapToGrid w:val="0"/>
              <w:spacing w:line="360" w:lineRule="auto"/>
              <w:rPr>
                <w:rFonts w:ascii="Times New Roman" w:hAnsi="Times New Roman"/>
                <w:b/>
                <w:color w:val="auto"/>
                <w:sz w:val="24"/>
                <w:szCs w:val="24"/>
              </w:rPr>
            </w:pPr>
            <w:r>
              <w:rPr>
                <w:rFonts w:ascii="Times New Roman" w:hAnsi="Times New Roman"/>
                <w:b/>
                <w:color w:val="auto"/>
                <w:sz w:val="24"/>
                <w:szCs w:val="24"/>
              </w:rPr>
              <w:t>6、供电、给排水、交通运输</w:t>
            </w:r>
          </w:p>
          <w:p>
            <w:pPr>
              <w:adjustRightInd w:val="0"/>
              <w:snapToGrid w:val="0"/>
              <w:spacing w:line="360" w:lineRule="auto"/>
              <w:ind w:firstLine="360" w:firstLineChars="150"/>
              <w:rPr>
                <w:rFonts w:ascii="Times New Roman" w:hAnsi="Times New Roman"/>
                <w:color w:val="auto"/>
                <w:sz w:val="24"/>
                <w:szCs w:val="24"/>
              </w:rPr>
            </w:pPr>
            <w:r>
              <w:rPr>
                <w:rFonts w:ascii="Times New Roman" w:hAnsi="Times New Roman"/>
                <w:color w:val="auto"/>
                <w:sz w:val="24"/>
                <w:szCs w:val="24"/>
              </w:rPr>
              <w:t>1、供电</w:t>
            </w:r>
          </w:p>
          <w:p>
            <w:pPr>
              <w:pStyle w:val="5"/>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根据东村镇实际情况，</w:t>
            </w:r>
            <w:r>
              <w:rPr>
                <w:rFonts w:hint="eastAsia" w:ascii="Times New Roman" w:hAnsi="Times New Roman"/>
                <w:color w:val="auto"/>
                <w:sz w:val="24"/>
                <w:szCs w:val="24"/>
              </w:rPr>
              <w:t>从东村镇附近供电系统接入，满足用电需求</w:t>
            </w:r>
            <w:r>
              <w:rPr>
                <w:rFonts w:ascii="Times New Roman" w:hAnsi="Times New Roman"/>
                <w:color w:val="auto"/>
                <w:sz w:val="24"/>
                <w:szCs w:val="24"/>
              </w:rPr>
              <w:t>，另外项目区还配备了一台3</w:t>
            </w:r>
            <w:r>
              <w:rPr>
                <w:rFonts w:hint="eastAsia" w:ascii="Times New Roman" w:hAnsi="Times New Roman"/>
                <w:color w:val="auto"/>
                <w:sz w:val="24"/>
                <w:szCs w:val="24"/>
                <w:lang w:val="en-US" w:eastAsia="zh-CN"/>
              </w:rPr>
              <w:t>2</w:t>
            </w:r>
            <w:r>
              <w:rPr>
                <w:rFonts w:ascii="Times New Roman" w:hAnsi="Times New Roman"/>
                <w:color w:val="auto"/>
                <w:sz w:val="24"/>
                <w:szCs w:val="24"/>
              </w:rPr>
              <w:t>0KW备用柴油发电机。</w:t>
            </w:r>
          </w:p>
          <w:p>
            <w:pPr>
              <w:adjustRightInd w:val="0"/>
              <w:snapToGrid w:val="0"/>
              <w:spacing w:line="360" w:lineRule="auto"/>
              <w:ind w:firstLine="360" w:firstLineChars="150"/>
              <w:rPr>
                <w:rFonts w:ascii="Times New Roman" w:hAnsi="Times New Roman"/>
                <w:color w:val="auto"/>
                <w:sz w:val="24"/>
                <w:szCs w:val="24"/>
              </w:rPr>
            </w:pPr>
            <w:r>
              <w:rPr>
                <w:rFonts w:ascii="Times New Roman" w:hAnsi="Times New Roman"/>
                <w:color w:val="auto"/>
                <w:sz w:val="24"/>
                <w:szCs w:val="24"/>
              </w:rPr>
              <w:t>2、给水</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项目供水取自项目区</w:t>
            </w:r>
            <w:r>
              <w:rPr>
                <w:rFonts w:hint="eastAsia" w:ascii="Times New Roman" w:hAnsi="Times New Roman"/>
                <w:color w:val="auto"/>
                <w:sz w:val="24"/>
                <w:szCs w:val="24"/>
              </w:rPr>
              <w:t>北面约100m处</w:t>
            </w:r>
            <w:r>
              <w:rPr>
                <w:rFonts w:ascii="Times New Roman" w:hAnsi="Times New Roman"/>
                <w:color w:val="auto"/>
                <w:sz w:val="24"/>
                <w:szCs w:val="24"/>
              </w:rPr>
              <w:t>山泉水</w:t>
            </w:r>
            <w:r>
              <w:rPr>
                <w:rFonts w:hint="eastAsia" w:ascii="Times New Roman" w:hAnsi="Times New Roman"/>
                <w:color w:val="auto"/>
                <w:sz w:val="24"/>
                <w:szCs w:val="24"/>
              </w:rPr>
              <w:t>，设置管道引入厂区</w:t>
            </w:r>
            <w:r>
              <w:rPr>
                <w:rFonts w:ascii="Times New Roman" w:hAnsi="Times New Roman"/>
                <w:color w:val="auto"/>
                <w:sz w:val="24"/>
                <w:szCs w:val="24"/>
              </w:rPr>
              <w:t>，</w:t>
            </w:r>
            <w:r>
              <w:rPr>
                <w:rFonts w:hint="eastAsia" w:ascii="Times New Roman" w:hAnsi="Times New Roman"/>
                <w:color w:val="auto"/>
                <w:sz w:val="24"/>
                <w:szCs w:val="24"/>
                <w:lang w:eastAsia="zh-CN"/>
              </w:rPr>
              <w:t>根据调查现状，该水源下游无饮用水取水口及牲畜饮用功能，水量较大，水质较好，</w:t>
            </w:r>
            <w:r>
              <w:rPr>
                <w:rFonts w:ascii="Times New Roman" w:hAnsi="Times New Roman"/>
                <w:color w:val="auto"/>
                <w:sz w:val="24"/>
                <w:szCs w:val="24"/>
              </w:rPr>
              <w:t>能满足项目生产和生活用水需求。</w:t>
            </w:r>
          </w:p>
          <w:p>
            <w:pPr>
              <w:adjustRightInd w:val="0"/>
              <w:snapToGrid w:val="0"/>
              <w:spacing w:line="360" w:lineRule="auto"/>
              <w:ind w:firstLine="360" w:firstLineChars="150"/>
              <w:rPr>
                <w:rFonts w:ascii="Times New Roman" w:hAnsi="Times New Roman"/>
                <w:color w:val="auto"/>
                <w:sz w:val="24"/>
                <w:szCs w:val="24"/>
              </w:rPr>
            </w:pPr>
            <w:r>
              <w:rPr>
                <w:rFonts w:ascii="Times New Roman" w:hAnsi="Times New Roman"/>
                <w:color w:val="auto"/>
                <w:sz w:val="24"/>
                <w:szCs w:val="24"/>
              </w:rPr>
              <w:t>3、排水</w:t>
            </w:r>
          </w:p>
          <w:p>
            <w:pPr>
              <w:adjustRightInd w:val="0"/>
              <w:snapToGrid w:val="0"/>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项目</w:t>
            </w:r>
            <w:r>
              <w:rPr>
                <w:rFonts w:ascii="Times New Roman" w:hAnsi="Times New Roman"/>
                <w:color w:val="auto"/>
                <w:sz w:val="24"/>
                <w:szCs w:val="24"/>
              </w:rPr>
              <w:t>区内雨水排除采用明沟排水方式，局部地段（如厂区主要道路边）采用加盖板明沟排水。</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项目区</w:t>
            </w:r>
            <w:r>
              <w:rPr>
                <w:rFonts w:hint="eastAsia" w:ascii="Times New Roman" w:hAnsi="Times New Roman"/>
                <w:color w:val="auto"/>
                <w:sz w:val="24"/>
                <w:szCs w:val="24"/>
              </w:rPr>
              <w:t>车辆清洗</w:t>
            </w:r>
            <w:r>
              <w:rPr>
                <w:rFonts w:ascii="Times New Roman" w:hAnsi="Times New Roman"/>
                <w:color w:val="auto"/>
                <w:sz w:val="24"/>
                <w:szCs w:val="24"/>
              </w:rPr>
              <w:t>废水经四级沉淀池处理后</w:t>
            </w:r>
            <w:r>
              <w:rPr>
                <w:rFonts w:hint="eastAsia"/>
                <w:color w:val="auto"/>
                <w:sz w:val="24"/>
                <w:szCs w:val="24"/>
              </w:rPr>
              <w:t>回用于混凝土生产</w:t>
            </w:r>
            <w:r>
              <w:rPr>
                <w:rFonts w:ascii="Times New Roman" w:hAnsi="Times New Roman"/>
                <w:color w:val="auto"/>
                <w:sz w:val="24"/>
                <w:szCs w:val="24"/>
              </w:rPr>
              <w:t>；生活污水排入化粪池</w:t>
            </w:r>
            <w:r>
              <w:rPr>
                <w:rFonts w:hint="eastAsia" w:ascii="Times New Roman" w:hAnsi="Times New Roman"/>
                <w:color w:val="auto"/>
                <w:sz w:val="24"/>
                <w:szCs w:val="24"/>
                <w:lang w:eastAsia="zh-CN"/>
              </w:rPr>
              <w:t>预处理后进入中水处理站处理达标后用于</w:t>
            </w:r>
            <w:r>
              <w:rPr>
                <w:rFonts w:hint="eastAsia" w:ascii="Times New Roman" w:hAnsi="Times New Roman"/>
                <w:color w:val="auto"/>
                <w:sz w:val="24"/>
                <w:szCs w:val="24"/>
              </w:rPr>
              <w:t>厂区</w:t>
            </w:r>
            <w:r>
              <w:rPr>
                <w:rFonts w:ascii="Times New Roman" w:hAnsi="Times New Roman"/>
                <w:color w:val="auto"/>
                <w:sz w:val="24"/>
                <w:szCs w:val="24"/>
              </w:rPr>
              <w:t>洒水降尘，无</w:t>
            </w:r>
            <w:r>
              <w:rPr>
                <w:rFonts w:hint="eastAsia" w:ascii="Times New Roman" w:hAnsi="Times New Roman"/>
                <w:color w:val="auto"/>
                <w:sz w:val="24"/>
                <w:szCs w:val="24"/>
                <w:lang w:eastAsia="zh-CN"/>
              </w:rPr>
              <w:t>污</w:t>
            </w:r>
            <w:r>
              <w:rPr>
                <w:rFonts w:ascii="Times New Roman" w:hAnsi="Times New Roman"/>
                <w:color w:val="auto"/>
                <w:sz w:val="24"/>
                <w:szCs w:val="24"/>
              </w:rPr>
              <w:t>水外排。</w:t>
            </w:r>
          </w:p>
          <w:p>
            <w:pPr>
              <w:numPr>
                <w:ilvl w:val="0"/>
                <w:numId w:val="3"/>
              </w:numPr>
              <w:adjustRightInd w:val="0"/>
              <w:snapToGrid w:val="0"/>
              <w:spacing w:line="360" w:lineRule="auto"/>
              <w:ind w:firstLine="360" w:firstLineChars="150"/>
              <w:rPr>
                <w:rFonts w:ascii="Times New Roman" w:hAnsi="Times New Roman"/>
                <w:color w:val="auto"/>
                <w:sz w:val="24"/>
                <w:szCs w:val="24"/>
              </w:rPr>
            </w:pPr>
            <w:r>
              <w:rPr>
                <w:rFonts w:ascii="Times New Roman" w:hAnsi="Times New Roman"/>
                <w:color w:val="auto"/>
                <w:sz w:val="24"/>
                <w:szCs w:val="24"/>
              </w:rPr>
              <w:t>道路</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项目区除站内所有道路全部利用C20混凝土硬化处理外，进场便道宽度为6.5</w:t>
            </w:r>
            <w:r>
              <w:rPr>
                <w:rFonts w:hint="eastAsia" w:ascii="Times New Roman" w:hAnsi="Times New Roman"/>
                <w:color w:val="auto"/>
                <w:sz w:val="24"/>
                <w:szCs w:val="24"/>
              </w:rPr>
              <w:t>m</w:t>
            </w:r>
            <w:r>
              <w:rPr>
                <w:rFonts w:ascii="Times New Roman" w:hAnsi="Times New Roman"/>
                <w:color w:val="auto"/>
                <w:sz w:val="24"/>
                <w:szCs w:val="24"/>
              </w:rPr>
              <w:t>，长1.4km，采用C20混凝土进行硬化处理，硬化厚度不小于20cm。</w:t>
            </w:r>
          </w:p>
          <w:p>
            <w:pPr>
              <w:tabs>
                <w:tab w:val="left" w:pos="2395"/>
              </w:tabs>
              <w:adjustRightInd w:val="0"/>
              <w:snapToGrid w:val="0"/>
              <w:spacing w:line="360" w:lineRule="auto"/>
              <w:jc w:val="left"/>
              <w:rPr>
                <w:rFonts w:ascii="Times New Roman" w:hAnsi="Times New Roman"/>
                <w:b/>
                <w:bCs/>
                <w:color w:val="auto"/>
                <w:spacing w:val="2"/>
                <w:kern w:val="0"/>
                <w:sz w:val="24"/>
                <w:szCs w:val="24"/>
              </w:rPr>
            </w:pPr>
            <w:r>
              <w:rPr>
                <w:rFonts w:ascii="Times New Roman" w:hAnsi="Times New Roman"/>
                <w:b/>
                <w:color w:val="auto"/>
                <w:sz w:val="24"/>
                <w:szCs w:val="24"/>
              </w:rPr>
              <w:t>7</w:t>
            </w:r>
            <w:r>
              <w:rPr>
                <w:rFonts w:ascii="Times New Roman" w:hAnsi="Times New Roman"/>
                <w:b/>
                <w:bCs/>
                <w:color w:val="auto"/>
                <w:spacing w:val="2"/>
                <w:kern w:val="0"/>
                <w:sz w:val="24"/>
                <w:szCs w:val="24"/>
              </w:rPr>
              <w:t>、劳动定员及工作制度</w:t>
            </w:r>
          </w:p>
          <w:p>
            <w:pPr>
              <w:spacing w:line="360" w:lineRule="auto"/>
              <w:ind w:firstLine="480" w:firstLineChars="200"/>
              <w:rPr>
                <w:rFonts w:ascii="Times New Roman" w:hAnsi="Times New Roman"/>
                <w:color w:val="auto"/>
                <w:sz w:val="24"/>
                <w:szCs w:val="24"/>
                <w:lang w:val="zh-CN"/>
              </w:rPr>
            </w:pPr>
            <w:r>
              <w:rPr>
                <w:rFonts w:ascii="Times New Roman" w:hAnsi="Times New Roman"/>
                <w:color w:val="auto"/>
                <w:sz w:val="24"/>
                <w:szCs w:val="24"/>
                <w:lang w:val="zh-CN"/>
              </w:rPr>
              <w:t>施工期：施工人员为</w:t>
            </w:r>
            <w:r>
              <w:rPr>
                <w:rFonts w:ascii="Times New Roman" w:hAnsi="Times New Roman"/>
                <w:color w:val="auto"/>
                <w:sz w:val="24"/>
                <w:szCs w:val="24"/>
              </w:rPr>
              <w:t>18人，项目施工期为2个月，施工人员</w:t>
            </w:r>
            <w:r>
              <w:rPr>
                <w:rFonts w:hint="eastAsia" w:ascii="Times New Roman" w:hAnsi="Times New Roman"/>
                <w:color w:val="auto"/>
                <w:sz w:val="24"/>
                <w:szCs w:val="24"/>
              </w:rPr>
              <w:t>不</w:t>
            </w:r>
            <w:r>
              <w:rPr>
                <w:rFonts w:ascii="Times New Roman" w:hAnsi="Times New Roman"/>
                <w:color w:val="auto"/>
                <w:sz w:val="24"/>
                <w:szCs w:val="24"/>
              </w:rPr>
              <w:t>在厂区食宿。</w:t>
            </w:r>
          </w:p>
          <w:p>
            <w:pPr>
              <w:pStyle w:val="2"/>
              <w:ind w:firstLine="480" w:firstLineChars="200"/>
              <w:rPr>
                <w:rFonts w:ascii="Times New Roman" w:hAnsi="Times New Roman"/>
                <w:color w:val="auto"/>
                <w:sz w:val="24"/>
                <w:szCs w:val="24"/>
              </w:rPr>
            </w:pPr>
            <w:r>
              <w:rPr>
                <w:rFonts w:ascii="Times New Roman" w:hAnsi="Times New Roman"/>
                <w:color w:val="auto"/>
                <w:sz w:val="24"/>
                <w:szCs w:val="24"/>
                <w:lang w:val="zh-CN"/>
              </w:rPr>
              <w:t>运营期：</w:t>
            </w:r>
            <w:r>
              <w:rPr>
                <w:rFonts w:ascii="Times New Roman" w:hAnsi="Times New Roman"/>
                <w:color w:val="auto"/>
                <w:sz w:val="24"/>
                <w:szCs w:val="24"/>
              </w:rPr>
              <w:t>每天1班，每班</w:t>
            </w:r>
            <w:r>
              <w:rPr>
                <w:rFonts w:hint="eastAsia" w:ascii="Times New Roman" w:hAnsi="Times New Roman"/>
                <w:color w:val="auto"/>
                <w:sz w:val="24"/>
                <w:szCs w:val="24"/>
              </w:rPr>
              <w:t>8</w:t>
            </w:r>
            <w:r>
              <w:rPr>
                <w:rFonts w:ascii="Times New Roman" w:hAnsi="Times New Roman"/>
                <w:color w:val="auto"/>
                <w:sz w:val="24"/>
                <w:szCs w:val="24"/>
              </w:rPr>
              <w:t>h工作制，年生产360d</w:t>
            </w:r>
            <w:r>
              <w:rPr>
                <w:rFonts w:ascii="Times New Roman" w:hAnsi="Times New Roman"/>
                <w:color w:val="auto"/>
                <w:sz w:val="24"/>
                <w:szCs w:val="24"/>
                <w:lang w:val="zh-CN"/>
              </w:rPr>
              <w:t>。</w:t>
            </w:r>
            <w:r>
              <w:rPr>
                <w:rFonts w:ascii="Times New Roman" w:hAnsi="Times New Roman"/>
                <w:color w:val="auto"/>
                <w:sz w:val="24"/>
                <w:szCs w:val="24"/>
              </w:rPr>
              <w:t>项目总定员为52人，其中钢筋工班6人，混凝土班8人，水电工2人，劳务工20人，管理人员6人，技术人员4人，全部在厂区食宿。</w:t>
            </w:r>
          </w:p>
          <w:p>
            <w:pPr>
              <w:pStyle w:val="2"/>
              <w:rPr>
                <w:rFonts w:ascii="Times New Roman" w:hAnsi="Times New Roman"/>
                <w:b/>
                <w:color w:val="auto"/>
                <w:sz w:val="24"/>
                <w:szCs w:val="24"/>
              </w:rPr>
            </w:pPr>
            <w:r>
              <w:rPr>
                <w:rFonts w:ascii="Times New Roman" w:hAnsi="Times New Roman"/>
                <w:b/>
                <w:color w:val="auto"/>
                <w:sz w:val="24"/>
                <w:szCs w:val="24"/>
              </w:rPr>
              <w:t>9、主要原辅材料用量及成分</w:t>
            </w:r>
          </w:p>
          <w:p>
            <w:pPr>
              <w:pStyle w:val="2"/>
              <w:rPr>
                <w:rFonts w:ascii="Times New Roman" w:hAnsi="Times New Roman"/>
                <w:b/>
                <w:color w:val="auto"/>
                <w:sz w:val="24"/>
                <w:szCs w:val="24"/>
              </w:rPr>
            </w:pPr>
            <w:r>
              <w:rPr>
                <w:rFonts w:ascii="Times New Roman" w:hAnsi="Times New Roman"/>
                <w:b/>
                <w:color w:val="auto"/>
                <w:sz w:val="24"/>
                <w:szCs w:val="24"/>
              </w:rPr>
              <w:t>9.1原辅材料用量</w:t>
            </w:r>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本项目为混凝土生产，钢筋加工。混凝土涉及的主要原料为水泥、碎石、机制砂、河沙、水</w:t>
            </w:r>
            <w:r>
              <w:rPr>
                <w:rFonts w:hint="eastAsia" w:ascii="Times New Roman" w:hAnsi="Times New Roman"/>
                <w:color w:val="auto"/>
                <w:sz w:val="24"/>
                <w:szCs w:val="24"/>
              </w:rPr>
              <w:t>、粉煤灰</w:t>
            </w:r>
            <w:r>
              <w:rPr>
                <w:rFonts w:ascii="Times New Roman" w:hAnsi="Times New Roman"/>
                <w:color w:val="auto"/>
                <w:sz w:val="24"/>
                <w:szCs w:val="24"/>
              </w:rPr>
              <w:t>等，原料配比</w:t>
            </w:r>
            <w:r>
              <w:rPr>
                <w:rFonts w:hint="eastAsia" w:ascii="Times New Roman" w:hAnsi="Times New Roman"/>
                <w:color w:val="auto"/>
                <w:sz w:val="24"/>
                <w:szCs w:val="24"/>
              </w:rPr>
              <w:t>约</w:t>
            </w:r>
            <w:r>
              <w:rPr>
                <w:rFonts w:ascii="Times New Roman" w:hAnsi="Times New Roman"/>
                <w:color w:val="auto"/>
                <w:sz w:val="24"/>
                <w:szCs w:val="24"/>
              </w:rPr>
              <w:t>为碎石：砂：水泥</w:t>
            </w:r>
            <w:r>
              <w:rPr>
                <w:rFonts w:hint="eastAsia" w:ascii="Times New Roman" w:hAnsi="Times New Roman"/>
                <w:color w:val="auto"/>
                <w:sz w:val="24"/>
                <w:szCs w:val="24"/>
              </w:rPr>
              <w:t>为</w:t>
            </w:r>
            <w:r>
              <w:rPr>
                <w:rFonts w:ascii="Times New Roman" w:hAnsi="Times New Roman"/>
                <w:color w:val="auto"/>
                <w:sz w:val="24"/>
                <w:szCs w:val="24"/>
              </w:rPr>
              <w:t>5:</w:t>
            </w:r>
            <w:r>
              <w:rPr>
                <w:rFonts w:hint="eastAsia" w:ascii="Times New Roman" w:hAnsi="Times New Roman"/>
                <w:color w:val="auto"/>
                <w:sz w:val="24"/>
                <w:szCs w:val="24"/>
              </w:rPr>
              <w:t>3</w:t>
            </w:r>
            <w:r>
              <w:rPr>
                <w:rFonts w:ascii="Times New Roman" w:hAnsi="Times New Roman"/>
                <w:color w:val="auto"/>
                <w:sz w:val="24"/>
                <w:szCs w:val="24"/>
              </w:rPr>
              <w:t>:2</w:t>
            </w:r>
            <w:r>
              <w:rPr>
                <w:rFonts w:hint="eastAsia" w:ascii="Times New Roman" w:hAnsi="Times New Roman"/>
                <w:color w:val="auto"/>
                <w:sz w:val="24"/>
                <w:szCs w:val="24"/>
              </w:rPr>
              <w:t>，其中沙量按河沙：机制砂为1:10，加水量为每方混凝土170L，粉煤灰每方混凝土添加30-60kg，本项目取50kg。</w:t>
            </w:r>
          </w:p>
          <w:p>
            <w:pPr>
              <w:pStyle w:val="5"/>
              <w:ind w:firstLine="480" w:firstLineChars="200"/>
              <w:rPr>
                <w:rFonts w:hint="default" w:ascii="Times New Roman" w:hAnsi="Times New Roman" w:eastAsia="宋体"/>
                <w:color w:val="auto"/>
                <w:sz w:val="24"/>
                <w:szCs w:val="24"/>
                <w:lang w:val="en-US" w:eastAsia="zh-CN"/>
              </w:rPr>
            </w:pPr>
            <w:r>
              <w:rPr>
                <w:rFonts w:ascii="Times New Roman" w:hAnsi="Times New Roman"/>
                <w:color w:val="auto"/>
                <w:sz w:val="24"/>
                <w:szCs w:val="24"/>
              </w:rPr>
              <w:t>原料及能源用量见表1-</w:t>
            </w:r>
            <w:r>
              <w:rPr>
                <w:rFonts w:hint="eastAsia" w:ascii="Times New Roman" w:hAnsi="Times New Roman"/>
                <w:color w:val="auto"/>
                <w:sz w:val="24"/>
                <w:szCs w:val="24"/>
                <w:lang w:val="en-US" w:eastAsia="zh-CN"/>
              </w:rPr>
              <w:t>6，原料最大存储量见表1-7。</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color w:val="auto"/>
                <w:sz w:val="24"/>
              </w:rPr>
            </w:pPr>
            <w:r>
              <w:rPr>
                <w:rFonts w:ascii="Times New Roman" w:hAnsi="Times New Roman"/>
                <w:b/>
                <w:color w:val="auto"/>
                <w:sz w:val="24"/>
              </w:rPr>
              <w:t>表1-</w:t>
            </w:r>
            <w:r>
              <w:rPr>
                <w:rFonts w:hint="eastAsia" w:ascii="Times New Roman" w:hAnsi="Times New Roman"/>
                <w:b/>
                <w:color w:val="auto"/>
                <w:sz w:val="24"/>
                <w:lang w:val="en-US" w:eastAsia="zh-CN"/>
              </w:rPr>
              <w:t>6</w:t>
            </w:r>
            <w:r>
              <w:rPr>
                <w:rFonts w:ascii="Times New Roman" w:hAnsi="Times New Roman"/>
                <w:b/>
                <w:color w:val="auto"/>
                <w:sz w:val="24"/>
              </w:rPr>
              <w:t xml:space="preserve">   </w:t>
            </w:r>
            <w:r>
              <w:rPr>
                <w:rFonts w:hint="eastAsia" w:ascii="Times New Roman" w:hAnsi="Times New Roman"/>
                <w:b/>
                <w:color w:val="auto"/>
                <w:sz w:val="24"/>
              </w:rPr>
              <w:t>项目区</w:t>
            </w:r>
            <w:r>
              <w:rPr>
                <w:rFonts w:ascii="Times New Roman" w:hAnsi="Times New Roman"/>
                <w:b/>
                <w:color w:val="auto"/>
                <w:sz w:val="24"/>
              </w:rPr>
              <w:t>原辅材料耗量统计</w:t>
            </w:r>
          </w:p>
          <w:tbl>
            <w:tblPr>
              <w:tblStyle w:val="43"/>
              <w:tblW w:w="8243" w:type="dxa"/>
              <w:jc w:val="center"/>
              <w:tblLayout w:type="fixed"/>
              <w:tblCellMar>
                <w:top w:w="0" w:type="dxa"/>
                <w:left w:w="108" w:type="dxa"/>
                <w:bottom w:w="0" w:type="dxa"/>
                <w:right w:w="108" w:type="dxa"/>
              </w:tblCellMar>
            </w:tblPr>
            <w:tblGrid>
              <w:gridCol w:w="722"/>
              <w:gridCol w:w="1572"/>
              <w:gridCol w:w="1118"/>
              <w:gridCol w:w="1531"/>
              <w:gridCol w:w="3300"/>
            </w:tblGrid>
            <w:tr>
              <w:tblPrEx>
                <w:tblCellMar>
                  <w:top w:w="0" w:type="dxa"/>
                  <w:left w:w="108" w:type="dxa"/>
                  <w:bottom w:w="0" w:type="dxa"/>
                  <w:right w:w="108" w:type="dxa"/>
                </w:tblCellMar>
              </w:tblPrEx>
              <w:trPr>
                <w:trHeight w:val="69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序号</w:t>
                  </w:r>
                </w:p>
              </w:tc>
              <w:tc>
                <w:tcPr>
                  <w:tcW w:w="1572"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项目名称</w:t>
                  </w:r>
                </w:p>
              </w:tc>
              <w:tc>
                <w:tcPr>
                  <w:tcW w:w="1118"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单位</w:t>
                  </w:r>
                </w:p>
              </w:tc>
              <w:tc>
                <w:tcPr>
                  <w:tcW w:w="1531" w:type="dxa"/>
                  <w:tcBorders>
                    <w:top w:val="single" w:color="auto" w:sz="4" w:space="0"/>
                    <w:left w:val="nil"/>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年耗量</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来源</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一</w:t>
                  </w:r>
                </w:p>
              </w:tc>
              <w:tc>
                <w:tcPr>
                  <w:tcW w:w="7521" w:type="dxa"/>
                  <w:gridSpan w:val="4"/>
                  <w:tcBorders>
                    <w:top w:val="single" w:color="auto" w:sz="4" w:space="0"/>
                    <w:left w:val="nil"/>
                    <w:bottom w:val="single" w:color="auto" w:sz="4" w:space="0"/>
                    <w:right w:val="single" w:color="auto" w:sz="4" w:space="0"/>
                  </w:tcBorders>
                  <w:vAlign w:val="center"/>
                </w:tcPr>
                <w:p>
                  <w:pPr>
                    <w:pStyle w:val="268"/>
                    <w:spacing w:before="48" w:after="48"/>
                    <w:jc w:val="both"/>
                    <w:rPr>
                      <w:rFonts w:ascii="Times New Roman" w:hAnsi="Times New Roman"/>
                      <w:color w:val="auto"/>
                    </w:rPr>
                  </w:pPr>
                  <w:r>
                    <w:rPr>
                      <w:rFonts w:ascii="Times New Roman" w:hAnsi="Times New Roman"/>
                      <w:color w:val="auto"/>
                    </w:rPr>
                    <w:t>原料和辅助材料供应</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1</w:t>
                  </w:r>
                </w:p>
              </w:tc>
              <w:tc>
                <w:tcPr>
                  <w:tcW w:w="1572"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水泥</w:t>
                  </w:r>
                </w:p>
              </w:tc>
              <w:tc>
                <w:tcPr>
                  <w:tcW w:w="1118" w:type="dxa"/>
                  <w:tcBorders>
                    <w:top w:val="single" w:color="auto" w:sz="4" w:space="0"/>
                    <w:left w:val="nil"/>
                    <w:bottom w:val="single" w:color="auto" w:sz="4" w:space="0"/>
                    <w:right w:val="single" w:color="auto" w:sz="4" w:space="0"/>
                  </w:tcBorders>
                  <w:vAlign w:val="center"/>
                </w:tcPr>
                <w:p>
                  <w:pPr>
                    <w:pStyle w:val="269"/>
                    <w:rPr>
                      <w:b w:val="0"/>
                      <w:bCs w:val="0"/>
                      <w:color w:val="auto"/>
                      <w:sz w:val="18"/>
                      <w:szCs w:val="18"/>
                    </w:rPr>
                  </w:pPr>
                  <w:r>
                    <w:rPr>
                      <w:b w:val="0"/>
                      <w:bCs w:val="0"/>
                      <w:color w:val="auto"/>
                      <w:sz w:val="18"/>
                      <w:szCs w:val="18"/>
                    </w:rPr>
                    <w:t>万t/a</w:t>
                  </w:r>
                </w:p>
              </w:tc>
              <w:tc>
                <w:tcPr>
                  <w:tcW w:w="1531"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hint="eastAsia" w:ascii="Times New Roman" w:hAnsi="Times New Roman"/>
                      <w:color w:val="auto"/>
                    </w:rPr>
                    <w:t>3.76</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昆明</w:t>
                  </w:r>
                  <w:r>
                    <w:rPr>
                      <w:rFonts w:hint="eastAsia" w:ascii="Times New Roman" w:hAnsi="Times New Roman"/>
                      <w:color w:val="auto"/>
                    </w:rPr>
                    <w:t>地区</w:t>
                  </w:r>
                  <w:r>
                    <w:rPr>
                      <w:rFonts w:ascii="Times New Roman" w:hAnsi="Times New Roman"/>
                      <w:color w:val="auto"/>
                    </w:rPr>
                    <w:t>水泥厂</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3</w:t>
                  </w:r>
                </w:p>
              </w:tc>
              <w:tc>
                <w:tcPr>
                  <w:tcW w:w="1572"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碎石</w:t>
                  </w:r>
                </w:p>
              </w:tc>
              <w:tc>
                <w:tcPr>
                  <w:tcW w:w="1118" w:type="dxa"/>
                  <w:tcBorders>
                    <w:top w:val="single" w:color="auto" w:sz="4" w:space="0"/>
                    <w:left w:val="nil"/>
                    <w:bottom w:val="single" w:color="auto" w:sz="4" w:space="0"/>
                    <w:right w:val="single" w:color="auto" w:sz="4" w:space="0"/>
                  </w:tcBorders>
                  <w:vAlign w:val="center"/>
                </w:tcPr>
                <w:p>
                  <w:pPr>
                    <w:pStyle w:val="269"/>
                    <w:rPr>
                      <w:b w:val="0"/>
                      <w:bCs w:val="0"/>
                      <w:color w:val="auto"/>
                      <w:sz w:val="18"/>
                      <w:szCs w:val="18"/>
                    </w:rPr>
                  </w:pPr>
                  <w:r>
                    <w:rPr>
                      <w:b w:val="0"/>
                      <w:bCs w:val="0"/>
                      <w:color w:val="auto"/>
                      <w:sz w:val="18"/>
                      <w:szCs w:val="18"/>
                    </w:rPr>
                    <w:t>万t/a</w:t>
                  </w:r>
                </w:p>
              </w:tc>
              <w:tc>
                <w:tcPr>
                  <w:tcW w:w="1531"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hint="eastAsia" w:ascii="Times New Roman" w:hAnsi="Times New Roman"/>
                      <w:color w:val="auto"/>
                    </w:rPr>
                    <w:t>9.4</w:t>
                  </w:r>
                </w:p>
              </w:tc>
              <w:tc>
                <w:tcPr>
                  <w:tcW w:w="3300" w:type="dxa"/>
                  <w:vMerge w:val="restart"/>
                  <w:tcBorders>
                    <w:top w:val="single" w:color="auto" w:sz="4" w:space="0"/>
                    <w:left w:val="nil"/>
                    <w:right w:val="single" w:color="auto" w:sz="4" w:space="0"/>
                  </w:tcBorders>
                  <w:vAlign w:val="center"/>
                </w:tcPr>
                <w:p>
                  <w:pPr>
                    <w:pStyle w:val="268"/>
                    <w:spacing w:before="48" w:after="48"/>
                    <w:ind w:firstLine="1050" w:firstLineChars="500"/>
                    <w:jc w:val="both"/>
                    <w:rPr>
                      <w:rFonts w:ascii="Times New Roman" w:hAnsi="Times New Roman"/>
                      <w:color w:val="auto"/>
                    </w:rPr>
                  </w:pPr>
                  <w:r>
                    <w:rPr>
                      <w:rFonts w:ascii="Times New Roman" w:hAnsi="Times New Roman"/>
                      <w:color w:val="auto"/>
                    </w:rPr>
                    <w:t>当地购买</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4</w:t>
                  </w:r>
                </w:p>
              </w:tc>
              <w:tc>
                <w:tcPr>
                  <w:tcW w:w="1572"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机制砂</w:t>
                  </w:r>
                </w:p>
              </w:tc>
              <w:tc>
                <w:tcPr>
                  <w:tcW w:w="1118" w:type="dxa"/>
                  <w:tcBorders>
                    <w:top w:val="single" w:color="auto" w:sz="4" w:space="0"/>
                    <w:left w:val="nil"/>
                    <w:bottom w:val="single" w:color="auto" w:sz="4" w:space="0"/>
                    <w:right w:val="single" w:color="auto" w:sz="4" w:space="0"/>
                  </w:tcBorders>
                  <w:vAlign w:val="center"/>
                </w:tcPr>
                <w:p>
                  <w:pPr>
                    <w:pStyle w:val="269"/>
                    <w:rPr>
                      <w:b w:val="0"/>
                      <w:bCs w:val="0"/>
                      <w:color w:val="auto"/>
                      <w:sz w:val="18"/>
                      <w:szCs w:val="18"/>
                    </w:rPr>
                  </w:pPr>
                  <w:r>
                    <w:rPr>
                      <w:b w:val="0"/>
                      <w:bCs w:val="0"/>
                      <w:color w:val="auto"/>
                      <w:sz w:val="18"/>
                      <w:szCs w:val="18"/>
                    </w:rPr>
                    <w:t>万t/a</w:t>
                  </w:r>
                </w:p>
              </w:tc>
              <w:tc>
                <w:tcPr>
                  <w:tcW w:w="1531"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hint="eastAsia" w:ascii="Times New Roman" w:hAnsi="Times New Roman"/>
                      <w:color w:val="auto"/>
                    </w:rPr>
                    <w:t>5.127</w:t>
                  </w:r>
                </w:p>
              </w:tc>
              <w:tc>
                <w:tcPr>
                  <w:tcW w:w="3300" w:type="dxa"/>
                  <w:vMerge w:val="continue"/>
                  <w:tcBorders>
                    <w:left w:val="nil"/>
                    <w:bottom w:val="single" w:color="auto" w:sz="4" w:space="0"/>
                    <w:right w:val="single" w:color="auto" w:sz="4" w:space="0"/>
                  </w:tcBorders>
                  <w:vAlign w:val="center"/>
                </w:tcPr>
                <w:p>
                  <w:pPr>
                    <w:pStyle w:val="268"/>
                    <w:spacing w:before="48" w:after="48"/>
                    <w:ind w:firstLine="420" w:firstLineChars="200"/>
                    <w:rPr>
                      <w:rFonts w:ascii="Times New Roman" w:hAnsi="Times New Roman"/>
                      <w:color w:val="auto"/>
                    </w:rPr>
                  </w:pPr>
                </w:p>
              </w:tc>
            </w:tr>
            <w:tr>
              <w:tblPrEx>
                <w:tblCellMar>
                  <w:top w:w="0" w:type="dxa"/>
                  <w:left w:w="108" w:type="dxa"/>
                  <w:bottom w:w="0" w:type="dxa"/>
                  <w:right w:w="108" w:type="dxa"/>
                </w:tblCellMar>
              </w:tblPrEx>
              <w:trPr>
                <w:trHeight w:val="8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5</w:t>
                  </w:r>
                </w:p>
              </w:tc>
              <w:tc>
                <w:tcPr>
                  <w:tcW w:w="1572"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河沙</w:t>
                  </w:r>
                </w:p>
              </w:tc>
              <w:tc>
                <w:tcPr>
                  <w:tcW w:w="1118" w:type="dxa"/>
                  <w:tcBorders>
                    <w:top w:val="single" w:color="auto" w:sz="4" w:space="0"/>
                    <w:left w:val="nil"/>
                    <w:bottom w:val="single" w:color="auto" w:sz="4" w:space="0"/>
                    <w:right w:val="single" w:color="auto" w:sz="4" w:space="0"/>
                  </w:tcBorders>
                  <w:vAlign w:val="center"/>
                </w:tcPr>
                <w:p>
                  <w:pPr>
                    <w:pStyle w:val="269"/>
                    <w:rPr>
                      <w:b w:val="0"/>
                      <w:bCs w:val="0"/>
                      <w:color w:val="auto"/>
                      <w:sz w:val="18"/>
                      <w:szCs w:val="18"/>
                    </w:rPr>
                  </w:pPr>
                  <w:r>
                    <w:rPr>
                      <w:b w:val="0"/>
                      <w:bCs w:val="0"/>
                      <w:color w:val="auto"/>
                      <w:sz w:val="18"/>
                      <w:szCs w:val="18"/>
                    </w:rPr>
                    <w:t>万t/a</w:t>
                  </w:r>
                </w:p>
              </w:tc>
              <w:tc>
                <w:tcPr>
                  <w:tcW w:w="1531"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hint="eastAsia" w:ascii="Times New Roman" w:hAnsi="Times New Roman"/>
                      <w:color w:val="auto"/>
                    </w:rPr>
                    <w:t>0.513</w:t>
                  </w:r>
                </w:p>
              </w:tc>
              <w:tc>
                <w:tcPr>
                  <w:tcW w:w="3300" w:type="dxa"/>
                  <w:tcBorders>
                    <w:top w:val="nil"/>
                    <w:left w:val="nil"/>
                    <w:bottom w:val="single" w:color="auto" w:sz="4" w:space="0"/>
                    <w:right w:val="single" w:color="auto" w:sz="4" w:space="0"/>
                  </w:tcBorders>
                  <w:vAlign w:val="center"/>
                </w:tcPr>
                <w:p>
                  <w:pPr>
                    <w:widowControl/>
                    <w:jc w:val="center"/>
                    <w:rPr>
                      <w:rFonts w:ascii="Times New Roman" w:hAnsi="Times New Roman"/>
                      <w:color w:val="auto"/>
                    </w:rPr>
                  </w:pPr>
                  <w:r>
                    <w:rPr>
                      <w:rFonts w:ascii="Times New Roman" w:hAnsi="Times New Roman"/>
                      <w:color w:val="auto"/>
                    </w:rPr>
                    <w:t>东川购买</w:t>
                  </w:r>
                </w:p>
              </w:tc>
            </w:tr>
            <w:tr>
              <w:tblPrEx>
                <w:tblCellMar>
                  <w:top w:w="0" w:type="dxa"/>
                  <w:left w:w="108" w:type="dxa"/>
                  <w:bottom w:w="0" w:type="dxa"/>
                  <w:right w:w="108" w:type="dxa"/>
                </w:tblCellMar>
              </w:tblPrEx>
              <w:trPr>
                <w:trHeight w:val="8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6</w:t>
                  </w:r>
                </w:p>
              </w:tc>
              <w:tc>
                <w:tcPr>
                  <w:tcW w:w="1572"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粉煤灰</w:t>
                  </w:r>
                </w:p>
              </w:tc>
              <w:tc>
                <w:tcPr>
                  <w:tcW w:w="1118" w:type="dxa"/>
                  <w:tcBorders>
                    <w:top w:val="single" w:color="auto" w:sz="4" w:space="0"/>
                    <w:left w:val="nil"/>
                    <w:bottom w:val="single" w:color="auto" w:sz="4" w:space="0"/>
                    <w:right w:val="single" w:color="auto" w:sz="4" w:space="0"/>
                  </w:tcBorders>
                  <w:vAlign w:val="center"/>
                </w:tcPr>
                <w:p>
                  <w:pPr>
                    <w:pStyle w:val="269"/>
                    <w:rPr>
                      <w:b w:val="0"/>
                      <w:bCs w:val="0"/>
                      <w:color w:val="auto"/>
                      <w:sz w:val="18"/>
                      <w:szCs w:val="18"/>
                    </w:rPr>
                  </w:pPr>
                  <w:r>
                    <w:rPr>
                      <w:b w:val="0"/>
                      <w:bCs w:val="0"/>
                      <w:color w:val="auto"/>
                      <w:sz w:val="18"/>
                      <w:szCs w:val="18"/>
                    </w:rPr>
                    <w:t>万t/a</w:t>
                  </w:r>
                </w:p>
              </w:tc>
              <w:tc>
                <w:tcPr>
                  <w:tcW w:w="1531"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hint="eastAsia" w:ascii="Times New Roman" w:hAnsi="Times New Roman"/>
                      <w:color w:val="auto"/>
                    </w:rPr>
                    <w:t>0.5</w:t>
                  </w:r>
                </w:p>
              </w:tc>
              <w:tc>
                <w:tcPr>
                  <w:tcW w:w="3300" w:type="dxa"/>
                  <w:tcBorders>
                    <w:top w:val="nil"/>
                    <w:left w:val="nil"/>
                    <w:bottom w:val="single" w:color="auto" w:sz="4" w:space="0"/>
                    <w:right w:val="single" w:color="auto" w:sz="4" w:space="0"/>
                  </w:tcBorders>
                  <w:vAlign w:val="center"/>
                </w:tcPr>
                <w:p>
                  <w:pPr>
                    <w:widowControl/>
                    <w:jc w:val="center"/>
                    <w:rPr>
                      <w:rFonts w:ascii="Times New Roman" w:hAnsi="Times New Roman"/>
                      <w:color w:val="auto"/>
                    </w:rPr>
                  </w:pPr>
                  <w:r>
                    <w:rPr>
                      <w:rFonts w:ascii="Times New Roman" w:hAnsi="Times New Roman"/>
                      <w:color w:val="auto"/>
                    </w:rPr>
                    <w:t>昆明购买</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7</w:t>
                  </w:r>
                </w:p>
              </w:tc>
              <w:tc>
                <w:tcPr>
                  <w:tcW w:w="1572"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水</w:t>
                  </w:r>
                </w:p>
              </w:tc>
              <w:tc>
                <w:tcPr>
                  <w:tcW w:w="1118" w:type="dxa"/>
                  <w:tcBorders>
                    <w:top w:val="single" w:color="auto" w:sz="4" w:space="0"/>
                    <w:left w:val="nil"/>
                    <w:bottom w:val="single" w:color="auto" w:sz="4" w:space="0"/>
                    <w:right w:val="single" w:color="auto" w:sz="4" w:space="0"/>
                  </w:tcBorders>
                  <w:vAlign w:val="center"/>
                </w:tcPr>
                <w:p>
                  <w:pPr>
                    <w:pStyle w:val="269"/>
                    <w:rPr>
                      <w:b w:val="0"/>
                      <w:bCs w:val="0"/>
                      <w:color w:val="auto"/>
                      <w:sz w:val="18"/>
                      <w:szCs w:val="18"/>
                    </w:rPr>
                  </w:pPr>
                  <w:r>
                    <w:rPr>
                      <w:b w:val="0"/>
                      <w:bCs w:val="0"/>
                      <w:color w:val="auto"/>
                      <w:sz w:val="18"/>
                      <w:szCs w:val="18"/>
                    </w:rPr>
                    <w:t>万t/a</w:t>
                  </w:r>
                </w:p>
              </w:tc>
              <w:tc>
                <w:tcPr>
                  <w:tcW w:w="1531"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hint="eastAsia" w:ascii="Times New Roman" w:hAnsi="Times New Roman"/>
                      <w:color w:val="auto"/>
                    </w:rPr>
                    <w:t>1.7</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hint="eastAsia" w:ascii="Times New Roman" w:hAnsi="Times New Roman"/>
                      <w:color w:val="auto"/>
                    </w:rPr>
                    <w:t>山泉水</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8</w:t>
                  </w:r>
                </w:p>
              </w:tc>
              <w:tc>
                <w:tcPr>
                  <w:tcW w:w="1572"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钢筋</w:t>
                  </w:r>
                </w:p>
              </w:tc>
              <w:tc>
                <w:tcPr>
                  <w:tcW w:w="1118" w:type="dxa"/>
                  <w:tcBorders>
                    <w:top w:val="single" w:color="auto" w:sz="4" w:space="0"/>
                    <w:left w:val="nil"/>
                    <w:bottom w:val="single" w:color="auto" w:sz="4" w:space="0"/>
                    <w:right w:val="single" w:color="auto" w:sz="4" w:space="0"/>
                  </w:tcBorders>
                  <w:vAlign w:val="center"/>
                </w:tcPr>
                <w:p>
                  <w:pPr>
                    <w:pStyle w:val="269"/>
                    <w:rPr>
                      <w:b w:val="0"/>
                      <w:bCs w:val="0"/>
                      <w:color w:val="auto"/>
                    </w:rPr>
                  </w:pPr>
                  <w:r>
                    <w:rPr>
                      <w:b w:val="0"/>
                      <w:bCs w:val="0"/>
                      <w:color w:val="auto"/>
                      <w:sz w:val="18"/>
                      <w:szCs w:val="18"/>
                    </w:rPr>
                    <w:t>万t/a</w:t>
                  </w:r>
                </w:p>
              </w:tc>
              <w:tc>
                <w:tcPr>
                  <w:tcW w:w="1531" w:type="dxa"/>
                  <w:tcBorders>
                    <w:top w:val="single" w:color="auto" w:sz="4" w:space="0"/>
                    <w:left w:val="nil"/>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0.85</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昆明购买</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color w:val="auto"/>
                      <w:lang w:val="en-US" w:eastAsia="zh-CN"/>
                    </w:rPr>
                  </w:pPr>
                  <w:r>
                    <w:rPr>
                      <w:rFonts w:hint="eastAsia" w:ascii="Times New Roman" w:hAnsi="Times New Roman"/>
                      <w:color w:val="auto"/>
                      <w:lang w:val="en-US" w:eastAsia="zh-CN"/>
                    </w:rPr>
                    <w:t>9</w:t>
                  </w:r>
                </w:p>
              </w:tc>
              <w:tc>
                <w:tcPr>
                  <w:tcW w:w="1572" w:type="dxa"/>
                  <w:tcBorders>
                    <w:top w:val="single" w:color="auto" w:sz="4" w:space="0"/>
                    <w:left w:val="nil"/>
                    <w:bottom w:val="single" w:color="auto" w:sz="4" w:space="0"/>
                    <w:right w:val="single" w:color="auto" w:sz="4" w:space="0"/>
                  </w:tcBorders>
                  <w:vAlign w:val="center"/>
                </w:tcPr>
                <w:p>
                  <w:pPr>
                    <w:jc w:val="center"/>
                    <w:rPr>
                      <w:rFonts w:hint="eastAsia" w:ascii="Times New Roman" w:hAnsi="Times New Roman" w:eastAsia="宋体"/>
                      <w:color w:val="auto"/>
                      <w:lang w:eastAsia="zh-CN"/>
                    </w:rPr>
                  </w:pPr>
                  <w:r>
                    <w:rPr>
                      <w:rFonts w:hint="eastAsia" w:ascii="Times New Roman" w:hAnsi="Times New Roman"/>
                      <w:color w:val="auto"/>
                      <w:lang w:eastAsia="zh-CN"/>
                    </w:rPr>
                    <w:t>焊丝</w:t>
                  </w:r>
                </w:p>
              </w:tc>
              <w:tc>
                <w:tcPr>
                  <w:tcW w:w="1118" w:type="dxa"/>
                  <w:tcBorders>
                    <w:top w:val="single" w:color="auto" w:sz="4" w:space="0"/>
                    <w:left w:val="nil"/>
                    <w:bottom w:val="single" w:color="auto" w:sz="4" w:space="0"/>
                    <w:right w:val="single" w:color="auto" w:sz="4" w:space="0"/>
                  </w:tcBorders>
                  <w:vAlign w:val="center"/>
                </w:tcPr>
                <w:p>
                  <w:pPr>
                    <w:pStyle w:val="269"/>
                    <w:rPr>
                      <w:b w:val="0"/>
                      <w:bCs w:val="0"/>
                      <w:color w:val="auto"/>
                      <w:sz w:val="18"/>
                      <w:szCs w:val="18"/>
                    </w:rPr>
                  </w:pPr>
                  <w:r>
                    <w:rPr>
                      <w:b w:val="0"/>
                      <w:bCs w:val="0"/>
                      <w:color w:val="auto"/>
                      <w:sz w:val="18"/>
                      <w:szCs w:val="18"/>
                    </w:rPr>
                    <w:t>t/a</w:t>
                  </w:r>
                </w:p>
              </w:tc>
              <w:tc>
                <w:tcPr>
                  <w:tcW w:w="1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olor w:val="auto"/>
                      <w:lang w:val="en-US" w:eastAsia="zh-CN"/>
                    </w:rPr>
                  </w:pPr>
                  <w:r>
                    <w:rPr>
                      <w:rFonts w:hint="eastAsia" w:ascii="Times New Roman" w:hAnsi="Times New Roman"/>
                      <w:color w:val="auto"/>
                      <w:lang w:val="en-US" w:eastAsia="zh-CN"/>
                    </w:rPr>
                    <w:t>0.65</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昆明购买</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color w:val="auto"/>
                      <w:lang w:val="en-US" w:eastAsia="zh-CN"/>
                    </w:rPr>
                  </w:pPr>
                  <w:r>
                    <w:rPr>
                      <w:rFonts w:hint="eastAsia" w:ascii="Times New Roman" w:hAnsi="Times New Roman"/>
                      <w:color w:val="auto"/>
                      <w:lang w:val="en-US" w:eastAsia="zh-CN"/>
                    </w:rPr>
                    <w:t>10</w:t>
                  </w:r>
                </w:p>
              </w:tc>
              <w:tc>
                <w:tcPr>
                  <w:tcW w:w="1572" w:type="dxa"/>
                  <w:tcBorders>
                    <w:top w:val="single" w:color="auto" w:sz="4" w:space="0"/>
                    <w:left w:val="nil"/>
                    <w:bottom w:val="single" w:color="auto" w:sz="4" w:space="0"/>
                    <w:right w:val="single" w:color="auto" w:sz="4" w:space="0"/>
                  </w:tcBorders>
                  <w:vAlign w:val="center"/>
                </w:tcPr>
                <w:p>
                  <w:pPr>
                    <w:jc w:val="center"/>
                    <w:rPr>
                      <w:rFonts w:hint="eastAsia" w:ascii="Times New Roman" w:hAnsi="Times New Roman" w:eastAsia="宋体"/>
                      <w:color w:val="auto"/>
                      <w:lang w:eastAsia="zh-CN"/>
                    </w:rPr>
                  </w:pPr>
                  <w:r>
                    <w:rPr>
                      <w:rFonts w:hint="eastAsia" w:ascii="Times New Roman" w:hAnsi="Times New Roman"/>
                      <w:color w:val="auto"/>
                      <w:lang w:eastAsia="zh-CN"/>
                    </w:rPr>
                    <w:t>乙炔</w:t>
                  </w:r>
                </w:p>
              </w:tc>
              <w:tc>
                <w:tcPr>
                  <w:tcW w:w="1118" w:type="dxa"/>
                  <w:tcBorders>
                    <w:top w:val="single" w:color="auto" w:sz="4" w:space="0"/>
                    <w:left w:val="nil"/>
                    <w:bottom w:val="single" w:color="auto" w:sz="4" w:space="0"/>
                    <w:right w:val="single" w:color="auto" w:sz="4" w:space="0"/>
                  </w:tcBorders>
                  <w:vAlign w:val="center"/>
                </w:tcPr>
                <w:p>
                  <w:pPr>
                    <w:pStyle w:val="269"/>
                    <w:rPr>
                      <w:rFonts w:hint="default" w:eastAsia="宋体"/>
                      <w:b w:val="0"/>
                      <w:bCs w:val="0"/>
                      <w:color w:val="auto"/>
                      <w:sz w:val="18"/>
                      <w:szCs w:val="18"/>
                      <w:lang w:val="en-US" w:eastAsia="zh-CN"/>
                    </w:rPr>
                  </w:pPr>
                  <w:r>
                    <w:rPr>
                      <w:rFonts w:hint="eastAsia"/>
                      <w:b w:val="0"/>
                      <w:bCs w:val="0"/>
                      <w:color w:val="auto"/>
                      <w:sz w:val="18"/>
                      <w:szCs w:val="18"/>
                      <w:lang w:val="en-US" w:eastAsia="zh-CN"/>
                    </w:rPr>
                    <w:t>L/a</w:t>
                  </w:r>
                </w:p>
              </w:tc>
              <w:tc>
                <w:tcPr>
                  <w:tcW w:w="1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olor w:val="auto"/>
                      <w:lang w:val="en-US" w:eastAsia="zh-CN"/>
                    </w:rPr>
                  </w:pPr>
                  <w:r>
                    <w:rPr>
                      <w:rFonts w:hint="eastAsia" w:ascii="Times New Roman" w:hAnsi="Times New Roman"/>
                      <w:color w:val="auto"/>
                      <w:lang w:val="en-US" w:eastAsia="zh-CN"/>
                    </w:rPr>
                    <w:t>80</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昆明购买</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olor w:val="auto"/>
                      <w:lang w:val="en-US" w:eastAsia="zh-CN"/>
                    </w:rPr>
                  </w:pPr>
                  <w:r>
                    <w:rPr>
                      <w:rFonts w:hint="eastAsia" w:ascii="Times New Roman" w:hAnsi="Times New Roman"/>
                      <w:color w:val="auto"/>
                      <w:lang w:val="en-US" w:eastAsia="zh-CN"/>
                    </w:rPr>
                    <w:t>11</w:t>
                  </w:r>
                </w:p>
              </w:tc>
              <w:tc>
                <w:tcPr>
                  <w:tcW w:w="1572" w:type="dxa"/>
                  <w:tcBorders>
                    <w:top w:val="single" w:color="auto" w:sz="4" w:space="0"/>
                    <w:left w:val="nil"/>
                    <w:bottom w:val="single" w:color="auto" w:sz="4" w:space="0"/>
                    <w:right w:val="single" w:color="auto" w:sz="4" w:space="0"/>
                  </w:tcBorders>
                  <w:vAlign w:val="center"/>
                </w:tcPr>
                <w:p>
                  <w:pPr>
                    <w:jc w:val="center"/>
                    <w:rPr>
                      <w:rFonts w:hint="eastAsia" w:ascii="Times New Roman" w:hAnsi="Times New Roman" w:eastAsia="宋体"/>
                      <w:color w:val="auto"/>
                      <w:lang w:eastAsia="zh-CN"/>
                    </w:rPr>
                  </w:pPr>
                  <w:r>
                    <w:rPr>
                      <w:rFonts w:hint="eastAsia" w:ascii="Times New Roman" w:hAnsi="Times New Roman"/>
                      <w:color w:val="auto"/>
                      <w:lang w:eastAsia="zh-CN"/>
                    </w:rPr>
                    <w:t>氧气</w:t>
                  </w:r>
                </w:p>
              </w:tc>
              <w:tc>
                <w:tcPr>
                  <w:tcW w:w="1118" w:type="dxa"/>
                  <w:tcBorders>
                    <w:top w:val="single" w:color="auto" w:sz="4" w:space="0"/>
                    <w:left w:val="nil"/>
                    <w:bottom w:val="single" w:color="auto" w:sz="4" w:space="0"/>
                    <w:right w:val="single" w:color="auto" w:sz="4" w:space="0"/>
                  </w:tcBorders>
                  <w:vAlign w:val="center"/>
                </w:tcPr>
                <w:p>
                  <w:pPr>
                    <w:pStyle w:val="269"/>
                    <w:rPr>
                      <w:b w:val="0"/>
                      <w:bCs w:val="0"/>
                      <w:color w:val="auto"/>
                      <w:sz w:val="18"/>
                      <w:szCs w:val="18"/>
                    </w:rPr>
                  </w:pPr>
                  <w:r>
                    <w:rPr>
                      <w:rFonts w:hint="eastAsia"/>
                      <w:b w:val="0"/>
                      <w:bCs w:val="0"/>
                      <w:color w:val="auto"/>
                      <w:sz w:val="18"/>
                      <w:szCs w:val="18"/>
                      <w:lang w:val="en-US" w:eastAsia="zh-CN"/>
                    </w:rPr>
                    <w:t>L/a</w:t>
                  </w:r>
                </w:p>
              </w:tc>
              <w:tc>
                <w:tcPr>
                  <w:tcW w:w="1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olor w:val="auto"/>
                      <w:lang w:val="en-US" w:eastAsia="zh-CN"/>
                    </w:rPr>
                  </w:pPr>
                  <w:r>
                    <w:rPr>
                      <w:rFonts w:hint="eastAsia" w:ascii="Times New Roman" w:hAnsi="Times New Roman"/>
                      <w:color w:val="auto"/>
                      <w:lang w:val="en-US" w:eastAsia="zh-CN"/>
                    </w:rPr>
                    <w:t>180</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昆明购买</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olor w:val="auto"/>
                      <w:lang w:val="en-US" w:eastAsia="zh-CN"/>
                    </w:rPr>
                  </w:pPr>
                  <w:r>
                    <w:rPr>
                      <w:rFonts w:hint="eastAsia" w:ascii="Times New Roman" w:hAnsi="Times New Roman"/>
                      <w:color w:val="auto"/>
                      <w:lang w:val="en-US" w:eastAsia="zh-CN"/>
                    </w:rPr>
                    <w:t>12</w:t>
                  </w:r>
                </w:p>
              </w:tc>
              <w:tc>
                <w:tcPr>
                  <w:tcW w:w="1572" w:type="dxa"/>
                  <w:tcBorders>
                    <w:top w:val="single" w:color="auto" w:sz="4" w:space="0"/>
                    <w:left w:val="nil"/>
                    <w:bottom w:val="single" w:color="auto" w:sz="4" w:space="0"/>
                    <w:right w:val="single" w:color="auto" w:sz="4" w:space="0"/>
                  </w:tcBorders>
                  <w:vAlign w:val="center"/>
                </w:tcPr>
                <w:p>
                  <w:pPr>
                    <w:jc w:val="center"/>
                    <w:rPr>
                      <w:rFonts w:hint="eastAsia" w:ascii="Times New Roman" w:hAnsi="Times New Roman" w:eastAsia="宋体"/>
                      <w:color w:val="auto"/>
                      <w:lang w:eastAsia="zh-CN"/>
                    </w:rPr>
                  </w:pPr>
                  <w:r>
                    <w:rPr>
                      <w:rFonts w:hint="eastAsia" w:ascii="Times New Roman" w:hAnsi="Times New Roman"/>
                      <w:color w:val="auto"/>
                      <w:lang w:eastAsia="zh-CN"/>
                    </w:rPr>
                    <w:t>二氧化碳</w:t>
                  </w:r>
                </w:p>
              </w:tc>
              <w:tc>
                <w:tcPr>
                  <w:tcW w:w="1118" w:type="dxa"/>
                  <w:tcBorders>
                    <w:top w:val="single" w:color="auto" w:sz="4" w:space="0"/>
                    <w:left w:val="nil"/>
                    <w:bottom w:val="single" w:color="auto" w:sz="4" w:space="0"/>
                    <w:right w:val="single" w:color="auto" w:sz="4" w:space="0"/>
                  </w:tcBorders>
                  <w:vAlign w:val="center"/>
                </w:tcPr>
                <w:p>
                  <w:pPr>
                    <w:pStyle w:val="269"/>
                    <w:rPr>
                      <w:b w:val="0"/>
                      <w:bCs w:val="0"/>
                      <w:color w:val="auto"/>
                      <w:sz w:val="18"/>
                      <w:szCs w:val="18"/>
                    </w:rPr>
                  </w:pPr>
                  <w:r>
                    <w:rPr>
                      <w:rFonts w:hint="eastAsia"/>
                      <w:b w:val="0"/>
                      <w:bCs w:val="0"/>
                      <w:color w:val="auto"/>
                      <w:sz w:val="18"/>
                      <w:szCs w:val="18"/>
                      <w:lang w:val="en-US" w:eastAsia="zh-CN"/>
                    </w:rPr>
                    <w:t>L/a</w:t>
                  </w:r>
                </w:p>
              </w:tc>
              <w:tc>
                <w:tcPr>
                  <w:tcW w:w="1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olor w:val="auto"/>
                      <w:lang w:val="en-US" w:eastAsia="zh-CN"/>
                    </w:rPr>
                  </w:pPr>
                  <w:r>
                    <w:rPr>
                      <w:rFonts w:hint="eastAsia" w:ascii="Times New Roman" w:hAnsi="Times New Roman"/>
                      <w:color w:val="auto"/>
                      <w:lang w:val="en-US" w:eastAsia="zh-CN"/>
                    </w:rPr>
                    <w:t>360</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昆明购买</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二</w:t>
                  </w:r>
                </w:p>
              </w:tc>
              <w:tc>
                <w:tcPr>
                  <w:tcW w:w="7521" w:type="dxa"/>
                  <w:gridSpan w:val="4"/>
                  <w:tcBorders>
                    <w:top w:val="single" w:color="auto" w:sz="4" w:space="0"/>
                    <w:left w:val="nil"/>
                    <w:bottom w:val="single" w:color="auto" w:sz="4" w:space="0"/>
                    <w:right w:val="single" w:color="auto" w:sz="4" w:space="0"/>
                  </w:tcBorders>
                  <w:vAlign w:val="center"/>
                </w:tcPr>
                <w:p>
                  <w:pPr>
                    <w:pStyle w:val="268"/>
                    <w:spacing w:before="48" w:after="48"/>
                    <w:jc w:val="both"/>
                    <w:rPr>
                      <w:rFonts w:ascii="Times New Roman" w:hAnsi="Times New Roman"/>
                      <w:color w:val="auto"/>
                    </w:rPr>
                  </w:pPr>
                  <w:r>
                    <w:rPr>
                      <w:rFonts w:ascii="Times New Roman" w:hAnsi="Times New Roman"/>
                      <w:color w:val="auto"/>
                    </w:rPr>
                    <w:t>主要能源供应</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1</w:t>
                  </w:r>
                </w:p>
              </w:tc>
              <w:tc>
                <w:tcPr>
                  <w:tcW w:w="1572"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电力</w:t>
                  </w:r>
                </w:p>
              </w:tc>
              <w:tc>
                <w:tcPr>
                  <w:tcW w:w="1118"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万度</w:t>
                  </w:r>
                </w:p>
              </w:tc>
              <w:tc>
                <w:tcPr>
                  <w:tcW w:w="1531"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48</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hint="eastAsia" w:ascii="Times New Roman" w:hAnsi="Times New Roman"/>
                      <w:color w:val="auto"/>
                    </w:rPr>
                    <w:t>从东村镇附近接入</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2</w:t>
                  </w:r>
                </w:p>
              </w:tc>
              <w:tc>
                <w:tcPr>
                  <w:tcW w:w="1572"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水</w:t>
                  </w:r>
                </w:p>
              </w:tc>
              <w:tc>
                <w:tcPr>
                  <w:tcW w:w="1118"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万t</w:t>
                  </w:r>
                </w:p>
              </w:tc>
              <w:tc>
                <w:tcPr>
                  <w:tcW w:w="1531"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1.87</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厂区北面山泉水</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3</w:t>
                  </w:r>
                </w:p>
              </w:tc>
              <w:tc>
                <w:tcPr>
                  <w:tcW w:w="1572"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柴油</w:t>
                  </w:r>
                </w:p>
              </w:tc>
              <w:tc>
                <w:tcPr>
                  <w:tcW w:w="1118"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t</w:t>
                  </w:r>
                </w:p>
              </w:tc>
              <w:tc>
                <w:tcPr>
                  <w:tcW w:w="1531"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0.77</w:t>
                  </w:r>
                </w:p>
              </w:tc>
              <w:tc>
                <w:tcPr>
                  <w:tcW w:w="3300" w:type="dxa"/>
                  <w:tcBorders>
                    <w:top w:val="single" w:color="auto" w:sz="4" w:space="0"/>
                    <w:left w:val="nil"/>
                    <w:bottom w:val="single" w:color="auto" w:sz="4" w:space="0"/>
                    <w:right w:val="single" w:color="auto" w:sz="4" w:space="0"/>
                  </w:tcBorders>
                  <w:vAlign w:val="center"/>
                </w:tcPr>
                <w:p>
                  <w:pPr>
                    <w:pStyle w:val="268"/>
                    <w:spacing w:before="48" w:after="48"/>
                    <w:rPr>
                      <w:rFonts w:ascii="Times New Roman" w:hAnsi="Times New Roman"/>
                      <w:color w:val="auto"/>
                    </w:rPr>
                  </w:pPr>
                  <w:r>
                    <w:rPr>
                      <w:rFonts w:ascii="Times New Roman" w:hAnsi="Times New Roman"/>
                      <w:color w:val="auto"/>
                    </w:rPr>
                    <w:t>外购</w:t>
                  </w:r>
                </w:p>
              </w:tc>
            </w:tr>
          </w:tbl>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b/>
                <w:color w:val="auto"/>
                <w:sz w:val="24"/>
                <w:lang w:val="en-US" w:eastAsia="zh-CN"/>
              </w:rPr>
            </w:pPr>
            <w:r>
              <w:rPr>
                <w:rFonts w:hint="eastAsia" w:ascii="Times New Roman" w:hAnsi="Times New Roman"/>
                <w:b/>
                <w:color w:val="auto"/>
                <w:sz w:val="24"/>
                <w:lang w:eastAsia="zh-CN"/>
              </w:rPr>
              <w:t>表</w:t>
            </w:r>
            <w:r>
              <w:rPr>
                <w:rFonts w:hint="eastAsia" w:ascii="Times New Roman" w:hAnsi="Times New Roman"/>
                <w:b/>
                <w:color w:val="auto"/>
                <w:sz w:val="24"/>
                <w:lang w:val="en-US" w:eastAsia="zh-CN"/>
              </w:rPr>
              <w:t>1-7  项目区原辅材最大存储量及位置一览表</w:t>
            </w:r>
          </w:p>
          <w:tbl>
            <w:tblPr>
              <w:tblStyle w:val="43"/>
              <w:tblW w:w="8243" w:type="dxa"/>
              <w:jc w:val="center"/>
              <w:tblLayout w:type="fixed"/>
              <w:tblCellMar>
                <w:top w:w="0" w:type="dxa"/>
                <w:left w:w="108" w:type="dxa"/>
                <w:bottom w:w="0" w:type="dxa"/>
                <w:right w:w="108" w:type="dxa"/>
              </w:tblCellMar>
            </w:tblPr>
            <w:tblGrid>
              <w:gridCol w:w="722"/>
              <w:gridCol w:w="1572"/>
              <w:gridCol w:w="1118"/>
              <w:gridCol w:w="1531"/>
              <w:gridCol w:w="3300"/>
            </w:tblGrid>
            <w:tr>
              <w:tblPrEx>
                <w:tblCellMar>
                  <w:top w:w="0" w:type="dxa"/>
                  <w:left w:w="108" w:type="dxa"/>
                  <w:bottom w:w="0" w:type="dxa"/>
                  <w:right w:w="108" w:type="dxa"/>
                </w:tblCellMar>
              </w:tblPrEx>
              <w:trPr>
                <w:trHeight w:val="69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序号</w:t>
                  </w:r>
                </w:p>
              </w:tc>
              <w:tc>
                <w:tcPr>
                  <w:tcW w:w="1572"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textAlignment w:val="auto"/>
                    <w:rPr>
                      <w:rFonts w:ascii="Times New Roman" w:hAnsi="Times New Roman"/>
                      <w:color w:val="auto"/>
                    </w:rPr>
                  </w:pPr>
                  <w:r>
                    <w:rPr>
                      <w:rFonts w:ascii="Times New Roman" w:hAnsi="Times New Roman"/>
                      <w:color w:val="auto"/>
                    </w:rPr>
                    <w:t>项目名称</w:t>
                  </w:r>
                </w:p>
              </w:tc>
              <w:tc>
                <w:tcPr>
                  <w:tcW w:w="1118"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textAlignment w:val="auto"/>
                    <w:rPr>
                      <w:rFonts w:ascii="Times New Roman" w:hAnsi="Times New Roman"/>
                      <w:color w:val="auto"/>
                    </w:rPr>
                  </w:pPr>
                  <w:r>
                    <w:rPr>
                      <w:rFonts w:ascii="Times New Roman" w:hAnsi="Times New Roman"/>
                      <w:color w:val="auto"/>
                    </w:rPr>
                    <w:t>单位</w:t>
                  </w:r>
                </w:p>
              </w:tc>
              <w:tc>
                <w:tcPr>
                  <w:tcW w:w="1531" w:type="dxa"/>
                  <w:tcBorders>
                    <w:top w:val="single" w:color="auto" w:sz="4" w:space="0"/>
                    <w:left w:val="nil"/>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textAlignment w:val="auto"/>
                    <w:rPr>
                      <w:rFonts w:hint="eastAsia" w:ascii="Times New Roman" w:hAnsi="Times New Roman" w:eastAsia="宋体"/>
                      <w:color w:val="auto"/>
                      <w:lang w:eastAsia="zh-CN"/>
                    </w:rPr>
                  </w:pPr>
                  <w:r>
                    <w:rPr>
                      <w:rFonts w:hint="eastAsia" w:ascii="Times New Roman" w:hAnsi="Times New Roman"/>
                      <w:color w:val="auto"/>
                      <w:lang w:eastAsia="zh-CN"/>
                    </w:rPr>
                    <w:t>最大存储量</w:t>
                  </w:r>
                </w:p>
              </w:tc>
              <w:tc>
                <w:tcPr>
                  <w:tcW w:w="3300"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textAlignment w:val="auto"/>
                    <w:rPr>
                      <w:rFonts w:hint="eastAsia" w:ascii="Times New Roman" w:hAnsi="Times New Roman" w:eastAsia="宋体"/>
                      <w:color w:val="auto"/>
                      <w:lang w:eastAsia="zh-CN"/>
                    </w:rPr>
                  </w:pPr>
                  <w:r>
                    <w:rPr>
                      <w:rFonts w:hint="eastAsia" w:ascii="Times New Roman" w:hAnsi="Times New Roman"/>
                      <w:color w:val="auto"/>
                      <w:lang w:eastAsia="zh-CN"/>
                    </w:rPr>
                    <w:t>存储位置</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1</w:t>
                  </w:r>
                </w:p>
              </w:tc>
              <w:tc>
                <w:tcPr>
                  <w:tcW w:w="1572"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水泥</w:t>
                  </w:r>
                </w:p>
              </w:tc>
              <w:tc>
                <w:tcPr>
                  <w:tcW w:w="1118" w:type="dxa"/>
                  <w:tcBorders>
                    <w:top w:val="single" w:color="auto" w:sz="4" w:space="0"/>
                    <w:left w:val="nil"/>
                    <w:bottom w:val="single" w:color="auto" w:sz="4" w:space="0"/>
                    <w:right w:val="single" w:color="auto" w:sz="4" w:space="0"/>
                  </w:tcBorders>
                  <w:vAlign w:val="center"/>
                </w:tcPr>
                <w:p>
                  <w:pPr>
                    <w:pStyle w:val="269"/>
                    <w:keepLines w:val="0"/>
                    <w:pageBreakBefore w:val="0"/>
                    <w:kinsoku/>
                    <w:wordWrap/>
                    <w:overflowPunct/>
                    <w:topLinePunct w:val="0"/>
                    <w:autoSpaceDE/>
                    <w:autoSpaceDN/>
                    <w:bidi w:val="0"/>
                    <w:adjustRightInd/>
                    <w:snapToGrid/>
                    <w:spacing w:line="240" w:lineRule="auto"/>
                    <w:textAlignment w:val="auto"/>
                    <w:rPr>
                      <w:rFonts w:hint="eastAsia" w:eastAsia="宋体"/>
                      <w:b w:val="0"/>
                      <w:bCs w:val="0"/>
                      <w:color w:val="auto"/>
                      <w:sz w:val="18"/>
                      <w:szCs w:val="18"/>
                      <w:lang w:eastAsia="zh-CN"/>
                    </w:rPr>
                  </w:pPr>
                  <w:r>
                    <w:rPr>
                      <w:rFonts w:hint="eastAsia"/>
                      <w:b w:val="0"/>
                      <w:bCs w:val="0"/>
                      <w:color w:val="auto"/>
                      <w:sz w:val="18"/>
                      <w:szCs w:val="18"/>
                      <w:lang w:val="en-US" w:eastAsia="zh-CN"/>
                    </w:rPr>
                    <w:t>t</w:t>
                  </w:r>
                </w:p>
              </w:tc>
              <w:tc>
                <w:tcPr>
                  <w:tcW w:w="1531"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200</w:t>
                  </w:r>
                </w:p>
              </w:tc>
              <w:tc>
                <w:tcPr>
                  <w:tcW w:w="3300"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textAlignment w:val="auto"/>
                    <w:rPr>
                      <w:rFonts w:hint="eastAsia" w:ascii="Times New Roman" w:hAnsi="Times New Roman" w:eastAsia="宋体"/>
                      <w:color w:val="auto"/>
                      <w:lang w:val="en-US" w:eastAsia="zh-CN"/>
                    </w:rPr>
                  </w:pPr>
                  <w:r>
                    <w:rPr>
                      <w:rFonts w:hint="eastAsia" w:ascii="Times New Roman" w:hAnsi="Times New Roman"/>
                      <w:color w:val="auto"/>
                      <w:lang w:val="en-US" w:eastAsia="zh-CN"/>
                    </w:rPr>
                    <w:t>水泥仓</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3</w:t>
                  </w:r>
                </w:p>
              </w:tc>
              <w:tc>
                <w:tcPr>
                  <w:tcW w:w="1572"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碎石</w:t>
                  </w:r>
                </w:p>
              </w:tc>
              <w:tc>
                <w:tcPr>
                  <w:tcW w:w="1118" w:type="dxa"/>
                  <w:tcBorders>
                    <w:top w:val="single" w:color="auto" w:sz="4" w:space="0"/>
                    <w:left w:val="nil"/>
                    <w:bottom w:val="single" w:color="auto" w:sz="4" w:space="0"/>
                    <w:right w:val="single" w:color="auto" w:sz="4" w:space="0"/>
                  </w:tcBorders>
                  <w:vAlign w:val="center"/>
                </w:tcPr>
                <w:p>
                  <w:pPr>
                    <w:pStyle w:val="269"/>
                    <w:keepLines w:val="0"/>
                    <w:pageBreakBefore w:val="0"/>
                    <w:kinsoku/>
                    <w:wordWrap/>
                    <w:overflowPunct/>
                    <w:topLinePunct w:val="0"/>
                    <w:autoSpaceDE/>
                    <w:autoSpaceDN/>
                    <w:bidi w:val="0"/>
                    <w:adjustRightInd/>
                    <w:snapToGrid/>
                    <w:spacing w:line="240" w:lineRule="auto"/>
                    <w:textAlignment w:val="auto"/>
                    <w:rPr>
                      <w:b w:val="0"/>
                      <w:bCs w:val="0"/>
                      <w:color w:val="auto"/>
                      <w:sz w:val="18"/>
                      <w:szCs w:val="18"/>
                    </w:rPr>
                  </w:pPr>
                  <w:r>
                    <w:rPr>
                      <w:rFonts w:hint="eastAsia"/>
                      <w:b w:val="0"/>
                      <w:bCs w:val="0"/>
                      <w:color w:val="auto"/>
                      <w:sz w:val="18"/>
                      <w:szCs w:val="18"/>
                      <w:lang w:val="en-US" w:eastAsia="zh-CN"/>
                    </w:rPr>
                    <w:t>t</w:t>
                  </w:r>
                </w:p>
              </w:tc>
              <w:tc>
                <w:tcPr>
                  <w:tcW w:w="1531"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180</w:t>
                  </w:r>
                </w:p>
              </w:tc>
              <w:tc>
                <w:tcPr>
                  <w:tcW w:w="3300"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ind w:firstLine="1050" w:firstLineChars="500"/>
                    <w:jc w:val="both"/>
                    <w:textAlignment w:val="auto"/>
                    <w:rPr>
                      <w:rFonts w:hint="eastAsia" w:ascii="Times New Roman" w:hAnsi="Times New Roman" w:eastAsia="宋体"/>
                      <w:color w:val="auto"/>
                      <w:lang w:eastAsia="zh-CN"/>
                    </w:rPr>
                  </w:pPr>
                  <w:r>
                    <w:rPr>
                      <w:rFonts w:hint="eastAsia" w:ascii="Times New Roman" w:hAnsi="Times New Roman"/>
                      <w:color w:val="auto"/>
                      <w:lang w:eastAsia="zh-CN"/>
                    </w:rPr>
                    <w:t>碎石堆棚</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4</w:t>
                  </w:r>
                </w:p>
              </w:tc>
              <w:tc>
                <w:tcPr>
                  <w:tcW w:w="1572"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机制砂</w:t>
                  </w:r>
                </w:p>
              </w:tc>
              <w:tc>
                <w:tcPr>
                  <w:tcW w:w="1118" w:type="dxa"/>
                  <w:tcBorders>
                    <w:top w:val="single" w:color="auto" w:sz="4" w:space="0"/>
                    <w:left w:val="nil"/>
                    <w:bottom w:val="single" w:color="auto" w:sz="4" w:space="0"/>
                    <w:right w:val="single" w:color="auto" w:sz="4" w:space="0"/>
                  </w:tcBorders>
                  <w:vAlign w:val="center"/>
                </w:tcPr>
                <w:p>
                  <w:pPr>
                    <w:pStyle w:val="269"/>
                    <w:keepLines w:val="0"/>
                    <w:pageBreakBefore w:val="0"/>
                    <w:kinsoku/>
                    <w:wordWrap/>
                    <w:overflowPunct/>
                    <w:topLinePunct w:val="0"/>
                    <w:autoSpaceDE/>
                    <w:autoSpaceDN/>
                    <w:bidi w:val="0"/>
                    <w:adjustRightInd/>
                    <w:snapToGrid/>
                    <w:spacing w:line="240" w:lineRule="auto"/>
                    <w:textAlignment w:val="auto"/>
                    <w:rPr>
                      <w:b w:val="0"/>
                      <w:bCs w:val="0"/>
                      <w:color w:val="auto"/>
                      <w:sz w:val="18"/>
                      <w:szCs w:val="18"/>
                    </w:rPr>
                  </w:pPr>
                  <w:r>
                    <w:rPr>
                      <w:rFonts w:hint="eastAsia"/>
                      <w:b w:val="0"/>
                      <w:bCs w:val="0"/>
                      <w:color w:val="auto"/>
                      <w:sz w:val="18"/>
                      <w:szCs w:val="18"/>
                      <w:lang w:val="en-US" w:eastAsia="zh-CN"/>
                    </w:rPr>
                    <w:t>t</w:t>
                  </w:r>
                </w:p>
              </w:tc>
              <w:tc>
                <w:tcPr>
                  <w:tcW w:w="1531"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180</w:t>
                  </w:r>
                </w:p>
              </w:tc>
              <w:tc>
                <w:tcPr>
                  <w:tcW w:w="3300"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ind w:firstLine="840" w:firstLineChars="400"/>
                    <w:jc w:val="both"/>
                    <w:textAlignment w:val="auto"/>
                    <w:rPr>
                      <w:rFonts w:hint="eastAsia" w:ascii="Times New Roman" w:hAnsi="Times New Roman" w:eastAsia="宋体"/>
                      <w:color w:val="auto"/>
                      <w:lang w:eastAsia="zh-CN"/>
                    </w:rPr>
                  </w:pPr>
                  <w:r>
                    <w:rPr>
                      <w:rFonts w:hint="eastAsia" w:ascii="Times New Roman" w:hAnsi="Times New Roman"/>
                      <w:color w:val="auto"/>
                      <w:lang w:eastAsia="zh-CN"/>
                    </w:rPr>
                    <w:t>机制砂堆棚</w:t>
                  </w:r>
                </w:p>
              </w:tc>
            </w:tr>
            <w:tr>
              <w:tblPrEx>
                <w:tblCellMar>
                  <w:top w:w="0" w:type="dxa"/>
                  <w:left w:w="108" w:type="dxa"/>
                  <w:bottom w:w="0" w:type="dxa"/>
                  <w:right w:w="108" w:type="dxa"/>
                </w:tblCellMar>
              </w:tblPrEx>
              <w:trPr>
                <w:trHeight w:val="8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5</w:t>
                  </w:r>
                </w:p>
              </w:tc>
              <w:tc>
                <w:tcPr>
                  <w:tcW w:w="1572"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河沙</w:t>
                  </w:r>
                </w:p>
              </w:tc>
              <w:tc>
                <w:tcPr>
                  <w:tcW w:w="1118" w:type="dxa"/>
                  <w:tcBorders>
                    <w:top w:val="single" w:color="auto" w:sz="4" w:space="0"/>
                    <w:left w:val="nil"/>
                    <w:bottom w:val="single" w:color="auto" w:sz="4" w:space="0"/>
                    <w:right w:val="single" w:color="auto" w:sz="4" w:space="0"/>
                  </w:tcBorders>
                  <w:vAlign w:val="center"/>
                </w:tcPr>
                <w:p>
                  <w:pPr>
                    <w:pStyle w:val="269"/>
                    <w:keepLines w:val="0"/>
                    <w:pageBreakBefore w:val="0"/>
                    <w:kinsoku/>
                    <w:wordWrap/>
                    <w:overflowPunct/>
                    <w:topLinePunct w:val="0"/>
                    <w:autoSpaceDE/>
                    <w:autoSpaceDN/>
                    <w:bidi w:val="0"/>
                    <w:adjustRightInd/>
                    <w:snapToGrid/>
                    <w:spacing w:line="240" w:lineRule="auto"/>
                    <w:textAlignment w:val="auto"/>
                    <w:rPr>
                      <w:b w:val="0"/>
                      <w:bCs w:val="0"/>
                      <w:color w:val="auto"/>
                      <w:sz w:val="18"/>
                      <w:szCs w:val="18"/>
                    </w:rPr>
                  </w:pPr>
                  <w:r>
                    <w:rPr>
                      <w:rFonts w:hint="eastAsia"/>
                      <w:b w:val="0"/>
                      <w:bCs w:val="0"/>
                      <w:color w:val="auto"/>
                      <w:sz w:val="18"/>
                      <w:szCs w:val="18"/>
                      <w:lang w:val="en-US" w:eastAsia="zh-CN"/>
                    </w:rPr>
                    <w:t>t</w:t>
                  </w:r>
                </w:p>
              </w:tc>
              <w:tc>
                <w:tcPr>
                  <w:tcW w:w="1531"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180</w:t>
                  </w:r>
                </w:p>
              </w:tc>
              <w:tc>
                <w:tcPr>
                  <w:tcW w:w="3300" w:type="dxa"/>
                  <w:tcBorders>
                    <w:top w:val="nil"/>
                    <w:left w:val="nil"/>
                    <w:bottom w:val="single" w:color="auto" w:sz="4" w:space="0"/>
                    <w:right w:val="single" w:color="auto" w:sz="4" w:space="0"/>
                  </w:tcBorders>
                  <w:vAlign w:val="center"/>
                </w:tcPr>
                <w:p>
                  <w:pPr>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lang w:eastAsia="zh-CN"/>
                    </w:rPr>
                  </w:pPr>
                  <w:r>
                    <w:rPr>
                      <w:rFonts w:hint="eastAsia" w:ascii="Times New Roman" w:hAnsi="Times New Roman"/>
                      <w:color w:val="auto"/>
                      <w:lang w:eastAsia="zh-CN"/>
                    </w:rPr>
                    <w:t>河沙堆棚</w:t>
                  </w:r>
                </w:p>
              </w:tc>
            </w:tr>
            <w:tr>
              <w:tblPrEx>
                <w:tblCellMar>
                  <w:top w:w="0" w:type="dxa"/>
                  <w:left w:w="108" w:type="dxa"/>
                  <w:bottom w:w="0" w:type="dxa"/>
                  <w:right w:w="108" w:type="dxa"/>
                </w:tblCellMar>
              </w:tblPrEx>
              <w:trPr>
                <w:trHeight w:val="8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6</w:t>
                  </w:r>
                </w:p>
              </w:tc>
              <w:tc>
                <w:tcPr>
                  <w:tcW w:w="1572"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粉煤灰</w:t>
                  </w:r>
                </w:p>
              </w:tc>
              <w:tc>
                <w:tcPr>
                  <w:tcW w:w="1118" w:type="dxa"/>
                  <w:tcBorders>
                    <w:top w:val="single" w:color="auto" w:sz="4" w:space="0"/>
                    <w:left w:val="nil"/>
                    <w:bottom w:val="single" w:color="auto" w:sz="4" w:space="0"/>
                    <w:right w:val="single" w:color="auto" w:sz="4" w:space="0"/>
                  </w:tcBorders>
                  <w:vAlign w:val="center"/>
                </w:tcPr>
                <w:p>
                  <w:pPr>
                    <w:pStyle w:val="269"/>
                    <w:keepLines w:val="0"/>
                    <w:pageBreakBefore w:val="0"/>
                    <w:kinsoku/>
                    <w:wordWrap/>
                    <w:overflowPunct/>
                    <w:topLinePunct w:val="0"/>
                    <w:autoSpaceDE/>
                    <w:autoSpaceDN/>
                    <w:bidi w:val="0"/>
                    <w:adjustRightInd/>
                    <w:snapToGrid/>
                    <w:spacing w:line="240" w:lineRule="auto"/>
                    <w:textAlignment w:val="auto"/>
                    <w:rPr>
                      <w:b w:val="0"/>
                      <w:bCs w:val="0"/>
                      <w:color w:val="auto"/>
                      <w:sz w:val="18"/>
                      <w:szCs w:val="18"/>
                    </w:rPr>
                  </w:pPr>
                  <w:r>
                    <w:rPr>
                      <w:rFonts w:hint="eastAsia"/>
                      <w:b w:val="0"/>
                      <w:bCs w:val="0"/>
                      <w:color w:val="auto"/>
                      <w:sz w:val="18"/>
                      <w:szCs w:val="18"/>
                      <w:lang w:val="en-US" w:eastAsia="zh-CN"/>
                    </w:rPr>
                    <w:t>t</w:t>
                  </w:r>
                </w:p>
              </w:tc>
              <w:tc>
                <w:tcPr>
                  <w:tcW w:w="1531"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200</w:t>
                  </w:r>
                </w:p>
              </w:tc>
              <w:tc>
                <w:tcPr>
                  <w:tcW w:w="3300" w:type="dxa"/>
                  <w:tcBorders>
                    <w:top w:val="nil"/>
                    <w:left w:val="nil"/>
                    <w:bottom w:val="single" w:color="auto" w:sz="4" w:space="0"/>
                    <w:right w:val="single" w:color="auto" w:sz="4" w:space="0"/>
                  </w:tcBorders>
                  <w:vAlign w:val="center"/>
                </w:tcPr>
                <w:p>
                  <w:pPr>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lang w:eastAsia="zh-CN"/>
                    </w:rPr>
                  </w:pPr>
                  <w:r>
                    <w:rPr>
                      <w:rFonts w:hint="eastAsia" w:ascii="Times New Roman" w:hAnsi="Times New Roman"/>
                      <w:color w:val="auto"/>
                      <w:lang w:eastAsia="zh-CN"/>
                    </w:rPr>
                    <w:t>粉煤灰仓</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lang w:eastAsia="zh-CN"/>
                    </w:rPr>
                  </w:pPr>
                  <w:r>
                    <w:rPr>
                      <w:rFonts w:hint="eastAsia" w:ascii="Times New Roman" w:hAnsi="Times New Roman"/>
                      <w:color w:val="auto"/>
                      <w:lang w:val="en-US" w:eastAsia="zh-CN"/>
                    </w:rPr>
                    <w:t>7</w:t>
                  </w:r>
                </w:p>
              </w:tc>
              <w:tc>
                <w:tcPr>
                  <w:tcW w:w="1572"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olor w:val="auto"/>
                    </w:rPr>
                  </w:pPr>
                  <w:r>
                    <w:rPr>
                      <w:rFonts w:ascii="Times New Roman" w:hAnsi="Times New Roman"/>
                      <w:color w:val="auto"/>
                    </w:rPr>
                    <w:t>钢筋</w:t>
                  </w:r>
                </w:p>
              </w:tc>
              <w:tc>
                <w:tcPr>
                  <w:tcW w:w="1118" w:type="dxa"/>
                  <w:tcBorders>
                    <w:top w:val="single" w:color="auto" w:sz="4" w:space="0"/>
                    <w:left w:val="nil"/>
                    <w:bottom w:val="single" w:color="auto" w:sz="4" w:space="0"/>
                    <w:right w:val="single" w:color="auto" w:sz="4" w:space="0"/>
                  </w:tcBorders>
                  <w:vAlign w:val="center"/>
                </w:tcPr>
                <w:p>
                  <w:pPr>
                    <w:pStyle w:val="269"/>
                    <w:keepLines w:val="0"/>
                    <w:pageBreakBefore w:val="0"/>
                    <w:kinsoku/>
                    <w:wordWrap/>
                    <w:overflowPunct/>
                    <w:topLinePunct w:val="0"/>
                    <w:autoSpaceDE/>
                    <w:autoSpaceDN/>
                    <w:bidi w:val="0"/>
                    <w:adjustRightInd/>
                    <w:snapToGrid/>
                    <w:spacing w:line="240" w:lineRule="auto"/>
                    <w:textAlignment w:val="auto"/>
                    <w:rPr>
                      <w:b w:val="0"/>
                      <w:bCs w:val="0"/>
                      <w:color w:val="auto"/>
                    </w:rPr>
                  </w:pPr>
                  <w:r>
                    <w:rPr>
                      <w:rFonts w:hint="eastAsia"/>
                      <w:b w:val="0"/>
                      <w:bCs w:val="0"/>
                      <w:color w:val="auto"/>
                      <w:sz w:val="18"/>
                      <w:szCs w:val="18"/>
                      <w:lang w:val="en-US" w:eastAsia="zh-CN"/>
                    </w:rPr>
                    <w:t>t</w:t>
                  </w:r>
                </w:p>
              </w:tc>
              <w:tc>
                <w:tcPr>
                  <w:tcW w:w="1531"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24</w:t>
                  </w:r>
                </w:p>
              </w:tc>
              <w:tc>
                <w:tcPr>
                  <w:tcW w:w="3300"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textAlignment w:val="auto"/>
                    <w:rPr>
                      <w:rFonts w:hint="eastAsia" w:ascii="Times New Roman" w:hAnsi="Times New Roman" w:eastAsia="宋体"/>
                      <w:color w:val="auto"/>
                      <w:lang w:eastAsia="zh-CN"/>
                    </w:rPr>
                  </w:pPr>
                  <w:r>
                    <w:rPr>
                      <w:rFonts w:hint="eastAsia" w:ascii="Times New Roman" w:hAnsi="Times New Roman"/>
                      <w:color w:val="auto"/>
                      <w:lang w:eastAsia="zh-CN"/>
                    </w:rPr>
                    <w:t>钢筋原料堆放区</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lang w:val="en-US" w:eastAsia="zh-CN"/>
                    </w:rPr>
                  </w:pPr>
                  <w:r>
                    <w:rPr>
                      <w:rFonts w:hint="eastAsia" w:ascii="Times New Roman" w:hAnsi="Times New Roman"/>
                      <w:color w:val="auto"/>
                      <w:lang w:val="en-US" w:eastAsia="zh-CN"/>
                    </w:rPr>
                    <w:t>8</w:t>
                  </w:r>
                </w:p>
              </w:tc>
              <w:tc>
                <w:tcPr>
                  <w:tcW w:w="1572"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lang w:eastAsia="zh-CN"/>
                    </w:rPr>
                  </w:pPr>
                  <w:r>
                    <w:rPr>
                      <w:rFonts w:hint="eastAsia" w:ascii="Times New Roman" w:hAnsi="Times New Roman"/>
                      <w:color w:val="auto"/>
                      <w:lang w:eastAsia="zh-CN"/>
                    </w:rPr>
                    <w:t>焊丝</w:t>
                  </w:r>
                </w:p>
              </w:tc>
              <w:tc>
                <w:tcPr>
                  <w:tcW w:w="1118" w:type="dxa"/>
                  <w:tcBorders>
                    <w:top w:val="single" w:color="auto" w:sz="4" w:space="0"/>
                    <w:left w:val="nil"/>
                    <w:bottom w:val="single" w:color="auto" w:sz="4" w:space="0"/>
                    <w:right w:val="single" w:color="auto" w:sz="4" w:space="0"/>
                  </w:tcBorders>
                  <w:vAlign w:val="center"/>
                </w:tcPr>
                <w:p>
                  <w:pPr>
                    <w:pStyle w:val="269"/>
                    <w:keepLines w:val="0"/>
                    <w:pageBreakBefore w:val="0"/>
                    <w:kinsoku/>
                    <w:wordWrap/>
                    <w:overflowPunct/>
                    <w:topLinePunct w:val="0"/>
                    <w:autoSpaceDE/>
                    <w:autoSpaceDN/>
                    <w:bidi w:val="0"/>
                    <w:adjustRightInd/>
                    <w:snapToGrid/>
                    <w:spacing w:line="240" w:lineRule="auto"/>
                    <w:textAlignment w:val="auto"/>
                    <w:rPr>
                      <w:b w:val="0"/>
                      <w:bCs w:val="0"/>
                      <w:color w:val="auto"/>
                      <w:sz w:val="18"/>
                      <w:szCs w:val="18"/>
                    </w:rPr>
                  </w:pPr>
                  <w:r>
                    <w:rPr>
                      <w:rFonts w:hint="eastAsia"/>
                      <w:b w:val="0"/>
                      <w:bCs w:val="0"/>
                      <w:color w:val="auto"/>
                      <w:sz w:val="18"/>
                      <w:szCs w:val="18"/>
                      <w:lang w:val="en-US" w:eastAsia="zh-CN"/>
                    </w:rPr>
                    <w:t>t</w:t>
                  </w:r>
                </w:p>
              </w:tc>
              <w:tc>
                <w:tcPr>
                  <w:tcW w:w="1531"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0.002</w:t>
                  </w:r>
                </w:p>
              </w:tc>
              <w:tc>
                <w:tcPr>
                  <w:tcW w:w="3300"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textAlignment w:val="auto"/>
                    <w:rPr>
                      <w:rFonts w:ascii="Times New Roman" w:hAnsi="Times New Roman"/>
                      <w:color w:val="auto"/>
                    </w:rPr>
                  </w:pPr>
                  <w:r>
                    <w:rPr>
                      <w:rFonts w:hint="eastAsia" w:ascii="Times New Roman" w:hAnsi="Times New Roman"/>
                      <w:color w:val="auto"/>
                      <w:lang w:eastAsia="zh-CN"/>
                    </w:rPr>
                    <w:t>钢筋原料堆放区</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lang w:val="en-US" w:eastAsia="zh-CN"/>
                    </w:rPr>
                  </w:pPr>
                  <w:r>
                    <w:rPr>
                      <w:rFonts w:hint="eastAsia" w:ascii="Times New Roman" w:hAnsi="Times New Roman"/>
                      <w:color w:val="auto"/>
                      <w:lang w:val="en-US" w:eastAsia="zh-CN"/>
                    </w:rPr>
                    <w:t>9</w:t>
                  </w:r>
                </w:p>
              </w:tc>
              <w:tc>
                <w:tcPr>
                  <w:tcW w:w="1572"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lang w:eastAsia="zh-CN"/>
                    </w:rPr>
                  </w:pPr>
                  <w:r>
                    <w:rPr>
                      <w:rFonts w:hint="eastAsia" w:ascii="Times New Roman" w:hAnsi="Times New Roman"/>
                      <w:color w:val="auto"/>
                      <w:lang w:eastAsia="zh-CN"/>
                    </w:rPr>
                    <w:t>乙炔</w:t>
                  </w:r>
                </w:p>
              </w:tc>
              <w:tc>
                <w:tcPr>
                  <w:tcW w:w="1118" w:type="dxa"/>
                  <w:tcBorders>
                    <w:top w:val="single" w:color="auto" w:sz="4" w:space="0"/>
                    <w:left w:val="nil"/>
                    <w:bottom w:val="single" w:color="auto" w:sz="4" w:space="0"/>
                    <w:right w:val="single" w:color="auto" w:sz="4" w:space="0"/>
                  </w:tcBorders>
                  <w:vAlign w:val="center"/>
                </w:tcPr>
                <w:p>
                  <w:pPr>
                    <w:pStyle w:val="269"/>
                    <w:keepLines w:val="0"/>
                    <w:pageBreakBefore w:val="0"/>
                    <w:kinsoku/>
                    <w:wordWrap/>
                    <w:overflowPunct/>
                    <w:topLinePunct w:val="0"/>
                    <w:autoSpaceDE/>
                    <w:autoSpaceDN/>
                    <w:bidi w:val="0"/>
                    <w:adjustRightInd/>
                    <w:snapToGrid/>
                    <w:spacing w:line="240" w:lineRule="auto"/>
                    <w:textAlignment w:val="auto"/>
                    <w:rPr>
                      <w:rFonts w:hint="default" w:eastAsia="宋体"/>
                      <w:b w:val="0"/>
                      <w:bCs w:val="0"/>
                      <w:color w:val="auto"/>
                      <w:sz w:val="18"/>
                      <w:szCs w:val="18"/>
                      <w:lang w:val="en-US" w:eastAsia="zh-CN"/>
                    </w:rPr>
                  </w:pPr>
                  <w:r>
                    <w:rPr>
                      <w:rFonts w:hint="eastAsia"/>
                      <w:b w:val="0"/>
                      <w:bCs w:val="0"/>
                      <w:color w:val="auto"/>
                      <w:sz w:val="18"/>
                      <w:szCs w:val="18"/>
                      <w:lang w:val="en-US" w:eastAsia="zh-CN"/>
                    </w:rPr>
                    <w:t>L</w:t>
                  </w:r>
                </w:p>
              </w:tc>
              <w:tc>
                <w:tcPr>
                  <w:tcW w:w="1531"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56.52</w:t>
                  </w:r>
                </w:p>
              </w:tc>
              <w:tc>
                <w:tcPr>
                  <w:tcW w:w="3300"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textAlignment w:val="auto"/>
                    <w:rPr>
                      <w:rFonts w:hint="eastAsia" w:ascii="Times New Roman" w:hAnsi="Times New Roman" w:eastAsia="宋体"/>
                      <w:color w:val="auto"/>
                      <w:lang w:eastAsia="zh-CN"/>
                    </w:rPr>
                  </w:pPr>
                  <w:r>
                    <w:rPr>
                      <w:rFonts w:hint="eastAsia" w:ascii="Times New Roman" w:hAnsi="Times New Roman"/>
                      <w:color w:val="auto"/>
                      <w:lang w:eastAsia="zh-CN"/>
                    </w:rPr>
                    <w:t>乙炔瓶</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10</w:t>
                  </w:r>
                </w:p>
              </w:tc>
              <w:tc>
                <w:tcPr>
                  <w:tcW w:w="1572"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lang w:eastAsia="zh-CN"/>
                    </w:rPr>
                  </w:pPr>
                  <w:r>
                    <w:rPr>
                      <w:rFonts w:hint="eastAsia" w:ascii="Times New Roman" w:hAnsi="Times New Roman"/>
                      <w:color w:val="auto"/>
                      <w:lang w:eastAsia="zh-CN"/>
                    </w:rPr>
                    <w:t>氧气</w:t>
                  </w:r>
                </w:p>
              </w:tc>
              <w:tc>
                <w:tcPr>
                  <w:tcW w:w="1118" w:type="dxa"/>
                  <w:tcBorders>
                    <w:top w:val="single" w:color="auto" w:sz="4" w:space="0"/>
                    <w:left w:val="nil"/>
                    <w:bottom w:val="single" w:color="auto" w:sz="4" w:space="0"/>
                    <w:right w:val="single" w:color="auto" w:sz="4" w:space="0"/>
                  </w:tcBorders>
                  <w:vAlign w:val="center"/>
                </w:tcPr>
                <w:p>
                  <w:pPr>
                    <w:pStyle w:val="269"/>
                    <w:keepLines w:val="0"/>
                    <w:pageBreakBefore w:val="0"/>
                    <w:kinsoku/>
                    <w:wordWrap/>
                    <w:overflowPunct/>
                    <w:topLinePunct w:val="0"/>
                    <w:autoSpaceDE/>
                    <w:autoSpaceDN/>
                    <w:bidi w:val="0"/>
                    <w:adjustRightInd/>
                    <w:snapToGrid/>
                    <w:spacing w:line="240" w:lineRule="auto"/>
                    <w:textAlignment w:val="auto"/>
                    <w:rPr>
                      <w:b w:val="0"/>
                      <w:bCs w:val="0"/>
                      <w:color w:val="auto"/>
                      <w:sz w:val="18"/>
                      <w:szCs w:val="18"/>
                    </w:rPr>
                  </w:pPr>
                  <w:r>
                    <w:rPr>
                      <w:rFonts w:hint="eastAsia"/>
                      <w:b w:val="0"/>
                      <w:bCs w:val="0"/>
                      <w:color w:val="auto"/>
                      <w:sz w:val="18"/>
                      <w:szCs w:val="18"/>
                      <w:lang w:val="en-US" w:eastAsia="zh-CN"/>
                    </w:rPr>
                    <w:t>L</w:t>
                  </w:r>
                </w:p>
              </w:tc>
              <w:tc>
                <w:tcPr>
                  <w:tcW w:w="1531"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84.78</w:t>
                  </w:r>
                </w:p>
              </w:tc>
              <w:tc>
                <w:tcPr>
                  <w:tcW w:w="3300"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textAlignment w:val="auto"/>
                    <w:rPr>
                      <w:rFonts w:hint="eastAsia" w:ascii="Times New Roman" w:hAnsi="Times New Roman" w:eastAsia="宋体"/>
                      <w:color w:val="auto"/>
                      <w:lang w:eastAsia="zh-CN"/>
                    </w:rPr>
                  </w:pPr>
                  <w:r>
                    <w:rPr>
                      <w:rFonts w:hint="eastAsia" w:ascii="Times New Roman" w:hAnsi="Times New Roman"/>
                      <w:color w:val="auto"/>
                      <w:lang w:eastAsia="zh-CN"/>
                    </w:rPr>
                    <w:t>氧气瓶</w:t>
                  </w:r>
                </w:p>
              </w:tc>
            </w:tr>
            <w:tr>
              <w:tblPrEx>
                <w:tblCellMar>
                  <w:top w:w="0" w:type="dxa"/>
                  <w:left w:w="108" w:type="dxa"/>
                  <w:bottom w:w="0" w:type="dxa"/>
                  <w:right w:w="108" w:type="dxa"/>
                </w:tblCellMar>
              </w:tblPrEx>
              <w:trPr>
                <w:trHeight w:val="5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11</w:t>
                  </w:r>
                </w:p>
              </w:tc>
              <w:tc>
                <w:tcPr>
                  <w:tcW w:w="1572"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lang w:eastAsia="zh-CN"/>
                    </w:rPr>
                  </w:pPr>
                  <w:r>
                    <w:rPr>
                      <w:rFonts w:hint="eastAsia" w:ascii="Times New Roman" w:hAnsi="Times New Roman"/>
                      <w:color w:val="auto"/>
                      <w:lang w:eastAsia="zh-CN"/>
                    </w:rPr>
                    <w:t>二氧化碳</w:t>
                  </w:r>
                </w:p>
              </w:tc>
              <w:tc>
                <w:tcPr>
                  <w:tcW w:w="1118" w:type="dxa"/>
                  <w:tcBorders>
                    <w:top w:val="single" w:color="auto" w:sz="4" w:space="0"/>
                    <w:left w:val="nil"/>
                    <w:bottom w:val="single" w:color="auto" w:sz="4" w:space="0"/>
                    <w:right w:val="single" w:color="auto" w:sz="4" w:space="0"/>
                  </w:tcBorders>
                  <w:vAlign w:val="center"/>
                </w:tcPr>
                <w:p>
                  <w:pPr>
                    <w:pStyle w:val="269"/>
                    <w:keepLines w:val="0"/>
                    <w:pageBreakBefore w:val="0"/>
                    <w:kinsoku/>
                    <w:wordWrap/>
                    <w:overflowPunct/>
                    <w:topLinePunct w:val="0"/>
                    <w:autoSpaceDE/>
                    <w:autoSpaceDN/>
                    <w:bidi w:val="0"/>
                    <w:adjustRightInd/>
                    <w:snapToGrid/>
                    <w:spacing w:line="240" w:lineRule="auto"/>
                    <w:textAlignment w:val="auto"/>
                    <w:rPr>
                      <w:b w:val="0"/>
                      <w:bCs w:val="0"/>
                      <w:color w:val="auto"/>
                      <w:sz w:val="18"/>
                      <w:szCs w:val="18"/>
                    </w:rPr>
                  </w:pPr>
                  <w:r>
                    <w:rPr>
                      <w:rFonts w:hint="eastAsia"/>
                      <w:b w:val="0"/>
                      <w:bCs w:val="0"/>
                      <w:color w:val="auto"/>
                      <w:sz w:val="18"/>
                      <w:szCs w:val="18"/>
                      <w:lang w:val="en-US" w:eastAsia="zh-CN"/>
                    </w:rPr>
                    <w:t>L</w:t>
                  </w:r>
                </w:p>
              </w:tc>
              <w:tc>
                <w:tcPr>
                  <w:tcW w:w="1531" w:type="dxa"/>
                  <w:tcBorders>
                    <w:top w:val="single" w:color="auto" w:sz="4" w:space="0"/>
                    <w:left w:val="nil"/>
                    <w:bottom w:val="single" w:color="auto" w:sz="4" w:space="0"/>
                    <w:right w:val="single" w:color="auto" w:sz="4" w:space="0"/>
                  </w:tcBorders>
                  <w:vAlign w:val="center"/>
                </w:tcPr>
                <w:p>
                  <w:pPr>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lang w:val="en-US" w:eastAsia="zh-CN"/>
                    </w:rPr>
                  </w:pPr>
                  <w:r>
                    <w:rPr>
                      <w:rFonts w:hint="eastAsia" w:ascii="Times New Roman" w:hAnsi="Times New Roman"/>
                      <w:color w:val="auto"/>
                      <w:lang w:val="en-US" w:eastAsia="zh-CN"/>
                    </w:rPr>
                    <w:t>84.78</w:t>
                  </w:r>
                </w:p>
              </w:tc>
              <w:tc>
                <w:tcPr>
                  <w:tcW w:w="3300" w:type="dxa"/>
                  <w:tcBorders>
                    <w:top w:val="single" w:color="auto" w:sz="4" w:space="0"/>
                    <w:left w:val="nil"/>
                    <w:bottom w:val="single" w:color="auto" w:sz="4" w:space="0"/>
                    <w:right w:val="single" w:color="auto" w:sz="4" w:space="0"/>
                  </w:tcBorders>
                  <w:vAlign w:val="center"/>
                </w:tcPr>
                <w:p>
                  <w:pPr>
                    <w:pStyle w:val="268"/>
                    <w:keepLines w:val="0"/>
                    <w:pageBreakBefore w:val="0"/>
                    <w:kinsoku/>
                    <w:wordWrap/>
                    <w:overflowPunct/>
                    <w:topLinePunct w:val="0"/>
                    <w:autoSpaceDE/>
                    <w:autoSpaceDN/>
                    <w:bidi w:val="0"/>
                    <w:adjustRightInd/>
                    <w:snapToGrid/>
                    <w:spacing w:before="48" w:after="48" w:line="240" w:lineRule="auto"/>
                    <w:textAlignment w:val="auto"/>
                    <w:rPr>
                      <w:rFonts w:hint="eastAsia" w:ascii="Times New Roman" w:hAnsi="Times New Roman" w:eastAsia="宋体"/>
                      <w:color w:val="auto"/>
                      <w:lang w:eastAsia="zh-CN"/>
                    </w:rPr>
                  </w:pPr>
                  <w:r>
                    <w:rPr>
                      <w:rFonts w:hint="eastAsia" w:ascii="Times New Roman" w:hAnsi="Times New Roman"/>
                      <w:color w:val="auto"/>
                      <w:lang w:eastAsia="zh-CN"/>
                    </w:rPr>
                    <w:t>二氧化碳瓶</w:t>
                  </w:r>
                </w:p>
              </w:tc>
            </w:tr>
          </w:tbl>
          <w:p>
            <w:pPr>
              <w:adjustRightInd w:val="0"/>
              <w:snapToGrid w:val="0"/>
              <w:spacing w:line="360" w:lineRule="auto"/>
              <w:rPr>
                <w:rFonts w:ascii="Times New Roman" w:hAnsi="Times New Roman"/>
                <w:b/>
                <w:color w:val="auto"/>
                <w:sz w:val="24"/>
              </w:rPr>
            </w:pPr>
            <w:r>
              <w:rPr>
                <w:rFonts w:ascii="Times New Roman" w:hAnsi="Times New Roman"/>
                <w:b/>
                <w:color w:val="auto"/>
                <w:sz w:val="24"/>
              </w:rPr>
              <w:t>9.2原辅材成分</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本项目所需</w:t>
            </w:r>
            <w:r>
              <w:rPr>
                <w:rFonts w:hint="eastAsia" w:ascii="Times New Roman" w:hAnsi="Times New Roman"/>
                <w:color w:val="auto"/>
                <w:sz w:val="24"/>
                <w:szCs w:val="24"/>
              </w:rPr>
              <w:t>水泥</w:t>
            </w:r>
            <w:r>
              <w:rPr>
                <w:rFonts w:ascii="Times New Roman" w:hAnsi="Times New Roman"/>
                <w:color w:val="auto"/>
                <w:sz w:val="24"/>
                <w:szCs w:val="24"/>
              </w:rPr>
              <w:t>来自昆明</w:t>
            </w:r>
            <w:r>
              <w:rPr>
                <w:rFonts w:hint="eastAsia" w:ascii="Times New Roman" w:hAnsi="Times New Roman"/>
                <w:color w:val="auto"/>
                <w:sz w:val="24"/>
                <w:szCs w:val="24"/>
              </w:rPr>
              <w:t>地区</w:t>
            </w:r>
            <w:r>
              <w:rPr>
                <w:rFonts w:ascii="Times New Roman" w:hAnsi="Times New Roman"/>
                <w:color w:val="auto"/>
                <w:sz w:val="24"/>
                <w:szCs w:val="24"/>
              </w:rPr>
              <w:t>水泥厂生产</w:t>
            </w:r>
            <w:r>
              <w:rPr>
                <w:rFonts w:hint="eastAsia" w:ascii="Times New Roman" w:hAnsi="Times New Roman"/>
                <w:color w:val="auto"/>
                <w:sz w:val="24"/>
                <w:szCs w:val="24"/>
              </w:rPr>
              <w:t>的水泥</w:t>
            </w:r>
            <w:r>
              <w:rPr>
                <w:rFonts w:ascii="Times New Roman" w:hAnsi="Times New Roman"/>
                <w:color w:val="auto"/>
                <w:sz w:val="24"/>
                <w:szCs w:val="24"/>
              </w:rPr>
              <w:t>，由</w:t>
            </w:r>
            <w:r>
              <w:rPr>
                <w:rFonts w:hint="eastAsia" w:ascii="Times New Roman" w:hAnsi="Times New Roman"/>
                <w:color w:val="auto"/>
                <w:sz w:val="24"/>
                <w:szCs w:val="24"/>
                <w:lang w:eastAsia="zh-CN"/>
              </w:rPr>
              <w:t>水泥罐</w:t>
            </w:r>
            <w:r>
              <w:rPr>
                <w:rFonts w:hint="eastAsia" w:ascii="Times New Roman" w:hAnsi="Times New Roman"/>
                <w:color w:val="auto"/>
                <w:sz w:val="24"/>
                <w:szCs w:val="24"/>
                <w:highlight w:val="none"/>
                <w:lang w:eastAsia="zh-CN"/>
              </w:rPr>
              <w:t>车</w:t>
            </w:r>
            <w:r>
              <w:rPr>
                <w:rFonts w:ascii="Times New Roman" w:hAnsi="Times New Roman"/>
                <w:color w:val="auto"/>
                <w:sz w:val="24"/>
                <w:szCs w:val="24"/>
                <w:highlight w:val="none"/>
              </w:rPr>
              <w:t>运到项目区</w:t>
            </w:r>
            <w:r>
              <w:rPr>
                <w:rFonts w:ascii="Times New Roman" w:hAnsi="Times New Roman"/>
                <w:color w:val="auto"/>
                <w:sz w:val="24"/>
                <w:szCs w:val="24"/>
                <w:highlight w:val="none"/>
              </w:rPr>
              <w:t>，</w:t>
            </w:r>
            <w:r>
              <w:rPr>
                <w:rFonts w:ascii="Times New Roman" w:hAnsi="Times New Roman"/>
                <w:color w:val="auto"/>
                <w:sz w:val="24"/>
                <w:szCs w:val="24"/>
              </w:rPr>
              <w:t>储存于</w:t>
            </w:r>
            <w:r>
              <w:rPr>
                <w:rFonts w:hint="eastAsia" w:ascii="Times New Roman" w:hAnsi="Times New Roman"/>
                <w:color w:val="auto"/>
                <w:sz w:val="24"/>
                <w:szCs w:val="24"/>
              </w:rPr>
              <w:t>水泥料仓</w:t>
            </w:r>
            <w:r>
              <w:rPr>
                <w:rFonts w:ascii="Times New Roman" w:hAnsi="Times New Roman"/>
                <w:color w:val="auto"/>
                <w:sz w:val="24"/>
                <w:szCs w:val="24"/>
              </w:rPr>
              <w:t>，保证</w:t>
            </w:r>
            <w:r>
              <w:rPr>
                <w:rFonts w:hint="eastAsia" w:ascii="Times New Roman" w:hAnsi="Times New Roman"/>
                <w:color w:val="auto"/>
                <w:sz w:val="24"/>
                <w:szCs w:val="24"/>
              </w:rPr>
              <w:t>料仓</w:t>
            </w:r>
            <w:r>
              <w:rPr>
                <w:rFonts w:ascii="Times New Roman" w:hAnsi="Times New Roman"/>
                <w:color w:val="auto"/>
                <w:sz w:val="24"/>
                <w:szCs w:val="24"/>
              </w:rPr>
              <w:t>干燥，避免潮湿影响水泥质量。使用时原料直接泵送至配料仓，化学成分见下表。</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color w:val="auto"/>
                <w:sz w:val="24"/>
              </w:rPr>
            </w:pPr>
            <w:r>
              <w:rPr>
                <w:rFonts w:ascii="Times New Roman" w:hAnsi="Times New Roman"/>
                <w:b/>
                <w:color w:val="auto"/>
                <w:sz w:val="24"/>
              </w:rPr>
              <w:t>表1-</w:t>
            </w:r>
            <w:r>
              <w:rPr>
                <w:rFonts w:hint="eastAsia" w:ascii="Times New Roman" w:hAnsi="Times New Roman"/>
                <w:b/>
                <w:color w:val="auto"/>
                <w:sz w:val="24"/>
                <w:lang w:val="en-US" w:eastAsia="zh-CN"/>
              </w:rPr>
              <w:t>8</w:t>
            </w:r>
            <w:r>
              <w:rPr>
                <w:rFonts w:ascii="Times New Roman" w:hAnsi="Times New Roman"/>
                <w:b/>
                <w:color w:val="auto"/>
                <w:sz w:val="24"/>
              </w:rPr>
              <w:t xml:space="preserve">   </w:t>
            </w:r>
            <w:r>
              <w:rPr>
                <w:rFonts w:hint="eastAsia" w:ascii="Times New Roman" w:hAnsi="Times New Roman"/>
                <w:b/>
                <w:color w:val="auto"/>
                <w:sz w:val="24"/>
              </w:rPr>
              <w:t>水泥</w:t>
            </w:r>
            <w:r>
              <w:rPr>
                <w:rFonts w:ascii="Times New Roman" w:hAnsi="Times New Roman"/>
                <w:b/>
                <w:color w:val="auto"/>
                <w:sz w:val="24"/>
              </w:rPr>
              <w:t>化学成分（%）</w:t>
            </w:r>
          </w:p>
          <w:tbl>
            <w:tblPr>
              <w:tblStyle w:val="43"/>
              <w:tblW w:w="824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2"/>
              <w:gridCol w:w="816"/>
              <w:gridCol w:w="1104"/>
              <w:gridCol w:w="953"/>
              <w:gridCol w:w="1226"/>
              <w:gridCol w:w="1030"/>
              <w:gridCol w:w="1018"/>
              <w:gridCol w:w="10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1062" w:type="dxa"/>
                  <w:tcBorders>
                    <w:top w:val="single" w:color="auto" w:sz="4" w:space="0"/>
                    <w:left w:val="single" w:color="auto" w:sz="4" w:space="0"/>
                    <w:bottom w:val="single" w:color="auto" w:sz="8"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分析成分</w:t>
                  </w:r>
                </w:p>
              </w:tc>
              <w:tc>
                <w:tcPr>
                  <w:tcW w:w="816" w:type="dxa"/>
                  <w:tcBorders>
                    <w:top w:val="single" w:color="auto" w:sz="4" w:space="0"/>
                    <w:left w:val="nil"/>
                    <w:bottom w:val="single" w:color="auto" w:sz="8"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SiO</w:t>
                  </w:r>
                  <w:r>
                    <w:rPr>
                      <w:rFonts w:ascii="Times New Roman" w:hAnsi="Times New Roman"/>
                      <w:color w:val="auto"/>
                      <w:kern w:val="0"/>
                      <w:szCs w:val="21"/>
                      <w:vertAlign w:val="subscript"/>
                    </w:rPr>
                    <w:t>2</w:t>
                  </w:r>
                </w:p>
              </w:tc>
              <w:tc>
                <w:tcPr>
                  <w:tcW w:w="1104" w:type="dxa"/>
                  <w:tcBorders>
                    <w:top w:val="single" w:color="auto" w:sz="4" w:space="0"/>
                    <w:left w:val="nil"/>
                    <w:bottom w:val="single" w:color="auto" w:sz="8"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Al</w:t>
                  </w:r>
                  <w:r>
                    <w:rPr>
                      <w:rFonts w:ascii="Times New Roman" w:hAnsi="Times New Roman"/>
                      <w:color w:val="auto"/>
                      <w:kern w:val="0"/>
                      <w:szCs w:val="21"/>
                      <w:vertAlign w:val="subscript"/>
                    </w:rPr>
                    <w:t>2</w:t>
                  </w:r>
                  <w:r>
                    <w:rPr>
                      <w:rFonts w:ascii="Times New Roman" w:hAnsi="Times New Roman"/>
                      <w:color w:val="auto"/>
                      <w:kern w:val="0"/>
                      <w:szCs w:val="21"/>
                    </w:rPr>
                    <w:t>O</w:t>
                  </w:r>
                  <w:r>
                    <w:rPr>
                      <w:rFonts w:ascii="Times New Roman" w:hAnsi="Times New Roman"/>
                      <w:color w:val="auto"/>
                      <w:kern w:val="0"/>
                      <w:szCs w:val="21"/>
                      <w:vertAlign w:val="subscript"/>
                    </w:rPr>
                    <w:t>3</w:t>
                  </w:r>
                </w:p>
              </w:tc>
              <w:tc>
                <w:tcPr>
                  <w:tcW w:w="953" w:type="dxa"/>
                  <w:tcBorders>
                    <w:top w:val="single" w:color="auto" w:sz="4" w:space="0"/>
                    <w:left w:val="nil"/>
                    <w:bottom w:val="single" w:color="auto" w:sz="8"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Fe</w:t>
                  </w:r>
                  <w:r>
                    <w:rPr>
                      <w:rFonts w:ascii="Times New Roman" w:hAnsi="Times New Roman"/>
                      <w:color w:val="auto"/>
                      <w:kern w:val="0"/>
                      <w:szCs w:val="21"/>
                      <w:vertAlign w:val="subscript"/>
                    </w:rPr>
                    <w:t>2</w:t>
                  </w:r>
                  <w:r>
                    <w:rPr>
                      <w:rFonts w:ascii="Times New Roman" w:hAnsi="Times New Roman"/>
                      <w:color w:val="auto"/>
                      <w:kern w:val="0"/>
                      <w:szCs w:val="21"/>
                    </w:rPr>
                    <w:t>O</w:t>
                  </w:r>
                  <w:r>
                    <w:rPr>
                      <w:rFonts w:ascii="Times New Roman" w:hAnsi="Times New Roman"/>
                      <w:color w:val="auto"/>
                      <w:kern w:val="0"/>
                      <w:szCs w:val="21"/>
                      <w:vertAlign w:val="subscript"/>
                    </w:rPr>
                    <w:t>3</w:t>
                  </w:r>
                </w:p>
              </w:tc>
              <w:tc>
                <w:tcPr>
                  <w:tcW w:w="1226" w:type="dxa"/>
                  <w:tcBorders>
                    <w:top w:val="single" w:color="auto" w:sz="4" w:space="0"/>
                    <w:left w:val="nil"/>
                    <w:bottom w:val="single" w:color="auto" w:sz="8"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CaO</w:t>
                  </w:r>
                </w:p>
              </w:tc>
              <w:tc>
                <w:tcPr>
                  <w:tcW w:w="1030" w:type="dxa"/>
                  <w:tcBorders>
                    <w:top w:val="single" w:color="auto" w:sz="4" w:space="0"/>
                    <w:left w:val="nil"/>
                    <w:bottom w:val="single" w:color="auto" w:sz="8"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MgO</w:t>
                  </w:r>
                </w:p>
              </w:tc>
              <w:tc>
                <w:tcPr>
                  <w:tcW w:w="1018" w:type="dxa"/>
                  <w:tcBorders>
                    <w:top w:val="single" w:color="auto" w:sz="4" w:space="0"/>
                    <w:left w:val="nil"/>
                    <w:bottom w:val="single" w:color="auto" w:sz="8"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SO</w:t>
                  </w:r>
                  <w:r>
                    <w:rPr>
                      <w:rFonts w:ascii="Times New Roman" w:hAnsi="Times New Roman"/>
                      <w:color w:val="auto"/>
                      <w:kern w:val="0"/>
                      <w:szCs w:val="21"/>
                      <w:vertAlign w:val="subscript"/>
                    </w:rPr>
                    <w:t>3</w:t>
                  </w:r>
                </w:p>
              </w:tc>
              <w:tc>
                <w:tcPr>
                  <w:tcW w:w="1034" w:type="dxa"/>
                  <w:tcBorders>
                    <w:top w:val="single" w:color="auto" w:sz="4" w:space="0"/>
                    <w:left w:val="nil"/>
                    <w:bottom w:val="single" w:color="auto" w:sz="8" w:space="0"/>
                    <w:right w:val="single" w:color="auto" w:sz="4"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合计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1062" w:type="dxa"/>
                  <w:tcBorders>
                    <w:top w:val="nil"/>
                    <w:left w:val="single" w:color="auto" w:sz="4" w:space="0"/>
                    <w:bottom w:val="single" w:color="auto" w:sz="4"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含量（%）</w:t>
                  </w:r>
                </w:p>
              </w:tc>
              <w:tc>
                <w:tcPr>
                  <w:tcW w:w="816" w:type="dxa"/>
                  <w:tcBorders>
                    <w:top w:val="nil"/>
                    <w:left w:val="nil"/>
                    <w:bottom w:val="single" w:color="auto" w:sz="4"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21.9</w:t>
                  </w:r>
                </w:p>
              </w:tc>
              <w:tc>
                <w:tcPr>
                  <w:tcW w:w="1104" w:type="dxa"/>
                  <w:tcBorders>
                    <w:top w:val="nil"/>
                    <w:left w:val="nil"/>
                    <w:bottom w:val="single" w:color="auto" w:sz="4"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4.9</w:t>
                  </w:r>
                </w:p>
              </w:tc>
              <w:tc>
                <w:tcPr>
                  <w:tcW w:w="953" w:type="dxa"/>
                  <w:tcBorders>
                    <w:top w:val="nil"/>
                    <w:left w:val="nil"/>
                    <w:bottom w:val="single" w:color="auto" w:sz="4"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3.1</w:t>
                  </w:r>
                </w:p>
              </w:tc>
              <w:tc>
                <w:tcPr>
                  <w:tcW w:w="1226" w:type="dxa"/>
                  <w:tcBorders>
                    <w:top w:val="nil"/>
                    <w:left w:val="nil"/>
                    <w:bottom w:val="single" w:color="auto" w:sz="4"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65.21</w:t>
                  </w:r>
                </w:p>
              </w:tc>
              <w:tc>
                <w:tcPr>
                  <w:tcW w:w="1030" w:type="dxa"/>
                  <w:tcBorders>
                    <w:top w:val="nil"/>
                    <w:left w:val="nil"/>
                    <w:bottom w:val="single" w:color="auto" w:sz="4"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1.8</w:t>
                  </w:r>
                </w:p>
              </w:tc>
              <w:tc>
                <w:tcPr>
                  <w:tcW w:w="1018" w:type="dxa"/>
                  <w:tcBorders>
                    <w:top w:val="nil"/>
                    <w:left w:val="nil"/>
                    <w:bottom w:val="single" w:color="auto" w:sz="4" w:space="0"/>
                    <w:right w:val="single" w:color="auto" w:sz="8"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0.82</w:t>
                  </w:r>
                </w:p>
              </w:tc>
              <w:tc>
                <w:tcPr>
                  <w:tcW w:w="1034" w:type="dxa"/>
                  <w:tcBorders>
                    <w:top w:val="nil"/>
                    <w:left w:val="nil"/>
                    <w:bottom w:val="single" w:color="auto" w:sz="4" w:space="0"/>
                    <w:right w:val="single" w:color="auto" w:sz="4" w:space="0"/>
                  </w:tcBorders>
                  <w:vAlign w:val="center"/>
                </w:tcPr>
                <w:p>
                  <w:pPr>
                    <w:widowControl/>
                    <w:jc w:val="center"/>
                    <w:rPr>
                      <w:rFonts w:ascii="Times New Roman" w:hAnsi="Times New Roman"/>
                      <w:color w:val="auto"/>
                      <w:kern w:val="0"/>
                      <w:szCs w:val="21"/>
                    </w:rPr>
                  </w:pPr>
                  <w:r>
                    <w:rPr>
                      <w:rFonts w:ascii="Times New Roman" w:hAnsi="Times New Roman"/>
                      <w:color w:val="auto"/>
                      <w:kern w:val="0"/>
                      <w:szCs w:val="21"/>
                    </w:rPr>
                    <w:t>99.43</w:t>
                  </w:r>
                </w:p>
              </w:tc>
            </w:tr>
          </w:tbl>
          <w:p>
            <w:pPr>
              <w:spacing w:line="360" w:lineRule="auto"/>
              <w:ind w:firstLine="482" w:firstLineChars="200"/>
              <w:rPr>
                <w:rFonts w:ascii="Times New Roman" w:hAnsi="Times New Roman"/>
                <w:b/>
                <w:color w:val="auto"/>
                <w:kern w:val="0"/>
                <w:sz w:val="24"/>
                <w:szCs w:val="21"/>
              </w:rPr>
            </w:pPr>
            <w:r>
              <w:rPr>
                <w:rFonts w:ascii="Times New Roman" w:hAnsi="Times New Roman"/>
                <w:b/>
                <w:color w:val="auto"/>
                <w:kern w:val="0"/>
                <w:sz w:val="24"/>
                <w:szCs w:val="21"/>
              </w:rPr>
              <w:t>碎石</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采用项目附近的采石场碎石，直接以合格粒径</w:t>
            </w:r>
            <w:r>
              <w:rPr>
                <w:rFonts w:hint="eastAsia" w:ascii="Times New Roman" w:hAnsi="Times New Roman"/>
                <w:color w:val="auto"/>
                <w:sz w:val="24"/>
                <w:szCs w:val="24"/>
              </w:rPr>
              <w:t>（</w:t>
            </w:r>
            <w:r>
              <w:rPr>
                <w:rFonts w:ascii="Times New Roman" w:hAnsi="Times New Roman"/>
                <w:color w:val="auto"/>
                <w:sz w:val="24"/>
                <w:szCs w:val="24"/>
              </w:rPr>
              <w:t>粒径≤25mm</w:t>
            </w:r>
            <w:r>
              <w:rPr>
                <w:rFonts w:hint="eastAsia" w:ascii="Times New Roman" w:hAnsi="Times New Roman"/>
                <w:color w:val="auto"/>
                <w:sz w:val="24"/>
                <w:szCs w:val="24"/>
              </w:rPr>
              <w:t>）</w:t>
            </w:r>
            <w:r>
              <w:rPr>
                <w:rFonts w:ascii="Times New Roman" w:hAnsi="Times New Roman"/>
                <w:color w:val="auto"/>
                <w:sz w:val="24"/>
                <w:szCs w:val="24"/>
              </w:rPr>
              <w:t>入厂，厂区内不破碎，其由汽车运输进场</w:t>
            </w:r>
            <w:r>
              <w:rPr>
                <w:rFonts w:hint="eastAsia" w:ascii="Times New Roman" w:hAnsi="Times New Roman"/>
                <w:color w:val="auto"/>
                <w:sz w:val="24"/>
                <w:szCs w:val="24"/>
                <w:lang w:eastAsia="zh-CN"/>
              </w:rPr>
              <w:t>，</w:t>
            </w:r>
            <w:r>
              <w:rPr>
                <w:rFonts w:ascii="Times New Roman" w:hAnsi="Times New Roman"/>
                <w:color w:val="auto"/>
                <w:sz w:val="24"/>
                <w:szCs w:val="24"/>
              </w:rPr>
              <w:t>后进入</w:t>
            </w:r>
            <w:r>
              <w:rPr>
                <w:rFonts w:hint="eastAsia" w:ascii="Times New Roman" w:hAnsi="Times New Roman"/>
                <w:color w:val="auto"/>
                <w:sz w:val="24"/>
                <w:szCs w:val="24"/>
              </w:rPr>
              <w:t>碎石堆棚</w:t>
            </w:r>
            <w:r>
              <w:rPr>
                <w:rFonts w:ascii="Times New Roman" w:hAnsi="Times New Roman"/>
                <w:color w:val="auto"/>
                <w:sz w:val="24"/>
                <w:szCs w:val="24"/>
              </w:rPr>
              <w:t>，</w:t>
            </w:r>
            <w:r>
              <w:rPr>
                <w:rFonts w:hint="eastAsia" w:ascii="Times New Roman" w:hAnsi="Times New Roman"/>
                <w:color w:val="auto"/>
                <w:sz w:val="24"/>
                <w:szCs w:val="24"/>
                <w:lang w:eastAsia="zh-CN"/>
              </w:rPr>
              <w:t>运输车辆加盖篷布。</w:t>
            </w:r>
            <w:r>
              <w:rPr>
                <w:rFonts w:ascii="Times New Roman" w:hAnsi="Times New Roman"/>
                <w:color w:val="auto"/>
                <w:sz w:val="24"/>
                <w:szCs w:val="24"/>
              </w:rPr>
              <w:t>化学成分见下表。</w:t>
            </w:r>
          </w:p>
          <w:p>
            <w:pPr>
              <w:keepNext w:val="0"/>
              <w:keepLines w:val="0"/>
              <w:pageBreakBefore w:val="0"/>
              <w:widowControl w:val="0"/>
              <w:tabs>
                <w:tab w:val="left" w:pos="2395"/>
              </w:tabs>
              <w:kinsoku/>
              <w:wordWrap/>
              <w:overflowPunct/>
              <w:topLinePunct w:val="0"/>
              <w:autoSpaceDE/>
              <w:autoSpaceDN/>
              <w:bidi w:val="0"/>
              <w:adjustRightInd w:val="0"/>
              <w:snapToGrid w:val="0"/>
              <w:spacing w:line="240" w:lineRule="auto"/>
              <w:jc w:val="center"/>
              <w:textAlignment w:val="auto"/>
              <w:rPr>
                <w:rFonts w:ascii="Times New Roman" w:hAnsi="Times New Roman"/>
                <w:b/>
                <w:bCs/>
                <w:color w:val="auto"/>
                <w:sz w:val="24"/>
                <w:szCs w:val="24"/>
              </w:rPr>
            </w:pPr>
            <w:r>
              <w:rPr>
                <w:rFonts w:ascii="Times New Roman" w:hAnsi="Times New Roman"/>
                <w:b/>
                <w:bCs/>
                <w:color w:val="auto"/>
                <w:sz w:val="24"/>
                <w:szCs w:val="24"/>
              </w:rPr>
              <w:t>表1-</w:t>
            </w:r>
            <w:r>
              <w:rPr>
                <w:rFonts w:hint="eastAsia" w:ascii="Times New Roman" w:hAnsi="Times New Roman"/>
                <w:b/>
                <w:bCs/>
                <w:color w:val="auto"/>
                <w:sz w:val="24"/>
                <w:szCs w:val="24"/>
                <w:lang w:val="en-US" w:eastAsia="zh-CN"/>
              </w:rPr>
              <w:t>9</w:t>
            </w:r>
            <w:r>
              <w:rPr>
                <w:rFonts w:ascii="Times New Roman" w:hAnsi="Times New Roman"/>
                <w:b/>
                <w:bCs/>
                <w:color w:val="auto"/>
                <w:sz w:val="24"/>
                <w:szCs w:val="24"/>
              </w:rPr>
              <w:t xml:space="preserve">  碎石化学成分表（%）</w:t>
            </w:r>
          </w:p>
          <w:tbl>
            <w:tblPr>
              <w:tblStyle w:val="43"/>
              <w:tblW w:w="8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948"/>
              <w:gridCol w:w="893"/>
              <w:gridCol w:w="932"/>
              <w:gridCol w:w="1086"/>
              <w:gridCol w:w="915"/>
              <w:gridCol w:w="1075"/>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8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名称</w:t>
                  </w:r>
                </w:p>
              </w:tc>
              <w:tc>
                <w:tcPr>
                  <w:tcW w:w="94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LOSS</w:t>
                  </w:r>
                </w:p>
              </w:tc>
              <w:tc>
                <w:tcPr>
                  <w:tcW w:w="893"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SiO</w:t>
                  </w:r>
                  <w:r>
                    <w:rPr>
                      <w:rFonts w:ascii="Times New Roman" w:hAnsi="Times New Roman"/>
                      <w:color w:val="auto"/>
                      <w:kern w:val="0"/>
                      <w:szCs w:val="21"/>
                      <w:vertAlign w:val="subscript"/>
                    </w:rPr>
                    <w:t>2</w:t>
                  </w:r>
                </w:p>
              </w:tc>
              <w:tc>
                <w:tcPr>
                  <w:tcW w:w="93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Al</w:t>
                  </w:r>
                  <w:r>
                    <w:rPr>
                      <w:rFonts w:ascii="Times New Roman" w:hAnsi="Times New Roman"/>
                      <w:color w:val="auto"/>
                      <w:kern w:val="0"/>
                      <w:szCs w:val="21"/>
                      <w:vertAlign w:val="subscript"/>
                    </w:rPr>
                    <w:t>2</w:t>
                  </w:r>
                  <w:r>
                    <w:rPr>
                      <w:rFonts w:ascii="Times New Roman" w:hAnsi="Times New Roman"/>
                      <w:color w:val="auto"/>
                      <w:kern w:val="0"/>
                      <w:szCs w:val="21"/>
                    </w:rPr>
                    <w:t>O</w:t>
                  </w:r>
                  <w:r>
                    <w:rPr>
                      <w:rFonts w:ascii="Times New Roman" w:hAnsi="Times New Roman"/>
                      <w:color w:val="auto"/>
                      <w:kern w:val="0"/>
                      <w:szCs w:val="21"/>
                      <w:vertAlign w:val="subscript"/>
                    </w:rPr>
                    <w:t>3</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Fe</w:t>
                  </w:r>
                  <w:r>
                    <w:rPr>
                      <w:rFonts w:ascii="Times New Roman" w:hAnsi="Times New Roman"/>
                      <w:color w:val="auto"/>
                      <w:kern w:val="0"/>
                      <w:szCs w:val="21"/>
                      <w:vertAlign w:val="subscript"/>
                    </w:rPr>
                    <w:t>2</w:t>
                  </w:r>
                  <w:r>
                    <w:rPr>
                      <w:rFonts w:ascii="Times New Roman" w:hAnsi="Times New Roman"/>
                      <w:color w:val="auto"/>
                      <w:kern w:val="0"/>
                      <w:szCs w:val="21"/>
                    </w:rPr>
                    <w:t>O</w:t>
                  </w:r>
                  <w:r>
                    <w:rPr>
                      <w:rFonts w:ascii="Times New Roman" w:hAnsi="Times New Roman"/>
                      <w:color w:val="auto"/>
                      <w:kern w:val="0"/>
                      <w:szCs w:val="21"/>
                      <w:vertAlign w:val="subscript"/>
                    </w:rPr>
                    <w:t>3</w:t>
                  </w: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CaO</w:t>
                  </w:r>
                </w:p>
              </w:tc>
              <w:tc>
                <w:tcPr>
                  <w:tcW w:w="107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MgO</w:t>
                  </w:r>
                </w:p>
              </w:tc>
              <w:tc>
                <w:tcPr>
                  <w:tcW w:w="90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48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碎石</w:t>
                  </w:r>
                </w:p>
              </w:tc>
              <w:tc>
                <w:tcPr>
                  <w:tcW w:w="94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42.24</w:t>
                  </w:r>
                </w:p>
              </w:tc>
              <w:tc>
                <w:tcPr>
                  <w:tcW w:w="893"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2.38</w:t>
                  </w:r>
                </w:p>
              </w:tc>
              <w:tc>
                <w:tcPr>
                  <w:tcW w:w="93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1.52</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0.8</w:t>
                  </w:r>
                </w:p>
              </w:tc>
              <w:tc>
                <w:tcPr>
                  <w:tcW w:w="91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51.49</w:t>
                  </w:r>
                </w:p>
              </w:tc>
              <w:tc>
                <w:tcPr>
                  <w:tcW w:w="107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1.14</w:t>
                  </w:r>
                </w:p>
              </w:tc>
              <w:tc>
                <w:tcPr>
                  <w:tcW w:w="90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99.57</w:t>
                  </w:r>
                </w:p>
              </w:tc>
            </w:tr>
          </w:tbl>
          <w:p>
            <w:pPr>
              <w:spacing w:line="360" w:lineRule="auto"/>
              <w:ind w:firstLine="482" w:firstLineChars="200"/>
              <w:rPr>
                <w:rFonts w:ascii="Times New Roman" w:hAnsi="Times New Roman"/>
                <w:b/>
                <w:color w:val="auto"/>
                <w:kern w:val="0"/>
                <w:sz w:val="24"/>
                <w:szCs w:val="21"/>
              </w:rPr>
            </w:pPr>
            <w:r>
              <w:rPr>
                <w:rFonts w:ascii="Times New Roman" w:hAnsi="Times New Roman"/>
                <w:b/>
                <w:color w:val="auto"/>
                <w:kern w:val="0"/>
                <w:sz w:val="24"/>
                <w:szCs w:val="21"/>
              </w:rPr>
              <w:t>河沙</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直接外购合格原料，细度模数在2.6-3.0mm</w:t>
            </w:r>
            <w:r>
              <w:rPr>
                <w:rFonts w:hint="eastAsia" w:ascii="Times New Roman" w:hAnsi="Times New Roman"/>
                <w:color w:val="auto"/>
                <w:sz w:val="24"/>
                <w:szCs w:val="24"/>
              </w:rPr>
              <w:t>，</w:t>
            </w:r>
            <w:r>
              <w:rPr>
                <w:rFonts w:ascii="Times New Roman" w:hAnsi="Times New Roman"/>
                <w:color w:val="auto"/>
                <w:sz w:val="24"/>
                <w:szCs w:val="24"/>
              </w:rPr>
              <w:t>由汽车运输进场</w:t>
            </w:r>
            <w:r>
              <w:rPr>
                <w:rFonts w:hint="eastAsia" w:ascii="Times New Roman" w:hAnsi="Times New Roman"/>
                <w:color w:val="auto"/>
                <w:sz w:val="24"/>
                <w:szCs w:val="24"/>
                <w:lang w:eastAsia="zh-CN"/>
              </w:rPr>
              <w:t>，进入</w:t>
            </w:r>
            <w:r>
              <w:rPr>
                <w:rFonts w:hint="eastAsia" w:ascii="Times New Roman" w:hAnsi="Times New Roman"/>
                <w:color w:val="auto"/>
                <w:sz w:val="24"/>
                <w:szCs w:val="24"/>
              </w:rPr>
              <w:t>河沙堆棚</w:t>
            </w:r>
            <w:r>
              <w:rPr>
                <w:rFonts w:ascii="Times New Roman" w:hAnsi="Times New Roman"/>
                <w:color w:val="auto"/>
                <w:sz w:val="24"/>
                <w:szCs w:val="24"/>
              </w:rPr>
              <w:t>，</w:t>
            </w:r>
            <w:r>
              <w:rPr>
                <w:rFonts w:hint="eastAsia" w:ascii="Times New Roman" w:hAnsi="Times New Roman"/>
                <w:color w:val="auto"/>
                <w:sz w:val="24"/>
                <w:szCs w:val="24"/>
                <w:lang w:eastAsia="zh-CN"/>
              </w:rPr>
              <w:t>运输车辆加盖篷布，</w:t>
            </w:r>
            <w:r>
              <w:rPr>
                <w:rFonts w:ascii="Times New Roman" w:hAnsi="Times New Roman"/>
                <w:color w:val="auto"/>
                <w:sz w:val="24"/>
                <w:szCs w:val="24"/>
              </w:rPr>
              <w:t>化学成分见下表。</w:t>
            </w:r>
          </w:p>
          <w:p>
            <w:pPr>
              <w:keepNext w:val="0"/>
              <w:keepLines w:val="0"/>
              <w:pageBreakBefore w:val="0"/>
              <w:widowControl w:val="0"/>
              <w:tabs>
                <w:tab w:val="left" w:pos="2395"/>
              </w:tabs>
              <w:kinsoku/>
              <w:wordWrap/>
              <w:overflowPunct/>
              <w:topLinePunct w:val="0"/>
              <w:autoSpaceDE/>
              <w:autoSpaceDN/>
              <w:bidi w:val="0"/>
              <w:adjustRightInd w:val="0"/>
              <w:snapToGrid w:val="0"/>
              <w:spacing w:line="240" w:lineRule="auto"/>
              <w:jc w:val="center"/>
              <w:textAlignment w:val="auto"/>
              <w:rPr>
                <w:rFonts w:ascii="Times New Roman" w:hAnsi="Times New Roman"/>
                <w:b/>
                <w:bCs/>
                <w:color w:val="auto"/>
                <w:sz w:val="24"/>
                <w:szCs w:val="24"/>
              </w:rPr>
            </w:pPr>
            <w:r>
              <w:rPr>
                <w:rFonts w:ascii="Times New Roman" w:hAnsi="Times New Roman"/>
                <w:b/>
                <w:bCs/>
                <w:color w:val="auto"/>
                <w:sz w:val="24"/>
                <w:szCs w:val="24"/>
              </w:rPr>
              <w:t>表1-</w:t>
            </w:r>
            <w:r>
              <w:rPr>
                <w:rFonts w:hint="eastAsia" w:ascii="Times New Roman" w:hAnsi="Times New Roman"/>
                <w:b/>
                <w:bCs/>
                <w:color w:val="auto"/>
                <w:sz w:val="24"/>
                <w:szCs w:val="24"/>
                <w:lang w:val="en-US" w:eastAsia="zh-CN"/>
              </w:rPr>
              <w:t>10</w:t>
            </w:r>
            <w:r>
              <w:rPr>
                <w:rFonts w:ascii="Times New Roman" w:hAnsi="Times New Roman"/>
                <w:b/>
                <w:bCs/>
                <w:color w:val="auto"/>
                <w:sz w:val="24"/>
                <w:szCs w:val="24"/>
              </w:rPr>
              <w:t xml:space="preserve">  河沙化学成分表（%）</w:t>
            </w:r>
          </w:p>
          <w:tbl>
            <w:tblPr>
              <w:tblStyle w:val="43"/>
              <w:tblW w:w="8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927"/>
              <w:gridCol w:w="885"/>
              <w:gridCol w:w="912"/>
              <w:gridCol w:w="1081"/>
              <w:gridCol w:w="897"/>
              <w:gridCol w:w="1078"/>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7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名称</w:t>
                  </w:r>
                </w:p>
              </w:tc>
              <w:tc>
                <w:tcPr>
                  <w:tcW w:w="9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LOSS</w:t>
                  </w:r>
                </w:p>
              </w:tc>
              <w:tc>
                <w:tcPr>
                  <w:tcW w:w="8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SiO</w:t>
                  </w:r>
                  <w:r>
                    <w:rPr>
                      <w:rFonts w:ascii="Times New Roman" w:hAnsi="Times New Roman"/>
                      <w:color w:val="auto"/>
                      <w:kern w:val="0"/>
                      <w:szCs w:val="21"/>
                      <w:vertAlign w:val="subscript"/>
                    </w:rPr>
                    <w:t>2</w:t>
                  </w:r>
                </w:p>
              </w:tc>
              <w:tc>
                <w:tcPr>
                  <w:tcW w:w="91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Al</w:t>
                  </w:r>
                  <w:r>
                    <w:rPr>
                      <w:rFonts w:ascii="Times New Roman" w:hAnsi="Times New Roman"/>
                      <w:color w:val="auto"/>
                      <w:kern w:val="0"/>
                      <w:szCs w:val="21"/>
                      <w:vertAlign w:val="subscript"/>
                    </w:rPr>
                    <w:t>2</w:t>
                  </w:r>
                  <w:r>
                    <w:rPr>
                      <w:rFonts w:ascii="Times New Roman" w:hAnsi="Times New Roman"/>
                      <w:color w:val="auto"/>
                      <w:kern w:val="0"/>
                      <w:szCs w:val="21"/>
                    </w:rPr>
                    <w:t>O</w:t>
                  </w:r>
                  <w:r>
                    <w:rPr>
                      <w:rFonts w:ascii="Times New Roman" w:hAnsi="Times New Roman"/>
                      <w:color w:val="auto"/>
                      <w:kern w:val="0"/>
                      <w:szCs w:val="21"/>
                      <w:vertAlign w:val="subscript"/>
                    </w:rPr>
                    <w:t>3</w:t>
                  </w:r>
                </w:p>
              </w:tc>
              <w:tc>
                <w:tcPr>
                  <w:tcW w:w="108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Fe</w:t>
                  </w:r>
                  <w:r>
                    <w:rPr>
                      <w:rFonts w:ascii="Times New Roman" w:hAnsi="Times New Roman"/>
                      <w:color w:val="auto"/>
                      <w:kern w:val="0"/>
                      <w:szCs w:val="21"/>
                      <w:vertAlign w:val="subscript"/>
                    </w:rPr>
                    <w:t>2</w:t>
                  </w:r>
                  <w:r>
                    <w:rPr>
                      <w:rFonts w:ascii="Times New Roman" w:hAnsi="Times New Roman"/>
                      <w:color w:val="auto"/>
                      <w:kern w:val="0"/>
                      <w:szCs w:val="21"/>
                    </w:rPr>
                    <w:t>O</w:t>
                  </w:r>
                  <w:r>
                    <w:rPr>
                      <w:rFonts w:ascii="Times New Roman" w:hAnsi="Times New Roman"/>
                      <w:color w:val="auto"/>
                      <w:kern w:val="0"/>
                      <w:szCs w:val="21"/>
                      <w:vertAlign w:val="subscript"/>
                    </w:rPr>
                    <w:t>3</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CaO</w:t>
                  </w:r>
                </w:p>
              </w:tc>
              <w:tc>
                <w:tcPr>
                  <w:tcW w:w="107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MgO</w:t>
                  </w:r>
                </w:p>
              </w:tc>
              <w:tc>
                <w:tcPr>
                  <w:tcW w:w="8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7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碎石</w:t>
                  </w:r>
                </w:p>
              </w:tc>
              <w:tc>
                <w:tcPr>
                  <w:tcW w:w="9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42.24</w:t>
                  </w:r>
                </w:p>
              </w:tc>
              <w:tc>
                <w:tcPr>
                  <w:tcW w:w="88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2.38</w:t>
                  </w:r>
                </w:p>
              </w:tc>
              <w:tc>
                <w:tcPr>
                  <w:tcW w:w="91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1.52</w:t>
                  </w:r>
                </w:p>
              </w:tc>
              <w:tc>
                <w:tcPr>
                  <w:tcW w:w="108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0.8</w:t>
                  </w:r>
                </w:p>
              </w:tc>
              <w:tc>
                <w:tcPr>
                  <w:tcW w:w="89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51.49</w:t>
                  </w:r>
                </w:p>
              </w:tc>
              <w:tc>
                <w:tcPr>
                  <w:tcW w:w="107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1.14</w:t>
                  </w:r>
                </w:p>
              </w:tc>
              <w:tc>
                <w:tcPr>
                  <w:tcW w:w="8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imes New Roman" w:hAnsi="Times New Roman"/>
                      <w:color w:val="auto"/>
                      <w:kern w:val="0"/>
                      <w:szCs w:val="21"/>
                    </w:rPr>
                  </w:pPr>
                  <w:r>
                    <w:rPr>
                      <w:rFonts w:ascii="Times New Roman" w:hAnsi="Times New Roman"/>
                      <w:color w:val="auto"/>
                      <w:kern w:val="0"/>
                      <w:szCs w:val="21"/>
                    </w:rPr>
                    <w:t>99.57</w:t>
                  </w:r>
                </w:p>
              </w:tc>
            </w:tr>
          </w:tbl>
          <w:p>
            <w:pPr>
              <w:pStyle w:val="2"/>
              <w:ind w:firstLine="482" w:firstLineChars="200"/>
              <w:rPr>
                <w:rFonts w:ascii="Times New Roman" w:hAnsi="Times New Roman"/>
                <w:b/>
                <w:color w:val="auto"/>
                <w:kern w:val="0"/>
                <w:sz w:val="24"/>
              </w:rPr>
            </w:pPr>
            <w:r>
              <w:rPr>
                <w:rFonts w:hint="eastAsia" w:ascii="Times New Roman" w:hAnsi="Times New Roman"/>
                <w:b/>
                <w:color w:val="auto"/>
                <w:kern w:val="0"/>
                <w:sz w:val="24"/>
              </w:rPr>
              <w:t>粉煤灰</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项目使用直接合格外购粉煤灰</w:t>
            </w:r>
            <w:r>
              <w:rPr>
                <w:rFonts w:hint="eastAsia" w:ascii="Times New Roman" w:hAnsi="Times New Roman"/>
                <w:color w:val="auto"/>
                <w:sz w:val="24"/>
                <w:szCs w:val="24"/>
              </w:rPr>
              <w:t>，由</w:t>
            </w:r>
            <w:r>
              <w:rPr>
                <w:rFonts w:hint="eastAsia" w:ascii="Times New Roman" w:hAnsi="Times New Roman"/>
                <w:color w:val="auto"/>
                <w:sz w:val="24"/>
                <w:szCs w:val="24"/>
                <w:lang w:eastAsia="zh-CN"/>
              </w:rPr>
              <w:t>罐车</w:t>
            </w:r>
            <w:r>
              <w:rPr>
                <w:rFonts w:hint="eastAsia" w:ascii="Times New Roman" w:hAnsi="Times New Roman"/>
                <w:color w:val="auto"/>
                <w:sz w:val="24"/>
                <w:szCs w:val="24"/>
              </w:rPr>
              <w:t>运入厂区后存放于粉煤灰料仓</w:t>
            </w:r>
            <w:r>
              <w:rPr>
                <w:rFonts w:ascii="Times New Roman" w:hAnsi="Times New Roman"/>
                <w:color w:val="auto"/>
                <w:sz w:val="24"/>
                <w:szCs w:val="24"/>
              </w:rPr>
              <w:t>。</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其中项目</w:t>
            </w:r>
            <w:r>
              <w:rPr>
                <w:rFonts w:hint="eastAsia" w:ascii="Times New Roman" w:hAnsi="Times New Roman"/>
                <w:color w:val="auto"/>
                <w:sz w:val="24"/>
                <w:szCs w:val="24"/>
              </w:rPr>
              <w:t>粉煤灰</w:t>
            </w:r>
            <w:r>
              <w:rPr>
                <w:rFonts w:ascii="Times New Roman" w:hAnsi="Times New Roman"/>
                <w:color w:val="auto"/>
                <w:sz w:val="24"/>
                <w:szCs w:val="24"/>
              </w:rPr>
              <w:t>的使用可以改善混凝土的流动性，可以在保持配合比成本不变的前提下提高混凝土强度，或者在保持混凝土强度不变的前提下，降低配合比成本，在保证水胶比不变的情况下，改善混凝土的工作性能。</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粉煤灰的使用可以减少水泥用量、改善新拌混凝土的工作性，以提高硬化混凝土性能，特别是耐久性。</w:t>
            </w:r>
          </w:p>
          <w:p>
            <w:pPr>
              <w:adjustRightInd w:val="0"/>
              <w:snapToGrid w:val="0"/>
              <w:spacing w:line="360" w:lineRule="auto"/>
              <w:rPr>
                <w:rFonts w:ascii="Times New Roman" w:hAnsi="Times New Roman"/>
                <w:b/>
                <w:color w:val="auto"/>
                <w:sz w:val="24"/>
                <w:szCs w:val="24"/>
              </w:rPr>
            </w:pPr>
            <w:r>
              <w:rPr>
                <w:rFonts w:ascii="Times New Roman" w:hAnsi="Times New Roman"/>
                <w:b/>
                <w:color w:val="auto"/>
                <w:sz w:val="24"/>
                <w:szCs w:val="24"/>
              </w:rPr>
              <w:t>9.3物料平衡</w:t>
            </w:r>
          </w:p>
          <w:p>
            <w:pPr>
              <w:adjustRightInd w:val="0"/>
              <w:snapToGrid w:val="0"/>
              <w:spacing w:line="360" w:lineRule="auto"/>
              <w:ind w:firstLine="480" w:firstLineChars="200"/>
              <w:rPr>
                <w:rFonts w:ascii="Times New Roman" w:hAnsi="Times New Roman"/>
                <w:b/>
                <w:color w:val="auto"/>
                <w:sz w:val="24"/>
              </w:rPr>
            </w:pPr>
            <w:r>
              <w:rPr>
                <w:rFonts w:hint="eastAsia" w:ascii="Times New Roman" w:hAnsi="Times New Roman"/>
                <w:bCs/>
                <w:color w:val="auto"/>
                <w:sz w:val="24"/>
              </w:rPr>
              <w:t>钢筋加工只是进行简单的弯曲、焊接，过程中损耗钢筋量较少，约为总量的0.1%。</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color w:val="auto"/>
                <w:sz w:val="24"/>
              </w:rPr>
            </w:pPr>
            <w:r>
              <w:rPr>
                <w:rFonts w:ascii="Times New Roman" w:hAnsi="Times New Roman"/>
                <w:b/>
                <w:color w:val="auto"/>
                <w:sz w:val="24"/>
              </w:rPr>
              <w:t>表</w:t>
            </w:r>
            <w:r>
              <w:rPr>
                <w:rFonts w:hint="eastAsia" w:ascii="Times New Roman" w:hAnsi="Times New Roman"/>
                <w:b/>
                <w:color w:val="auto"/>
                <w:sz w:val="24"/>
              </w:rPr>
              <w:t>1-</w:t>
            </w:r>
            <w:r>
              <w:rPr>
                <w:rFonts w:hint="eastAsia" w:ascii="Times New Roman" w:hAnsi="Times New Roman"/>
                <w:b/>
                <w:color w:val="auto"/>
                <w:sz w:val="24"/>
                <w:lang w:val="en-US" w:eastAsia="zh-CN"/>
              </w:rPr>
              <w:t>11</w:t>
            </w:r>
            <w:r>
              <w:rPr>
                <w:rFonts w:ascii="Times New Roman" w:hAnsi="Times New Roman"/>
                <w:b/>
                <w:color w:val="auto"/>
                <w:sz w:val="24"/>
              </w:rPr>
              <w:t xml:space="preserve">    项目物料平衡</w:t>
            </w:r>
          </w:p>
          <w:tbl>
            <w:tblPr>
              <w:tblStyle w:val="43"/>
              <w:tblW w:w="8243" w:type="dxa"/>
              <w:tblInd w:w="0"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15" w:type="dxa"/>
                <w:left w:w="108" w:type="dxa"/>
                <w:bottom w:w="15" w:type="dxa"/>
                <w:right w:w="108" w:type="dxa"/>
              </w:tblCellMar>
            </w:tblPr>
            <w:tblGrid>
              <w:gridCol w:w="2059"/>
              <w:gridCol w:w="2062"/>
              <w:gridCol w:w="2061"/>
              <w:gridCol w:w="2061"/>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15" w:type="dxa"/>
                  <w:left w:w="108" w:type="dxa"/>
                  <w:bottom w:w="15" w:type="dxa"/>
                  <w:right w:w="108" w:type="dxa"/>
                </w:tblCellMar>
              </w:tblPrEx>
              <w:trPr>
                <w:trHeight w:val="301" w:hRule="atLeast"/>
              </w:trPr>
              <w:tc>
                <w:tcPr>
                  <w:tcW w:w="4121"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ascii="Times New Roman" w:hAnsi="Times New Roman"/>
                      <w:color w:val="auto"/>
                      <w:kern w:val="0"/>
                      <w:szCs w:val="21"/>
                    </w:rPr>
                    <w:t>输入（t/a</w:t>
                  </w:r>
                  <w:r>
                    <w:rPr>
                      <w:rFonts w:ascii="Times New Roman" w:hAnsi="Times New Roman"/>
                      <w:color w:val="auto"/>
                      <w:kern w:val="0"/>
                    </w:rPr>
                    <w:t>）</w:t>
                  </w:r>
                </w:p>
              </w:tc>
              <w:tc>
                <w:tcPr>
                  <w:tcW w:w="4122" w:type="dxa"/>
                  <w:gridSpan w:val="2"/>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ascii="Times New Roman" w:hAnsi="Times New Roman"/>
                      <w:color w:val="auto"/>
                      <w:kern w:val="0"/>
                      <w:szCs w:val="21"/>
                      <w:highlight w:val="none"/>
                    </w:rPr>
                    <w:t>输出（t/a</w:t>
                  </w:r>
                  <w:r>
                    <w:rPr>
                      <w:rFonts w:ascii="Times New Roman" w:hAnsi="Times New Roman"/>
                      <w:color w:val="auto"/>
                      <w:kern w:val="0"/>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15" w:type="dxa"/>
                  <w:left w:w="108" w:type="dxa"/>
                  <w:bottom w:w="15" w:type="dxa"/>
                  <w:right w:w="108" w:type="dxa"/>
                </w:tblCellMar>
              </w:tblPrEx>
              <w:trPr>
                <w:trHeight w:val="301" w:hRule="atLeast"/>
              </w:trPr>
              <w:tc>
                <w:tcPr>
                  <w:tcW w:w="205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hint="eastAsia" w:ascii="Times New Roman" w:hAnsi="Times New Roman"/>
                      <w:color w:val="auto"/>
                      <w:kern w:val="0"/>
                      <w:szCs w:val="21"/>
                    </w:rPr>
                    <w:t>碎石</w:t>
                  </w:r>
                </w:p>
              </w:tc>
              <w:tc>
                <w:tcPr>
                  <w:tcW w:w="206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hint="eastAsia" w:ascii="Times New Roman" w:hAnsi="Times New Roman"/>
                      <w:color w:val="auto"/>
                      <w:kern w:val="0"/>
                      <w:szCs w:val="21"/>
                    </w:rPr>
                    <w:t>94000</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ascii="Times New Roman" w:hAnsi="Times New Roman"/>
                      <w:color w:val="auto"/>
                      <w:kern w:val="0"/>
                      <w:szCs w:val="21"/>
                      <w:highlight w:val="none"/>
                    </w:rPr>
                    <w:t>混凝土</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kern w:val="0"/>
                      <w:szCs w:val="21"/>
                      <w:highlight w:val="none"/>
                      <w:lang w:val="en-US" w:eastAsia="zh-CN"/>
                    </w:rPr>
                  </w:pPr>
                  <w:r>
                    <w:rPr>
                      <w:rFonts w:hint="eastAsia" w:ascii="Times New Roman" w:hAnsi="Times New Roman"/>
                      <w:color w:val="auto"/>
                      <w:kern w:val="0"/>
                      <w:szCs w:val="21"/>
                      <w:highlight w:val="none"/>
                      <w:lang w:val="en-US" w:eastAsia="zh-CN"/>
                    </w:rPr>
                    <w:t>209979.5</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15" w:type="dxa"/>
                  <w:left w:w="108" w:type="dxa"/>
                  <w:bottom w:w="15" w:type="dxa"/>
                  <w:right w:w="108" w:type="dxa"/>
                </w:tblCellMar>
              </w:tblPrEx>
              <w:trPr>
                <w:trHeight w:val="525" w:hRule="atLeast"/>
              </w:trPr>
              <w:tc>
                <w:tcPr>
                  <w:tcW w:w="205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kern w:val="0"/>
                      <w:szCs w:val="21"/>
                      <w:lang w:eastAsia="zh-CN"/>
                    </w:rPr>
                  </w:pPr>
                  <w:r>
                    <w:rPr>
                      <w:rFonts w:hint="eastAsia" w:ascii="Times New Roman" w:hAnsi="Times New Roman"/>
                      <w:color w:val="auto"/>
                      <w:kern w:val="0"/>
                      <w:szCs w:val="21"/>
                      <w:lang w:eastAsia="zh-CN"/>
                    </w:rPr>
                    <w:t>河沙</w:t>
                  </w:r>
                </w:p>
              </w:tc>
              <w:tc>
                <w:tcPr>
                  <w:tcW w:w="206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kern w:val="0"/>
                      <w:szCs w:val="21"/>
                      <w:lang w:val="en-US" w:eastAsia="zh-CN"/>
                    </w:rPr>
                  </w:pPr>
                  <w:r>
                    <w:rPr>
                      <w:rFonts w:hint="eastAsia" w:ascii="Times New Roman" w:hAnsi="Times New Roman"/>
                      <w:color w:val="auto"/>
                      <w:kern w:val="0"/>
                      <w:szCs w:val="21"/>
                      <w:lang w:val="en-US" w:eastAsia="zh-CN"/>
                    </w:rPr>
                    <w:t>5130</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hint="eastAsia" w:ascii="Times New Roman" w:hAnsi="Times New Roman"/>
                      <w:color w:val="auto"/>
                      <w:kern w:val="0"/>
                      <w:szCs w:val="21"/>
                      <w:highlight w:val="none"/>
                    </w:rPr>
                    <w:t>有组织</w:t>
                  </w:r>
                  <w:r>
                    <w:rPr>
                      <w:rFonts w:ascii="Times New Roman" w:hAnsi="Times New Roman"/>
                      <w:color w:val="auto"/>
                      <w:kern w:val="0"/>
                      <w:szCs w:val="21"/>
                      <w:highlight w:val="none"/>
                    </w:rPr>
                    <w:t>粉尘</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kern w:val="0"/>
                      <w:szCs w:val="21"/>
                      <w:highlight w:val="none"/>
                      <w:lang w:val="en-US" w:eastAsia="zh-CN"/>
                    </w:rPr>
                  </w:pPr>
                  <w:r>
                    <w:rPr>
                      <w:rFonts w:hint="eastAsia" w:ascii="Times New Roman" w:hAnsi="Times New Roman"/>
                      <w:color w:val="auto"/>
                      <w:kern w:val="0"/>
                      <w:szCs w:val="21"/>
                      <w:highlight w:val="none"/>
                      <w:lang w:val="en-US" w:eastAsia="zh-CN"/>
                    </w:rPr>
                    <w:t>0.178</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15" w:type="dxa"/>
                  <w:left w:w="108" w:type="dxa"/>
                  <w:bottom w:w="15" w:type="dxa"/>
                  <w:right w:w="108" w:type="dxa"/>
                </w:tblCellMar>
              </w:tblPrEx>
              <w:trPr>
                <w:trHeight w:val="525" w:hRule="atLeast"/>
              </w:trPr>
              <w:tc>
                <w:tcPr>
                  <w:tcW w:w="205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kern w:val="0"/>
                      <w:szCs w:val="21"/>
                      <w:lang w:eastAsia="zh-CN"/>
                    </w:rPr>
                  </w:pPr>
                  <w:r>
                    <w:rPr>
                      <w:rFonts w:hint="eastAsia" w:ascii="Times New Roman" w:hAnsi="Times New Roman"/>
                      <w:color w:val="auto"/>
                      <w:kern w:val="0"/>
                      <w:szCs w:val="21"/>
                      <w:lang w:eastAsia="zh-CN"/>
                    </w:rPr>
                    <w:t>机制砂</w:t>
                  </w:r>
                </w:p>
              </w:tc>
              <w:tc>
                <w:tcPr>
                  <w:tcW w:w="206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kern w:val="0"/>
                      <w:szCs w:val="21"/>
                      <w:lang w:val="en-US" w:eastAsia="zh-CN"/>
                    </w:rPr>
                  </w:pPr>
                  <w:r>
                    <w:rPr>
                      <w:rFonts w:hint="eastAsia" w:ascii="Times New Roman" w:hAnsi="Times New Roman"/>
                      <w:color w:val="auto"/>
                      <w:kern w:val="0"/>
                      <w:szCs w:val="21"/>
                      <w:lang w:val="en-US" w:eastAsia="zh-CN"/>
                    </w:rPr>
                    <w:t>51270</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color w:val="auto"/>
                      <w:kern w:val="0"/>
                      <w:szCs w:val="21"/>
                      <w:highlight w:val="none"/>
                    </w:rPr>
                  </w:pPr>
                  <w:r>
                    <w:rPr>
                      <w:rFonts w:hint="eastAsia" w:ascii="Times New Roman" w:hAnsi="Times New Roman"/>
                      <w:color w:val="auto"/>
                      <w:kern w:val="0"/>
                      <w:szCs w:val="21"/>
                      <w:highlight w:val="none"/>
                    </w:rPr>
                    <w:t>收尘灰</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kern w:val="0"/>
                      <w:szCs w:val="21"/>
                      <w:highlight w:val="none"/>
                      <w:lang w:val="en-US" w:eastAsia="zh-CN"/>
                    </w:rPr>
                  </w:pPr>
                  <w:r>
                    <w:rPr>
                      <w:rFonts w:hint="eastAsia" w:ascii="Times New Roman" w:hAnsi="Times New Roman"/>
                      <w:color w:val="auto"/>
                      <w:kern w:val="0"/>
                      <w:szCs w:val="21"/>
                      <w:highlight w:val="none"/>
                      <w:lang w:val="en-US" w:eastAsia="zh-CN"/>
                    </w:rPr>
                    <w:t>88.856</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15" w:type="dxa"/>
                  <w:left w:w="108" w:type="dxa"/>
                  <w:bottom w:w="15" w:type="dxa"/>
                  <w:right w:w="108" w:type="dxa"/>
                </w:tblCellMar>
              </w:tblPrEx>
              <w:trPr>
                <w:trHeight w:val="525" w:hRule="atLeast"/>
              </w:trPr>
              <w:tc>
                <w:tcPr>
                  <w:tcW w:w="205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ascii="Times New Roman" w:hAnsi="Times New Roman"/>
                      <w:color w:val="auto"/>
                      <w:kern w:val="0"/>
                      <w:szCs w:val="21"/>
                    </w:rPr>
                    <w:t>水泥</w:t>
                  </w:r>
                </w:p>
              </w:tc>
              <w:tc>
                <w:tcPr>
                  <w:tcW w:w="206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hint="eastAsia" w:ascii="Times New Roman" w:hAnsi="Times New Roman"/>
                      <w:color w:val="auto"/>
                      <w:kern w:val="0"/>
                      <w:szCs w:val="21"/>
                    </w:rPr>
                    <w:t>37600</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ascii="Times New Roman" w:hAnsi="Times New Roman"/>
                      <w:color w:val="auto"/>
                      <w:kern w:val="0"/>
                      <w:szCs w:val="21"/>
                      <w:highlight w:val="none"/>
                    </w:rPr>
                    <w:t>无组织粉尘</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hint="eastAsia" w:ascii="Times New Roman" w:hAnsi="Times New Roman"/>
                      <w:color w:val="auto"/>
                      <w:kern w:val="0"/>
                      <w:szCs w:val="21"/>
                      <w:highlight w:val="none"/>
                    </w:rPr>
                    <w:t>0.201</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15" w:type="dxa"/>
                  <w:left w:w="108" w:type="dxa"/>
                  <w:bottom w:w="15" w:type="dxa"/>
                  <w:right w:w="108" w:type="dxa"/>
                </w:tblCellMar>
              </w:tblPrEx>
              <w:trPr>
                <w:trHeight w:val="525" w:hRule="atLeast"/>
              </w:trPr>
              <w:tc>
                <w:tcPr>
                  <w:tcW w:w="205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ascii="Times New Roman" w:hAnsi="Times New Roman"/>
                      <w:color w:val="auto"/>
                      <w:kern w:val="0"/>
                      <w:szCs w:val="21"/>
                    </w:rPr>
                    <w:t>粉煤灰</w:t>
                  </w:r>
                </w:p>
              </w:tc>
              <w:tc>
                <w:tcPr>
                  <w:tcW w:w="206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hint="eastAsia" w:ascii="Times New Roman" w:hAnsi="Times New Roman"/>
                      <w:color w:val="auto"/>
                      <w:kern w:val="0"/>
                      <w:szCs w:val="21"/>
                    </w:rPr>
                    <w:t>5000</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ascii="Times New Roman" w:hAnsi="Times New Roman"/>
                      <w:color w:val="auto"/>
                      <w:kern w:val="0"/>
                      <w:szCs w:val="21"/>
                      <w:highlight w:val="none"/>
                    </w:rPr>
                    <w:t>蒸发损耗水分</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hint="eastAsia" w:ascii="Times New Roman" w:hAnsi="Times New Roman"/>
                      <w:color w:val="auto"/>
                      <w:kern w:val="0"/>
                      <w:szCs w:val="21"/>
                      <w:highlight w:val="none"/>
                    </w:rPr>
                    <w:t>20</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15" w:type="dxa"/>
                  <w:left w:w="108" w:type="dxa"/>
                  <w:bottom w:w="15" w:type="dxa"/>
                  <w:right w:w="108" w:type="dxa"/>
                </w:tblCellMar>
              </w:tblPrEx>
              <w:trPr>
                <w:trHeight w:val="301" w:hRule="atLeast"/>
              </w:trPr>
              <w:tc>
                <w:tcPr>
                  <w:tcW w:w="205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ascii="Times New Roman" w:hAnsi="Times New Roman"/>
                      <w:color w:val="auto"/>
                      <w:kern w:val="0"/>
                      <w:szCs w:val="21"/>
                    </w:rPr>
                    <w:t>水</w:t>
                  </w:r>
                </w:p>
              </w:tc>
              <w:tc>
                <w:tcPr>
                  <w:tcW w:w="206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hint="eastAsia" w:ascii="Times New Roman" w:hAnsi="Times New Roman"/>
                      <w:color w:val="auto"/>
                      <w:kern w:val="0"/>
                      <w:szCs w:val="21"/>
                    </w:rPr>
                    <w:t>17000</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auto"/>
                      <w:kern w:val="0"/>
                      <w:szCs w:val="21"/>
                      <w:highlight w:val="none"/>
                      <w:lang w:val="en-US" w:eastAsia="zh-CN"/>
                    </w:rPr>
                  </w:pPr>
                  <w:r>
                    <w:rPr>
                      <w:rFonts w:hint="eastAsia" w:ascii="Times New Roman" w:hAnsi="Times New Roman"/>
                      <w:color w:val="auto"/>
                      <w:kern w:val="0"/>
                      <w:szCs w:val="21"/>
                      <w:highlight w:val="none"/>
                      <w:lang w:val="en-US" w:eastAsia="zh-CN"/>
                    </w:rPr>
                    <w:t>/</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olor w:val="auto"/>
                      <w:kern w:val="0"/>
                      <w:szCs w:val="21"/>
                      <w:highlight w:val="none"/>
                      <w:lang w:val="en-US" w:eastAsia="zh-CN"/>
                    </w:rPr>
                  </w:pPr>
                  <w:r>
                    <w:rPr>
                      <w:rFonts w:hint="eastAsia" w:ascii="Times New Roman" w:hAnsi="Times New Roman"/>
                      <w:color w:val="auto"/>
                      <w:kern w:val="0"/>
                      <w:szCs w:val="21"/>
                      <w:highlight w:val="none"/>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15" w:type="dxa"/>
                  <w:left w:w="108" w:type="dxa"/>
                  <w:bottom w:w="15" w:type="dxa"/>
                  <w:right w:w="108" w:type="dxa"/>
                </w:tblCellMar>
              </w:tblPrEx>
              <w:trPr>
                <w:trHeight w:val="390" w:hRule="atLeast"/>
              </w:trPr>
              <w:tc>
                <w:tcPr>
                  <w:tcW w:w="2059"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ascii="Times New Roman" w:hAnsi="Times New Roman"/>
                      <w:color w:val="auto"/>
                      <w:szCs w:val="21"/>
                    </w:rPr>
                    <w:t>钢筋</w:t>
                  </w:r>
                </w:p>
              </w:tc>
              <w:tc>
                <w:tcPr>
                  <w:tcW w:w="2062"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ascii="Times New Roman" w:hAnsi="Times New Roman"/>
                      <w:color w:val="auto"/>
                      <w:kern w:val="0"/>
                      <w:szCs w:val="21"/>
                    </w:rPr>
                    <w:t>8500</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hint="eastAsia" w:ascii="Times New Roman" w:hAnsi="Times New Roman"/>
                      <w:color w:val="auto"/>
                      <w:kern w:val="0"/>
                      <w:szCs w:val="21"/>
                      <w:highlight w:val="none"/>
                    </w:rPr>
                    <w:t>废钢筋</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hint="eastAsia" w:ascii="Times New Roman" w:hAnsi="Times New Roman"/>
                      <w:color w:val="auto"/>
                      <w:kern w:val="0"/>
                      <w:szCs w:val="21"/>
                      <w:highlight w:val="none"/>
                    </w:rPr>
                    <w:t>8.5</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15" w:type="dxa"/>
                  <w:left w:w="108" w:type="dxa"/>
                  <w:bottom w:w="15" w:type="dxa"/>
                  <w:right w:w="108" w:type="dxa"/>
                </w:tblCellMar>
              </w:tblPrEx>
              <w:trPr>
                <w:trHeight w:val="241" w:hRule="atLeast"/>
              </w:trPr>
              <w:tc>
                <w:tcPr>
                  <w:tcW w:w="2059"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color w:val="auto"/>
                    </w:rPr>
                  </w:pPr>
                </w:p>
              </w:tc>
              <w:tc>
                <w:tcPr>
                  <w:tcW w:w="2062"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color w:val="auto"/>
                    </w:rPr>
                  </w:pP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hint="eastAsia" w:ascii="Times New Roman" w:hAnsi="Times New Roman"/>
                      <w:color w:val="auto"/>
                      <w:kern w:val="0"/>
                      <w:szCs w:val="21"/>
                      <w:highlight w:val="none"/>
                    </w:rPr>
                    <w:t>钢筋成品</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highlight w:val="none"/>
                    </w:rPr>
                  </w:pPr>
                  <w:r>
                    <w:rPr>
                      <w:rFonts w:hint="eastAsia" w:ascii="Times New Roman" w:hAnsi="Times New Roman"/>
                      <w:color w:val="auto"/>
                      <w:kern w:val="0"/>
                      <w:szCs w:val="21"/>
                      <w:highlight w:val="none"/>
                    </w:rPr>
                    <w:t>8491.5</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15" w:type="dxa"/>
                  <w:left w:w="108" w:type="dxa"/>
                  <w:bottom w:w="15" w:type="dxa"/>
                  <w:right w:w="108" w:type="dxa"/>
                </w:tblCellMar>
              </w:tblPrEx>
              <w:trPr>
                <w:trHeight w:val="286" w:hRule="atLeast"/>
              </w:trPr>
              <w:tc>
                <w:tcPr>
                  <w:tcW w:w="205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szCs w:val="21"/>
                    </w:rPr>
                  </w:pPr>
                  <w:r>
                    <w:rPr>
                      <w:rFonts w:ascii="Times New Roman" w:hAnsi="Times New Roman"/>
                      <w:color w:val="auto"/>
                      <w:szCs w:val="21"/>
                    </w:rPr>
                    <w:t>合计</w:t>
                  </w:r>
                </w:p>
              </w:tc>
              <w:tc>
                <w:tcPr>
                  <w:tcW w:w="206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hint="eastAsia" w:ascii="Times New Roman" w:hAnsi="Times New Roman"/>
                      <w:color w:val="auto"/>
                      <w:kern w:val="0"/>
                      <w:szCs w:val="21"/>
                    </w:rPr>
                    <w:t>218500</w:t>
                  </w: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p>
              </w:tc>
              <w:tc>
                <w:tcPr>
                  <w:tcW w:w="206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color w:val="auto"/>
                      <w:kern w:val="0"/>
                      <w:szCs w:val="21"/>
                    </w:rPr>
                  </w:pPr>
                  <w:r>
                    <w:rPr>
                      <w:rFonts w:hint="eastAsia" w:ascii="Times New Roman" w:hAnsi="Times New Roman"/>
                      <w:color w:val="auto"/>
                      <w:kern w:val="0"/>
                      <w:szCs w:val="21"/>
                    </w:rPr>
                    <w:t>218500</w:t>
                  </w:r>
                </w:p>
              </w:tc>
            </w:tr>
          </w:tbl>
          <w:p>
            <w:pPr>
              <w:adjustRightInd w:val="0"/>
              <w:snapToGrid w:val="0"/>
              <w:spacing w:line="360" w:lineRule="auto"/>
              <w:ind w:firstLine="413" w:firstLineChars="196"/>
              <w:rPr>
                <w:rFonts w:ascii="Times New Roman" w:hAnsi="Times New Roman"/>
                <w:b/>
                <w:color w:val="auto"/>
                <w:szCs w:val="21"/>
              </w:rPr>
            </w:pPr>
            <w:r>
              <w:rPr>
                <w:rFonts w:ascii="Times New Roman" w:hAnsi="Times New Roman"/>
                <w:b/>
                <w:color w:val="auto"/>
                <w:szCs w:val="21"/>
              </w:rPr>
              <w:t>备注：混凝土密度平均为2.1t/m</w:t>
            </w:r>
            <w:r>
              <w:rPr>
                <w:rFonts w:ascii="Times New Roman" w:hAnsi="Times New Roman"/>
                <w:b/>
                <w:color w:val="auto"/>
                <w:szCs w:val="21"/>
                <w:vertAlign w:val="superscript"/>
              </w:rPr>
              <w:t>3</w:t>
            </w:r>
            <w:r>
              <w:rPr>
                <w:rFonts w:ascii="Times New Roman" w:hAnsi="Times New Roman"/>
                <w:b/>
                <w:color w:val="auto"/>
                <w:szCs w:val="21"/>
              </w:rPr>
              <w:t>。</w:t>
            </w:r>
          </w:p>
          <w:p>
            <w:pPr>
              <w:pStyle w:val="2"/>
              <w:rPr>
                <w:rFonts w:ascii="Times New Roman" w:hAnsi="Times New Roman"/>
                <w:b/>
                <w:color w:val="auto"/>
                <w:sz w:val="24"/>
                <w:szCs w:val="24"/>
              </w:rPr>
            </w:pPr>
            <w:r>
              <w:rPr>
                <w:rFonts w:ascii="Times New Roman" w:hAnsi="Times New Roman"/>
                <w:b/>
                <w:color w:val="auto"/>
                <w:sz w:val="24"/>
                <w:szCs w:val="24"/>
              </w:rPr>
              <w:t>10、项目总投资及环保投资</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项目总投资750万元，其中环保投资</w:t>
            </w:r>
            <w:r>
              <w:rPr>
                <w:rFonts w:hint="eastAsia" w:ascii="Times New Roman" w:hAnsi="Times New Roman"/>
                <w:color w:val="auto"/>
                <w:sz w:val="24"/>
                <w:szCs w:val="24"/>
                <w:lang w:val="en-US" w:eastAsia="zh-CN"/>
              </w:rPr>
              <w:t>62.6</w:t>
            </w:r>
            <w:r>
              <w:rPr>
                <w:rFonts w:ascii="Times New Roman" w:hAnsi="Times New Roman"/>
                <w:color w:val="auto"/>
                <w:sz w:val="24"/>
                <w:szCs w:val="24"/>
              </w:rPr>
              <w:t>万元，主要用于系统设备的除尘、防尘、隔噪、废水沉淀水池</w:t>
            </w:r>
            <w:r>
              <w:rPr>
                <w:rFonts w:hint="eastAsia" w:ascii="Times New Roman" w:hAnsi="Times New Roman"/>
                <w:color w:val="auto"/>
                <w:sz w:val="24"/>
                <w:szCs w:val="24"/>
                <w:lang w:eastAsia="zh-CN"/>
              </w:rPr>
              <w:t>、中水处理站</w:t>
            </w:r>
            <w:r>
              <w:rPr>
                <w:rFonts w:ascii="Times New Roman" w:hAnsi="Times New Roman"/>
                <w:color w:val="auto"/>
                <w:sz w:val="24"/>
                <w:szCs w:val="24"/>
              </w:rPr>
              <w:t>等，环保投资占总投资的</w:t>
            </w:r>
            <w:r>
              <w:rPr>
                <w:rFonts w:hint="eastAsia" w:ascii="Times New Roman" w:hAnsi="Times New Roman"/>
                <w:color w:val="auto"/>
                <w:sz w:val="24"/>
                <w:szCs w:val="24"/>
                <w:lang w:val="en-US" w:eastAsia="zh-CN"/>
              </w:rPr>
              <w:t>8.35</w:t>
            </w:r>
            <w:r>
              <w:rPr>
                <w:rFonts w:ascii="Times New Roman" w:hAnsi="Times New Roman"/>
                <w:color w:val="auto"/>
                <w:sz w:val="24"/>
                <w:szCs w:val="24"/>
              </w:rPr>
              <w:t>%，环保投资明细详见下表。</w:t>
            </w:r>
          </w:p>
          <w:p>
            <w:pPr>
              <w:keepNext w:val="0"/>
              <w:keepLines w:val="0"/>
              <w:pageBreakBefore w:val="0"/>
              <w:widowControl w:val="0"/>
              <w:kinsoku/>
              <w:wordWrap/>
              <w:overflowPunct/>
              <w:topLinePunct w:val="0"/>
              <w:autoSpaceDE/>
              <w:autoSpaceDN/>
              <w:bidi w:val="0"/>
              <w:adjustRightInd w:val="0"/>
              <w:snapToGrid w:val="0"/>
              <w:spacing w:line="240" w:lineRule="auto"/>
              <w:ind w:firstLine="2407" w:firstLineChars="999"/>
              <w:textAlignment w:val="auto"/>
              <w:rPr>
                <w:rFonts w:ascii="Times New Roman" w:hAnsi="Times New Roman"/>
                <w:b/>
                <w:color w:val="auto"/>
                <w:sz w:val="24"/>
              </w:rPr>
            </w:pPr>
            <w:r>
              <w:rPr>
                <w:rFonts w:ascii="Times New Roman" w:hAnsi="Times New Roman"/>
                <w:b/>
                <w:color w:val="auto"/>
                <w:sz w:val="24"/>
              </w:rPr>
              <w:t>表1-</w:t>
            </w:r>
            <w:r>
              <w:rPr>
                <w:rFonts w:hint="eastAsia" w:ascii="Times New Roman" w:hAnsi="Times New Roman"/>
                <w:b/>
                <w:color w:val="auto"/>
                <w:sz w:val="24"/>
                <w:lang w:val="en-US" w:eastAsia="zh-CN"/>
              </w:rPr>
              <w:t>12</w:t>
            </w:r>
            <w:r>
              <w:rPr>
                <w:rFonts w:ascii="Times New Roman" w:hAnsi="Times New Roman"/>
                <w:b/>
                <w:color w:val="auto"/>
                <w:sz w:val="24"/>
              </w:rPr>
              <w:t xml:space="preserve">   项目环保投资估算表</w:t>
            </w:r>
          </w:p>
          <w:tbl>
            <w:tblPr>
              <w:tblStyle w:val="43"/>
              <w:tblW w:w="8243"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691"/>
              <w:gridCol w:w="392"/>
              <w:gridCol w:w="1033"/>
              <w:gridCol w:w="1344"/>
              <w:gridCol w:w="2751"/>
              <w:gridCol w:w="975"/>
              <w:gridCol w:w="1057"/>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时间区段</w:t>
                  </w:r>
                </w:p>
              </w:tc>
              <w:tc>
                <w:tcPr>
                  <w:tcW w:w="1425" w:type="dxa"/>
                  <w:gridSpan w:val="2"/>
                  <w:tcBorders>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项目</w:t>
                  </w:r>
                </w:p>
              </w:tc>
              <w:tc>
                <w:tcPr>
                  <w:tcW w:w="4095" w:type="dxa"/>
                  <w:gridSpan w:val="2"/>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环保投资</w:t>
                  </w:r>
                </w:p>
              </w:tc>
              <w:tc>
                <w:tcPr>
                  <w:tcW w:w="97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投资（万元）</w:t>
                  </w:r>
                </w:p>
              </w:tc>
              <w:tc>
                <w:tcPr>
                  <w:tcW w:w="1057"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restart"/>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施工期</w:t>
                  </w:r>
                </w:p>
              </w:tc>
              <w:tc>
                <w:tcPr>
                  <w:tcW w:w="1425" w:type="dxa"/>
                  <w:gridSpan w:val="2"/>
                  <w:tcBorders>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废气</w:t>
                  </w:r>
                </w:p>
              </w:tc>
              <w:tc>
                <w:tcPr>
                  <w:tcW w:w="4095" w:type="dxa"/>
                  <w:gridSpan w:val="2"/>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施工场地采用洒水抑尘措施，建筑原料堆放过程使用遮盖措施</w:t>
                  </w:r>
                </w:p>
              </w:tc>
              <w:tc>
                <w:tcPr>
                  <w:tcW w:w="97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1.0</w:t>
                  </w:r>
                </w:p>
              </w:tc>
              <w:tc>
                <w:tcPr>
                  <w:tcW w:w="1057"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continue"/>
                  <w:vAlign w:val="center"/>
                </w:tcPr>
                <w:p>
                  <w:pPr>
                    <w:adjustRightInd w:val="0"/>
                    <w:snapToGrid w:val="0"/>
                    <w:spacing w:line="360" w:lineRule="exact"/>
                    <w:jc w:val="center"/>
                    <w:rPr>
                      <w:rFonts w:ascii="Times New Roman" w:hAnsi="Times New Roman"/>
                      <w:color w:val="auto"/>
                      <w:szCs w:val="21"/>
                    </w:rPr>
                  </w:pPr>
                </w:p>
              </w:tc>
              <w:tc>
                <w:tcPr>
                  <w:tcW w:w="1425" w:type="dxa"/>
                  <w:gridSpan w:val="2"/>
                  <w:tcBorders>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废水</w:t>
                  </w:r>
                </w:p>
              </w:tc>
              <w:tc>
                <w:tcPr>
                  <w:tcW w:w="4095" w:type="dxa"/>
                  <w:gridSpan w:val="2"/>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施工废水进入</w:t>
                  </w:r>
                  <w:r>
                    <w:rPr>
                      <w:rFonts w:hint="eastAsia" w:ascii="Times New Roman" w:hAnsi="Times New Roman"/>
                      <w:color w:val="auto"/>
                      <w:szCs w:val="21"/>
                    </w:rPr>
                    <w:t>2m</w:t>
                  </w:r>
                  <w:r>
                    <w:rPr>
                      <w:rFonts w:hint="eastAsia" w:ascii="Times New Roman" w:hAnsi="Times New Roman"/>
                      <w:color w:val="auto"/>
                      <w:szCs w:val="21"/>
                      <w:vertAlign w:val="superscript"/>
                    </w:rPr>
                    <w:t>3</w:t>
                  </w:r>
                  <w:r>
                    <w:rPr>
                      <w:rFonts w:hint="eastAsia" w:ascii="Times New Roman" w:hAnsi="Times New Roman"/>
                      <w:color w:val="auto"/>
                      <w:szCs w:val="21"/>
                    </w:rPr>
                    <w:t>临时收集池</w:t>
                  </w:r>
                </w:p>
              </w:tc>
              <w:tc>
                <w:tcPr>
                  <w:tcW w:w="975" w:type="dxa"/>
                  <w:vAlign w:val="center"/>
                </w:tcPr>
                <w:p>
                  <w:pPr>
                    <w:adjustRightInd w:val="0"/>
                    <w:snapToGrid w:val="0"/>
                    <w:spacing w:line="360" w:lineRule="exact"/>
                    <w:jc w:val="center"/>
                    <w:rPr>
                      <w:rFonts w:hint="eastAsia" w:ascii="Times New Roman" w:hAnsi="Times New Roman" w:eastAsia="宋体"/>
                      <w:color w:val="auto"/>
                      <w:szCs w:val="21"/>
                      <w:lang w:eastAsia="zh-CN"/>
                    </w:rPr>
                  </w:pPr>
                  <w:r>
                    <w:rPr>
                      <w:rFonts w:hint="eastAsia" w:ascii="Times New Roman" w:hAnsi="Times New Roman"/>
                      <w:color w:val="auto"/>
                      <w:szCs w:val="21"/>
                    </w:rPr>
                    <w:t>0.</w:t>
                  </w:r>
                  <w:r>
                    <w:rPr>
                      <w:rFonts w:hint="eastAsia" w:ascii="Times New Roman" w:hAnsi="Times New Roman"/>
                      <w:color w:val="auto"/>
                      <w:szCs w:val="21"/>
                      <w:lang w:val="en-US" w:eastAsia="zh-CN"/>
                    </w:rPr>
                    <w:t>5</w:t>
                  </w:r>
                </w:p>
              </w:tc>
              <w:tc>
                <w:tcPr>
                  <w:tcW w:w="1057"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continue"/>
                  <w:tcBorders>
                    <w:bottom w:val="single" w:color="auto" w:sz="4" w:space="0"/>
                  </w:tcBorders>
                  <w:vAlign w:val="center"/>
                </w:tcPr>
                <w:p>
                  <w:pPr>
                    <w:adjustRightInd w:val="0"/>
                    <w:snapToGrid w:val="0"/>
                    <w:spacing w:line="360" w:lineRule="exact"/>
                    <w:jc w:val="center"/>
                    <w:rPr>
                      <w:rFonts w:ascii="Times New Roman" w:hAnsi="Times New Roman"/>
                      <w:color w:val="auto"/>
                      <w:szCs w:val="21"/>
                    </w:rPr>
                  </w:pPr>
                </w:p>
              </w:tc>
              <w:tc>
                <w:tcPr>
                  <w:tcW w:w="1425" w:type="dxa"/>
                  <w:gridSpan w:val="2"/>
                  <w:tcBorders>
                    <w:bottom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固废</w:t>
                  </w:r>
                </w:p>
              </w:tc>
              <w:tc>
                <w:tcPr>
                  <w:tcW w:w="4095" w:type="dxa"/>
                  <w:gridSpan w:val="2"/>
                  <w:tcBorders>
                    <w:left w:val="single" w:color="auto" w:sz="4" w:space="0"/>
                    <w:bottom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rPr>
                    <w:t>按环卫部门要求处置</w:t>
                  </w:r>
                </w:p>
              </w:tc>
              <w:tc>
                <w:tcPr>
                  <w:tcW w:w="97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0.1</w:t>
                  </w:r>
                </w:p>
              </w:tc>
              <w:tc>
                <w:tcPr>
                  <w:tcW w:w="1057"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restart"/>
                  <w:tcBorders>
                    <w:top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运营期</w:t>
                  </w:r>
                </w:p>
              </w:tc>
              <w:tc>
                <w:tcPr>
                  <w:tcW w:w="392" w:type="dxa"/>
                  <w:vMerge w:val="restart"/>
                  <w:tcBorders>
                    <w:top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废水</w:t>
                  </w:r>
                </w:p>
              </w:tc>
              <w:tc>
                <w:tcPr>
                  <w:tcW w:w="10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初期雨水</w:t>
                  </w:r>
                </w:p>
              </w:tc>
              <w:tc>
                <w:tcPr>
                  <w:tcW w:w="4095" w:type="dxa"/>
                  <w:gridSpan w:val="2"/>
                  <w:tcBorders>
                    <w:top w:val="single" w:color="auto" w:sz="4" w:space="0"/>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1个</w:t>
                  </w:r>
                  <w:r>
                    <w:rPr>
                      <w:rFonts w:hint="eastAsia" w:ascii="Times New Roman" w:hAnsi="Times New Roman"/>
                      <w:color w:val="auto"/>
                      <w:szCs w:val="21"/>
                    </w:rPr>
                    <w:t>40</w:t>
                  </w:r>
                  <w:r>
                    <w:rPr>
                      <w:rFonts w:ascii="Times New Roman" w:hAnsi="Times New Roman"/>
                      <w:color w:val="auto"/>
                      <w:szCs w:val="21"/>
                    </w:rPr>
                    <w:t xml:space="preserve"> m</w:t>
                  </w:r>
                  <w:r>
                    <w:rPr>
                      <w:rFonts w:ascii="Times New Roman" w:hAnsi="Times New Roman"/>
                      <w:color w:val="auto"/>
                      <w:szCs w:val="21"/>
                      <w:vertAlign w:val="superscript"/>
                    </w:rPr>
                    <w:t>3</w:t>
                  </w:r>
                  <w:r>
                    <w:rPr>
                      <w:rFonts w:ascii="Times New Roman" w:hAnsi="Times New Roman"/>
                      <w:color w:val="auto"/>
                      <w:szCs w:val="21"/>
                    </w:rPr>
                    <w:t>初期雨水收集池</w:t>
                  </w:r>
                </w:p>
              </w:tc>
              <w:tc>
                <w:tcPr>
                  <w:tcW w:w="975"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3.0</w:t>
                  </w:r>
                </w:p>
              </w:tc>
              <w:tc>
                <w:tcPr>
                  <w:tcW w:w="1057"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continue"/>
                  <w:vAlign w:val="center"/>
                </w:tcPr>
                <w:p>
                  <w:pPr>
                    <w:adjustRightInd w:val="0"/>
                    <w:snapToGrid w:val="0"/>
                    <w:spacing w:line="360" w:lineRule="exact"/>
                    <w:jc w:val="center"/>
                    <w:rPr>
                      <w:rFonts w:ascii="Times New Roman" w:hAnsi="Times New Roman"/>
                      <w:color w:val="auto"/>
                      <w:szCs w:val="21"/>
                    </w:rPr>
                  </w:pPr>
                </w:p>
              </w:tc>
              <w:tc>
                <w:tcPr>
                  <w:tcW w:w="392" w:type="dxa"/>
                  <w:vMerge w:val="continue"/>
                  <w:tcBorders>
                    <w:right w:val="single" w:color="auto" w:sz="4" w:space="0"/>
                  </w:tcBorders>
                  <w:vAlign w:val="center"/>
                </w:tcPr>
                <w:p>
                  <w:pPr>
                    <w:adjustRightInd w:val="0"/>
                    <w:snapToGrid w:val="0"/>
                    <w:spacing w:line="360" w:lineRule="exact"/>
                    <w:jc w:val="center"/>
                    <w:rPr>
                      <w:rFonts w:ascii="Times New Roman" w:hAnsi="Times New Roman"/>
                      <w:color w:val="auto"/>
                      <w:szCs w:val="21"/>
                    </w:rPr>
                  </w:pPr>
                </w:p>
              </w:tc>
              <w:tc>
                <w:tcPr>
                  <w:tcW w:w="10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车辆清洗</w:t>
                  </w:r>
                  <w:r>
                    <w:rPr>
                      <w:rFonts w:ascii="Times New Roman" w:hAnsi="Times New Roman"/>
                      <w:color w:val="auto"/>
                      <w:szCs w:val="21"/>
                    </w:rPr>
                    <w:t>废水</w:t>
                  </w:r>
                </w:p>
              </w:tc>
              <w:tc>
                <w:tcPr>
                  <w:tcW w:w="4095" w:type="dxa"/>
                  <w:gridSpan w:val="2"/>
                  <w:tcBorders>
                    <w:top w:val="single" w:color="auto" w:sz="4" w:space="0"/>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1个容积为20m</w:t>
                  </w:r>
                  <w:r>
                    <w:rPr>
                      <w:rFonts w:ascii="Times New Roman" w:hAnsi="Times New Roman"/>
                      <w:color w:val="auto"/>
                      <w:szCs w:val="21"/>
                      <w:vertAlign w:val="superscript"/>
                    </w:rPr>
                    <w:t>3</w:t>
                  </w:r>
                  <w:r>
                    <w:rPr>
                      <w:rFonts w:ascii="Times New Roman" w:hAnsi="Times New Roman"/>
                      <w:color w:val="auto"/>
                      <w:szCs w:val="21"/>
                    </w:rPr>
                    <w:t>四级沉淀收集池车辆清洗废水</w:t>
                  </w:r>
                </w:p>
              </w:tc>
              <w:tc>
                <w:tcPr>
                  <w:tcW w:w="97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2.0</w:t>
                  </w:r>
                </w:p>
              </w:tc>
              <w:tc>
                <w:tcPr>
                  <w:tcW w:w="1057" w:type="dxa"/>
                  <w:vAlign w:val="center"/>
                </w:tcPr>
                <w:p>
                  <w:pPr>
                    <w:adjustRightInd w:val="0"/>
                    <w:snapToGrid w:val="0"/>
                    <w:spacing w:line="360" w:lineRule="exact"/>
                    <w:jc w:val="center"/>
                    <w:rPr>
                      <w:rFonts w:ascii="Times New Roman" w:hAnsi="Times New Roman"/>
                      <w:color w:val="auto"/>
                      <w:szCs w:val="21"/>
                    </w:rPr>
                  </w:pPr>
                  <w:r>
                    <w:rPr>
                      <w:rFonts w:hint="eastAsia"/>
                      <w:color w:val="auto"/>
                    </w:rPr>
                    <w:t>可研提出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16" w:hRule="atLeast"/>
                <w:jc w:val="center"/>
              </w:trPr>
              <w:tc>
                <w:tcPr>
                  <w:tcW w:w="691" w:type="dxa"/>
                  <w:vMerge w:val="continue"/>
                  <w:vAlign w:val="center"/>
                </w:tcPr>
                <w:p>
                  <w:pPr>
                    <w:adjustRightInd w:val="0"/>
                    <w:snapToGrid w:val="0"/>
                    <w:spacing w:line="360" w:lineRule="exact"/>
                    <w:jc w:val="center"/>
                    <w:rPr>
                      <w:rFonts w:ascii="Times New Roman" w:hAnsi="Times New Roman"/>
                      <w:color w:val="auto"/>
                      <w:szCs w:val="21"/>
                    </w:rPr>
                  </w:pPr>
                </w:p>
              </w:tc>
              <w:tc>
                <w:tcPr>
                  <w:tcW w:w="392" w:type="dxa"/>
                  <w:vMerge w:val="continue"/>
                  <w:tcBorders>
                    <w:right w:val="single" w:color="auto" w:sz="4" w:space="0"/>
                  </w:tcBorders>
                  <w:vAlign w:val="center"/>
                </w:tcPr>
                <w:p>
                  <w:pPr>
                    <w:adjustRightInd w:val="0"/>
                    <w:snapToGrid w:val="0"/>
                    <w:spacing w:line="360" w:lineRule="exact"/>
                    <w:jc w:val="center"/>
                    <w:rPr>
                      <w:rFonts w:ascii="Times New Roman" w:hAnsi="Times New Roman"/>
                      <w:color w:val="auto"/>
                      <w:szCs w:val="21"/>
                    </w:rPr>
                  </w:pPr>
                </w:p>
              </w:tc>
              <w:tc>
                <w:tcPr>
                  <w:tcW w:w="1033"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生活污水</w:t>
                  </w:r>
                </w:p>
              </w:tc>
              <w:tc>
                <w:tcPr>
                  <w:tcW w:w="1344" w:type="dxa"/>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隔油池</w:t>
                  </w:r>
                </w:p>
              </w:tc>
              <w:tc>
                <w:tcPr>
                  <w:tcW w:w="2751" w:type="dxa"/>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1个</w:t>
                  </w:r>
                  <w:r>
                    <w:rPr>
                      <w:rFonts w:hint="eastAsia" w:ascii="Times New Roman" w:hAnsi="Times New Roman"/>
                      <w:color w:val="auto"/>
                      <w:szCs w:val="21"/>
                    </w:rPr>
                    <w:t>1</w:t>
                  </w:r>
                  <w:r>
                    <w:rPr>
                      <w:rFonts w:ascii="Times New Roman" w:hAnsi="Times New Roman"/>
                      <w:color w:val="auto"/>
                      <w:szCs w:val="21"/>
                    </w:rPr>
                    <w:t>m</w:t>
                  </w:r>
                  <w:r>
                    <w:rPr>
                      <w:rFonts w:ascii="Times New Roman" w:hAnsi="Times New Roman"/>
                      <w:color w:val="auto"/>
                      <w:szCs w:val="21"/>
                      <w:vertAlign w:val="superscript"/>
                    </w:rPr>
                    <w:t>3</w:t>
                  </w:r>
                  <w:r>
                    <w:rPr>
                      <w:rFonts w:hint="eastAsia" w:ascii="Times New Roman" w:hAnsi="Times New Roman"/>
                      <w:color w:val="auto"/>
                      <w:szCs w:val="21"/>
                    </w:rPr>
                    <w:t>。</w:t>
                  </w:r>
                </w:p>
              </w:tc>
              <w:tc>
                <w:tcPr>
                  <w:tcW w:w="975" w:type="dxa"/>
                  <w:vMerge w:val="restart"/>
                  <w:vAlign w:val="center"/>
                </w:tcPr>
                <w:p>
                  <w:pPr>
                    <w:adjustRightInd w:val="0"/>
                    <w:snapToGrid w:val="0"/>
                    <w:spacing w:line="360" w:lineRule="exact"/>
                    <w:jc w:val="center"/>
                    <w:rPr>
                      <w:rFonts w:hint="default" w:ascii="Times New Roman" w:hAnsi="Times New Roman"/>
                      <w:color w:val="auto"/>
                      <w:szCs w:val="21"/>
                      <w:lang w:val="en-US"/>
                    </w:rPr>
                  </w:pPr>
                  <w:r>
                    <w:rPr>
                      <w:rFonts w:hint="eastAsia" w:ascii="Times New Roman" w:hAnsi="Times New Roman"/>
                      <w:color w:val="auto"/>
                      <w:szCs w:val="21"/>
                      <w:lang w:val="en-US" w:eastAsia="zh-CN"/>
                    </w:rPr>
                    <w:t>2.5</w:t>
                  </w:r>
                </w:p>
              </w:tc>
              <w:tc>
                <w:tcPr>
                  <w:tcW w:w="1057" w:type="dxa"/>
                  <w:vMerge w:val="restart"/>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可研</w:t>
                  </w:r>
                  <w:r>
                    <w:rPr>
                      <w:rFonts w:ascii="Times New Roman" w:hAnsi="Times New Roman"/>
                      <w:color w:val="auto"/>
                      <w:szCs w:val="21"/>
                    </w:rPr>
                    <w:t>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16" w:hRule="atLeast"/>
                <w:jc w:val="center"/>
              </w:trPr>
              <w:tc>
                <w:tcPr>
                  <w:tcW w:w="691" w:type="dxa"/>
                  <w:vMerge w:val="continue"/>
                  <w:vAlign w:val="center"/>
                </w:tcPr>
                <w:p>
                  <w:pPr>
                    <w:adjustRightInd w:val="0"/>
                    <w:snapToGrid w:val="0"/>
                    <w:spacing w:line="360" w:lineRule="exact"/>
                    <w:jc w:val="center"/>
                    <w:rPr>
                      <w:color w:val="auto"/>
                    </w:rPr>
                  </w:pPr>
                </w:p>
              </w:tc>
              <w:tc>
                <w:tcPr>
                  <w:tcW w:w="392" w:type="dxa"/>
                  <w:vMerge w:val="continue"/>
                  <w:tcBorders>
                    <w:right w:val="single" w:color="auto" w:sz="4" w:space="0"/>
                  </w:tcBorders>
                  <w:vAlign w:val="center"/>
                </w:tcPr>
                <w:p>
                  <w:pPr>
                    <w:adjustRightInd w:val="0"/>
                    <w:snapToGrid w:val="0"/>
                    <w:spacing w:line="360" w:lineRule="exact"/>
                    <w:jc w:val="center"/>
                    <w:rPr>
                      <w:color w:val="auto"/>
                    </w:rPr>
                  </w:pPr>
                </w:p>
              </w:tc>
              <w:tc>
                <w:tcPr>
                  <w:tcW w:w="1033" w:type="dxa"/>
                  <w:vMerge w:val="continue"/>
                  <w:tcBorders>
                    <w:left w:val="single" w:color="auto" w:sz="4" w:space="0"/>
                    <w:right w:val="single" w:color="auto" w:sz="4" w:space="0"/>
                  </w:tcBorders>
                  <w:vAlign w:val="center"/>
                </w:tcPr>
                <w:p>
                  <w:pPr>
                    <w:adjustRightInd w:val="0"/>
                    <w:snapToGrid w:val="0"/>
                    <w:spacing w:line="360" w:lineRule="exact"/>
                    <w:jc w:val="center"/>
                    <w:rPr>
                      <w:color w:val="auto"/>
                    </w:rPr>
                  </w:pPr>
                </w:p>
              </w:tc>
              <w:tc>
                <w:tcPr>
                  <w:tcW w:w="1344" w:type="dxa"/>
                  <w:tcBorders>
                    <w:left w:val="single" w:color="auto" w:sz="4" w:space="0"/>
                  </w:tcBorders>
                  <w:vAlign w:val="center"/>
                </w:tcPr>
                <w:p>
                  <w:pPr>
                    <w:adjustRightInd w:val="0"/>
                    <w:snapToGrid w:val="0"/>
                    <w:spacing w:line="360" w:lineRule="exact"/>
                    <w:jc w:val="center"/>
                    <w:rPr>
                      <w:color w:val="auto"/>
                    </w:rPr>
                  </w:pPr>
                  <w:r>
                    <w:rPr>
                      <w:rFonts w:hint="eastAsia"/>
                      <w:color w:val="auto"/>
                    </w:rPr>
                    <w:t>化粪池</w:t>
                  </w:r>
                </w:p>
              </w:tc>
              <w:tc>
                <w:tcPr>
                  <w:tcW w:w="2751" w:type="dxa"/>
                  <w:tcBorders>
                    <w:left w:val="single" w:color="auto" w:sz="4" w:space="0"/>
                  </w:tcBorders>
                  <w:vAlign w:val="center"/>
                </w:tcPr>
                <w:p>
                  <w:pPr>
                    <w:adjustRightInd w:val="0"/>
                    <w:snapToGrid w:val="0"/>
                    <w:spacing w:line="360" w:lineRule="exact"/>
                    <w:jc w:val="center"/>
                    <w:rPr>
                      <w:color w:val="auto"/>
                    </w:rPr>
                  </w:pPr>
                  <w:r>
                    <w:rPr>
                      <w:color w:val="auto"/>
                    </w:rPr>
                    <w:t>1个10m</w:t>
                  </w:r>
                  <w:r>
                    <w:rPr>
                      <w:color w:val="auto"/>
                      <w:vertAlign w:val="superscript"/>
                    </w:rPr>
                    <w:t>3</w:t>
                  </w:r>
                  <w:r>
                    <w:rPr>
                      <w:rFonts w:hint="eastAsia"/>
                      <w:color w:val="auto"/>
                    </w:rPr>
                    <w:t>。</w:t>
                  </w:r>
                </w:p>
              </w:tc>
              <w:tc>
                <w:tcPr>
                  <w:tcW w:w="975" w:type="dxa"/>
                  <w:vMerge w:val="continue"/>
                  <w:vAlign w:val="center"/>
                </w:tcPr>
                <w:p>
                  <w:pPr>
                    <w:adjustRightInd w:val="0"/>
                    <w:snapToGrid w:val="0"/>
                    <w:spacing w:line="360" w:lineRule="exact"/>
                    <w:jc w:val="center"/>
                    <w:rPr>
                      <w:color w:val="auto"/>
                    </w:rPr>
                  </w:pPr>
                </w:p>
              </w:tc>
              <w:tc>
                <w:tcPr>
                  <w:tcW w:w="1057" w:type="dxa"/>
                  <w:vMerge w:val="continue"/>
                  <w:vAlign w:val="center"/>
                </w:tcPr>
                <w:p>
                  <w:pPr>
                    <w:adjustRightInd w:val="0"/>
                    <w:snapToGrid w:val="0"/>
                    <w:spacing w:line="360" w:lineRule="exact"/>
                    <w:jc w:val="center"/>
                    <w:rPr>
                      <w:color w:val="auto"/>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16" w:hRule="atLeast"/>
                <w:jc w:val="center"/>
              </w:trPr>
              <w:tc>
                <w:tcPr>
                  <w:tcW w:w="691" w:type="dxa"/>
                  <w:vMerge w:val="continue"/>
                  <w:vAlign w:val="center"/>
                </w:tcPr>
                <w:p>
                  <w:pPr>
                    <w:adjustRightInd w:val="0"/>
                    <w:snapToGrid w:val="0"/>
                    <w:spacing w:line="360" w:lineRule="exact"/>
                    <w:jc w:val="center"/>
                    <w:rPr>
                      <w:color w:val="auto"/>
                    </w:rPr>
                  </w:pPr>
                </w:p>
              </w:tc>
              <w:tc>
                <w:tcPr>
                  <w:tcW w:w="392" w:type="dxa"/>
                  <w:vMerge w:val="continue"/>
                  <w:tcBorders>
                    <w:right w:val="single" w:color="auto" w:sz="4" w:space="0"/>
                  </w:tcBorders>
                  <w:vAlign w:val="center"/>
                </w:tcPr>
                <w:p>
                  <w:pPr>
                    <w:adjustRightInd w:val="0"/>
                    <w:snapToGrid w:val="0"/>
                    <w:spacing w:line="360" w:lineRule="exact"/>
                    <w:jc w:val="center"/>
                    <w:rPr>
                      <w:color w:val="auto"/>
                    </w:rPr>
                  </w:pPr>
                </w:p>
              </w:tc>
              <w:tc>
                <w:tcPr>
                  <w:tcW w:w="1033" w:type="dxa"/>
                  <w:vMerge w:val="continue"/>
                  <w:tcBorders>
                    <w:left w:val="single" w:color="auto" w:sz="4" w:space="0"/>
                    <w:right w:val="single" w:color="auto" w:sz="4" w:space="0"/>
                  </w:tcBorders>
                  <w:vAlign w:val="center"/>
                </w:tcPr>
                <w:p>
                  <w:pPr>
                    <w:adjustRightInd w:val="0"/>
                    <w:snapToGrid w:val="0"/>
                    <w:spacing w:line="360" w:lineRule="exact"/>
                    <w:jc w:val="center"/>
                    <w:rPr>
                      <w:color w:val="auto"/>
                    </w:rPr>
                  </w:pPr>
                </w:p>
              </w:tc>
              <w:tc>
                <w:tcPr>
                  <w:tcW w:w="1344" w:type="dxa"/>
                  <w:tcBorders>
                    <w:left w:val="single" w:color="auto" w:sz="4" w:space="0"/>
                  </w:tcBorders>
                  <w:vAlign w:val="center"/>
                </w:tcPr>
                <w:p>
                  <w:pPr>
                    <w:adjustRightInd w:val="0"/>
                    <w:snapToGrid w:val="0"/>
                    <w:spacing w:line="360" w:lineRule="exact"/>
                    <w:jc w:val="center"/>
                    <w:rPr>
                      <w:rFonts w:hint="eastAsia" w:eastAsia="宋体"/>
                      <w:color w:val="auto"/>
                      <w:lang w:eastAsia="zh-CN"/>
                    </w:rPr>
                  </w:pPr>
                  <w:r>
                    <w:rPr>
                      <w:rFonts w:hint="eastAsia"/>
                      <w:color w:val="auto"/>
                      <w:lang w:eastAsia="zh-CN"/>
                    </w:rPr>
                    <w:t>蓄水池</w:t>
                  </w:r>
                </w:p>
              </w:tc>
              <w:tc>
                <w:tcPr>
                  <w:tcW w:w="2751" w:type="dxa"/>
                  <w:tcBorders>
                    <w:left w:val="single" w:color="auto" w:sz="4" w:space="0"/>
                  </w:tcBorders>
                  <w:vAlign w:val="center"/>
                </w:tcPr>
                <w:p>
                  <w:pPr>
                    <w:adjustRightInd w:val="0"/>
                    <w:snapToGrid w:val="0"/>
                    <w:spacing w:line="360" w:lineRule="exact"/>
                    <w:jc w:val="center"/>
                    <w:rPr>
                      <w:color w:val="auto"/>
                    </w:rPr>
                  </w:pPr>
                  <w:r>
                    <w:rPr>
                      <w:rFonts w:hint="eastAsia"/>
                      <w:color w:val="auto"/>
                    </w:rPr>
                    <w:t>1</w:t>
                  </w:r>
                  <w:r>
                    <w:rPr>
                      <w:color w:val="auto"/>
                    </w:rPr>
                    <w:t>个</w:t>
                  </w:r>
                  <w:r>
                    <w:rPr>
                      <w:rFonts w:hint="eastAsia"/>
                      <w:color w:val="auto"/>
                      <w:lang w:val="en-US" w:eastAsia="zh-CN"/>
                    </w:rPr>
                    <w:t>40</w:t>
                  </w:r>
                  <w:r>
                    <w:rPr>
                      <w:color w:val="auto"/>
                    </w:rPr>
                    <w:t>m</w:t>
                  </w:r>
                  <w:r>
                    <w:rPr>
                      <w:color w:val="auto"/>
                      <w:vertAlign w:val="superscript"/>
                    </w:rPr>
                    <w:t>3</w:t>
                  </w:r>
                  <w:r>
                    <w:rPr>
                      <w:rFonts w:hint="eastAsia"/>
                      <w:color w:val="auto"/>
                    </w:rPr>
                    <w:t>。</w:t>
                  </w:r>
                </w:p>
              </w:tc>
              <w:tc>
                <w:tcPr>
                  <w:tcW w:w="975" w:type="dxa"/>
                  <w:vMerge w:val="restart"/>
                  <w:vAlign w:val="center"/>
                </w:tcPr>
                <w:p>
                  <w:pPr>
                    <w:adjustRightInd w:val="0"/>
                    <w:snapToGrid w:val="0"/>
                    <w:spacing w:line="360" w:lineRule="exact"/>
                    <w:jc w:val="center"/>
                    <w:rPr>
                      <w:rFonts w:hint="default" w:eastAsia="宋体"/>
                      <w:color w:val="auto"/>
                      <w:lang w:val="en-US" w:eastAsia="zh-CN"/>
                    </w:rPr>
                  </w:pPr>
                  <w:r>
                    <w:rPr>
                      <w:rFonts w:hint="eastAsia"/>
                      <w:color w:val="auto"/>
                      <w:lang w:val="en-US" w:eastAsia="zh-CN"/>
                    </w:rPr>
                    <w:t>11.5</w:t>
                  </w:r>
                </w:p>
              </w:tc>
              <w:tc>
                <w:tcPr>
                  <w:tcW w:w="1057" w:type="dxa"/>
                  <w:vMerge w:val="restart"/>
                  <w:vAlign w:val="center"/>
                </w:tcPr>
                <w:p>
                  <w:pPr>
                    <w:adjustRightInd w:val="0"/>
                    <w:snapToGrid w:val="0"/>
                    <w:spacing w:line="360" w:lineRule="exact"/>
                    <w:jc w:val="center"/>
                    <w:rPr>
                      <w:rFonts w:hint="eastAsia" w:eastAsia="宋体"/>
                      <w:color w:val="auto"/>
                      <w:lang w:eastAsia="zh-CN"/>
                    </w:rPr>
                  </w:pPr>
                  <w:r>
                    <w:rPr>
                      <w:rFonts w:hint="eastAsia"/>
                      <w:color w:val="auto"/>
                      <w:lang w:eastAsia="zh-CN"/>
                    </w:rPr>
                    <w:t>环评提出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716" w:hRule="atLeast"/>
                <w:jc w:val="center"/>
              </w:trPr>
              <w:tc>
                <w:tcPr>
                  <w:tcW w:w="691" w:type="dxa"/>
                  <w:vMerge w:val="continue"/>
                  <w:vAlign w:val="center"/>
                </w:tcPr>
                <w:p>
                  <w:pPr>
                    <w:adjustRightInd w:val="0"/>
                    <w:snapToGrid w:val="0"/>
                    <w:spacing w:line="360" w:lineRule="exact"/>
                    <w:jc w:val="center"/>
                    <w:rPr>
                      <w:color w:val="auto"/>
                    </w:rPr>
                  </w:pPr>
                </w:p>
              </w:tc>
              <w:tc>
                <w:tcPr>
                  <w:tcW w:w="392" w:type="dxa"/>
                  <w:vMerge w:val="continue"/>
                  <w:tcBorders>
                    <w:right w:val="single" w:color="auto" w:sz="4" w:space="0"/>
                  </w:tcBorders>
                  <w:vAlign w:val="center"/>
                </w:tcPr>
                <w:p>
                  <w:pPr>
                    <w:adjustRightInd w:val="0"/>
                    <w:snapToGrid w:val="0"/>
                    <w:spacing w:line="360" w:lineRule="exact"/>
                    <w:jc w:val="center"/>
                    <w:rPr>
                      <w:color w:val="auto"/>
                    </w:rPr>
                  </w:pPr>
                </w:p>
              </w:tc>
              <w:tc>
                <w:tcPr>
                  <w:tcW w:w="1033" w:type="dxa"/>
                  <w:vMerge w:val="continue"/>
                  <w:tcBorders>
                    <w:left w:val="single" w:color="auto" w:sz="4" w:space="0"/>
                    <w:right w:val="single" w:color="auto" w:sz="4" w:space="0"/>
                  </w:tcBorders>
                  <w:vAlign w:val="center"/>
                </w:tcPr>
                <w:p>
                  <w:pPr>
                    <w:adjustRightInd w:val="0"/>
                    <w:snapToGrid w:val="0"/>
                    <w:spacing w:line="360" w:lineRule="exact"/>
                    <w:jc w:val="center"/>
                    <w:rPr>
                      <w:color w:val="auto"/>
                    </w:rPr>
                  </w:pPr>
                </w:p>
              </w:tc>
              <w:tc>
                <w:tcPr>
                  <w:tcW w:w="1344" w:type="dxa"/>
                  <w:tcBorders>
                    <w:left w:val="single" w:color="auto" w:sz="4" w:space="0"/>
                  </w:tcBorders>
                  <w:vAlign w:val="center"/>
                </w:tcPr>
                <w:p>
                  <w:pPr>
                    <w:adjustRightInd w:val="0"/>
                    <w:snapToGrid w:val="0"/>
                    <w:spacing w:line="360" w:lineRule="exact"/>
                    <w:jc w:val="center"/>
                    <w:rPr>
                      <w:rFonts w:hint="eastAsia"/>
                      <w:color w:val="auto"/>
                      <w:lang w:eastAsia="zh-CN"/>
                    </w:rPr>
                  </w:pPr>
                  <w:r>
                    <w:rPr>
                      <w:rFonts w:hint="eastAsia"/>
                      <w:color w:val="auto"/>
                      <w:lang w:eastAsia="zh-CN"/>
                    </w:rPr>
                    <w:t>中水处理站</w:t>
                  </w:r>
                </w:p>
              </w:tc>
              <w:tc>
                <w:tcPr>
                  <w:tcW w:w="2751" w:type="dxa"/>
                  <w:tcBorders>
                    <w:left w:val="single" w:color="auto" w:sz="4" w:space="0"/>
                  </w:tcBorders>
                  <w:vAlign w:val="center"/>
                </w:tcPr>
                <w:p>
                  <w:pPr>
                    <w:adjustRightInd w:val="0"/>
                    <w:snapToGrid w:val="0"/>
                    <w:spacing w:line="360" w:lineRule="exact"/>
                    <w:jc w:val="center"/>
                    <w:rPr>
                      <w:rFonts w:hint="eastAsia" w:eastAsia="宋体"/>
                      <w:color w:val="auto"/>
                      <w:lang w:val="en-US" w:eastAsia="zh-CN"/>
                    </w:rPr>
                  </w:pPr>
                  <w:r>
                    <w:rPr>
                      <w:rFonts w:hint="eastAsia"/>
                      <w:color w:val="auto"/>
                      <w:lang w:val="en-US" w:eastAsia="zh-CN"/>
                    </w:rPr>
                    <w:t>1座，处理规模为8m</w:t>
                  </w:r>
                  <w:r>
                    <w:rPr>
                      <w:rFonts w:hint="eastAsia"/>
                      <w:color w:val="auto"/>
                      <w:vertAlign w:val="superscript"/>
                      <w:lang w:val="en-US" w:eastAsia="zh-CN"/>
                    </w:rPr>
                    <w:t>3</w:t>
                  </w:r>
                  <w:r>
                    <w:rPr>
                      <w:rFonts w:hint="eastAsia"/>
                      <w:color w:val="auto"/>
                      <w:lang w:val="en-US" w:eastAsia="zh-CN"/>
                    </w:rPr>
                    <w:t>/d，采用“A/O”污水处理工艺</w:t>
                  </w:r>
                </w:p>
              </w:tc>
              <w:tc>
                <w:tcPr>
                  <w:tcW w:w="975" w:type="dxa"/>
                  <w:vMerge w:val="continue"/>
                  <w:vAlign w:val="center"/>
                </w:tcPr>
                <w:p>
                  <w:pPr>
                    <w:adjustRightInd w:val="0"/>
                    <w:snapToGrid w:val="0"/>
                    <w:spacing w:line="360" w:lineRule="exact"/>
                    <w:jc w:val="center"/>
                    <w:rPr>
                      <w:rFonts w:hint="default" w:eastAsia="宋体"/>
                      <w:color w:val="auto"/>
                      <w:lang w:val="en-US" w:eastAsia="zh-CN"/>
                    </w:rPr>
                  </w:pPr>
                </w:p>
              </w:tc>
              <w:tc>
                <w:tcPr>
                  <w:tcW w:w="1057" w:type="dxa"/>
                  <w:vMerge w:val="continue"/>
                  <w:vAlign w:val="center"/>
                </w:tcPr>
                <w:p>
                  <w:pPr>
                    <w:adjustRightInd w:val="0"/>
                    <w:snapToGrid w:val="0"/>
                    <w:spacing w:line="360" w:lineRule="exact"/>
                    <w:jc w:val="center"/>
                    <w:rPr>
                      <w:rFonts w:hint="eastAsia" w:eastAsia="宋体"/>
                      <w:color w:val="auto"/>
                      <w:lang w:eastAsia="zh-CN"/>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continue"/>
                  <w:vAlign w:val="center"/>
                </w:tcPr>
                <w:p>
                  <w:pPr>
                    <w:adjustRightInd w:val="0"/>
                    <w:snapToGrid w:val="0"/>
                    <w:spacing w:line="360" w:lineRule="exact"/>
                    <w:jc w:val="center"/>
                    <w:rPr>
                      <w:rFonts w:ascii="Times New Roman" w:hAnsi="Times New Roman"/>
                      <w:color w:val="auto"/>
                      <w:szCs w:val="21"/>
                    </w:rPr>
                  </w:pPr>
                </w:p>
              </w:tc>
              <w:tc>
                <w:tcPr>
                  <w:tcW w:w="392" w:type="dxa"/>
                  <w:vMerge w:val="restart"/>
                  <w:tcBorders>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废气</w:t>
                  </w:r>
                </w:p>
              </w:tc>
              <w:tc>
                <w:tcPr>
                  <w:tcW w:w="1033" w:type="dxa"/>
                  <w:tcBorders>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食堂油烟</w:t>
                  </w:r>
                </w:p>
              </w:tc>
              <w:tc>
                <w:tcPr>
                  <w:tcW w:w="4095" w:type="dxa"/>
                  <w:gridSpan w:val="2"/>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油烟净化器，内置烟道，高于屋顶1.5m高的排气筒</w:t>
                  </w:r>
                </w:p>
              </w:tc>
              <w:tc>
                <w:tcPr>
                  <w:tcW w:w="975"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lang w:val="en-US" w:eastAsia="zh-CN"/>
                    </w:rPr>
                    <w:t>1</w:t>
                  </w:r>
                  <w:r>
                    <w:rPr>
                      <w:rFonts w:ascii="Times New Roman" w:hAnsi="Times New Roman"/>
                      <w:color w:val="auto"/>
                      <w:szCs w:val="21"/>
                    </w:rPr>
                    <w:t>.5</w:t>
                  </w:r>
                </w:p>
              </w:tc>
              <w:tc>
                <w:tcPr>
                  <w:tcW w:w="1057"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continue"/>
                  <w:vAlign w:val="center"/>
                </w:tcPr>
                <w:p>
                  <w:pPr>
                    <w:adjustRightInd w:val="0"/>
                    <w:snapToGrid w:val="0"/>
                    <w:spacing w:line="360" w:lineRule="exact"/>
                    <w:jc w:val="center"/>
                    <w:rPr>
                      <w:rFonts w:ascii="Times New Roman" w:hAnsi="Times New Roman"/>
                      <w:color w:val="auto"/>
                      <w:szCs w:val="21"/>
                    </w:rPr>
                  </w:pPr>
                </w:p>
              </w:tc>
              <w:tc>
                <w:tcPr>
                  <w:tcW w:w="392" w:type="dxa"/>
                  <w:vMerge w:val="continue"/>
                  <w:tcBorders>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p>
              </w:tc>
              <w:tc>
                <w:tcPr>
                  <w:tcW w:w="1033" w:type="dxa"/>
                  <w:tcBorders>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无组织粉尘</w:t>
                  </w:r>
                </w:p>
              </w:tc>
              <w:tc>
                <w:tcPr>
                  <w:tcW w:w="4095" w:type="dxa"/>
                  <w:gridSpan w:val="2"/>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碎石、河沙、机制砂堆棚</w:t>
                  </w:r>
                  <w:r>
                    <w:rPr>
                      <w:rFonts w:ascii="Times New Roman" w:hAnsi="Times New Roman"/>
                      <w:color w:val="auto"/>
                      <w:szCs w:val="21"/>
                    </w:rPr>
                    <w:t>设置</w:t>
                  </w:r>
                  <w:r>
                    <w:rPr>
                      <w:rFonts w:hint="eastAsia" w:ascii="Times New Roman" w:hAnsi="Times New Roman"/>
                      <w:color w:val="auto"/>
                      <w:szCs w:val="21"/>
                    </w:rPr>
                    <w:t>彩钢瓦</w:t>
                  </w:r>
                  <w:r>
                    <w:rPr>
                      <w:rFonts w:ascii="Times New Roman" w:hAnsi="Times New Roman"/>
                      <w:color w:val="auto"/>
                      <w:szCs w:val="21"/>
                    </w:rPr>
                    <w:t>顶棚及挡墙，设置</w:t>
                  </w:r>
                  <w:r>
                    <w:rPr>
                      <w:rFonts w:ascii="Times New Roman" w:hAnsi="Times New Roman"/>
                      <w:color w:val="auto"/>
                      <w:kern w:val="0"/>
                      <w:szCs w:val="21"/>
                    </w:rPr>
                    <w:t>喷雾洒水降尘措</w:t>
                  </w:r>
                  <w:r>
                    <w:rPr>
                      <w:rFonts w:ascii="Times New Roman" w:hAnsi="Times New Roman"/>
                      <w:color w:val="auto"/>
                      <w:szCs w:val="21"/>
                    </w:rPr>
                    <w:t>施</w:t>
                  </w:r>
                </w:p>
              </w:tc>
              <w:tc>
                <w:tcPr>
                  <w:tcW w:w="975" w:type="dxa"/>
                  <w:vAlign w:val="center"/>
                </w:tcPr>
                <w:p>
                  <w:pPr>
                    <w:adjustRightInd w:val="0"/>
                    <w:snapToGrid w:val="0"/>
                    <w:spacing w:line="360" w:lineRule="exact"/>
                    <w:jc w:val="center"/>
                    <w:rPr>
                      <w:rFonts w:hint="default" w:ascii="Times New Roman" w:hAnsi="Times New Roman" w:eastAsia="宋体"/>
                      <w:color w:val="auto"/>
                      <w:szCs w:val="21"/>
                      <w:lang w:val="en-US" w:eastAsia="zh-CN"/>
                    </w:rPr>
                  </w:pPr>
                  <w:r>
                    <w:rPr>
                      <w:rFonts w:hint="eastAsia" w:ascii="Times New Roman" w:hAnsi="Times New Roman"/>
                      <w:color w:val="auto"/>
                      <w:szCs w:val="21"/>
                    </w:rPr>
                    <w:t>10</w:t>
                  </w:r>
                  <w:r>
                    <w:rPr>
                      <w:rFonts w:hint="eastAsia" w:ascii="Times New Roman" w:hAnsi="Times New Roman"/>
                      <w:color w:val="auto"/>
                      <w:szCs w:val="21"/>
                      <w:lang w:val="en-US" w:eastAsia="zh-CN"/>
                    </w:rPr>
                    <w:t>.0</w:t>
                  </w:r>
                </w:p>
              </w:tc>
              <w:tc>
                <w:tcPr>
                  <w:tcW w:w="1057"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可研</w:t>
                  </w:r>
                  <w:r>
                    <w:rPr>
                      <w:rFonts w:ascii="Times New Roman" w:hAnsi="Times New Roman"/>
                      <w:color w:val="auto"/>
                      <w:szCs w:val="21"/>
                    </w:rPr>
                    <w:t>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72" w:hRule="atLeast"/>
                <w:jc w:val="center"/>
              </w:trPr>
              <w:tc>
                <w:tcPr>
                  <w:tcW w:w="691" w:type="dxa"/>
                  <w:vMerge w:val="continue"/>
                  <w:vAlign w:val="center"/>
                </w:tcPr>
                <w:p>
                  <w:pPr>
                    <w:adjustRightInd w:val="0"/>
                    <w:snapToGrid w:val="0"/>
                    <w:spacing w:line="360" w:lineRule="exact"/>
                    <w:jc w:val="center"/>
                    <w:rPr>
                      <w:rFonts w:ascii="Times New Roman" w:hAnsi="Times New Roman"/>
                      <w:color w:val="auto"/>
                      <w:szCs w:val="21"/>
                    </w:rPr>
                  </w:pPr>
                </w:p>
              </w:tc>
              <w:tc>
                <w:tcPr>
                  <w:tcW w:w="392" w:type="dxa"/>
                  <w:vMerge w:val="continue"/>
                  <w:tcBorders>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p>
              </w:tc>
              <w:tc>
                <w:tcPr>
                  <w:tcW w:w="1033" w:type="dxa"/>
                  <w:tcBorders>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kern w:val="0"/>
                      <w:szCs w:val="21"/>
                    </w:rPr>
                    <w:t>水泥料仓</w:t>
                  </w:r>
                </w:p>
              </w:tc>
              <w:tc>
                <w:tcPr>
                  <w:tcW w:w="4095" w:type="dxa"/>
                  <w:gridSpan w:val="2"/>
                  <w:tcBorders>
                    <w:left w:val="single" w:color="auto" w:sz="4" w:space="0"/>
                  </w:tcBorders>
                  <w:vAlign w:val="center"/>
                </w:tcPr>
                <w:p>
                  <w:pPr>
                    <w:adjustRightInd w:val="0"/>
                    <w:snapToGrid w:val="0"/>
                    <w:spacing w:line="360" w:lineRule="exact"/>
                    <w:jc w:val="center"/>
                    <w:rPr>
                      <w:rFonts w:hint="default" w:ascii="Times New Roman" w:hAnsi="Times New Roman" w:eastAsia="宋体"/>
                      <w:color w:val="auto"/>
                      <w:szCs w:val="21"/>
                      <w:lang w:val="en-US" w:eastAsia="zh-CN"/>
                    </w:rPr>
                  </w:pPr>
                  <w:r>
                    <w:rPr>
                      <w:rFonts w:hint="eastAsia" w:ascii="Times New Roman" w:hAnsi="Times New Roman"/>
                      <w:color w:val="auto"/>
                      <w:szCs w:val="21"/>
                    </w:rPr>
                    <w:t>8套SV-Z1型布袋除尘器（效率99.</w:t>
                  </w:r>
                  <w:r>
                    <w:rPr>
                      <w:rFonts w:hint="eastAsia" w:ascii="Times New Roman" w:hAnsi="Times New Roman"/>
                      <w:color w:val="auto"/>
                      <w:szCs w:val="21"/>
                      <w:lang w:val="en-US" w:eastAsia="zh-CN"/>
                    </w:rPr>
                    <w:t>8</w:t>
                  </w:r>
                  <w:r>
                    <w:rPr>
                      <w:rFonts w:hint="eastAsia" w:ascii="Times New Roman" w:hAnsi="Times New Roman"/>
                      <w:color w:val="auto"/>
                      <w:szCs w:val="21"/>
                    </w:rPr>
                    <w:t>%布袋除尘，风量</w:t>
                  </w:r>
                  <w:r>
                    <w:rPr>
                      <w:rFonts w:hint="eastAsia" w:ascii="Times New Roman" w:hAnsi="Times New Roman"/>
                      <w:color w:val="auto"/>
                      <w:szCs w:val="21"/>
                      <w:lang w:val="en-US" w:eastAsia="zh-CN"/>
                    </w:rPr>
                    <w:t>2</w:t>
                  </w:r>
                  <w:r>
                    <w:rPr>
                      <w:rFonts w:hint="eastAsia" w:ascii="Times New Roman" w:hAnsi="Times New Roman"/>
                      <w:color w:val="auto"/>
                      <w:szCs w:val="21"/>
                    </w:rPr>
                    <w:t>0000Nm</w:t>
                  </w:r>
                  <w:r>
                    <w:rPr>
                      <w:rFonts w:hint="eastAsia" w:ascii="Times New Roman" w:hAnsi="Times New Roman"/>
                      <w:color w:val="auto"/>
                      <w:szCs w:val="21"/>
                      <w:vertAlign w:val="superscript"/>
                    </w:rPr>
                    <w:t>3</w:t>
                  </w:r>
                  <w:r>
                    <w:rPr>
                      <w:rFonts w:hint="eastAsia" w:ascii="Times New Roman" w:hAnsi="Times New Roman"/>
                      <w:color w:val="auto"/>
                      <w:szCs w:val="21"/>
                    </w:rPr>
                    <w:t>/h），处理后，由仓顶排放，排放高度为15m（水泥仓高13.5m+排气筒1.5m，∮=0.3m）</w:t>
                  </w:r>
                  <w:r>
                    <w:rPr>
                      <w:rFonts w:hint="eastAsia" w:ascii="Times New Roman" w:hAnsi="Times New Roman"/>
                      <w:color w:val="auto"/>
                      <w:szCs w:val="21"/>
                      <w:lang w:eastAsia="zh-CN"/>
                    </w:rPr>
                    <w:t>，</w:t>
                  </w:r>
                  <w:r>
                    <w:rPr>
                      <w:rFonts w:hint="eastAsia" w:ascii="Times New Roman" w:hAnsi="Times New Roman"/>
                      <w:color w:val="auto"/>
                      <w:szCs w:val="21"/>
                      <w:lang w:val="en-US" w:eastAsia="zh-CN"/>
                    </w:rPr>
                    <w:t>1#、2#、3#、4#、5#、6#、7#、8#排气筒。</w:t>
                  </w:r>
                </w:p>
              </w:tc>
              <w:tc>
                <w:tcPr>
                  <w:tcW w:w="975" w:type="dxa"/>
                  <w:vMerge w:val="restart"/>
                  <w:vAlign w:val="center"/>
                </w:tcPr>
                <w:p>
                  <w:pPr>
                    <w:adjustRightInd w:val="0"/>
                    <w:snapToGrid w:val="0"/>
                    <w:spacing w:line="360" w:lineRule="exact"/>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24.0</w:t>
                  </w:r>
                </w:p>
              </w:tc>
              <w:tc>
                <w:tcPr>
                  <w:tcW w:w="1057" w:type="dxa"/>
                  <w:vMerge w:val="restart"/>
                  <w:vAlign w:val="center"/>
                </w:tcPr>
                <w:p>
                  <w:pPr>
                    <w:adjustRightInd w:val="0"/>
                    <w:snapToGrid w:val="0"/>
                    <w:spacing w:line="360" w:lineRule="exact"/>
                    <w:jc w:val="center"/>
                    <w:rPr>
                      <w:rFonts w:hint="eastAsia" w:ascii="Times New Roman" w:hAnsi="Times New Roman" w:eastAsia="宋体"/>
                      <w:color w:val="auto"/>
                      <w:szCs w:val="21"/>
                      <w:lang w:eastAsia="zh-CN"/>
                    </w:rPr>
                  </w:pPr>
                  <w:r>
                    <w:rPr>
                      <w:rFonts w:hint="eastAsia"/>
                      <w:color w:val="auto"/>
                      <w:lang w:eastAsia="zh-CN"/>
                    </w:rPr>
                    <w:t>设备自带</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91" w:type="dxa"/>
                  <w:vMerge w:val="continue"/>
                  <w:vAlign w:val="center"/>
                </w:tcPr>
                <w:p>
                  <w:pPr>
                    <w:adjustRightInd w:val="0"/>
                    <w:snapToGrid w:val="0"/>
                    <w:spacing w:line="360" w:lineRule="exact"/>
                    <w:jc w:val="center"/>
                    <w:rPr>
                      <w:color w:val="auto"/>
                    </w:rPr>
                  </w:pPr>
                </w:p>
              </w:tc>
              <w:tc>
                <w:tcPr>
                  <w:tcW w:w="392" w:type="dxa"/>
                  <w:vMerge w:val="continue"/>
                  <w:tcBorders>
                    <w:left w:val="single" w:color="auto" w:sz="4" w:space="0"/>
                    <w:right w:val="single" w:color="auto" w:sz="4" w:space="0"/>
                  </w:tcBorders>
                  <w:vAlign w:val="center"/>
                </w:tcPr>
                <w:p>
                  <w:pPr>
                    <w:adjustRightInd w:val="0"/>
                    <w:snapToGrid w:val="0"/>
                    <w:spacing w:line="360" w:lineRule="exact"/>
                    <w:jc w:val="center"/>
                    <w:rPr>
                      <w:color w:val="auto"/>
                    </w:rPr>
                  </w:pPr>
                </w:p>
              </w:tc>
              <w:tc>
                <w:tcPr>
                  <w:tcW w:w="1033" w:type="dxa"/>
                  <w:tcBorders>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kern w:val="0"/>
                      <w:szCs w:val="21"/>
                    </w:rPr>
                  </w:pPr>
                  <w:r>
                    <w:rPr>
                      <w:rFonts w:hint="eastAsia" w:ascii="Times New Roman" w:hAnsi="Times New Roman"/>
                      <w:color w:val="auto"/>
                      <w:kern w:val="0"/>
                      <w:szCs w:val="21"/>
                    </w:rPr>
                    <w:t>粉煤灰料仓</w:t>
                  </w:r>
                </w:p>
              </w:tc>
              <w:tc>
                <w:tcPr>
                  <w:tcW w:w="4095" w:type="dxa"/>
                  <w:gridSpan w:val="2"/>
                  <w:tcBorders>
                    <w:left w:val="single" w:color="auto" w:sz="4" w:space="0"/>
                  </w:tcBorders>
                  <w:vAlign w:val="center"/>
                </w:tcPr>
                <w:p>
                  <w:pPr>
                    <w:adjustRightInd w:val="0"/>
                    <w:snapToGrid w:val="0"/>
                    <w:spacing w:line="360" w:lineRule="exact"/>
                    <w:jc w:val="center"/>
                    <w:rPr>
                      <w:rFonts w:hint="default" w:ascii="Times New Roman" w:hAnsi="Times New Roman" w:eastAsia="宋体"/>
                      <w:color w:val="auto"/>
                      <w:kern w:val="0"/>
                      <w:szCs w:val="21"/>
                      <w:lang w:val="en-US" w:eastAsia="zh-CN"/>
                    </w:rPr>
                  </w:pPr>
                  <w:r>
                    <w:rPr>
                      <w:rFonts w:hint="eastAsia" w:ascii="Times New Roman" w:hAnsi="Times New Roman"/>
                      <w:color w:val="auto"/>
                      <w:kern w:val="0"/>
                      <w:szCs w:val="21"/>
                    </w:rPr>
                    <w:t>4套SV-Z1型布袋除尘器（效率99.</w:t>
                  </w:r>
                  <w:r>
                    <w:rPr>
                      <w:rFonts w:hint="eastAsia" w:ascii="Times New Roman" w:hAnsi="Times New Roman"/>
                      <w:color w:val="auto"/>
                      <w:kern w:val="0"/>
                      <w:szCs w:val="21"/>
                      <w:lang w:val="en-US" w:eastAsia="zh-CN"/>
                    </w:rPr>
                    <w:t>8</w:t>
                  </w:r>
                  <w:r>
                    <w:rPr>
                      <w:rFonts w:hint="eastAsia" w:ascii="Times New Roman" w:hAnsi="Times New Roman"/>
                      <w:color w:val="auto"/>
                      <w:kern w:val="0"/>
                      <w:szCs w:val="21"/>
                    </w:rPr>
                    <w:t>%布袋除尘，风量</w:t>
                  </w:r>
                  <w:r>
                    <w:rPr>
                      <w:rFonts w:hint="eastAsia" w:ascii="Times New Roman" w:hAnsi="Times New Roman"/>
                      <w:color w:val="auto"/>
                      <w:kern w:val="0"/>
                      <w:szCs w:val="21"/>
                      <w:lang w:val="en-US" w:eastAsia="zh-CN"/>
                    </w:rPr>
                    <w:t>2</w:t>
                  </w:r>
                  <w:r>
                    <w:rPr>
                      <w:rFonts w:hint="eastAsia" w:ascii="Times New Roman" w:hAnsi="Times New Roman"/>
                      <w:color w:val="auto"/>
                      <w:kern w:val="0"/>
                      <w:szCs w:val="21"/>
                    </w:rPr>
                    <w:t>0000Nm</w:t>
                  </w:r>
                  <w:r>
                    <w:rPr>
                      <w:rFonts w:hint="eastAsia" w:ascii="Times New Roman" w:hAnsi="Times New Roman"/>
                      <w:color w:val="auto"/>
                      <w:kern w:val="0"/>
                      <w:szCs w:val="21"/>
                      <w:vertAlign w:val="superscript"/>
                    </w:rPr>
                    <w:t>3</w:t>
                  </w:r>
                  <w:r>
                    <w:rPr>
                      <w:rFonts w:hint="eastAsia" w:ascii="Times New Roman" w:hAnsi="Times New Roman"/>
                      <w:color w:val="auto"/>
                      <w:kern w:val="0"/>
                      <w:szCs w:val="21"/>
                    </w:rPr>
                    <w:t>/h），处理后，由仓顶排放，排放高度为15m（水泥仓高13.5m+排气筒1.5m，∮=0.3m）</w:t>
                  </w:r>
                  <w:r>
                    <w:rPr>
                      <w:rFonts w:hint="eastAsia" w:ascii="Times New Roman" w:hAnsi="Times New Roman"/>
                      <w:color w:val="auto"/>
                      <w:kern w:val="0"/>
                      <w:szCs w:val="21"/>
                      <w:lang w:eastAsia="zh-CN"/>
                    </w:rPr>
                    <w:t>，</w:t>
                  </w:r>
                  <w:r>
                    <w:rPr>
                      <w:rFonts w:hint="eastAsia" w:ascii="Times New Roman" w:hAnsi="Times New Roman"/>
                      <w:color w:val="auto"/>
                      <w:kern w:val="0"/>
                      <w:szCs w:val="21"/>
                      <w:lang w:val="en-US" w:eastAsia="zh-CN"/>
                    </w:rPr>
                    <w:t>1#、2#、3#、4#排气筒。</w:t>
                  </w:r>
                </w:p>
              </w:tc>
              <w:tc>
                <w:tcPr>
                  <w:tcW w:w="975" w:type="dxa"/>
                  <w:vMerge w:val="continue"/>
                  <w:vAlign w:val="center"/>
                </w:tcPr>
                <w:p>
                  <w:pPr>
                    <w:adjustRightInd w:val="0"/>
                    <w:snapToGrid w:val="0"/>
                    <w:spacing w:line="360" w:lineRule="exact"/>
                    <w:jc w:val="center"/>
                    <w:rPr>
                      <w:rFonts w:ascii="Times New Roman" w:hAnsi="Times New Roman"/>
                      <w:color w:val="auto"/>
                      <w:kern w:val="0"/>
                      <w:szCs w:val="21"/>
                    </w:rPr>
                  </w:pPr>
                </w:p>
              </w:tc>
              <w:tc>
                <w:tcPr>
                  <w:tcW w:w="1057" w:type="dxa"/>
                  <w:vMerge w:val="continue"/>
                  <w:vAlign w:val="center"/>
                </w:tcPr>
                <w:p>
                  <w:pPr>
                    <w:adjustRightInd w:val="0"/>
                    <w:snapToGrid w:val="0"/>
                    <w:spacing w:line="360" w:lineRule="exact"/>
                    <w:jc w:val="center"/>
                    <w:rPr>
                      <w:rFonts w:ascii="Times New Roman" w:hAnsi="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continue"/>
                  <w:vAlign w:val="center"/>
                </w:tcPr>
                <w:p>
                  <w:pPr>
                    <w:adjustRightInd w:val="0"/>
                    <w:snapToGrid w:val="0"/>
                    <w:spacing w:line="360" w:lineRule="exact"/>
                    <w:jc w:val="center"/>
                    <w:rPr>
                      <w:rFonts w:ascii="Times New Roman" w:hAnsi="Times New Roman"/>
                      <w:color w:val="auto"/>
                      <w:szCs w:val="21"/>
                    </w:rPr>
                  </w:pPr>
                </w:p>
              </w:tc>
              <w:tc>
                <w:tcPr>
                  <w:tcW w:w="1425" w:type="dxa"/>
                  <w:gridSpan w:val="2"/>
                  <w:tcBorders>
                    <w:top w:val="single" w:color="auto" w:sz="4" w:space="0"/>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噪声</w:t>
                  </w:r>
                </w:p>
              </w:tc>
              <w:tc>
                <w:tcPr>
                  <w:tcW w:w="4095" w:type="dxa"/>
                  <w:gridSpan w:val="2"/>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lang w:val="zh-CN"/>
                    </w:rPr>
                    <w:t>基底减振、消音、厂房隔声等降噪措施</w:t>
                  </w:r>
                </w:p>
              </w:tc>
              <w:tc>
                <w:tcPr>
                  <w:tcW w:w="97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2.0</w:t>
                  </w:r>
                </w:p>
              </w:tc>
              <w:tc>
                <w:tcPr>
                  <w:tcW w:w="1057"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continue"/>
                  <w:vAlign w:val="center"/>
                </w:tcPr>
                <w:p>
                  <w:pPr>
                    <w:adjustRightInd w:val="0"/>
                    <w:snapToGrid w:val="0"/>
                    <w:spacing w:line="360" w:lineRule="exact"/>
                    <w:jc w:val="center"/>
                    <w:rPr>
                      <w:rFonts w:ascii="Times New Roman" w:hAnsi="Times New Roman"/>
                      <w:color w:val="auto"/>
                      <w:szCs w:val="21"/>
                    </w:rPr>
                  </w:pPr>
                </w:p>
              </w:tc>
              <w:tc>
                <w:tcPr>
                  <w:tcW w:w="392" w:type="dxa"/>
                  <w:vMerge w:val="restart"/>
                  <w:tcBorders>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固废</w:t>
                  </w:r>
                </w:p>
              </w:tc>
              <w:tc>
                <w:tcPr>
                  <w:tcW w:w="1033" w:type="dxa"/>
                  <w:tcBorders>
                    <w:left w:val="single" w:color="auto" w:sz="4" w:space="0"/>
                    <w:bottom w:val="single" w:color="auto" w:sz="4" w:space="0"/>
                    <w:right w:val="single" w:color="auto" w:sz="4" w:space="0"/>
                  </w:tcBorders>
                  <w:vAlign w:val="center"/>
                </w:tcPr>
                <w:p>
                  <w:pPr>
                    <w:adjustRightInd w:val="0"/>
                    <w:snapToGrid w:val="0"/>
                    <w:spacing w:line="360" w:lineRule="exact"/>
                    <w:jc w:val="center"/>
                    <w:rPr>
                      <w:rFonts w:hint="eastAsia" w:ascii="Times New Roman" w:hAnsi="Times New Roman" w:eastAsia="宋体"/>
                      <w:color w:val="auto"/>
                      <w:szCs w:val="21"/>
                      <w:lang w:eastAsia="zh-CN"/>
                    </w:rPr>
                  </w:pPr>
                  <w:r>
                    <w:rPr>
                      <w:rFonts w:ascii="Times New Roman" w:hAnsi="Times New Roman"/>
                      <w:color w:val="auto"/>
                      <w:szCs w:val="21"/>
                    </w:rPr>
                    <w:t>生活垃圾</w:t>
                  </w:r>
                  <w:r>
                    <w:rPr>
                      <w:rFonts w:hint="eastAsia" w:ascii="Times New Roman" w:hAnsi="Times New Roman"/>
                      <w:color w:val="auto"/>
                      <w:szCs w:val="21"/>
                      <w:lang w:eastAsia="zh-CN"/>
                    </w:rPr>
                    <w:t>、污泥</w:t>
                  </w:r>
                </w:p>
              </w:tc>
              <w:tc>
                <w:tcPr>
                  <w:tcW w:w="4095" w:type="dxa"/>
                  <w:gridSpan w:val="2"/>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多个生活垃圾收集桶及垃圾箱</w:t>
                  </w:r>
                </w:p>
              </w:tc>
              <w:tc>
                <w:tcPr>
                  <w:tcW w:w="97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0.5</w:t>
                  </w:r>
                </w:p>
              </w:tc>
              <w:tc>
                <w:tcPr>
                  <w:tcW w:w="1057"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continue"/>
                  <w:vAlign w:val="center"/>
                </w:tcPr>
                <w:p>
                  <w:pPr>
                    <w:adjustRightInd w:val="0"/>
                    <w:snapToGrid w:val="0"/>
                    <w:spacing w:line="360" w:lineRule="exact"/>
                    <w:jc w:val="center"/>
                    <w:rPr>
                      <w:rFonts w:ascii="Times New Roman" w:hAnsi="Times New Roman"/>
                      <w:color w:val="auto"/>
                      <w:szCs w:val="21"/>
                    </w:rPr>
                  </w:pPr>
                </w:p>
              </w:tc>
              <w:tc>
                <w:tcPr>
                  <w:tcW w:w="392" w:type="dxa"/>
                  <w:vMerge w:val="continue"/>
                  <w:tcBorders>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p>
              </w:tc>
              <w:tc>
                <w:tcPr>
                  <w:tcW w:w="1033" w:type="dxa"/>
                  <w:tcBorders>
                    <w:top w:val="single" w:color="auto" w:sz="4" w:space="0"/>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废机油</w:t>
                  </w:r>
                </w:p>
              </w:tc>
              <w:tc>
                <w:tcPr>
                  <w:tcW w:w="4095" w:type="dxa"/>
                  <w:gridSpan w:val="2"/>
                  <w:vMerge w:val="restart"/>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1间</w:t>
                  </w:r>
                  <w:r>
                    <w:rPr>
                      <w:rFonts w:hint="eastAsia" w:ascii="Times New Roman" w:hAnsi="Times New Roman"/>
                      <w:color w:val="auto"/>
                      <w:szCs w:val="21"/>
                    </w:rPr>
                    <w:t>5</w:t>
                  </w:r>
                  <w:r>
                    <w:rPr>
                      <w:rFonts w:ascii="Times New Roman" w:hAnsi="Times New Roman"/>
                      <w:color w:val="auto"/>
                      <w:szCs w:val="21"/>
                    </w:rPr>
                    <w:t xml:space="preserve"> m</w:t>
                  </w:r>
                  <w:r>
                    <w:rPr>
                      <w:rFonts w:ascii="Times New Roman" w:hAnsi="Times New Roman"/>
                      <w:color w:val="auto"/>
                      <w:szCs w:val="21"/>
                      <w:vertAlign w:val="superscript"/>
                    </w:rPr>
                    <w:t>2</w:t>
                  </w:r>
                  <w:r>
                    <w:rPr>
                      <w:rFonts w:ascii="Times New Roman" w:hAnsi="Times New Roman"/>
                      <w:color w:val="auto"/>
                      <w:szCs w:val="21"/>
                    </w:rPr>
                    <w:t>危废暂存间</w:t>
                  </w:r>
                </w:p>
              </w:tc>
              <w:tc>
                <w:tcPr>
                  <w:tcW w:w="975" w:type="dxa"/>
                  <w:vMerge w:val="restart"/>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4.0</w:t>
                  </w:r>
                </w:p>
              </w:tc>
              <w:tc>
                <w:tcPr>
                  <w:tcW w:w="1057" w:type="dxa"/>
                  <w:vMerge w:val="restart"/>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环评提出</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vMerge w:val="continue"/>
                  <w:vAlign w:val="center"/>
                </w:tcPr>
                <w:p>
                  <w:pPr>
                    <w:adjustRightInd w:val="0"/>
                    <w:snapToGrid w:val="0"/>
                    <w:spacing w:line="360" w:lineRule="exact"/>
                    <w:jc w:val="center"/>
                    <w:rPr>
                      <w:rFonts w:ascii="Times New Roman" w:hAnsi="Times New Roman"/>
                      <w:color w:val="auto"/>
                      <w:szCs w:val="21"/>
                    </w:rPr>
                  </w:pPr>
                </w:p>
              </w:tc>
              <w:tc>
                <w:tcPr>
                  <w:tcW w:w="392" w:type="dxa"/>
                  <w:vMerge w:val="continue"/>
                  <w:tcBorders>
                    <w:left w:val="single" w:color="auto" w:sz="4" w:space="0"/>
                    <w:right w:val="single" w:color="auto" w:sz="4" w:space="0"/>
                  </w:tcBorders>
                  <w:vAlign w:val="center"/>
                </w:tcPr>
                <w:p>
                  <w:pPr>
                    <w:adjustRightInd w:val="0"/>
                    <w:snapToGrid w:val="0"/>
                    <w:spacing w:line="360" w:lineRule="exact"/>
                    <w:jc w:val="center"/>
                    <w:rPr>
                      <w:rFonts w:ascii="Times New Roman" w:hAnsi="Times New Roman"/>
                      <w:color w:val="auto"/>
                      <w:szCs w:val="21"/>
                    </w:rPr>
                  </w:pPr>
                </w:p>
              </w:tc>
              <w:tc>
                <w:tcPr>
                  <w:tcW w:w="1033" w:type="dxa"/>
                  <w:tcBorders>
                    <w:top w:val="single" w:color="auto" w:sz="4" w:space="0"/>
                    <w:left w:val="single" w:color="auto" w:sz="4" w:space="0"/>
                    <w:right w:val="single" w:color="auto" w:sz="4" w:space="0"/>
                  </w:tcBorders>
                  <w:vAlign w:val="center"/>
                </w:tcPr>
                <w:p>
                  <w:pPr>
                    <w:adjustRightInd w:val="0"/>
                    <w:snapToGrid w:val="0"/>
                    <w:spacing w:line="360" w:lineRule="exact"/>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隔油池油脂</w:t>
                  </w:r>
                </w:p>
              </w:tc>
              <w:tc>
                <w:tcPr>
                  <w:tcW w:w="4095" w:type="dxa"/>
                  <w:gridSpan w:val="2"/>
                  <w:vMerge w:val="continue"/>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p>
              </w:tc>
              <w:tc>
                <w:tcPr>
                  <w:tcW w:w="975" w:type="dxa"/>
                  <w:vMerge w:val="continue"/>
                  <w:vAlign w:val="center"/>
                </w:tcPr>
                <w:p>
                  <w:pPr>
                    <w:adjustRightInd w:val="0"/>
                    <w:snapToGrid w:val="0"/>
                    <w:spacing w:line="360" w:lineRule="exact"/>
                    <w:jc w:val="center"/>
                    <w:rPr>
                      <w:rFonts w:hint="eastAsia" w:ascii="Times New Roman" w:hAnsi="Times New Roman"/>
                      <w:color w:val="auto"/>
                      <w:szCs w:val="21"/>
                    </w:rPr>
                  </w:pPr>
                </w:p>
              </w:tc>
              <w:tc>
                <w:tcPr>
                  <w:tcW w:w="1057" w:type="dxa"/>
                  <w:vMerge w:val="continue"/>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691" w:type="dxa"/>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合计</w:t>
                  </w:r>
                </w:p>
              </w:tc>
              <w:tc>
                <w:tcPr>
                  <w:tcW w:w="5520" w:type="dxa"/>
                  <w:gridSpan w:val="4"/>
                  <w:tcBorders>
                    <w:left w:val="single" w:color="auto" w:sz="4" w:space="0"/>
                  </w:tcBorders>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w:t>
                  </w:r>
                </w:p>
              </w:tc>
              <w:tc>
                <w:tcPr>
                  <w:tcW w:w="975" w:type="dxa"/>
                  <w:vAlign w:val="center"/>
                </w:tcPr>
                <w:p>
                  <w:pPr>
                    <w:pStyle w:val="73"/>
                    <w:snapToGrid w:val="0"/>
                    <w:spacing w:line="360" w:lineRule="exact"/>
                    <w:ind w:firstLine="98"/>
                    <w:jc w:val="center"/>
                    <w:rPr>
                      <w:rFonts w:hint="default" w:ascii="Times New Roman" w:eastAsia="宋体" w:cs="Times New Roman"/>
                      <w:color w:val="auto"/>
                      <w:sz w:val="21"/>
                      <w:szCs w:val="21"/>
                      <w:lang w:val="en-US" w:eastAsia="zh-CN"/>
                    </w:rPr>
                  </w:pPr>
                  <w:r>
                    <w:rPr>
                      <w:rFonts w:hint="eastAsia" w:ascii="Times New Roman" w:cs="Times New Roman"/>
                      <w:color w:val="auto"/>
                      <w:sz w:val="21"/>
                      <w:szCs w:val="21"/>
                      <w:lang w:val="en-US" w:eastAsia="zh-CN"/>
                    </w:rPr>
                    <w:t>62.6</w:t>
                  </w:r>
                </w:p>
              </w:tc>
              <w:tc>
                <w:tcPr>
                  <w:tcW w:w="1057" w:type="dxa"/>
                  <w:vAlign w:val="center"/>
                </w:tcPr>
                <w:p>
                  <w:pPr>
                    <w:pStyle w:val="73"/>
                    <w:snapToGrid w:val="0"/>
                    <w:spacing w:line="360" w:lineRule="exact"/>
                    <w:ind w:firstLine="98"/>
                    <w:jc w:val="center"/>
                    <w:rPr>
                      <w:rFonts w:ascii="Times New Roman" w:cs="Times New Roman"/>
                      <w:color w:val="auto"/>
                      <w:sz w:val="21"/>
                      <w:szCs w:val="21"/>
                    </w:rPr>
                  </w:pPr>
                  <w:r>
                    <w:rPr>
                      <w:rFonts w:ascii="Times New Roman" w:cs="Times New Roman"/>
                      <w:color w:val="auto"/>
                      <w:sz w:val="21"/>
                      <w:szCs w:val="21"/>
                    </w:rPr>
                    <w:t>---</w:t>
                  </w:r>
                </w:p>
              </w:tc>
            </w:tr>
          </w:tbl>
          <w:p>
            <w:pPr>
              <w:tabs>
                <w:tab w:val="left" w:pos="2395"/>
              </w:tabs>
              <w:adjustRightInd w:val="0"/>
              <w:snapToGrid w:val="0"/>
              <w:spacing w:line="360" w:lineRule="auto"/>
              <w:jc w:val="left"/>
              <w:rPr>
                <w:rFonts w:ascii="Times New Roman" w:hAnsi="Times New Roman"/>
                <w:b/>
                <w:bCs/>
                <w:color w:val="auto"/>
                <w:spacing w:val="2"/>
                <w:kern w:val="0"/>
                <w:sz w:val="24"/>
                <w:szCs w:val="24"/>
              </w:rPr>
            </w:pPr>
            <w:r>
              <w:rPr>
                <w:rFonts w:ascii="Times New Roman" w:hAnsi="Times New Roman"/>
                <w:b/>
                <w:bCs/>
                <w:color w:val="auto"/>
                <w:spacing w:val="2"/>
                <w:kern w:val="0"/>
                <w:sz w:val="24"/>
                <w:szCs w:val="24"/>
              </w:rPr>
              <w:t>10、主要技术经济指标</w:t>
            </w:r>
          </w:p>
          <w:p>
            <w:pPr>
              <w:adjustRightInd w:val="0"/>
              <w:snapToGrid w:val="0"/>
              <w:spacing w:line="360" w:lineRule="auto"/>
              <w:ind w:firstLine="360" w:firstLineChars="150"/>
              <w:rPr>
                <w:rFonts w:ascii="Times New Roman" w:hAnsi="Times New Roman"/>
                <w:color w:val="auto"/>
                <w:sz w:val="24"/>
                <w:szCs w:val="24"/>
              </w:rPr>
            </w:pPr>
            <w:r>
              <w:rPr>
                <w:rFonts w:ascii="Times New Roman" w:hAnsi="Times New Roman"/>
                <w:color w:val="auto"/>
                <w:sz w:val="24"/>
                <w:szCs w:val="24"/>
              </w:rPr>
              <w:t>本项目主要技术经济指标见下表。</w:t>
            </w:r>
          </w:p>
          <w:p>
            <w:pPr>
              <w:keepNext w:val="0"/>
              <w:keepLines w:val="0"/>
              <w:pageBreakBefore w:val="0"/>
              <w:widowControl w:val="0"/>
              <w:tabs>
                <w:tab w:val="left" w:pos="2395"/>
              </w:tabs>
              <w:kinsoku/>
              <w:wordWrap/>
              <w:overflowPunct/>
              <w:topLinePunct w:val="0"/>
              <w:autoSpaceDE/>
              <w:autoSpaceDN/>
              <w:bidi w:val="0"/>
              <w:adjustRightInd w:val="0"/>
              <w:snapToGrid w:val="0"/>
              <w:spacing w:line="240" w:lineRule="auto"/>
              <w:jc w:val="center"/>
              <w:textAlignment w:val="auto"/>
              <w:rPr>
                <w:rFonts w:ascii="Times New Roman" w:hAnsi="Times New Roman"/>
                <w:b/>
                <w:bCs/>
                <w:color w:val="auto"/>
                <w:sz w:val="24"/>
                <w:szCs w:val="24"/>
              </w:rPr>
            </w:pPr>
            <w:r>
              <w:rPr>
                <w:rFonts w:ascii="Times New Roman" w:hAnsi="Times New Roman"/>
                <w:b/>
                <w:color w:val="auto"/>
                <w:sz w:val="24"/>
                <w:szCs w:val="24"/>
              </w:rPr>
              <w:t>表1-</w:t>
            </w:r>
            <w:r>
              <w:rPr>
                <w:rFonts w:hint="eastAsia" w:ascii="Times New Roman" w:hAnsi="Times New Roman"/>
                <w:b/>
                <w:color w:val="auto"/>
                <w:sz w:val="24"/>
                <w:szCs w:val="24"/>
                <w:lang w:val="en-US" w:eastAsia="zh-CN"/>
              </w:rPr>
              <w:t>13</w:t>
            </w:r>
            <w:r>
              <w:rPr>
                <w:rFonts w:ascii="Times New Roman" w:hAnsi="Times New Roman"/>
                <w:b/>
                <w:color w:val="auto"/>
                <w:sz w:val="24"/>
                <w:szCs w:val="24"/>
              </w:rPr>
              <w:t xml:space="preserve"> 主要技术经济指标表</w:t>
            </w:r>
          </w:p>
          <w:tbl>
            <w:tblPr>
              <w:tblStyle w:val="43"/>
              <w:tblW w:w="8238" w:type="dxa"/>
              <w:tblInd w:w="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78"/>
              <w:gridCol w:w="1245"/>
              <w:gridCol w:w="2520"/>
              <w:gridCol w:w="1155"/>
              <w:gridCol w:w="1305"/>
              <w:gridCol w:w="133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序号</w:t>
                  </w:r>
                </w:p>
              </w:tc>
              <w:tc>
                <w:tcPr>
                  <w:tcW w:w="3765" w:type="dxa"/>
                  <w:gridSpan w:val="2"/>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指  标  名  称</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单 位</w:t>
                  </w: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数  量</w:t>
                  </w:r>
                </w:p>
              </w:tc>
              <w:tc>
                <w:tcPr>
                  <w:tcW w:w="133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备  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7" w:hRule="atLeast"/>
              </w:trPr>
              <w:tc>
                <w:tcPr>
                  <w:tcW w:w="678" w:type="dxa"/>
                  <w:vMerge w:val="restart"/>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1</w:t>
                  </w:r>
                </w:p>
              </w:tc>
              <w:tc>
                <w:tcPr>
                  <w:tcW w:w="3765" w:type="dxa"/>
                  <w:gridSpan w:val="2"/>
                  <w:vMerge w:val="restart"/>
                  <w:vAlign w:val="center"/>
                </w:tcPr>
                <w:p>
                  <w:pPr>
                    <w:adjustRightInd w:val="0"/>
                    <w:snapToGrid w:val="0"/>
                    <w:spacing w:line="360" w:lineRule="exact"/>
                    <w:jc w:val="center"/>
                    <w:rPr>
                      <w:rFonts w:ascii="Times New Roman" w:hAnsi="Times New Roman"/>
                      <w:snapToGrid w:val="0"/>
                      <w:color w:val="auto"/>
                      <w:szCs w:val="21"/>
                    </w:rPr>
                  </w:pPr>
                  <w:r>
                    <w:rPr>
                      <w:rFonts w:ascii="Times New Roman" w:hAnsi="Times New Roman"/>
                      <w:snapToGrid w:val="0"/>
                      <w:color w:val="auto"/>
                      <w:szCs w:val="21"/>
                    </w:rPr>
                    <w:t>工厂建设规模</w:t>
                  </w:r>
                </w:p>
              </w:tc>
              <w:tc>
                <w:tcPr>
                  <w:tcW w:w="1155"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万</w:t>
                  </w:r>
                  <w:r>
                    <w:rPr>
                      <w:rFonts w:ascii="Times New Roman" w:hAnsi="Times New Roman"/>
                      <w:color w:val="auto"/>
                      <w:szCs w:val="21"/>
                    </w:rPr>
                    <w:t>m</w:t>
                  </w:r>
                  <w:r>
                    <w:rPr>
                      <w:rFonts w:ascii="Times New Roman" w:hAnsi="Times New Roman"/>
                      <w:color w:val="auto"/>
                      <w:szCs w:val="21"/>
                      <w:vertAlign w:val="superscript"/>
                    </w:rPr>
                    <w:t>3</w:t>
                  </w:r>
                  <w:r>
                    <w:rPr>
                      <w:rFonts w:ascii="Times New Roman" w:hAnsi="Times New Roman"/>
                      <w:color w:val="auto"/>
                      <w:szCs w:val="21"/>
                    </w:rPr>
                    <w:t>/a</w:t>
                  </w:r>
                </w:p>
              </w:tc>
              <w:tc>
                <w:tcPr>
                  <w:tcW w:w="1305"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10</w:t>
                  </w:r>
                </w:p>
              </w:tc>
              <w:tc>
                <w:tcPr>
                  <w:tcW w:w="133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商品混凝土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77" w:hRule="atLeast"/>
              </w:trPr>
              <w:tc>
                <w:tcPr>
                  <w:tcW w:w="678" w:type="dxa"/>
                  <w:vMerge w:val="continue"/>
                  <w:vAlign w:val="center"/>
                </w:tcPr>
                <w:p>
                  <w:pPr>
                    <w:adjustRightInd w:val="0"/>
                    <w:snapToGrid w:val="0"/>
                    <w:spacing w:line="360" w:lineRule="exact"/>
                    <w:jc w:val="center"/>
                    <w:rPr>
                      <w:color w:val="auto"/>
                    </w:rPr>
                  </w:pPr>
                </w:p>
              </w:tc>
              <w:tc>
                <w:tcPr>
                  <w:tcW w:w="3765" w:type="dxa"/>
                  <w:gridSpan w:val="2"/>
                  <w:vMerge w:val="continue"/>
                  <w:vAlign w:val="center"/>
                </w:tcPr>
                <w:p>
                  <w:pPr>
                    <w:adjustRightInd w:val="0"/>
                    <w:snapToGrid w:val="0"/>
                    <w:spacing w:line="360" w:lineRule="exact"/>
                    <w:jc w:val="center"/>
                    <w:rPr>
                      <w:color w:val="auto"/>
                    </w:rPr>
                  </w:pPr>
                </w:p>
              </w:tc>
              <w:tc>
                <w:tcPr>
                  <w:tcW w:w="1155"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t/a</w:t>
                  </w:r>
                </w:p>
              </w:tc>
              <w:tc>
                <w:tcPr>
                  <w:tcW w:w="1305"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8500</w:t>
                  </w:r>
                </w:p>
              </w:tc>
              <w:tc>
                <w:tcPr>
                  <w:tcW w:w="1335"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成品钢筋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2</w:t>
                  </w:r>
                </w:p>
              </w:tc>
              <w:tc>
                <w:tcPr>
                  <w:tcW w:w="3765" w:type="dxa"/>
                  <w:gridSpan w:val="2"/>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总装机容量</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kW</w:t>
                  </w: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400</w:t>
                  </w:r>
                </w:p>
              </w:tc>
              <w:tc>
                <w:tcPr>
                  <w:tcW w:w="1335" w:type="dxa"/>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3</w:t>
                  </w:r>
                </w:p>
              </w:tc>
              <w:tc>
                <w:tcPr>
                  <w:tcW w:w="3765" w:type="dxa"/>
                  <w:gridSpan w:val="2"/>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年耗电量</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KWh/a</w:t>
                  </w: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4.8×10</w:t>
                  </w:r>
                  <w:r>
                    <w:rPr>
                      <w:rFonts w:ascii="Times New Roman" w:hAnsi="Times New Roman"/>
                      <w:color w:val="auto"/>
                      <w:szCs w:val="21"/>
                      <w:vertAlign w:val="superscript"/>
                    </w:rPr>
                    <w:t>5</w:t>
                  </w:r>
                </w:p>
              </w:tc>
              <w:tc>
                <w:tcPr>
                  <w:tcW w:w="1335" w:type="dxa"/>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4</w:t>
                  </w:r>
                </w:p>
              </w:tc>
              <w:tc>
                <w:tcPr>
                  <w:tcW w:w="3765" w:type="dxa"/>
                  <w:gridSpan w:val="2"/>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项目生产耗水</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m</w:t>
                  </w:r>
                  <w:r>
                    <w:rPr>
                      <w:rFonts w:ascii="Times New Roman" w:hAnsi="Times New Roman"/>
                      <w:color w:val="auto"/>
                      <w:szCs w:val="21"/>
                      <w:vertAlign w:val="superscript"/>
                    </w:rPr>
                    <w:t>3</w:t>
                  </w:r>
                  <w:r>
                    <w:rPr>
                      <w:rFonts w:ascii="Times New Roman" w:hAnsi="Times New Roman"/>
                      <w:color w:val="auto"/>
                      <w:szCs w:val="21"/>
                    </w:rPr>
                    <w:t>/a</w:t>
                  </w:r>
                </w:p>
              </w:tc>
              <w:tc>
                <w:tcPr>
                  <w:tcW w:w="1305"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1.7</w:t>
                  </w:r>
                  <w:r>
                    <w:rPr>
                      <w:rFonts w:ascii="Arial" w:hAnsi="Arial" w:cs="Arial"/>
                      <w:color w:val="auto"/>
                      <w:szCs w:val="21"/>
                    </w:rPr>
                    <w:t>×</w:t>
                  </w:r>
                  <w:r>
                    <w:rPr>
                      <w:rFonts w:hint="eastAsia" w:ascii="Times New Roman" w:hAnsi="Times New Roman"/>
                      <w:color w:val="auto"/>
                      <w:szCs w:val="21"/>
                    </w:rPr>
                    <w:t>10</w:t>
                  </w:r>
                  <w:r>
                    <w:rPr>
                      <w:rFonts w:hint="eastAsia" w:ascii="Times New Roman" w:hAnsi="Times New Roman"/>
                      <w:color w:val="auto"/>
                      <w:szCs w:val="21"/>
                      <w:vertAlign w:val="superscript"/>
                    </w:rPr>
                    <w:t>4</w:t>
                  </w:r>
                </w:p>
              </w:tc>
              <w:tc>
                <w:tcPr>
                  <w:tcW w:w="1335" w:type="dxa"/>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Merge w:val="restart"/>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5</w:t>
                  </w:r>
                </w:p>
              </w:tc>
              <w:tc>
                <w:tcPr>
                  <w:tcW w:w="1245" w:type="dxa"/>
                  <w:vMerge w:val="restart"/>
                  <w:vAlign w:val="center"/>
                </w:tcPr>
                <w:p>
                  <w:pPr>
                    <w:adjustRightInd w:val="0"/>
                    <w:snapToGrid w:val="0"/>
                    <w:spacing w:line="360" w:lineRule="exact"/>
                    <w:rPr>
                      <w:rFonts w:ascii="Times New Roman" w:hAnsi="Times New Roman"/>
                      <w:color w:val="auto"/>
                      <w:szCs w:val="21"/>
                    </w:rPr>
                  </w:pPr>
                  <w:r>
                    <w:rPr>
                      <w:rFonts w:ascii="Times New Roman" w:hAnsi="Times New Roman"/>
                      <w:color w:val="auto"/>
                      <w:szCs w:val="21"/>
                    </w:rPr>
                    <w:t>总平面图</w:t>
                  </w:r>
                </w:p>
                <w:p>
                  <w:pPr>
                    <w:adjustRightInd w:val="0"/>
                    <w:snapToGrid w:val="0"/>
                    <w:spacing w:line="360" w:lineRule="exact"/>
                    <w:ind w:firstLine="210" w:firstLineChars="100"/>
                    <w:rPr>
                      <w:rFonts w:ascii="Times New Roman" w:hAnsi="Times New Roman"/>
                      <w:color w:val="auto"/>
                      <w:szCs w:val="21"/>
                    </w:rPr>
                  </w:pPr>
                  <w:r>
                    <w:rPr>
                      <w:rFonts w:ascii="Times New Roman" w:hAnsi="Times New Roman"/>
                      <w:color w:val="auto"/>
                      <w:szCs w:val="21"/>
                    </w:rPr>
                    <w:t>指标</w:t>
                  </w:r>
                </w:p>
              </w:tc>
              <w:tc>
                <w:tcPr>
                  <w:tcW w:w="2520"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厂区占地面积</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亩</w:t>
                  </w: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53.35</w:t>
                  </w:r>
                </w:p>
              </w:tc>
              <w:tc>
                <w:tcPr>
                  <w:tcW w:w="1335" w:type="dxa"/>
                  <w:vMerge w:val="restart"/>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Merge w:val="continue"/>
                  <w:vAlign w:val="center"/>
                </w:tcPr>
                <w:p>
                  <w:pPr>
                    <w:adjustRightInd w:val="0"/>
                    <w:snapToGrid w:val="0"/>
                    <w:spacing w:line="360" w:lineRule="exact"/>
                    <w:jc w:val="center"/>
                    <w:rPr>
                      <w:rFonts w:ascii="Times New Roman" w:hAnsi="Times New Roman"/>
                      <w:color w:val="auto"/>
                      <w:szCs w:val="21"/>
                    </w:rPr>
                  </w:pPr>
                </w:p>
              </w:tc>
              <w:tc>
                <w:tcPr>
                  <w:tcW w:w="1245" w:type="dxa"/>
                  <w:vMerge w:val="continue"/>
                  <w:vAlign w:val="center"/>
                </w:tcPr>
                <w:p>
                  <w:pPr>
                    <w:adjustRightInd w:val="0"/>
                    <w:snapToGrid w:val="0"/>
                    <w:spacing w:line="360" w:lineRule="exact"/>
                    <w:jc w:val="center"/>
                    <w:rPr>
                      <w:rFonts w:ascii="Times New Roman" w:hAnsi="Times New Roman"/>
                      <w:color w:val="auto"/>
                      <w:szCs w:val="21"/>
                    </w:rPr>
                  </w:pPr>
                </w:p>
              </w:tc>
              <w:tc>
                <w:tcPr>
                  <w:tcW w:w="2520"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建、构筑物占地面积</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m</w:t>
                  </w:r>
                  <w:r>
                    <w:rPr>
                      <w:rFonts w:ascii="Times New Roman" w:hAnsi="Times New Roman"/>
                      <w:color w:val="auto"/>
                      <w:szCs w:val="21"/>
                      <w:vertAlign w:val="superscript"/>
                    </w:rPr>
                    <w:t>2</w:t>
                  </w: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11000</w:t>
                  </w:r>
                </w:p>
              </w:tc>
              <w:tc>
                <w:tcPr>
                  <w:tcW w:w="1335" w:type="dxa"/>
                  <w:vMerge w:val="continue"/>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Merge w:val="continue"/>
                  <w:vAlign w:val="center"/>
                </w:tcPr>
                <w:p>
                  <w:pPr>
                    <w:adjustRightInd w:val="0"/>
                    <w:snapToGrid w:val="0"/>
                    <w:spacing w:line="360" w:lineRule="exact"/>
                    <w:jc w:val="center"/>
                    <w:rPr>
                      <w:rFonts w:ascii="Times New Roman" w:hAnsi="Times New Roman"/>
                      <w:color w:val="auto"/>
                      <w:szCs w:val="21"/>
                    </w:rPr>
                  </w:pPr>
                </w:p>
              </w:tc>
              <w:tc>
                <w:tcPr>
                  <w:tcW w:w="1245" w:type="dxa"/>
                  <w:vMerge w:val="continue"/>
                  <w:vAlign w:val="center"/>
                </w:tcPr>
                <w:p>
                  <w:pPr>
                    <w:adjustRightInd w:val="0"/>
                    <w:snapToGrid w:val="0"/>
                    <w:spacing w:line="360" w:lineRule="exact"/>
                    <w:jc w:val="center"/>
                    <w:rPr>
                      <w:rFonts w:ascii="Times New Roman" w:hAnsi="Times New Roman"/>
                      <w:color w:val="auto"/>
                      <w:szCs w:val="21"/>
                    </w:rPr>
                  </w:pPr>
                </w:p>
              </w:tc>
              <w:tc>
                <w:tcPr>
                  <w:tcW w:w="2520"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道路及回车场占地面积</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m</w:t>
                  </w:r>
                  <w:r>
                    <w:rPr>
                      <w:rFonts w:ascii="Times New Roman" w:hAnsi="Times New Roman"/>
                      <w:color w:val="auto"/>
                      <w:szCs w:val="21"/>
                      <w:vertAlign w:val="superscript"/>
                    </w:rPr>
                    <w:t>2</w:t>
                  </w:r>
                </w:p>
              </w:tc>
              <w:tc>
                <w:tcPr>
                  <w:tcW w:w="1305" w:type="dxa"/>
                  <w:vAlign w:val="center"/>
                </w:tcPr>
                <w:p>
                  <w:pPr>
                    <w:adjustRightInd w:val="0"/>
                    <w:snapToGrid w:val="0"/>
                    <w:spacing w:line="360" w:lineRule="exact"/>
                    <w:jc w:val="center"/>
                    <w:rPr>
                      <w:rFonts w:ascii="Times New Roman" w:hAnsi="Times New Roman"/>
                      <w:color w:val="auto"/>
                      <w:szCs w:val="21"/>
                    </w:rPr>
                  </w:pPr>
                  <w:r>
                    <w:rPr>
                      <w:rFonts w:hint="eastAsia" w:ascii="Times New Roman" w:hAnsi="Times New Roman"/>
                      <w:color w:val="auto"/>
                      <w:szCs w:val="21"/>
                    </w:rPr>
                    <w:t>1500</w:t>
                  </w:r>
                </w:p>
              </w:tc>
              <w:tc>
                <w:tcPr>
                  <w:tcW w:w="1335" w:type="dxa"/>
                  <w:vMerge w:val="continue"/>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6</w:t>
                  </w:r>
                </w:p>
              </w:tc>
              <w:tc>
                <w:tcPr>
                  <w:tcW w:w="1245" w:type="dxa"/>
                  <w:vAlign w:val="center"/>
                </w:tcPr>
                <w:p>
                  <w:pPr>
                    <w:adjustRightInd w:val="0"/>
                    <w:snapToGrid w:val="0"/>
                    <w:spacing w:line="360" w:lineRule="exact"/>
                    <w:rPr>
                      <w:rFonts w:ascii="Times New Roman" w:hAnsi="Times New Roman"/>
                      <w:color w:val="auto"/>
                      <w:szCs w:val="21"/>
                    </w:rPr>
                  </w:pPr>
                  <w:r>
                    <w:rPr>
                      <w:rFonts w:ascii="Times New Roman" w:hAnsi="Times New Roman"/>
                      <w:color w:val="auto"/>
                      <w:szCs w:val="21"/>
                    </w:rPr>
                    <w:t>投资总额</w:t>
                  </w:r>
                </w:p>
              </w:tc>
              <w:tc>
                <w:tcPr>
                  <w:tcW w:w="2520"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建设投资</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万元</w:t>
                  </w: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750</w:t>
                  </w:r>
                </w:p>
              </w:tc>
              <w:tc>
                <w:tcPr>
                  <w:tcW w:w="1335" w:type="dxa"/>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Merge w:val="restart"/>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7</w:t>
                  </w:r>
                </w:p>
              </w:tc>
              <w:tc>
                <w:tcPr>
                  <w:tcW w:w="1245" w:type="dxa"/>
                  <w:vMerge w:val="restart"/>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劳动</w:t>
                  </w:r>
                </w:p>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定员</w:t>
                  </w:r>
                </w:p>
              </w:tc>
              <w:tc>
                <w:tcPr>
                  <w:tcW w:w="2520"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生产人员</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人</w:t>
                  </w: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46</w:t>
                  </w:r>
                </w:p>
              </w:tc>
              <w:tc>
                <w:tcPr>
                  <w:tcW w:w="1335" w:type="dxa"/>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Merge w:val="continue"/>
                  <w:vAlign w:val="center"/>
                </w:tcPr>
                <w:p>
                  <w:pPr>
                    <w:adjustRightInd w:val="0"/>
                    <w:snapToGrid w:val="0"/>
                    <w:spacing w:line="360" w:lineRule="exact"/>
                    <w:jc w:val="center"/>
                    <w:rPr>
                      <w:rFonts w:ascii="Times New Roman" w:hAnsi="Times New Roman"/>
                      <w:color w:val="auto"/>
                      <w:szCs w:val="21"/>
                    </w:rPr>
                  </w:pPr>
                </w:p>
              </w:tc>
              <w:tc>
                <w:tcPr>
                  <w:tcW w:w="1245" w:type="dxa"/>
                  <w:vMerge w:val="continue"/>
                  <w:vAlign w:val="center"/>
                </w:tcPr>
                <w:p>
                  <w:pPr>
                    <w:adjustRightInd w:val="0"/>
                    <w:snapToGrid w:val="0"/>
                    <w:spacing w:line="360" w:lineRule="exact"/>
                    <w:jc w:val="center"/>
                    <w:rPr>
                      <w:rFonts w:ascii="Times New Roman" w:hAnsi="Times New Roman"/>
                      <w:color w:val="auto"/>
                      <w:szCs w:val="21"/>
                    </w:rPr>
                  </w:pPr>
                </w:p>
              </w:tc>
              <w:tc>
                <w:tcPr>
                  <w:tcW w:w="2520"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管理人员</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人</w:t>
                  </w: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6</w:t>
                  </w:r>
                </w:p>
              </w:tc>
              <w:tc>
                <w:tcPr>
                  <w:tcW w:w="1335" w:type="dxa"/>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Merge w:val="continue"/>
                  <w:vAlign w:val="center"/>
                </w:tcPr>
                <w:p>
                  <w:pPr>
                    <w:adjustRightInd w:val="0"/>
                    <w:snapToGrid w:val="0"/>
                    <w:spacing w:line="360" w:lineRule="exact"/>
                    <w:jc w:val="center"/>
                    <w:rPr>
                      <w:rFonts w:ascii="Times New Roman" w:hAnsi="Times New Roman"/>
                      <w:color w:val="auto"/>
                      <w:szCs w:val="21"/>
                    </w:rPr>
                  </w:pPr>
                </w:p>
              </w:tc>
              <w:tc>
                <w:tcPr>
                  <w:tcW w:w="1245" w:type="dxa"/>
                  <w:vMerge w:val="continue"/>
                  <w:vAlign w:val="center"/>
                </w:tcPr>
                <w:p>
                  <w:pPr>
                    <w:adjustRightInd w:val="0"/>
                    <w:snapToGrid w:val="0"/>
                    <w:spacing w:line="360" w:lineRule="exact"/>
                    <w:jc w:val="center"/>
                    <w:rPr>
                      <w:rFonts w:ascii="Times New Roman" w:hAnsi="Times New Roman"/>
                      <w:color w:val="auto"/>
                      <w:szCs w:val="21"/>
                    </w:rPr>
                  </w:pPr>
                </w:p>
              </w:tc>
              <w:tc>
                <w:tcPr>
                  <w:tcW w:w="2520"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合    计</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人</w:t>
                  </w: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52</w:t>
                  </w:r>
                </w:p>
              </w:tc>
              <w:tc>
                <w:tcPr>
                  <w:tcW w:w="1335" w:type="dxa"/>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Merge w:val="restart"/>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8</w:t>
                  </w:r>
                </w:p>
              </w:tc>
              <w:tc>
                <w:tcPr>
                  <w:tcW w:w="1245" w:type="dxa"/>
                  <w:vMerge w:val="restart"/>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工作制度</w:t>
                  </w:r>
                </w:p>
              </w:tc>
              <w:tc>
                <w:tcPr>
                  <w:tcW w:w="2520"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全年生产天数</w:t>
                  </w:r>
                </w:p>
              </w:tc>
              <w:tc>
                <w:tcPr>
                  <w:tcW w:w="115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天</w:t>
                  </w: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360</w:t>
                  </w:r>
                </w:p>
              </w:tc>
              <w:tc>
                <w:tcPr>
                  <w:tcW w:w="1335" w:type="dxa"/>
                  <w:vAlign w:val="center"/>
                </w:tcPr>
                <w:p>
                  <w:pPr>
                    <w:adjustRightInd w:val="0"/>
                    <w:snapToGrid w:val="0"/>
                    <w:spacing w:line="360" w:lineRule="exact"/>
                    <w:jc w:val="center"/>
                    <w:rPr>
                      <w:rFonts w:ascii="Times New Roman" w:hAnsi="Times New Roman"/>
                      <w:color w:val="auto"/>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678" w:type="dxa"/>
                  <w:vMerge w:val="continue"/>
                  <w:vAlign w:val="center"/>
                </w:tcPr>
                <w:p>
                  <w:pPr>
                    <w:adjustRightInd w:val="0"/>
                    <w:snapToGrid w:val="0"/>
                    <w:spacing w:line="360" w:lineRule="exact"/>
                    <w:jc w:val="center"/>
                    <w:rPr>
                      <w:rFonts w:ascii="Times New Roman" w:hAnsi="Times New Roman"/>
                      <w:color w:val="auto"/>
                      <w:szCs w:val="21"/>
                    </w:rPr>
                  </w:pPr>
                </w:p>
              </w:tc>
              <w:tc>
                <w:tcPr>
                  <w:tcW w:w="1245" w:type="dxa"/>
                  <w:vMerge w:val="continue"/>
                  <w:vAlign w:val="center"/>
                </w:tcPr>
                <w:p>
                  <w:pPr>
                    <w:adjustRightInd w:val="0"/>
                    <w:snapToGrid w:val="0"/>
                    <w:spacing w:line="360" w:lineRule="exact"/>
                    <w:jc w:val="center"/>
                    <w:rPr>
                      <w:rFonts w:ascii="Times New Roman" w:hAnsi="Times New Roman"/>
                      <w:color w:val="auto"/>
                      <w:szCs w:val="21"/>
                    </w:rPr>
                  </w:pPr>
                </w:p>
              </w:tc>
              <w:tc>
                <w:tcPr>
                  <w:tcW w:w="2520"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班</w:t>
                  </w:r>
                </w:p>
              </w:tc>
              <w:tc>
                <w:tcPr>
                  <w:tcW w:w="1155" w:type="dxa"/>
                  <w:vAlign w:val="center"/>
                </w:tcPr>
                <w:p>
                  <w:pPr>
                    <w:adjustRightInd w:val="0"/>
                    <w:snapToGrid w:val="0"/>
                    <w:spacing w:line="360" w:lineRule="exact"/>
                    <w:jc w:val="center"/>
                    <w:rPr>
                      <w:rFonts w:ascii="Times New Roman" w:hAnsi="Times New Roman"/>
                      <w:color w:val="auto"/>
                      <w:szCs w:val="21"/>
                    </w:rPr>
                  </w:pPr>
                </w:p>
              </w:tc>
              <w:tc>
                <w:tcPr>
                  <w:tcW w:w="1305" w:type="dxa"/>
                  <w:vAlign w:val="center"/>
                </w:tcPr>
                <w:p>
                  <w:pPr>
                    <w:adjustRightInd w:val="0"/>
                    <w:snapToGrid w:val="0"/>
                    <w:spacing w:line="360" w:lineRule="exact"/>
                    <w:jc w:val="center"/>
                    <w:rPr>
                      <w:rFonts w:ascii="Times New Roman" w:hAnsi="Times New Roman"/>
                      <w:color w:val="auto"/>
                      <w:szCs w:val="21"/>
                    </w:rPr>
                  </w:pPr>
                  <w:r>
                    <w:rPr>
                      <w:rFonts w:ascii="Times New Roman" w:hAnsi="Times New Roman"/>
                      <w:color w:val="auto"/>
                      <w:szCs w:val="21"/>
                    </w:rPr>
                    <w:t>1</w:t>
                  </w:r>
                </w:p>
              </w:tc>
              <w:tc>
                <w:tcPr>
                  <w:tcW w:w="1335" w:type="dxa"/>
                  <w:vAlign w:val="center"/>
                </w:tcPr>
                <w:p>
                  <w:pPr>
                    <w:adjustRightInd w:val="0"/>
                    <w:snapToGrid w:val="0"/>
                    <w:spacing w:line="360" w:lineRule="exact"/>
                    <w:jc w:val="center"/>
                    <w:rPr>
                      <w:rFonts w:ascii="Times New Roman" w:hAnsi="Times New Roman"/>
                      <w:color w:val="auto"/>
                      <w:szCs w:val="21"/>
                    </w:rPr>
                  </w:pPr>
                </w:p>
              </w:tc>
            </w:tr>
          </w:tbl>
          <w:p>
            <w:pPr>
              <w:pStyle w:val="2"/>
              <w:rPr>
                <w:rFonts w:ascii="Times New Roman" w:hAnsi="Times New Roman"/>
                <w:b/>
                <w:bCs/>
                <w:color w:val="auto"/>
                <w:sz w:val="24"/>
                <w:szCs w:val="24"/>
              </w:rPr>
            </w:pPr>
            <w:r>
              <w:rPr>
                <w:rFonts w:hint="eastAsia" w:ascii="Times New Roman" w:hAnsi="Times New Roman"/>
                <w:b/>
                <w:bCs/>
                <w:color w:val="auto"/>
                <w:sz w:val="24"/>
                <w:szCs w:val="24"/>
              </w:rPr>
              <w:t>11</w:t>
            </w:r>
            <w:r>
              <w:rPr>
                <w:rFonts w:ascii="Times New Roman" w:hAnsi="Times New Roman"/>
                <w:b/>
                <w:bCs/>
                <w:color w:val="auto"/>
                <w:sz w:val="24"/>
                <w:szCs w:val="24"/>
              </w:rPr>
              <w:t>、产业政策</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本项目主要为混凝土生产以及简单钢筋加工项目，</w:t>
            </w:r>
            <w:r>
              <w:rPr>
                <w:rFonts w:ascii="Times New Roman" w:hAnsi="Times New Roman"/>
                <w:color w:val="auto"/>
                <w:sz w:val="24"/>
                <w:szCs w:val="24"/>
                <w:highlight w:val="yellow"/>
              </w:rPr>
              <w:t>属于“非金属矿物制品制造”，</w:t>
            </w:r>
            <w:r>
              <w:rPr>
                <w:rFonts w:ascii="Times New Roman" w:hAnsi="Times New Roman"/>
                <w:color w:val="auto"/>
                <w:sz w:val="24"/>
                <w:szCs w:val="24"/>
              </w:rPr>
              <w:t>根据《产业结构调整指导目录(2011年本)》（2013年修正），本项目不属于其中的鼓励、限制和淘汰类项目</w:t>
            </w:r>
            <w:r>
              <w:rPr>
                <w:rFonts w:hint="eastAsia" w:ascii="Times New Roman" w:hAnsi="Times New Roman"/>
                <w:color w:val="auto"/>
                <w:sz w:val="24"/>
                <w:szCs w:val="24"/>
              </w:rPr>
              <w:t>，</w:t>
            </w:r>
            <w:r>
              <w:rPr>
                <w:rFonts w:ascii="Times New Roman" w:hAnsi="Times New Roman"/>
                <w:color w:val="auto"/>
                <w:sz w:val="24"/>
                <w:szCs w:val="24"/>
              </w:rPr>
              <w:t>则本项目为允许类项目。</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同时，富明县发展和改革局于2019年5月13以“富发改企业备案[2019]10024号”同意项目备案。</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因此，本项目建设与国家现行产业政策相符。</w:t>
            </w:r>
          </w:p>
          <w:p>
            <w:pPr>
              <w:tabs>
                <w:tab w:val="left" w:pos="2395"/>
              </w:tabs>
              <w:adjustRightInd w:val="0"/>
              <w:snapToGrid w:val="0"/>
              <w:spacing w:line="360" w:lineRule="auto"/>
              <w:jc w:val="left"/>
              <w:rPr>
                <w:rFonts w:ascii="Times New Roman" w:hAnsi="Times New Roman"/>
                <w:b/>
                <w:bCs/>
                <w:color w:val="auto"/>
                <w:spacing w:val="2"/>
                <w:kern w:val="0"/>
                <w:sz w:val="28"/>
                <w:szCs w:val="28"/>
              </w:rPr>
            </w:pPr>
            <w:r>
              <w:rPr>
                <w:rFonts w:ascii="Times New Roman" w:hAnsi="Times New Roman"/>
                <w:b/>
                <w:bCs/>
                <w:color w:val="auto"/>
                <w:spacing w:val="2"/>
                <w:kern w:val="0"/>
                <w:sz w:val="28"/>
                <w:szCs w:val="28"/>
              </w:rPr>
              <w:t>与本项目有关的原有污染情况及主要环境问题：</w:t>
            </w:r>
          </w:p>
          <w:p>
            <w:pPr>
              <w:pStyle w:val="2"/>
              <w:ind w:firstLine="480" w:firstLineChars="200"/>
              <w:rPr>
                <w:rFonts w:ascii="Times New Roman" w:hAnsi="Times New Roman"/>
                <w:color w:val="auto"/>
              </w:rPr>
            </w:pPr>
            <w:r>
              <w:rPr>
                <w:rFonts w:ascii="Times New Roman" w:hAnsi="Times New Roman"/>
                <w:bCs/>
                <w:color w:val="auto"/>
                <w:sz w:val="24"/>
                <w:szCs w:val="24"/>
              </w:rPr>
              <w:t>本项目为新建项目，</w:t>
            </w:r>
            <w:r>
              <w:rPr>
                <w:rFonts w:hint="eastAsia" w:ascii="Times New Roman" w:hAnsi="Times New Roman"/>
                <w:bCs/>
                <w:color w:val="auto"/>
                <w:sz w:val="24"/>
                <w:szCs w:val="24"/>
              </w:rPr>
              <w:t>项目区现状为</w:t>
            </w:r>
            <w:r>
              <w:rPr>
                <w:rFonts w:hint="eastAsia" w:ascii="Times New Roman" w:hAnsi="Times New Roman"/>
                <w:bCs/>
                <w:color w:val="auto"/>
                <w:sz w:val="24"/>
                <w:szCs w:val="24"/>
                <w:lang w:eastAsia="zh-CN"/>
              </w:rPr>
              <w:t>旱地</w:t>
            </w:r>
            <w:r>
              <w:rPr>
                <w:rFonts w:ascii="Times New Roman" w:hAnsi="Times New Roman"/>
                <w:color w:val="auto"/>
                <w:sz w:val="24"/>
                <w:szCs w:val="24"/>
              </w:rPr>
              <w:t>，因此，本项目不存在原有的污染情况及环境问题。</w:t>
            </w:r>
          </w:p>
          <w:p>
            <w:pPr>
              <w:pStyle w:val="2"/>
              <w:rPr>
                <w:rFonts w:ascii="Times New Roman" w:hAnsi="Times New Roman"/>
                <w:color w:val="auto"/>
              </w:rPr>
            </w:pPr>
          </w:p>
          <w:p>
            <w:pPr>
              <w:pStyle w:val="2"/>
              <w:rPr>
                <w:rFonts w:ascii="Times New Roman" w:hAnsi="Times New Roman"/>
                <w:color w:val="auto"/>
              </w:rPr>
            </w:pPr>
          </w:p>
          <w:p>
            <w:pPr>
              <w:pStyle w:val="2"/>
              <w:rPr>
                <w:rFonts w:ascii="Times New Roman" w:hAnsi="Times New Roman"/>
                <w:color w:val="auto"/>
              </w:rPr>
            </w:pPr>
          </w:p>
        </w:tc>
      </w:tr>
    </w:tbl>
    <w:p>
      <w:pPr>
        <w:pStyle w:val="3"/>
        <w:pageBreakBefore/>
        <w:spacing w:before="0" w:after="0" w:line="240" w:lineRule="auto"/>
        <w:rPr>
          <w:rFonts w:ascii="Times New Roman" w:hAnsi="Times New Roman"/>
          <w:color w:val="auto"/>
          <w:spacing w:val="2"/>
          <w:sz w:val="28"/>
          <w:szCs w:val="28"/>
        </w:rPr>
      </w:pPr>
      <w:bookmarkStart w:id="2" w:name="_Toc513627175"/>
      <w:r>
        <w:rPr>
          <w:rFonts w:ascii="Times New Roman" w:hAnsi="Times New Roman"/>
          <w:color w:val="auto"/>
          <w:spacing w:val="2"/>
          <w:sz w:val="28"/>
          <w:szCs w:val="28"/>
        </w:rPr>
        <w:t>表二、建设项目所在地自然环境社会环境简况</w:t>
      </w:r>
      <w:bookmarkEnd w:id="2"/>
    </w:p>
    <w:tbl>
      <w:tblPr>
        <w:tblStyle w:val="43"/>
        <w:tblW w:w="86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0" w:type="dxa"/>
          </w:tcPr>
          <w:p>
            <w:pPr>
              <w:pStyle w:val="18"/>
              <w:spacing w:line="520" w:lineRule="exact"/>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自然环境简况（气候、气象、地形、地貌、水文、植被、生物多样性等）</w:t>
            </w:r>
          </w:p>
          <w:p>
            <w:pPr>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1、地理位置</w:t>
            </w:r>
          </w:p>
          <w:p>
            <w:pPr>
              <w:spacing w:line="360" w:lineRule="auto"/>
              <w:ind w:firstLine="480" w:firstLineChars="200"/>
              <w:rPr>
                <w:rFonts w:hint="default" w:ascii="Times New Roman" w:hAnsi="Times New Roman" w:cs="Times New Roman"/>
                <w:color w:val="auto"/>
                <w:sz w:val="24"/>
                <w:szCs w:val="24"/>
                <w:shd w:val="clear" w:color="auto" w:fill="FFFFFF"/>
              </w:rPr>
            </w:pPr>
            <w:r>
              <w:rPr>
                <w:rFonts w:hint="default" w:ascii="Times New Roman" w:hAnsi="Times New Roman" w:cs="Times New Roman"/>
                <w:color w:val="auto"/>
                <w:sz w:val="24"/>
                <w:szCs w:val="24"/>
                <w:shd w:val="clear" w:color="auto" w:fill="FFFFFF"/>
              </w:rPr>
              <w:t>富民县位于昆明市西北，县城距昆明市23km，介于东经102°21′-102°47′，北纬25°08′-25°36′之间。东与嵩明、寻甸相邻，北与禄劝山水相连，西与禄丰、武定接壤，南靠西山区。县境地处滇中，自古为川藏、滇北入滇中重镇昆明之要津，素有“滇北锁钥”之称。</w:t>
            </w:r>
          </w:p>
          <w:p>
            <w:pPr>
              <w:pStyle w:val="270"/>
              <w:ind w:firstLine="480"/>
              <w:rPr>
                <w:rFonts w:hint="default" w:ascii="Times New Roman" w:hAnsi="Times New Roman" w:cs="Times New Roman"/>
                <w:color w:val="auto"/>
              </w:rPr>
            </w:pPr>
            <w:r>
              <w:rPr>
                <w:rFonts w:hint="default" w:ascii="Times New Roman" w:hAnsi="Times New Roman" w:cs="Times New Roman"/>
                <w:color w:val="auto"/>
              </w:rPr>
              <w:t>项目位于云南省昆明市富民县东村镇西村村，四面环山，中心地理</w:t>
            </w:r>
            <w:r>
              <w:rPr>
                <w:rFonts w:hint="eastAsia" w:ascii="Times New Roman" w:hAnsi="Times New Roman" w:cs="Times New Roman"/>
                <w:color w:val="auto"/>
                <w:lang w:eastAsia="zh-CN"/>
              </w:rPr>
              <w:t>坐标</w:t>
            </w:r>
            <w:r>
              <w:rPr>
                <w:rFonts w:hint="default" w:ascii="Times New Roman" w:hAnsi="Times New Roman" w:cs="Times New Roman"/>
                <w:color w:val="auto"/>
              </w:rPr>
              <w:t>：东经102°39'</w:t>
            </w:r>
            <w:r>
              <w:rPr>
                <w:rFonts w:hint="default" w:ascii="Times New Roman" w:hAnsi="Times New Roman" w:cs="Times New Roman"/>
                <w:color w:val="auto"/>
                <w:lang w:val="en-US" w:eastAsia="zh-CN"/>
              </w:rPr>
              <w:t>40.66</w:t>
            </w:r>
            <w:r>
              <w:rPr>
                <w:rFonts w:hint="default" w:ascii="Times New Roman" w:hAnsi="Times New Roman" w:cs="Times New Roman"/>
                <w:color w:val="auto"/>
              </w:rPr>
              <w:t>"，北纬 25°32'</w:t>
            </w:r>
            <w:r>
              <w:rPr>
                <w:rFonts w:hint="default" w:ascii="Times New Roman" w:hAnsi="Times New Roman" w:cs="Times New Roman"/>
                <w:color w:val="auto"/>
                <w:lang w:val="en-US" w:eastAsia="zh-CN"/>
              </w:rPr>
              <w:t>9.94</w:t>
            </w:r>
            <w:r>
              <w:rPr>
                <w:rFonts w:hint="default" w:ascii="Times New Roman" w:hAnsi="Times New Roman" w:cs="Times New Roman"/>
                <w:color w:val="auto"/>
              </w:rPr>
              <w:t>"。项目地理位置图详见附图2。</w:t>
            </w:r>
          </w:p>
          <w:p>
            <w:pPr>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2、地形地貌</w:t>
            </w:r>
          </w:p>
          <w:p>
            <w:pPr>
              <w:spacing w:line="360" w:lineRule="auto"/>
              <w:ind w:firstLine="482"/>
              <w:rPr>
                <w:rFonts w:hint="default" w:ascii="Times New Roman" w:hAnsi="Times New Roman" w:cs="Times New Roman"/>
                <w:color w:val="auto"/>
                <w:sz w:val="24"/>
                <w:szCs w:val="24"/>
                <w:shd w:val="clear" w:color="auto" w:fill="FFFFFF"/>
              </w:rPr>
            </w:pPr>
            <w:r>
              <w:rPr>
                <w:rFonts w:hint="default" w:ascii="Times New Roman" w:hAnsi="Times New Roman" w:cs="Times New Roman"/>
                <w:color w:val="auto"/>
                <w:sz w:val="24"/>
                <w:szCs w:val="24"/>
                <w:shd w:val="clear" w:color="auto" w:fill="FFFFFF"/>
              </w:rPr>
              <w:t>富民县是个山区较多的县，地势南高北低，东西宽44.2km。南北长51.6km。由南向北倾斜，望海山把县境分为螳螂川和款庄河两大水系。最大坝子由永定、勤劳、大营组成，螳螂川贯穿其间，坝子西部为金铜盆山，海拔2817m，为富民最高点，中部的望海山，海拔2672m，东部与嵩明分界的老鸦山，海拔2873m，构成富民的三大山脉与两大水系。者北、赤鹫、罗免的田坝为低山环状河谷型，款庄为狭长和河谷型。坝区中部与主峰高差在800-1000m之间。</w:t>
            </w:r>
          </w:p>
          <w:p>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项目所在地为山坡地势，北高南低，目前为</w:t>
            </w:r>
            <w:r>
              <w:rPr>
                <w:rFonts w:hint="eastAsia" w:ascii="Times New Roman" w:hAnsi="Times New Roman" w:cs="Times New Roman"/>
                <w:color w:val="auto"/>
                <w:sz w:val="24"/>
                <w:lang w:eastAsia="zh-CN"/>
              </w:rPr>
              <w:t>旱地</w:t>
            </w:r>
            <w:r>
              <w:rPr>
                <w:rFonts w:hint="default" w:ascii="Times New Roman" w:hAnsi="Times New Roman" w:cs="Times New Roman"/>
                <w:color w:val="auto"/>
                <w:sz w:val="24"/>
              </w:rPr>
              <w:t>，无大型植被覆盖。</w:t>
            </w:r>
          </w:p>
          <w:p>
            <w:pPr>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3、气侯、气象</w:t>
            </w:r>
          </w:p>
          <w:p>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富明县气候属北亚热带高原季风气候。气候温和，夏无酷暑，冬无严寒，四季如春，多年平均气温15.8℃，最冷月为1月，平均气温8.3℃，最热月为7月，平均气温21.3℃。日极端最高气温33.3℃，极端最低气温－7℃。区内旱、雨季分明，降雨主要集中在每年5~10月份，占全年降雨量的87.7%，旱季为每年11月~次年4月，降雨量仅占全年降雨量的12.3%，历史最大年降雨量为1532.20mm，最小降雨量719.9mm，多年平均降雨量为841.6mm，月最大降雨量951.30mm（1995年），日最大降雨量为120.40mm（1979年8月15日）。多年平均蒸发量为2195.38mm，月最大蒸发量为332.40mm（1986年3月），月最小蒸发量为83.85mm。矿区内以西南风最多，年平均风速（西南风）2.2m/s，最大风速16 m/s。全年无霜期240天，霜期41天，冰雹1.4日。</w:t>
            </w:r>
          </w:p>
          <w:p>
            <w:pPr>
              <w:pStyle w:val="2"/>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4、水文水系</w:t>
            </w:r>
          </w:p>
          <w:p>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富明县属于长江水系金沙江流域，金沙江次级支流螳螂川从评估区西北侧通过,距离项目区约2.4km。螳螂川全长252km，为滇池之唯一出口。螳螂川自滇池流向西北，经昆明市之安宁、富民、禄劝，于禄劝与东川交界处注入金沙江。汇水面积5178 km²，年径流量78057.9万m³，年均泄水量4.4亿m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w:t>
            </w:r>
          </w:p>
          <w:p>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本项目涉及的地表水主要为项目西北面1380m处的普渡河。普渡河从南向北贯穿富明县，最终</w:t>
            </w:r>
            <w:r>
              <w:rPr>
                <w:rFonts w:hint="default" w:ascii="Times New Roman" w:hAnsi="Times New Roman" w:cs="Times New Roman"/>
                <w:color w:val="auto"/>
                <w:sz w:val="24"/>
                <w:szCs w:val="24"/>
                <w:shd w:val="clear" w:color="auto" w:fill="FFFFFF"/>
              </w:rPr>
              <w:t>于禄劝县则黑区小河坪子东北1km汇入金沙江，</w:t>
            </w:r>
            <w:r>
              <w:rPr>
                <w:rFonts w:hint="default" w:ascii="Times New Roman" w:hAnsi="Times New Roman" w:cs="Times New Roman"/>
                <w:color w:val="auto"/>
                <w:sz w:val="24"/>
              </w:rPr>
              <w:t>汇入红河。项目区水系图见附图3。</w:t>
            </w:r>
          </w:p>
          <w:p>
            <w:pPr>
              <w:pStyle w:val="2"/>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5、土壤</w:t>
            </w:r>
          </w:p>
          <w:p>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富民县土壤由棕壤、红壤、紫色土、水稻土四类土壤组成，分别占面积的1.7%、68.9%、15.5%、4.8%，分7个亚属16个土属25个土种。棕壤分布在2400~2641m高山顶部，面积仅占总土地面积的1.7％；山地红壤分布于海拔1830~2400m的广大地区，面积占土地总面积的68.9％；紫色土分布于海拔1900～2100m的局部地区，面积占土地面积的15.5％；水稻土分布于区内平坝、箐沟、山间盆地等处，面积占全区面积的4.8％。</w:t>
            </w:r>
          </w:p>
          <w:p>
            <w:pPr>
              <w:pStyle w:val="2"/>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eastAsia="zh-CN"/>
              </w:rPr>
              <w:t>项目区土地利用现状一览表见表</w:t>
            </w:r>
            <w:r>
              <w:rPr>
                <w:rFonts w:hint="eastAsia" w:ascii="Times New Roman" w:hAnsi="Times New Roman" w:cs="Times New Roman"/>
                <w:color w:val="auto"/>
                <w:sz w:val="24"/>
                <w:lang w:val="en-US" w:eastAsia="zh-CN"/>
              </w:rPr>
              <w:t>2-1。</w:t>
            </w:r>
          </w:p>
          <w:p>
            <w:pPr>
              <w:pStyle w:val="2"/>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default" w:ascii="Times New Roman" w:hAnsi="Times New Roman" w:cs="Times New Roman"/>
                <w:b/>
                <w:bCs/>
                <w:color w:val="auto"/>
                <w:sz w:val="24"/>
                <w:lang w:val="en-US" w:eastAsia="zh-CN"/>
              </w:rPr>
            </w:pPr>
            <w:r>
              <w:rPr>
                <w:rFonts w:hint="eastAsia" w:ascii="Times New Roman" w:hAnsi="Times New Roman" w:cs="Times New Roman"/>
                <w:b/>
                <w:bCs/>
                <w:color w:val="auto"/>
                <w:sz w:val="24"/>
                <w:lang w:val="en-US" w:eastAsia="zh-CN"/>
              </w:rPr>
              <w:t>表2-1 土地利用现状一览表</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7"/>
              <w:gridCol w:w="4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00" w:type="pct"/>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土地类型</w:t>
                  </w:r>
                </w:p>
              </w:tc>
              <w:tc>
                <w:tcPr>
                  <w:tcW w:w="2500" w:type="pct"/>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占地面积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旱地</w:t>
                  </w:r>
                </w:p>
              </w:tc>
              <w:tc>
                <w:tcPr>
                  <w:tcW w:w="2500" w:type="pct"/>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55.35亩</w:t>
                  </w:r>
                </w:p>
              </w:tc>
            </w:tr>
          </w:tbl>
          <w:p>
            <w:pPr>
              <w:spacing w:line="360" w:lineRule="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6、植被</w:t>
            </w:r>
          </w:p>
          <w:p>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富民县属亚热带常绿阔叶林地带，现有林地和草地共65842.47hm</w:t>
            </w:r>
            <w:r>
              <w:rPr>
                <w:rFonts w:hint="default" w:ascii="Times New Roman" w:hAnsi="Times New Roman" w:cs="Times New Roman"/>
                <w:color w:val="auto"/>
                <w:sz w:val="24"/>
                <w:vertAlign w:val="superscript"/>
              </w:rPr>
              <w:t>2</w:t>
            </w:r>
            <w:r>
              <w:rPr>
                <w:rFonts w:hint="default" w:ascii="Times New Roman" w:hAnsi="Times New Roman" w:cs="Times New Roman"/>
                <w:color w:val="auto"/>
                <w:sz w:val="24"/>
              </w:rPr>
              <w:t>，全县林草覆盖率65.64%。由于海拔和地形的差异，水热条件等气候要素以及地质、土壤的不同，造成境内植物资源丰富，形成植被在地域分布上的差异性，现有的植被都是次生植被类型，主要植被类型有暖性针叶林、暖性阔叶林、暖温性灌木丛，自然植被树种以云南松、旱冬瓜、滇柏等为主，草本植物为细柄草、野古草、毛蕨菜、滇龙胆、黄背草、兔耳风等为主。当地乔木树种主要为高山栲、元江栲、滇青冈、滇石栎、云南松、华山松、滇油杉、桉树、柏树、旱冬瓜和桤木等，灌木主要为滇杨梅、滇含笑、车桑子、小铁仔等。</w:t>
            </w:r>
          </w:p>
          <w:p>
            <w:pPr>
              <w:tabs>
                <w:tab w:val="left" w:pos="1340"/>
              </w:tabs>
              <w:spacing w:line="360" w:lineRule="auto"/>
              <w:ind w:firstLine="480"/>
              <w:rPr>
                <w:rFonts w:hint="default" w:ascii="Times New Roman" w:hAnsi="Times New Roman" w:cs="Times New Roman"/>
                <w:color w:val="auto"/>
                <w:sz w:val="24"/>
              </w:rPr>
            </w:pPr>
            <w:r>
              <w:rPr>
                <w:rFonts w:hint="default" w:ascii="Times New Roman" w:hAnsi="Times New Roman" w:cs="Times New Roman"/>
                <w:color w:val="auto"/>
                <w:sz w:val="24"/>
              </w:rPr>
              <w:t>项目区为</w:t>
            </w:r>
            <w:r>
              <w:rPr>
                <w:rFonts w:hint="eastAsia" w:ascii="Times New Roman" w:hAnsi="Times New Roman" w:cs="Times New Roman"/>
                <w:color w:val="auto"/>
                <w:sz w:val="24"/>
                <w:szCs w:val="24"/>
                <w:lang w:eastAsia="zh-CN"/>
              </w:rPr>
              <w:t>旱地</w:t>
            </w:r>
            <w:r>
              <w:rPr>
                <w:rFonts w:hint="default" w:ascii="Times New Roman" w:hAnsi="Times New Roman" w:cs="Times New Roman"/>
                <w:color w:val="auto"/>
                <w:sz w:val="24"/>
              </w:rPr>
              <w:t>，</w:t>
            </w:r>
            <w:r>
              <w:rPr>
                <w:rFonts w:hint="eastAsia" w:ascii="Times New Roman" w:hAnsi="Times New Roman" w:cs="Times New Roman"/>
                <w:color w:val="auto"/>
                <w:sz w:val="24"/>
                <w:lang w:eastAsia="zh-CN"/>
              </w:rPr>
              <w:t>旱地</w:t>
            </w:r>
            <w:r>
              <w:rPr>
                <w:rFonts w:hint="default" w:ascii="Times New Roman" w:hAnsi="Times New Roman" w:cs="Times New Roman"/>
                <w:color w:val="auto"/>
                <w:sz w:val="24"/>
              </w:rPr>
              <w:t>主要种植玉米以及矮瓜</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无大型植被覆盖，林草稀疏。生态环境一般，生物多样性一般，</w:t>
            </w:r>
            <w:r>
              <w:rPr>
                <w:rFonts w:hint="eastAsia" w:ascii="Times New Roman" w:hAnsi="Times New Roman" w:cs="Times New Roman"/>
                <w:color w:val="auto"/>
                <w:sz w:val="24"/>
                <w:lang w:eastAsia="zh-CN"/>
              </w:rPr>
              <w:t>未发现有</w:t>
            </w:r>
            <w:r>
              <w:rPr>
                <w:rFonts w:hint="default" w:ascii="Times New Roman" w:hAnsi="Times New Roman" w:cs="Times New Roman"/>
                <w:color w:val="auto"/>
                <w:sz w:val="24"/>
              </w:rPr>
              <w:t>古树名木分布，</w:t>
            </w:r>
            <w:r>
              <w:rPr>
                <w:rFonts w:hint="eastAsia" w:ascii="Times New Roman" w:hAnsi="Times New Roman" w:cs="Times New Roman"/>
                <w:color w:val="auto"/>
                <w:sz w:val="24"/>
                <w:lang w:eastAsia="zh-CN"/>
              </w:rPr>
              <w:t>未发现</w:t>
            </w:r>
            <w:r>
              <w:rPr>
                <w:rFonts w:hint="default" w:ascii="Times New Roman" w:hAnsi="Times New Roman" w:cs="Times New Roman"/>
                <w:color w:val="auto"/>
                <w:sz w:val="24"/>
              </w:rPr>
              <w:t>需保护的野生动物。</w:t>
            </w:r>
          </w:p>
          <w:p>
            <w:pPr>
              <w:pStyle w:val="2"/>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eastAsia="zh-CN"/>
              </w:rPr>
              <w:t>植被利用现状一览表见表</w:t>
            </w:r>
            <w:r>
              <w:rPr>
                <w:rFonts w:hint="eastAsia" w:ascii="Times New Roman" w:hAnsi="Times New Roman" w:cs="Times New Roman"/>
                <w:color w:val="auto"/>
                <w:sz w:val="24"/>
                <w:lang w:val="en-US" w:eastAsia="zh-CN"/>
              </w:rPr>
              <w:t>2-2。</w:t>
            </w:r>
          </w:p>
          <w:p>
            <w:pPr>
              <w:pStyle w:val="2"/>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表2-2  植被利用现状一览表</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2827"/>
              <w:gridCol w:w="3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21"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土地类型</w:t>
                  </w:r>
                </w:p>
              </w:tc>
              <w:tc>
                <w:tcPr>
                  <w:tcW w:w="2827"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主要用途</w:t>
                  </w:r>
                </w:p>
              </w:tc>
              <w:tc>
                <w:tcPr>
                  <w:tcW w:w="3966"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植被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1"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旱地</w:t>
                  </w:r>
                </w:p>
              </w:tc>
              <w:tc>
                <w:tcPr>
                  <w:tcW w:w="2827"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种植农作物</w:t>
                  </w:r>
                </w:p>
              </w:tc>
              <w:tc>
                <w:tcPr>
                  <w:tcW w:w="3966"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瓜、玉米等</w:t>
                  </w:r>
                </w:p>
              </w:tc>
            </w:tr>
          </w:tbl>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7、</w:t>
            </w:r>
            <w:r>
              <w:rPr>
                <w:rFonts w:hint="default" w:ascii="Times New Roman" w:hAnsi="Times New Roman" w:cs="Times New Roman"/>
                <w:b/>
                <w:color w:val="auto"/>
                <w:sz w:val="24"/>
                <w:szCs w:val="24"/>
              </w:rPr>
              <w:t>保护区、文物古迹</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位于富明县东村镇西村村，经现场调查项目厂址周边内未发现文物，且项目区不涉及国务院、国家有关部门、省（自治区、直辖市）人民政府、市（州）人民政府、县（区、市）人民政府规定的生态保护区、自然保护区、风景名胜区、文化遗产保护区、水源保护区，区内无国家规定的保护动植物。</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根据现场调查，本项目占地范围内</w:t>
            </w:r>
            <w:r>
              <w:rPr>
                <w:rFonts w:hint="default" w:ascii="Times New Roman" w:hAnsi="Times New Roman" w:cs="Times New Roman"/>
                <w:color w:val="auto"/>
                <w:sz w:val="24"/>
                <w:szCs w:val="24"/>
                <w:lang w:eastAsia="zh-CN"/>
              </w:rPr>
              <w:t>未发现</w:t>
            </w:r>
            <w:r>
              <w:rPr>
                <w:rFonts w:hint="default" w:ascii="Times New Roman" w:hAnsi="Times New Roman" w:cs="Times New Roman"/>
                <w:color w:val="auto"/>
                <w:sz w:val="24"/>
                <w:szCs w:val="24"/>
              </w:rPr>
              <w:t>珍稀保护植物和名木古树分布。</w:t>
            </w:r>
          </w:p>
          <w:p>
            <w:pPr>
              <w:pStyle w:val="2"/>
              <w:rPr>
                <w:rFonts w:hint="default" w:ascii="Times New Roman" w:hAnsi="Times New Roman" w:cs="Times New Roman"/>
                <w:color w:val="auto"/>
              </w:rPr>
            </w:pPr>
          </w:p>
          <w:p>
            <w:pPr>
              <w:pStyle w:val="2"/>
              <w:rPr>
                <w:rFonts w:hint="default" w:ascii="Times New Roman" w:hAnsi="Times New Roman" w:cs="Times New Roman"/>
                <w:color w:val="auto"/>
              </w:rPr>
            </w:pPr>
          </w:p>
          <w:p>
            <w:pPr>
              <w:pStyle w:val="2"/>
              <w:rPr>
                <w:rFonts w:hint="default" w:ascii="Times New Roman" w:hAnsi="Times New Roman" w:cs="Times New Roman"/>
                <w:color w:val="auto"/>
              </w:rPr>
            </w:pPr>
          </w:p>
          <w:p>
            <w:pPr>
              <w:pStyle w:val="2"/>
              <w:rPr>
                <w:rFonts w:hint="default" w:ascii="Times New Roman" w:hAnsi="Times New Roman" w:cs="Times New Roman"/>
                <w:color w:val="auto"/>
              </w:rPr>
            </w:pPr>
          </w:p>
          <w:p>
            <w:pPr>
              <w:pStyle w:val="2"/>
              <w:rPr>
                <w:rFonts w:hint="default" w:ascii="Times New Roman" w:hAnsi="Times New Roman" w:cs="Times New Roman"/>
                <w:color w:val="auto"/>
              </w:rPr>
            </w:pPr>
          </w:p>
          <w:p>
            <w:pPr>
              <w:pStyle w:val="2"/>
              <w:rPr>
                <w:rFonts w:hint="default" w:ascii="Times New Roman" w:hAnsi="Times New Roman" w:cs="Times New Roman"/>
                <w:color w:val="auto"/>
              </w:rPr>
            </w:pPr>
          </w:p>
          <w:p>
            <w:pPr>
              <w:pStyle w:val="2"/>
              <w:rPr>
                <w:rFonts w:hint="default" w:ascii="Times New Roman" w:hAnsi="Times New Roman" w:cs="Times New Roman"/>
                <w:color w:val="auto"/>
              </w:rPr>
            </w:pPr>
          </w:p>
          <w:p>
            <w:pPr>
              <w:pStyle w:val="2"/>
              <w:rPr>
                <w:rFonts w:hint="default" w:ascii="Times New Roman" w:hAnsi="Times New Roman" w:cs="Times New Roman"/>
                <w:color w:val="auto"/>
              </w:rPr>
            </w:pPr>
          </w:p>
          <w:p>
            <w:pPr>
              <w:pStyle w:val="2"/>
              <w:rPr>
                <w:rFonts w:hint="default" w:ascii="Times New Roman" w:hAnsi="Times New Roman" w:cs="Times New Roman"/>
                <w:color w:val="auto"/>
              </w:rPr>
            </w:pPr>
          </w:p>
          <w:p>
            <w:pPr>
              <w:pStyle w:val="2"/>
              <w:rPr>
                <w:rFonts w:hint="default" w:ascii="Times New Roman" w:hAnsi="Times New Roman" w:cs="Times New Roman"/>
                <w:color w:val="auto"/>
              </w:rPr>
            </w:pPr>
          </w:p>
        </w:tc>
      </w:tr>
    </w:tbl>
    <w:p>
      <w:pPr>
        <w:pStyle w:val="3"/>
        <w:pageBreakBefore/>
        <w:spacing w:before="0" w:after="0" w:line="240" w:lineRule="auto"/>
        <w:rPr>
          <w:rFonts w:ascii="Times New Roman" w:hAnsi="Times New Roman"/>
          <w:color w:val="auto"/>
          <w:spacing w:val="2"/>
          <w:sz w:val="28"/>
          <w:szCs w:val="28"/>
        </w:rPr>
      </w:pPr>
      <w:bookmarkStart w:id="3" w:name="_Toc513627176"/>
      <w:r>
        <w:rPr>
          <w:rFonts w:ascii="Times New Roman" w:hAnsi="Times New Roman"/>
          <w:color w:val="auto"/>
          <w:spacing w:val="2"/>
          <w:sz w:val="28"/>
          <w:szCs w:val="28"/>
        </w:rPr>
        <w:t>表三、环境质量状况</w:t>
      </w:r>
      <w:bookmarkEnd w:id="3"/>
    </w:p>
    <w:tbl>
      <w:tblPr>
        <w:tblStyle w:val="43"/>
        <w:tblW w:w="875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2" w:type="dxa"/>
          </w:tcPr>
          <w:p>
            <w:pPr>
              <w:tabs>
                <w:tab w:val="left" w:pos="2395"/>
              </w:tabs>
              <w:adjustRightInd w:val="0"/>
              <w:snapToGrid w:val="0"/>
              <w:spacing w:line="360" w:lineRule="auto"/>
              <w:rPr>
                <w:rFonts w:ascii="Times New Roman" w:hAnsi="Times New Roman"/>
                <w:b/>
                <w:bCs/>
                <w:color w:val="auto"/>
                <w:kern w:val="0"/>
                <w:sz w:val="28"/>
                <w:szCs w:val="28"/>
              </w:rPr>
            </w:pPr>
            <w:r>
              <w:rPr>
                <w:rFonts w:ascii="Times New Roman" w:hAnsi="Times New Roman"/>
                <w:b/>
                <w:bCs/>
                <w:color w:val="auto"/>
                <w:kern w:val="0"/>
                <w:sz w:val="28"/>
                <w:szCs w:val="28"/>
              </w:rPr>
              <w:t>建设项目所在地区域环境质量现状及主要环境问题(环境空气、地面水、地下水、声环境、生态环境等)：</w:t>
            </w:r>
          </w:p>
          <w:p>
            <w:pPr>
              <w:spacing w:line="360" w:lineRule="auto"/>
              <w:rPr>
                <w:rFonts w:ascii="Times New Roman" w:hAnsi="Times New Roman"/>
                <w:b/>
                <w:bCs/>
                <w:color w:val="auto"/>
                <w:sz w:val="24"/>
              </w:rPr>
            </w:pPr>
            <w:r>
              <w:rPr>
                <w:rFonts w:ascii="Times New Roman" w:hAnsi="Times New Roman"/>
                <w:b/>
                <w:bCs/>
                <w:color w:val="auto"/>
                <w:sz w:val="24"/>
              </w:rPr>
              <w:t>1、环境空气质量现状</w:t>
            </w:r>
          </w:p>
          <w:p>
            <w:pPr>
              <w:spacing w:line="360" w:lineRule="auto"/>
              <w:ind w:firstLine="480" w:firstLineChars="200"/>
              <w:rPr>
                <w:rFonts w:hint="eastAsia"/>
                <w:color w:val="auto"/>
                <w:sz w:val="24"/>
              </w:rPr>
            </w:pPr>
            <w:r>
              <w:rPr>
                <w:rFonts w:hint="eastAsia"/>
                <w:color w:val="auto"/>
                <w:sz w:val="24"/>
              </w:rPr>
              <w:t>昆倘高速公路附属项目位于富明县东村镇西村村</w:t>
            </w:r>
            <w:r>
              <w:rPr>
                <w:color w:val="auto"/>
                <w:sz w:val="24"/>
              </w:rPr>
              <w:t>，属于环境空气质量二类区。根据现场踏勘，项目区</w:t>
            </w:r>
            <w:r>
              <w:rPr>
                <w:rFonts w:hint="eastAsia"/>
                <w:color w:val="auto"/>
                <w:sz w:val="24"/>
              </w:rPr>
              <w:t>背靠</w:t>
            </w:r>
            <w:r>
              <w:rPr>
                <w:color w:val="auto"/>
                <w:sz w:val="24"/>
              </w:rPr>
              <w:t>山坡。</w:t>
            </w:r>
            <w:r>
              <w:rPr>
                <w:rFonts w:hint="eastAsia"/>
                <w:color w:val="auto"/>
                <w:sz w:val="24"/>
              </w:rPr>
              <w:t>通过查阅《2018年昆明市环境质量状况公报》，</w:t>
            </w:r>
            <w:r>
              <w:rPr>
                <w:rFonts w:hint="eastAsia" w:ascii="宋体" w:hAnsi="宋体" w:cs="宋体"/>
                <w:color w:val="auto"/>
                <w:sz w:val="24"/>
                <w:szCs w:val="24"/>
                <w:shd w:val="clear" w:color="auto" w:fill="FFFFFF"/>
              </w:rPr>
              <w:t>东川区、晋宁区、安宁市、嵩明县、石林县、富民</w:t>
            </w:r>
            <w:r>
              <w:rPr>
                <w:rFonts w:ascii="Times New Roman" w:hAnsi="Times New Roman"/>
                <w:color w:val="auto"/>
                <w:sz w:val="24"/>
                <w:szCs w:val="24"/>
                <w:shd w:val="clear" w:color="auto" w:fill="FFFFFF"/>
              </w:rPr>
              <w:t>县、宜良县、禄劝县、寻甸县共建有空气自动监测站9个</w:t>
            </w:r>
            <w:r>
              <w:rPr>
                <w:rFonts w:hint="eastAsia" w:ascii="Times New Roman" w:hAnsi="Times New Roman"/>
                <w:color w:val="auto"/>
                <w:sz w:val="24"/>
                <w:szCs w:val="24"/>
                <w:shd w:val="clear" w:color="auto" w:fill="FFFFFF"/>
              </w:rPr>
              <w:t>（含1个参照点）</w:t>
            </w:r>
            <w:r>
              <w:rPr>
                <w:rFonts w:ascii="Times New Roman" w:hAnsi="Times New Roman"/>
                <w:color w:val="auto"/>
                <w:sz w:val="24"/>
                <w:szCs w:val="24"/>
                <w:shd w:val="clear" w:color="auto" w:fill="FFFFFF"/>
              </w:rPr>
              <w:t>，</w:t>
            </w:r>
            <w:r>
              <w:rPr>
                <w:rFonts w:hint="eastAsia" w:ascii="Times New Roman" w:hAnsi="Times New Roman"/>
                <w:color w:val="auto"/>
                <w:sz w:val="24"/>
                <w:szCs w:val="24"/>
                <w:shd w:val="clear" w:color="auto" w:fill="FFFFFF"/>
              </w:rPr>
              <w:t>按《环境空气质量标准》（GB3095-2012）评价，2018年昆明市所辖8个县（市）区：东川区、晋宁区、安宁市、嵩明县、石林县、富民县、宜良县、寻甸县、阳宗海风景名胜区的</w:t>
            </w:r>
            <w:r>
              <w:rPr>
                <w:rFonts w:ascii="Times New Roman" w:hAnsi="Times New Roman"/>
                <w:color w:val="auto"/>
                <w:sz w:val="24"/>
                <w:szCs w:val="24"/>
                <w:shd w:val="clear" w:color="auto" w:fill="FFFFFF"/>
              </w:rPr>
              <w:t>二氧化硫、二氧化氮、可吸入颗粒物（PM</w:t>
            </w:r>
            <w:r>
              <w:rPr>
                <w:rFonts w:ascii="Times New Roman" w:hAnsi="Times New Roman"/>
                <w:color w:val="auto"/>
                <w:sz w:val="24"/>
                <w:szCs w:val="24"/>
                <w:shd w:val="clear" w:color="auto" w:fill="FFFFFF"/>
                <w:vertAlign w:val="subscript"/>
              </w:rPr>
              <w:t>10</w:t>
            </w:r>
            <w:r>
              <w:rPr>
                <w:rFonts w:ascii="Times New Roman" w:hAnsi="Times New Roman"/>
                <w:color w:val="auto"/>
                <w:sz w:val="24"/>
                <w:szCs w:val="24"/>
                <w:shd w:val="clear" w:color="auto" w:fill="FFFFFF"/>
              </w:rPr>
              <w:t>）、细颗粒物（PM</w:t>
            </w:r>
            <w:r>
              <w:rPr>
                <w:rFonts w:ascii="Times New Roman" w:hAnsi="Times New Roman"/>
                <w:color w:val="auto"/>
                <w:sz w:val="24"/>
                <w:szCs w:val="24"/>
                <w:shd w:val="clear" w:color="auto" w:fill="FFFFFF"/>
                <w:vertAlign w:val="subscript"/>
              </w:rPr>
              <w:t>2.5</w:t>
            </w:r>
            <w:r>
              <w:rPr>
                <w:rFonts w:ascii="Times New Roman" w:hAnsi="Times New Roman"/>
                <w:color w:val="auto"/>
                <w:sz w:val="24"/>
                <w:szCs w:val="24"/>
                <w:shd w:val="clear" w:color="auto" w:fill="FFFFFF"/>
              </w:rPr>
              <w:t>）年均浓度均达到二级标准，</w:t>
            </w:r>
            <w:r>
              <w:rPr>
                <w:rFonts w:hint="eastAsia" w:ascii="Times New Roman" w:hAnsi="Times New Roman"/>
                <w:color w:val="auto"/>
                <w:sz w:val="24"/>
                <w:szCs w:val="24"/>
                <w:shd w:val="clear" w:color="auto" w:fill="FFFFFF"/>
              </w:rPr>
              <w:t>禄劝县吸入颗粒物（PM</w:t>
            </w:r>
            <w:r>
              <w:rPr>
                <w:rFonts w:hint="eastAsia" w:ascii="Times New Roman" w:hAnsi="Times New Roman"/>
                <w:color w:val="auto"/>
                <w:sz w:val="24"/>
                <w:szCs w:val="24"/>
                <w:shd w:val="clear" w:color="auto" w:fill="FFFFFF"/>
                <w:vertAlign w:val="subscript"/>
              </w:rPr>
              <w:t>10</w:t>
            </w:r>
            <w:r>
              <w:rPr>
                <w:rFonts w:hint="eastAsia" w:ascii="Times New Roman" w:hAnsi="Times New Roman"/>
                <w:color w:val="auto"/>
                <w:sz w:val="24"/>
                <w:szCs w:val="24"/>
                <w:shd w:val="clear" w:color="auto" w:fill="FFFFFF"/>
              </w:rPr>
              <w:t>）、细颗粒物（PM</w:t>
            </w:r>
            <w:r>
              <w:rPr>
                <w:rFonts w:hint="eastAsia" w:ascii="Times New Roman" w:hAnsi="Times New Roman"/>
                <w:color w:val="auto"/>
                <w:sz w:val="24"/>
                <w:szCs w:val="24"/>
                <w:shd w:val="clear" w:color="auto" w:fill="FFFFFF"/>
                <w:vertAlign w:val="subscript"/>
              </w:rPr>
              <w:t>2.5</w:t>
            </w:r>
            <w:r>
              <w:rPr>
                <w:rFonts w:hint="eastAsia" w:ascii="Times New Roman" w:hAnsi="Times New Roman"/>
                <w:color w:val="auto"/>
                <w:sz w:val="24"/>
                <w:szCs w:val="24"/>
                <w:shd w:val="clear" w:color="auto" w:fill="FFFFFF"/>
              </w:rPr>
              <w:t>）年均浓度未达到二级标准</w:t>
            </w:r>
            <w:r>
              <w:rPr>
                <w:rFonts w:ascii="Times New Roman" w:hAnsi="Times New Roman"/>
                <w:color w:val="auto"/>
                <w:sz w:val="24"/>
                <w:szCs w:val="24"/>
                <w:shd w:val="clear" w:color="auto" w:fill="FFFFFF"/>
              </w:rPr>
              <w:t>。</w:t>
            </w:r>
            <w:r>
              <w:rPr>
                <w:rFonts w:hint="eastAsia"/>
                <w:color w:val="auto"/>
                <w:sz w:val="24"/>
              </w:rPr>
              <w:t>项目区域位于富明县，属于环境空气达标区。</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近五年来，SO</w:t>
            </w:r>
            <w:r>
              <w:rPr>
                <w:rFonts w:hint="default" w:ascii="Times New Roman" w:hAnsi="Times New Roman" w:cs="Times New Roman"/>
                <w:color w:val="auto"/>
                <w:sz w:val="24"/>
                <w:szCs w:val="24"/>
                <w:vertAlign w:val="subscript"/>
              </w:rPr>
              <w:t>2</w:t>
            </w:r>
            <w:r>
              <w:rPr>
                <w:rFonts w:hint="default" w:ascii="Times New Roman" w:hAnsi="Times New Roman" w:cs="Times New Roman"/>
                <w:color w:val="auto"/>
                <w:sz w:val="24"/>
                <w:szCs w:val="24"/>
              </w:rPr>
              <w:t>、PM</w:t>
            </w:r>
            <w:r>
              <w:rPr>
                <w:rFonts w:hint="default" w:ascii="Times New Roman" w:hAnsi="Times New Roman" w:cs="Times New Roman"/>
                <w:color w:val="auto"/>
                <w:sz w:val="24"/>
                <w:szCs w:val="24"/>
                <w:vertAlign w:val="subscript"/>
              </w:rPr>
              <w:t>2.5</w:t>
            </w:r>
            <w:r>
              <w:rPr>
                <w:rFonts w:hint="default" w:ascii="Times New Roman" w:hAnsi="Times New Roman" w:cs="Times New Roman"/>
                <w:color w:val="auto"/>
                <w:sz w:val="24"/>
                <w:szCs w:val="24"/>
              </w:rPr>
              <w:t>、CO年平均浓度总体呈下降趋势；NO</w:t>
            </w:r>
            <w:r>
              <w:rPr>
                <w:rFonts w:hint="default" w:ascii="Times New Roman" w:hAnsi="Times New Roman" w:cs="Times New Roman"/>
                <w:color w:val="auto"/>
                <w:sz w:val="24"/>
                <w:szCs w:val="24"/>
                <w:vertAlign w:val="subscript"/>
              </w:rPr>
              <w:t>2</w:t>
            </w:r>
            <w:r>
              <w:rPr>
                <w:rFonts w:hint="default" w:ascii="Times New Roman" w:hAnsi="Times New Roman" w:cs="Times New Roman"/>
                <w:color w:val="auto"/>
                <w:sz w:val="24"/>
                <w:szCs w:val="24"/>
              </w:rPr>
              <w:t>、PM</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rPr>
              <w:t>、O</w:t>
            </w:r>
            <w:r>
              <w:rPr>
                <w:rFonts w:hint="default" w:ascii="Times New Roman" w:hAnsi="Times New Roman" w:cs="Times New Roman"/>
                <w:color w:val="auto"/>
                <w:sz w:val="24"/>
                <w:szCs w:val="24"/>
                <w:vertAlign w:val="subscript"/>
              </w:rPr>
              <w:t>3</w:t>
            </w:r>
            <w:r>
              <w:rPr>
                <w:rFonts w:hint="default" w:ascii="Times New Roman" w:hAnsi="Times New Roman" w:cs="Times New Roman"/>
                <w:color w:val="auto"/>
                <w:sz w:val="24"/>
                <w:szCs w:val="24"/>
              </w:rPr>
              <w:t>年平均浓度略有波动。</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rPr>
            </w:pPr>
            <w:r>
              <w:rPr>
                <w:rFonts w:hint="default" w:ascii="Times New Roman" w:hAnsi="Times New Roman" w:cs="Times New Roman"/>
                <w:color w:val="auto"/>
                <w:sz w:val="24"/>
                <w:szCs w:val="24"/>
              </w:rPr>
              <w:t>昆明市主城区大气污染物年均浓度见表</w:t>
            </w:r>
            <w:r>
              <w:rPr>
                <w:rFonts w:hint="eastAsia"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-1。</w:t>
            </w:r>
          </w:p>
          <w:p>
            <w:pPr>
              <w:pStyle w:val="2"/>
              <w:jc w:val="center"/>
              <w:rPr>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rPr>
              <w:t xml:space="preserve">-1 </w:t>
            </w:r>
            <w:r>
              <w:rPr>
                <w:b/>
                <w:bCs/>
                <w:color w:val="auto"/>
                <w:sz w:val="24"/>
                <w:szCs w:val="24"/>
              </w:rPr>
              <w:t xml:space="preserve"> </w:t>
            </w:r>
            <w:r>
              <w:rPr>
                <w:rFonts w:hint="eastAsia"/>
                <w:b/>
                <w:bCs/>
                <w:color w:val="auto"/>
                <w:sz w:val="24"/>
                <w:szCs w:val="24"/>
              </w:rPr>
              <w:t>昆明市</w:t>
            </w:r>
            <w:r>
              <w:rPr>
                <w:b/>
                <w:bCs/>
                <w:color w:val="auto"/>
                <w:sz w:val="24"/>
                <w:szCs w:val="24"/>
              </w:rPr>
              <w:t>主城区空气质量污染物年均浓度</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343"/>
              <w:gridCol w:w="1915"/>
              <w:gridCol w:w="4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jc w:val="center"/>
              </w:trPr>
              <w:tc>
                <w:tcPr>
                  <w:tcW w:w="394" w:type="pct"/>
                  <w:shd w:val="clear" w:color="auto" w:fill="auto"/>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788" w:type="pct"/>
                  <w:shd w:val="clear" w:color="auto" w:fill="auto"/>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w:t>
                  </w:r>
                </w:p>
              </w:tc>
              <w:tc>
                <w:tcPr>
                  <w:tcW w:w="1123" w:type="pct"/>
                  <w:shd w:val="clear" w:color="auto" w:fill="auto"/>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年均浓度</w:t>
                  </w:r>
                </w:p>
              </w:tc>
              <w:tc>
                <w:tcPr>
                  <w:tcW w:w="2695" w:type="pct"/>
                  <w:shd w:val="clear" w:color="auto" w:fill="auto"/>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788"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SO</w:t>
                  </w:r>
                  <w:r>
                    <w:rPr>
                      <w:rFonts w:hint="default" w:ascii="Times New Roman" w:hAnsi="Times New Roman" w:cs="Times New Roman"/>
                      <w:color w:val="auto"/>
                      <w:sz w:val="21"/>
                      <w:szCs w:val="21"/>
                      <w:vertAlign w:val="subscript"/>
                    </w:rPr>
                    <w:t>2</w:t>
                  </w:r>
                </w:p>
              </w:tc>
              <w:tc>
                <w:tcPr>
                  <w:tcW w:w="112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15μg/m</w:t>
                  </w:r>
                  <w:r>
                    <w:rPr>
                      <w:rFonts w:hint="default" w:ascii="Times New Roman" w:hAnsi="Times New Roman" w:cs="Times New Roman"/>
                      <w:color w:val="auto"/>
                      <w:sz w:val="21"/>
                      <w:szCs w:val="21"/>
                      <w:vertAlign w:val="superscript"/>
                    </w:rPr>
                    <w:t>3</w:t>
                  </w:r>
                </w:p>
              </w:tc>
              <w:tc>
                <w:tcPr>
                  <w:tcW w:w="2695"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达到年均值二级标准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788"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NO</w:t>
                  </w:r>
                  <w:r>
                    <w:rPr>
                      <w:rFonts w:hint="default" w:ascii="Times New Roman" w:hAnsi="Times New Roman" w:cs="Times New Roman"/>
                      <w:color w:val="auto"/>
                      <w:sz w:val="21"/>
                      <w:szCs w:val="21"/>
                      <w:vertAlign w:val="subscript"/>
                    </w:rPr>
                    <w:t>2</w:t>
                  </w:r>
                </w:p>
              </w:tc>
              <w:tc>
                <w:tcPr>
                  <w:tcW w:w="112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32μg/m</w:t>
                  </w:r>
                  <w:r>
                    <w:rPr>
                      <w:rFonts w:hint="default" w:ascii="Times New Roman" w:hAnsi="Times New Roman" w:cs="Times New Roman"/>
                      <w:color w:val="auto"/>
                      <w:sz w:val="21"/>
                      <w:szCs w:val="21"/>
                      <w:vertAlign w:val="superscript"/>
                    </w:rPr>
                    <w:t>3</w:t>
                  </w:r>
                </w:p>
              </w:tc>
              <w:tc>
                <w:tcPr>
                  <w:tcW w:w="2695"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达到年均值二级标准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788"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PM</w:t>
                  </w:r>
                  <w:r>
                    <w:rPr>
                      <w:rFonts w:hint="default" w:ascii="Times New Roman" w:hAnsi="Times New Roman" w:cs="Times New Roman"/>
                      <w:color w:val="auto"/>
                      <w:sz w:val="21"/>
                      <w:szCs w:val="21"/>
                      <w:vertAlign w:val="subscript"/>
                    </w:rPr>
                    <w:t>10</w:t>
                  </w:r>
                </w:p>
              </w:tc>
              <w:tc>
                <w:tcPr>
                  <w:tcW w:w="112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58μg/m</w:t>
                  </w:r>
                  <w:r>
                    <w:rPr>
                      <w:rFonts w:hint="default" w:ascii="Times New Roman" w:hAnsi="Times New Roman" w:cs="Times New Roman"/>
                      <w:color w:val="auto"/>
                      <w:sz w:val="21"/>
                      <w:szCs w:val="21"/>
                      <w:vertAlign w:val="superscript"/>
                    </w:rPr>
                    <w:t>3</w:t>
                  </w:r>
                </w:p>
              </w:tc>
              <w:tc>
                <w:tcPr>
                  <w:tcW w:w="2695"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达到年均值二级标准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788"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PM</w:t>
                  </w:r>
                  <w:r>
                    <w:rPr>
                      <w:rFonts w:hint="default" w:ascii="Times New Roman" w:hAnsi="Times New Roman" w:cs="Times New Roman"/>
                      <w:color w:val="auto"/>
                      <w:sz w:val="21"/>
                      <w:szCs w:val="21"/>
                      <w:vertAlign w:val="subscript"/>
                    </w:rPr>
                    <w:t>2.5</w:t>
                  </w:r>
                </w:p>
              </w:tc>
              <w:tc>
                <w:tcPr>
                  <w:tcW w:w="112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29μg/m</w:t>
                  </w:r>
                  <w:r>
                    <w:rPr>
                      <w:rFonts w:hint="default" w:ascii="Times New Roman" w:hAnsi="Times New Roman" w:cs="Times New Roman"/>
                      <w:color w:val="auto"/>
                      <w:sz w:val="21"/>
                      <w:szCs w:val="21"/>
                      <w:vertAlign w:val="superscript"/>
                    </w:rPr>
                    <w:t>3</w:t>
                  </w:r>
                </w:p>
              </w:tc>
              <w:tc>
                <w:tcPr>
                  <w:tcW w:w="2695"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达到年均值二级标准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788"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CO</w:t>
                  </w:r>
                </w:p>
              </w:tc>
              <w:tc>
                <w:tcPr>
                  <w:tcW w:w="112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0.911mg/m</w:t>
                  </w:r>
                  <w:r>
                    <w:rPr>
                      <w:rFonts w:hint="default" w:ascii="Times New Roman" w:hAnsi="Times New Roman" w:cs="Times New Roman"/>
                      <w:color w:val="auto"/>
                      <w:sz w:val="21"/>
                      <w:szCs w:val="21"/>
                      <w:vertAlign w:val="superscript"/>
                    </w:rPr>
                    <w:t>3</w:t>
                  </w:r>
                </w:p>
              </w:tc>
              <w:tc>
                <w:tcPr>
                  <w:tcW w:w="2695"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优于二级24小时均值标准（CO无年均浓度标准）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788"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O</w:t>
                  </w:r>
                  <w:r>
                    <w:rPr>
                      <w:rFonts w:hint="default" w:ascii="Times New Roman" w:hAnsi="Times New Roman" w:cs="Times New Roman"/>
                      <w:color w:val="auto"/>
                      <w:sz w:val="21"/>
                      <w:szCs w:val="21"/>
                      <w:vertAlign w:val="subscript"/>
                    </w:rPr>
                    <w:t>3</w:t>
                  </w:r>
                </w:p>
              </w:tc>
              <w:tc>
                <w:tcPr>
                  <w:tcW w:w="112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80μg/m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（日最大8h平均）</w:t>
                  </w:r>
                </w:p>
              </w:tc>
              <w:tc>
                <w:tcPr>
                  <w:tcW w:w="2695"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优于二级日最大8h平均标准（O</w:t>
                  </w:r>
                  <w:r>
                    <w:rPr>
                      <w:rFonts w:hint="default" w:ascii="Times New Roman" w:hAnsi="Times New Roman" w:cs="Times New Roman"/>
                      <w:color w:val="auto"/>
                      <w:sz w:val="21"/>
                      <w:szCs w:val="21"/>
                      <w:vertAlign w:val="subscript"/>
                    </w:rPr>
                    <w:t>3</w:t>
                  </w:r>
                  <w:r>
                    <w:rPr>
                      <w:rFonts w:hint="default" w:ascii="Times New Roman" w:hAnsi="Times New Roman" w:cs="Times New Roman"/>
                      <w:color w:val="auto"/>
                      <w:sz w:val="21"/>
                      <w:szCs w:val="21"/>
                    </w:rPr>
                    <w:t>无年均浓度标准）</w:t>
                  </w:r>
                </w:p>
              </w:tc>
            </w:tr>
          </w:tbl>
          <w:p>
            <w:pPr>
              <w:spacing w:line="360" w:lineRule="auto"/>
              <w:ind w:firstLine="480" w:firstLineChars="200"/>
              <w:rPr>
                <w:rFonts w:ascii="Times New Roman" w:hAnsi="Times New Roman" w:eastAsiaTheme="minorEastAsia"/>
                <w:bCs/>
                <w:color w:val="auto"/>
                <w:sz w:val="24"/>
                <w:szCs w:val="24"/>
              </w:rPr>
            </w:pPr>
            <w:r>
              <w:rPr>
                <w:rFonts w:ascii="Times New Roman" w:hAnsi="Times New Roman" w:eastAsiaTheme="minorEastAsia"/>
                <w:bCs/>
                <w:color w:val="auto"/>
                <w:sz w:val="24"/>
                <w:szCs w:val="24"/>
              </w:rPr>
              <w:t>云南浩辰环保科技有限公司</w:t>
            </w:r>
            <w:r>
              <w:rPr>
                <w:rFonts w:hint="eastAsia" w:ascii="Times New Roman" w:hAnsi="Times New Roman" w:eastAsiaTheme="minorEastAsia"/>
                <w:bCs/>
                <w:color w:val="auto"/>
                <w:sz w:val="24"/>
                <w:szCs w:val="24"/>
              </w:rPr>
              <w:t>于2019年9月</w:t>
            </w:r>
            <w:r>
              <w:rPr>
                <w:rFonts w:hint="eastAsia" w:ascii="Times New Roman" w:hAnsi="Times New Roman" w:eastAsiaTheme="minorEastAsia"/>
                <w:bCs/>
                <w:color w:val="auto"/>
                <w:sz w:val="24"/>
                <w:szCs w:val="24"/>
                <w:lang w:val="en-US" w:eastAsia="zh-CN"/>
              </w:rPr>
              <w:t>20</w:t>
            </w:r>
            <w:r>
              <w:rPr>
                <w:rFonts w:hint="eastAsia" w:ascii="Times New Roman" w:hAnsi="Times New Roman" w:eastAsiaTheme="minorEastAsia"/>
                <w:bCs/>
                <w:color w:val="auto"/>
                <w:sz w:val="24"/>
                <w:szCs w:val="24"/>
              </w:rPr>
              <w:t>日</w:t>
            </w:r>
            <w:r>
              <w:rPr>
                <w:rFonts w:hint="eastAsia" w:ascii="Times New Roman" w:hAnsi="Times New Roman" w:eastAsiaTheme="minorEastAsia"/>
                <w:bCs/>
                <w:color w:val="auto"/>
                <w:sz w:val="24"/>
                <w:szCs w:val="24"/>
                <w:lang w:eastAsia="zh-CN"/>
              </w:rPr>
              <w:t>至</w:t>
            </w:r>
            <w:r>
              <w:rPr>
                <w:rFonts w:hint="eastAsia" w:ascii="Times New Roman" w:hAnsi="Times New Roman" w:eastAsiaTheme="minorEastAsia"/>
                <w:bCs/>
                <w:color w:val="auto"/>
                <w:sz w:val="24"/>
                <w:szCs w:val="24"/>
                <w:lang w:val="en-US" w:eastAsia="zh-CN"/>
              </w:rPr>
              <w:t>9月26日</w:t>
            </w:r>
            <w:r>
              <w:rPr>
                <w:rFonts w:hint="eastAsia" w:ascii="Times New Roman" w:hAnsi="Times New Roman" w:eastAsiaTheme="minorEastAsia"/>
                <w:bCs/>
                <w:color w:val="auto"/>
                <w:sz w:val="24"/>
                <w:szCs w:val="24"/>
              </w:rPr>
              <w:t>对项目区上下风向TSP进行监测，监测结果见下表。监测报告详见附件5。</w:t>
            </w:r>
          </w:p>
          <w:p>
            <w:pPr>
              <w:spacing w:line="360" w:lineRule="auto"/>
              <w:jc w:val="center"/>
              <w:rPr>
                <w:rFonts w:ascii="Times New Roman" w:hAnsi="Times New Roman" w:eastAsiaTheme="minorEastAsia"/>
                <w:b/>
                <w:bCs/>
                <w:color w:val="auto"/>
                <w:sz w:val="28"/>
                <w:szCs w:val="28"/>
              </w:rPr>
            </w:pPr>
            <w:r>
              <w:rPr>
                <w:rFonts w:ascii="Times New Roman" w:hAnsi="Times New Roman" w:eastAsiaTheme="minorEastAsia"/>
                <w:b/>
                <w:bCs/>
                <w:color w:val="auto"/>
                <w:sz w:val="28"/>
                <w:szCs w:val="28"/>
              </w:rPr>
              <w:t>表</w:t>
            </w:r>
            <w:r>
              <w:rPr>
                <w:rFonts w:hint="eastAsia" w:ascii="Times New Roman" w:hAnsi="Times New Roman" w:eastAsiaTheme="minorEastAsia"/>
                <w:b/>
                <w:bCs/>
                <w:color w:val="auto"/>
                <w:sz w:val="28"/>
                <w:szCs w:val="28"/>
              </w:rPr>
              <w:t>3-</w:t>
            </w:r>
            <w:r>
              <w:rPr>
                <w:rFonts w:hint="eastAsia" w:ascii="Times New Roman" w:hAnsi="Times New Roman" w:eastAsiaTheme="minorEastAsia"/>
                <w:b/>
                <w:bCs/>
                <w:color w:val="auto"/>
                <w:sz w:val="28"/>
                <w:szCs w:val="28"/>
                <w:lang w:val="en-US" w:eastAsia="zh-CN"/>
              </w:rPr>
              <w:t>2</w:t>
            </w:r>
            <w:r>
              <w:rPr>
                <w:rFonts w:ascii="Times New Roman" w:hAnsi="Times New Roman" w:eastAsiaTheme="minorEastAsia"/>
                <w:b/>
                <w:bCs/>
                <w:color w:val="auto"/>
                <w:sz w:val="28"/>
                <w:szCs w:val="28"/>
              </w:rPr>
              <w:t xml:space="preserve">   环境空气检测结果一览表</w:t>
            </w:r>
          </w:p>
          <w:tbl>
            <w:tblPr>
              <w:tblStyle w:val="43"/>
              <w:tblW w:w="85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27"/>
              <w:gridCol w:w="1226"/>
              <w:gridCol w:w="1366"/>
              <w:gridCol w:w="1380"/>
              <w:gridCol w:w="1005"/>
              <w:gridCol w:w="1350"/>
              <w:gridCol w:w="9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227"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heme="minorEastAsia" w:eastAsiaTheme="minorEastAsia"/>
                      <w:color w:val="auto"/>
                    </w:rPr>
                    <w:t>分析</w:t>
                  </w:r>
                </w:p>
                <w:p>
                  <w:pPr>
                    <w:jc w:val="center"/>
                    <w:rPr>
                      <w:rFonts w:ascii="Times New Roman" w:hAnsi="Times New Roman" w:eastAsiaTheme="minorEastAsia"/>
                      <w:color w:val="auto"/>
                    </w:rPr>
                  </w:pPr>
                  <w:r>
                    <w:rPr>
                      <w:rFonts w:ascii="Times New Roman" w:hAnsiTheme="minorEastAsia" w:eastAsiaTheme="minorEastAsia"/>
                      <w:color w:val="auto"/>
                    </w:rPr>
                    <w:t>项目</w:t>
                  </w:r>
                </w:p>
              </w:tc>
              <w:tc>
                <w:tcPr>
                  <w:tcW w:w="122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heme="minorEastAsia" w:eastAsiaTheme="minorEastAsia"/>
                      <w:color w:val="auto"/>
                    </w:rPr>
                    <w:t>采样日期</w:t>
                  </w:r>
                </w:p>
              </w:tc>
              <w:tc>
                <w:tcPr>
                  <w:tcW w:w="13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heme="minorEastAsia" w:eastAsiaTheme="minorEastAsia"/>
                      <w:color w:val="auto"/>
                    </w:rPr>
                    <w:t>厂界上风向（</w:t>
                  </w:r>
                  <w:r>
                    <w:rPr>
                      <w:rFonts w:ascii="Times New Roman" w:hAnsi="Times New Roman" w:eastAsiaTheme="minorEastAsia"/>
                      <w:color w:val="auto"/>
                    </w:rPr>
                    <w:t>HQ01</w:t>
                  </w:r>
                  <w:r>
                    <w:rPr>
                      <w:rFonts w:ascii="Times New Roman" w:hAnsiTheme="minorEastAsia" w:eastAsiaTheme="minorEastAsia"/>
                      <w:color w:val="auto"/>
                    </w:rPr>
                    <w:t>）</w:t>
                  </w:r>
                </w:p>
              </w:tc>
              <w:tc>
                <w:tcPr>
                  <w:tcW w:w="138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heme="minorEastAsia" w:eastAsiaTheme="minorEastAsia"/>
                      <w:color w:val="auto"/>
                    </w:rPr>
                    <w:t>厂界下风向（</w:t>
                  </w:r>
                  <w:r>
                    <w:rPr>
                      <w:rFonts w:ascii="Times New Roman" w:hAnsi="Times New Roman" w:eastAsiaTheme="minorEastAsia"/>
                      <w:color w:val="auto"/>
                    </w:rPr>
                    <w:t>HQ02</w:t>
                  </w:r>
                  <w:r>
                    <w:rPr>
                      <w:rFonts w:ascii="Times New Roman" w:hAnsiTheme="minorEastAsia" w:eastAsiaTheme="minorEastAsia"/>
                      <w:color w:val="auto"/>
                    </w:rPr>
                    <w:t>）</w:t>
                  </w:r>
                </w:p>
              </w:tc>
              <w:tc>
                <w:tcPr>
                  <w:tcW w:w="1005"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heme="minorEastAsia" w:eastAsiaTheme="minorEastAsia"/>
                      <w:color w:val="auto"/>
                    </w:rPr>
                    <w:t>标准</w:t>
                  </w:r>
                </w:p>
              </w:tc>
              <w:tc>
                <w:tcPr>
                  <w:tcW w:w="1350" w:type="dxa"/>
                  <w:tcMar>
                    <w:top w:w="15" w:type="dxa"/>
                    <w:left w:w="15" w:type="dxa"/>
                    <w:bottom w:w="15" w:type="dxa"/>
                    <w:right w:w="15" w:type="dxa"/>
                  </w:tcMar>
                  <w:vAlign w:val="center"/>
                </w:tcPr>
                <w:p>
                  <w:pPr>
                    <w:jc w:val="center"/>
                    <w:rPr>
                      <w:rFonts w:ascii="Times New Roman" w:hAnsiTheme="minorEastAsia" w:eastAsiaTheme="minorEastAsia"/>
                      <w:color w:val="auto"/>
                    </w:rPr>
                  </w:pPr>
                  <w:r>
                    <w:rPr>
                      <w:rFonts w:hint="eastAsia" w:ascii="Times New Roman" w:hAnsiTheme="minorEastAsia" w:eastAsiaTheme="minorEastAsia"/>
                      <w:color w:val="auto"/>
                    </w:rPr>
                    <w:t>标准指数</w:t>
                  </w:r>
                </w:p>
              </w:tc>
              <w:tc>
                <w:tcPr>
                  <w:tcW w:w="966" w:type="dxa"/>
                  <w:tcMar>
                    <w:top w:w="15" w:type="dxa"/>
                    <w:left w:w="15" w:type="dxa"/>
                    <w:bottom w:w="15" w:type="dxa"/>
                    <w:right w:w="15" w:type="dxa"/>
                  </w:tcMar>
                  <w:vAlign w:val="center"/>
                </w:tcPr>
                <w:p>
                  <w:pPr>
                    <w:jc w:val="center"/>
                    <w:rPr>
                      <w:rFonts w:ascii="Times New Roman" w:hAnsiTheme="minorEastAsia" w:eastAsiaTheme="minorEastAsia"/>
                      <w:color w:val="auto"/>
                    </w:rPr>
                  </w:pPr>
                  <w:r>
                    <w:rPr>
                      <w:rFonts w:hint="eastAsia" w:ascii="Times New Roman" w:hAnsiTheme="minorEastAsia" w:eastAsiaTheme="minorEastAsia"/>
                      <w:color w:val="auto"/>
                    </w:rPr>
                    <w:t>达标情况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227" w:type="dxa"/>
                  <w:vMerge w:val="restart"/>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TSP</w:t>
                  </w:r>
                </w:p>
              </w:tc>
              <w:tc>
                <w:tcPr>
                  <w:tcW w:w="122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2019.09.20</w:t>
                  </w:r>
                </w:p>
              </w:tc>
              <w:tc>
                <w:tcPr>
                  <w:tcW w:w="13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0.068mg/m</w:t>
                  </w:r>
                  <w:r>
                    <w:rPr>
                      <w:rFonts w:ascii="Times New Roman" w:hAnsi="Times New Roman" w:eastAsiaTheme="minorEastAsia"/>
                      <w:color w:val="auto"/>
                      <w:vertAlign w:val="superscript"/>
                    </w:rPr>
                    <w:t>3</w:t>
                  </w:r>
                </w:p>
              </w:tc>
              <w:tc>
                <w:tcPr>
                  <w:tcW w:w="138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0.093mg/m</w:t>
                  </w:r>
                  <w:r>
                    <w:rPr>
                      <w:rFonts w:ascii="Times New Roman" w:hAnsi="Times New Roman" w:eastAsiaTheme="minorEastAsia"/>
                      <w:color w:val="auto"/>
                      <w:vertAlign w:val="superscript"/>
                    </w:rPr>
                    <w:t>3</w:t>
                  </w:r>
                </w:p>
              </w:tc>
              <w:tc>
                <w:tcPr>
                  <w:tcW w:w="1005"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0.3</w:t>
                  </w:r>
                  <w:r>
                    <w:rPr>
                      <w:rFonts w:ascii="Times New Roman" w:hAnsi="Times New Roman" w:eastAsiaTheme="minorEastAsia"/>
                      <w:color w:val="auto"/>
                    </w:rPr>
                    <w:t>mg/m</w:t>
                  </w:r>
                  <w:r>
                    <w:rPr>
                      <w:rFonts w:ascii="Times New Roman" w:hAnsi="Times New Roman" w:eastAsiaTheme="minorEastAsia"/>
                      <w:color w:val="auto"/>
                      <w:vertAlign w:val="superscript"/>
                    </w:rPr>
                    <w:t>3</w:t>
                  </w:r>
                </w:p>
              </w:tc>
              <w:tc>
                <w:tcPr>
                  <w:tcW w:w="135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0.27-0.31</w:t>
                  </w:r>
                </w:p>
              </w:tc>
              <w:tc>
                <w:tcPr>
                  <w:tcW w:w="9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达标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227" w:type="dxa"/>
                  <w:vMerge w:val="continue"/>
                  <w:tcMar>
                    <w:top w:w="15" w:type="dxa"/>
                    <w:left w:w="15" w:type="dxa"/>
                    <w:bottom w:w="15" w:type="dxa"/>
                    <w:right w:w="15" w:type="dxa"/>
                  </w:tcMar>
                  <w:vAlign w:val="center"/>
                </w:tcPr>
                <w:p>
                  <w:pPr>
                    <w:jc w:val="center"/>
                    <w:rPr>
                      <w:rFonts w:ascii="Times New Roman" w:hAnsi="Times New Roman" w:eastAsiaTheme="minorEastAsia"/>
                      <w:color w:val="auto"/>
                    </w:rPr>
                  </w:pPr>
                </w:p>
              </w:tc>
              <w:tc>
                <w:tcPr>
                  <w:tcW w:w="1226" w:type="dxa"/>
                  <w:tcMar>
                    <w:top w:w="15" w:type="dxa"/>
                    <w:left w:w="15" w:type="dxa"/>
                    <w:bottom w:w="15" w:type="dxa"/>
                    <w:right w:w="15" w:type="dxa"/>
                  </w:tcMar>
                  <w:vAlign w:val="center"/>
                </w:tcPr>
                <w:p>
                  <w:pPr>
                    <w:jc w:val="center"/>
                    <w:rPr>
                      <w:color w:val="auto"/>
                    </w:rPr>
                  </w:pPr>
                  <w:r>
                    <w:rPr>
                      <w:rFonts w:hint="eastAsia" w:ascii="Times New Roman" w:hAnsi="Times New Roman" w:eastAsiaTheme="minorEastAsia"/>
                      <w:color w:val="auto"/>
                    </w:rPr>
                    <w:t>2019.09.21</w:t>
                  </w:r>
                </w:p>
              </w:tc>
              <w:tc>
                <w:tcPr>
                  <w:tcW w:w="13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0.063mg/m</w:t>
                  </w:r>
                  <w:r>
                    <w:rPr>
                      <w:rFonts w:ascii="Times New Roman" w:hAnsi="Times New Roman" w:eastAsiaTheme="minorEastAsia"/>
                      <w:color w:val="auto"/>
                      <w:vertAlign w:val="superscript"/>
                    </w:rPr>
                    <w:t>3</w:t>
                  </w:r>
                </w:p>
              </w:tc>
              <w:tc>
                <w:tcPr>
                  <w:tcW w:w="138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0.092mg/m</w:t>
                  </w:r>
                  <w:r>
                    <w:rPr>
                      <w:rFonts w:ascii="Times New Roman" w:hAnsi="Times New Roman" w:eastAsiaTheme="minorEastAsia"/>
                      <w:color w:val="auto"/>
                      <w:vertAlign w:val="superscript"/>
                    </w:rPr>
                    <w:t>3</w:t>
                  </w:r>
                </w:p>
              </w:tc>
              <w:tc>
                <w:tcPr>
                  <w:tcW w:w="1005"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0.3</w:t>
                  </w:r>
                  <w:r>
                    <w:rPr>
                      <w:rFonts w:ascii="Times New Roman" w:hAnsi="Times New Roman" w:eastAsiaTheme="minorEastAsia"/>
                      <w:color w:val="auto"/>
                    </w:rPr>
                    <w:t>mg/m</w:t>
                  </w:r>
                  <w:r>
                    <w:rPr>
                      <w:rFonts w:ascii="Times New Roman" w:hAnsi="Times New Roman" w:eastAsiaTheme="minorEastAsia"/>
                      <w:color w:val="auto"/>
                      <w:vertAlign w:val="superscript"/>
                    </w:rPr>
                    <w:t>3</w:t>
                  </w:r>
                </w:p>
              </w:tc>
              <w:tc>
                <w:tcPr>
                  <w:tcW w:w="135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0.21-0.306</w:t>
                  </w:r>
                </w:p>
              </w:tc>
              <w:tc>
                <w:tcPr>
                  <w:tcW w:w="9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达标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227" w:type="dxa"/>
                  <w:vMerge w:val="continue"/>
                  <w:tcMar>
                    <w:top w:w="15" w:type="dxa"/>
                    <w:left w:w="15" w:type="dxa"/>
                    <w:bottom w:w="15" w:type="dxa"/>
                    <w:right w:w="15" w:type="dxa"/>
                  </w:tcMar>
                  <w:vAlign w:val="center"/>
                </w:tcPr>
                <w:p>
                  <w:pPr>
                    <w:jc w:val="center"/>
                    <w:rPr>
                      <w:rFonts w:ascii="Times New Roman" w:hAnsi="Times New Roman" w:eastAsiaTheme="minorEastAsia"/>
                      <w:color w:val="auto"/>
                    </w:rPr>
                  </w:pPr>
                </w:p>
              </w:tc>
              <w:tc>
                <w:tcPr>
                  <w:tcW w:w="1226" w:type="dxa"/>
                  <w:tcMar>
                    <w:top w:w="15" w:type="dxa"/>
                    <w:left w:w="15" w:type="dxa"/>
                    <w:bottom w:w="15" w:type="dxa"/>
                    <w:right w:w="15" w:type="dxa"/>
                  </w:tcMar>
                  <w:vAlign w:val="center"/>
                </w:tcPr>
                <w:p>
                  <w:pPr>
                    <w:jc w:val="center"/>
                    <w:rPr>
                      <w:color w:val="auto"/>
                    </w:rPr>
                  </w:pPr>
                  <w:r>
                    <w:rPr>
                      <w:rFonts w:hint="eastAsia" w:ascii="Times New Roman" w:hAnsi="Times New Roman" w:eastAsiaTheme="minorEastAsia"/>
                      <w:color w:val="auto"/>
                    </w:rPr>
                    <w:t>2019.09.22</w:t>
                  </w:r>
                </w:p>
              </w:tc>
              <w:tc>
                <w:tcPr>
                  <w:tcW w:w="13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0.067mg/m</w:t>
                  </w:r>
                  <w:r>
                    <w:rPr>
                      <w:rFonts w:ascii="Times New Roman" w:hAnsi="Times New Roman" w:eastAsiaTheme="minorEastAsia"/>
                      <w:color w:val="auto"/>
                      <w:vertAlign w:val="superscript"/>
                    </w:rPr>
                    <w:t>3</w:t>
                  </w:r>
                </w:p>
              </w:tc>
              <w:tc>
                <w:tcPr>
                  <w:tcW w:w="138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0.089mg/m</w:t>
                  </w:r>
                  <w:r>
                    <w:rPr>
                      <w:rFonts w:ascii="Times New Roman" w:hAnsi="Times New Roman" w:eastAsiaTheme="minorEastAsia"/>
                      <w:color w:val="auto"/>
                      <w:vertAlign w:val="superscript"/>
                    </w:rPr>
                    <w:t>3</w:t>
                  </w:r>
                </w:p>
              </w:tc>
              <w:tc>
                <w:tcPr>
                  <w:tcW w:w="1005"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0.3</w:t>
                  </w:r>
                  <w:r>
                    <w:rPr>
                      <w:rFonts w:ascii="Times New Roman" w:hAnsi="Times New Roman" w:eastAsiaTheme="minorEastAsia"/>
                      <w:color w:val="auto"/>
                    </w:rPr>
                    <w:t>mg/m</w:t>
                  </w:r>
                  <w:r>
                    <w:rPr>
                      <w:rFonts w:ascii="Times New Roman" w:hAnsi="Times New Roman" w:eastAsiaTheme="minorEastAsia"/>
                      <w:color w:val="auto"/>
                      <w:vertAlign w:val="superscript"/>
                    </w:rPr>
                    <w:t>3</w:t>
                  </w:r>
                </w:p>
              </w:tc>
              <w:tc>
                <w:tcPr>
                  <w:tcW w:w="135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0.22-0.297</w:t>
                  </w:r>
                </w:p>
              </w:tc>
              <w:tc>
                <w:tcPr>
                  <w:tcW w:w="9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达标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227" w:type="dxa"/>
                  <w:vMerge w:val="continue"/>
                  <w:tcMar>
                    <w:top w:w="15" w:type="dxa"/>
                    <w:left w:w="15" w:type="dxa"/>
                    <w:bottom w:w="15" w:type="dxa"/>
                    <w:right w:w="15" w:type="dxa"/>
                  </w:tcMar>
                  <w:vAlign w:val="center"/>
                </w:tcPr>
                <w:p>
                  <w:pPr>
                    <w:jc w:val="center"/>
                    <w:rPr>
                      <w:rFonts w:ascii="Times New Roman" w:hAnsi="Times New Roman" w:eastAsiaTheme="minorEastAsia"/>
                      <w:color w:val="auto"/>
                    </w:rPr>
                  </w:pPr>
                </w:p>
              </w:tc>
              <w:tc>
                <w:tcPr>
                  <w:tcW w:w="1226" w:type="dxa"/>
                  <w:tcMar>
                    <w:top w:w="15" w:type="dxa"/>
                    <w:left w:w="15" w:type="dxa"/>
                    <w:bottom w:w="15" w:type="dxa"/>
                    <w:right w:w="15" w:type="dxa"/>
                  </w:tcMar>
                  <w:vAlign w:val="center"/>
                </w:tcPr>
                <w:p>
                  <w:pPr>
                    <w:jc w:val="center"/>
                    <w:rPr>
                      <w:color w:val="auto"/>
                    </w:rPr>
                  </w:pPr>
                  <w:r>
                    <w:rPr>
                      <w:rFonts w:hint="eastAsia" w:ascii="Times New Roman" w:hAnsi="Times New Roman" w:eastAsiaTheme="minorEastAsia"/>
                      <w:color w:val="auto"/>
                    </w:rPr>
                    <w:t>2019.09.23</w:t>
                  </w:r>
                </w:p>
              </w:tc>
              <w:tc>
                <w:tcPr>
                  <w:tcW w:w="13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0.065mg/m</w:t>
                  </w:r>
                  <w:r>
                    <w:rPr>
                      <w:rFonts w:ascii="Times New Roman" w:hAnsi="Times New Roman" w:eastAsiaTheme="minorEastAsia"/>
                      <w:color w:val="auto"/>
                      <w:vertAlign w:val="superscript"/>
                    </w:rPr>
                    <w:t>3</w:t>
                  </w:r>
                </w:p>
              </w:tc>
              <w:tc>
                <w:tcPr>
                  <w:tcW w:w="138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0.094mg/m</w:t>
                  </w:r>
                  <w:r>
                    <w:rPr>
                      <w:rFonts w:ascii="Times New Roman" w:hAnsi="Times New Roman" w:eastAsiaTheme="minorEastAsia"/>
                      <w:color w:val="auto"/>
                      <w:vertAlign w:val="superscript"/>
                    </w:rPr>
                    <w:t>3</w:t>
                  </w:r>
                </w:p>
              </w:tc>
              <w:tc>
                <w:tcPr>
                  <w:tcW w:w="1005"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0.3</w:t>
                  </w:r>
                  <w:r>
                    <w:rPr>
                      <w:rFonts w:ascii="Times New Roman" w:hAnsi="Times New Roman" w:eastAsiaTheme="minorEastAsia"/>
                      <w:color w:val="auto"/>
                    </w:rPr>
                    <w:t>mg/m</w:t>
                  </w:r>
                  <w:r>
                    <w:rPr>
                      <w:rFonts w:ascii="Times New Roman" w:hAnsi="Times New Roman" w:eastAsiaTheme="minorEastAsia"/>
                      <w:color w:val="auto"/>
                      <w:vertAlign w:val="superscript"/>
                    </w:rPr>
                    <w:t>3</w:t>
                  </w:r>
                </w:p>
              </w:tc>
              <w:tc>
                <w:tcPr>
                  <w:tcW w:w="135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0.216-0.313</w:t>
                  </w:r>
                </w:p>
              </w:tc>
              <w:tc>
                <w:tcPr>
                  <w:tcW w:w="9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达标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227" w:type="dxa"/>
                  <w:vMerge w:val="continue"/>
                  <w:tcMar>
                    <w:top w:w="15" w:type="dxa"/>
                    <w:left w:w="15" w:type="dxa"/>
                    <w:bottom w:w="15" w:type="dxa"/>
                    <w:right w:w="15" w:type="dxa"/>
                  </w:tcMar>
                  <w:vAlign w:val="center"/>
                </w:tcPr>
                <w:p>
                  <w:pPr>
                    <w:jc w:val="center"/>
                    <w:rPr>
                      <w:rFonts w:ascii="Times New Roman" w:hAnsi="Times New Roman" w:eastAsiaTheme="minorEastAsia"/>
                      <w:color w:val="auto"/>
                    </w:rPr>
                  </w:pPr>
                </w:p>
              </w:tc>
              <w:tc>
                <w:tcPr>
                  <w:tcW w:w="1226" w:type="dxa"/>
                  <w:tcMar>
                    <w:top w:w="15" w:type="dxa"/>
                    <w:left w:w="15" w:type="dxa"/>
                    <w:bottom w:w="15" w:type="dxa"/>
                    <w:right w:w="15" w:type="dxa"/>
                  </w:tcMar>
                  <w:vAlign w:val="center"/>
                </w:tcPr>
                <w:p>
                  <w:pPr>
                    <w:jc w:val="center"/>
                    <w:rPr>
                      <w:color w:val="auto"/>
                    </w:rPr>
                  </w:pPr>
                  <w:r>
                    <w:rPr>
                      <w:rFonts w:hint="eastAsia" w:ascii="Times New Roman" w:hAnsi="Times New Roman" w:eastAsiaTheme="minorEastAsia"/>
                      <w:color w:val="auto"/>
                    </w:rPr>
                    <w:t>2019.09.24</w:t>
                  </w:r>
                </w:p>
              </w:tc>
              <w:tc>
                <w:tcPr>
                  <w:tcW w:w="13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0.069mg/m</w:t>
                  </w:r>
                  <w:r>
                    <w:rPr>
                      <w:rFonts w:ascii="Times New Roman" w:hAnsi="Times New Roman" w:eastAsiaTheme="minorEastAsia"/>
                      <w:color w:val="auto"/>
                      <w:vertAlign w:val="superscript"/>
                    </w:rPr>
                    <w:t>3</w:t>
                  </w:r>
                </w:p>
              </w:tc>
              <w:tc>
                <w:tcPr>
                  <w:tcW w:w="138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0.092mg/m</w:t>
                  </w:r>
                  <w:r>
                    <w:rPr>
                      <w:rFonts w:ascii="Times New Roman" w:hAnsi="Times New Roman" w:eastAsiaTheme="minorEastAsia"/>
                      <w:color w:val="auto"/>
                      <w:vertAlign w:val="superscript"/>
                    </w:rPr>
                    <w:t>3</w:t>
                  </w:r>
                </w:p>
              </w:tc>
              <w:tc>
                <w:tcPr>
                  <w:tcW w:w="1005"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0.3</w:t>
                  </w:r>
                  <w:r>
                    <w:rPr>
                      <w:rFonts w:ascii="Times New Roman" w:hAnsi="Times New Roman" w:eastAsiaTheme="minorEastAsia"/>
                      <w:color w:val="auto"/>
                    </w:rPr>
                    <w:t>mg/m</w:t>
                  </w:r>
                  <w:r>
                    <w:rPr>
                      <w:rFonts w:ascii="Times New Roman" w:hAnsi="Times New Roman" w:eastAsiaTheme="minorEastAsia"/>
                      <w:color w:val="auto"/>
                      <w:vertAlign w:val="superscript"/>
                    </w:rPr>
                    <w:t>3</w:t>
                  </w:r>
                </w:p>
              </w:tc>
              <w:tc>
                <w:tcPr>
                  <w:tcW w:w="135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0.23-0.306</w:t>
                  </w:r>
                </w:p>
              </w:tc>
              <w:tc>
                <w:tcPr>
                  <w:tcW w:w="9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达标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227" w:type="dxa"/>
                  <w:vMerge w:val="continue"/>
                  <w:tcMar>
                    <w:top w:w="15" w:type="dxa"/>
                    <w:left w:w="15" w:type="dxa"/>
                    <w:bottom w:w="15" w:type="dxa"/>
                    <w:right w:w="15" w:type="dxa"/>
                  </w:tcMar>
                  <w:vAlign w:val="center"/>
                </w:tcPr>
                <w:p>
                  <w:pPr>
                    <w:jc w:val="center"/>
                    <w:rPr>
                      <w:rFonts w:ascii="Times New Roman" w:hAnsi="Times New Roman" w:eastAsiaTheme="minorEastAsia"/>
                      <w:color w:val="auto"/>
                    </w:rPr>
                  </w:pPr>
                </w:p>
              </w:tc>
              <w:tc>
                <w:tcPr>
                  <w:tcW w:w="1226" w:type="dxa"/>
                  <w:tcMar>
                    <w:top w:w="15" w:type="dxa"/>
                    <w:left w:w="15" w:type="dxa"/>
                    <w:bottom w:w="15" w:type="dxa"/>
                    <w:right w:w="15" w:type="dxa"/>
                  </w:tcMar>
                  <w:vAlign w:val="center"/>
                </w:tcPr>
                <w:p>
                  <w:pPr>
                    <w:jc w:val="center"/>
                    <w:rPr>
                      <w:color w:val="auto"/>
                    </w:rPr>
                  </w:pPr>
                  <w:r>
                    <w:rPr>
                      <w:rFonts w:hint="eastAsia" w:ascii="Times New Roman" w:hAnsi="Times New Roman" w:eastAsiaTheme="minorEastAsia"/>
                      <w:color w:val="auto"/>
                    </w:rPr>
                    <w:t>2019.09.25</w:t>
                  </w:r>
                </w:p>
              </w:tc>
              <w:tc>
                <w:tcPr>
                  <w:tcW w:w="13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0.065mg/m</w:t>
                  </w:r>
                  <w:r>
                    <w:rPr>
                      <w:rFonts w:ascii="Times New Roman" w:hAnsi="Times New Roman" w:eastAsiaTheme="minorEastAsia"/>
                      <w:color w:val="auto"/>
                      <w:vertAlign w:val="superscript"/>
                    </w:rPr>
                    <w:t>3</w:t>
                  </w:r>
                </w:p>
              </w:tc>
              <w:tc>
                <w:tcPr>
                  <w:tcW w:w="138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0.088mg/m</w:t>
                  </w:r>
                  <w:r>
                    <w:rPr>
                      <w:rFonts w:ascii="Times New Roman" w:hAnsi="Times New Roman" w:eastAsiaTheme="minorEastAsia"/>
                      <w:color w:val="auto"/>
                      <w:vertAlign w:val="superscript"/>
                    </w:rPr>
                    <w:t>3</w:t>
                  </w:r>
                </w:p>
              </w:tc>
              <w:tc>
                <w:tcPr>
                  <w:tcW w:w="1005"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0.3</w:t>
                  </w:r>
                  <w:r>
                    <w:rPr>
                      <w:rFonts w:ascii="Times New Roman" w:hAnsi="Times New Roman" w:eastAsiaTheme="minorEastAsia"/>
                      <w:color w:val="auto"/>
                    </w:rPr>
                    <w:t>mg/m</w:t>
                  </w:r>
                  <w:r>
                    <w:rPr>
                      <w:rFonts w:ascii="Times New Roman" w:hAnsi="Times New Roman" w:eastAsiaTheme="minorEastAsia"/>
                      <w:color w:val="auto"/>
                      <w:vertAlign w:val="superscript"/>
                    </w:rPr>
                    <w:t>3</w:t>
                  </w:r>
                </w:p>
              </w:tc>
              <w:tc>
                <w:tcPr>
                  <w:tcW w:w="135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0.216-0.293</w:t>
                  </w:r>
                </w:p>
              </w:tc>
              <w:tc>
                <w:tcPr>
                  <w:tcW w:w="9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达标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227" w:type="dxa"/>
                  <w:vMerge w:val="continue"/>
                  <w:tcMar>
                    <w:top w:w="15" w:type="dxa"/>
                    <w:left w:w="15" w:type="dxa"/>
                    <w:bottom w:w="15" w:type="dxa"/>
                    <w:right w:w="15" w:type="dxa"/>
                  </w:tcMar>
                  <w:vAlign w:val="center"/>
                </w:tcPr>
                <w:p>
                  <w:pPr>
                    <w:jc w:val="center"/>
                    <w:rPr>
                      <w:rFonts w:ascii="Times New Roman" w:hAnsi="Times New Roman" w:eastAsiaTheme="minorEastAsia"/>
                      <w:color w:val="auto"/>
                    </w:rPr>
                  </w:pPr>
                </w:p>
              </w:tc>
              <w:tc>
                <w:tcPr>
                  <w:tcW w:w="1226" w:type="dxa"/>
                  <w:tcMar>
                    <w:top w:w="15" w:type="dxa"/>
                    <w:left w:w="15" w:type="dxa"/>
                    <w:bottom w:w="15" w:type="dxa"/>
                    <w:right w:w="15" w:type="dxa"/>
                  </w:tcMar>
                  <w:vAlign w:val="center"/>
                </w:tcPr>
                <w:p>
                  <w:pPr>
                    <w:jc w:val="center"/>
                    <w:rPr>
                      <w:color w:val="auto"/>
                    </w:rPr>
                  </w:pPr>
                  <w:r>
                    <w:rPr>
                      <w:rFonts w:hint="eastAsia" w:ascii="Times New Roman" w:hAnsi="Times New Roman" w:eastAsiaTheme="minorEastAsia"/>
                      <w:color w:val="auto"/>
                    </w:rPr>
                    <w:t>2019.09.26</w:t>
                  </w:r>
                </w:p>
              </w:tc>
              <w:tc>
                <w:tcPr>
                  <w:tcW w:w="13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0.064mg/m</w:t>
                  </w:r>
                  <w:r>
                    <w:rPr>
                      <w:rFonts w:ascii="Times New Roman" w:hAnsi="Times New Roman" w:eastAsiaTheme="minorEastAsia"/>
                      <w:color w:val="auto"/>
                      <w:vertAlign w:val="superscript"/>
                    </w:rPr>
                    <w:t>3</w:t>
                  </w:r>
                </w:p>
              </w:tc>
              <w:tc>
                <w:tcPr>
                  <w:tcW w:w="138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ascii="Times New Roman" w:hAnsi="Times New Roman" w:eastAsiaTheme="minorEastAsia"/>
                      <w:color w:val="auto"/>
                    </w:rPr>
                    <w:t>0.091mg/m</w:t>
                  </w:r>
                  <w:r>
                    <w:rPr>
                      <w:rFonts w:ascii="Times New Roman" w:hAnsi="Times New Roman" w:eastAsiaTheme="minorEastAsia"/>
                      <w:color w:val="auto"/>
                      <w:vertAlign w:val="superscript"/>
                    </w:rPr>
                    <w:t>3</w:t>
                  </w:r>
                </w:p>
              </w:tc>
              <w:tc>
                <w:tcPr>
                  <w:tcW w:w="1005"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0.3</w:t>
                  </w:r>
                  <w:r>
                    <w:rPr>
                      <w:rFonts w:ascii="Times New Roman" w:hAnsi="Times New Roman" w:eastAsiaTheme="minorEastAsia"/>
                      <w:color w:val="auto"/>
                    </w:rPr>
                    <w:t>mg/m</w:t>
                  </w:r>
                  <w:r>
                    <w:rPr>
                      <w:rFonts w:ascii="Times New Roman" w:hAnsi="Times New Roman" w:eastAsiaTheme="minorEastAsia"/>
                      <w:color w:val="auto"/>
                      <w:vertAlign w:val="superscript"/>
                    </w:rPr>
                    <w:t>3</w:t>
                  </w:r>
                </w:p>
              </w:tc>
              <w:tc>
                <w:tcPr>
                  <w:tcW w:w="1350"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0.213-0.303</w:t>
                  </w:r>
                </w:p>
              </w:tc>
              <w:tc>
                <w:tcPr>
                  <w:tcW w:w="966" w:type="dxa"/>
                  <w:tcMar>
                    <w:top w:w="15" w:type="dxa"/>
                    <w:left w:w="15" w:type="dxa"/>
                    <w:bottom w:w="15" w:type="dxa"/>
                    <w:right w:w="15" w:type="dxa"/>
                  </w:tcMar>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达标</w:t>
                  </w:r>
                </w:p>
              </w:tc>
            </w:tr>
          </w:tbl>
          <w:p>
            <w:pPr>
              <w:spacing w:line="360" w:lineRule="auto"/>
              <w:ind w:firstLine="480" w:firstLineChars="200"/>
              <w:rPr>
                <w:b/>
                <w:color w:val="auto"/>
                <w:sz w:val="24"/>
              </w:rPr>
            </w:pPr>
            <w:r>
              <w:rPr>
                <w:rFonts w:hint="eastAsia"/>
                <w:color w:val="auto"/>
                <w:sz w:val="24"/>
              </w:rPr>
              <w:t>由表3-</w:t>
            </w:r>
            <w:r>
              <w:rPr>
                <w:rFonts w:hint="eastAsia"/>
                <w:color w:val="auto"/>
                <w:sz w:val="24"/>
                <w:lang w:val="en-US" w:eastAsia="zh-CN"/>
              </w:rPr>
              <w:t>2</w:t>
            </w:r>
            <w:r>
              <w:rPr>
                <w:rFonts w:hint="eastAsia"/>
                <w:color w:val="auto"/>
                <w:sz w:val="24"/>
              </w:rPr>
              <w:t>可知项目区环境空气质量状况较好，</w:t>
            </w:r>
            <w:r>
              <w:rPr>
                <w:color w:val="auto"/>
                <w:sz w:val="24"/>
              </w:rPr>
              <w:t>环境空气质量能够满足《环境空气质量标准》（GB3095-2012）中的二级标准要求。</w:t>
            </w:r>
          </w:p>
          <w:p>
            <w:pPr>
              <w:spacing w:line="360" w:lineRule="auto"/>
              <w:rPr>
                <w:rFonts w:ascii="Times New Roman" w:hAnsi="Times New Roman"/>
                <w:b/>
                <w:bCs/>
                <w:color w:val="auto"/>
                <w:sz w:val="24"/>
              </w:rPr>
            </w:pPr>
            <w:r>
              <w:rPr>
                <w:rFonts w:ascii="Times New Roman" w:hAnsi="Times New Roman"/>
                <w:b/>
                <w:bCs/>
                <w:color w:val="auto"/>
                <w:sz w:val="24"/>
              </w:rPr>
              <w:t>2、地表水环境质量现状</w:t>
            </w:r>
          </w:p>
          <w:p>
            <w:pPr>
              <w:spacing w:line="360" w:lineRule="auto"/>
              <w:ind w:firstLine="480" w:firstLineChars="200"/>
              <w:rPr>
                <w:color w:val="auto"/>
                <w:sz w:val="24"/>
              </w:rPr>
            </w:pPr>
            <w:r>
              <w:rPr>
                <w:color w:val="auto"/>
                <w:sz w:val="24"/>
              </w:rPr>
              <w:t>项目区所在区域地表水体为</w:t>
            </w:r>
            <w:r>
              <w:rPr>
                <w:rFonts w:hint="eastAsia"/>
                <w:color w:val="auto"/>
                <w:sz w:val="24"/>
              </w:rPr>
              <w:t>西</w:t>
            </w:r>
            <w:r>
              <w:rPr>
                <w:color w:val="auto"/>
                <w:sz w:val="24"/>
              </w:rPr>
              <w:t>面</w:t>
            </w:r>
            <w:r>
              <w:rPr>
                <w:rFonts w:hint="eastAsia"/>
                <w:color w:val="auto"/>
                <w:sz w:val="24"/>
              </w:rPr>
              <w:t>1380m</w:t>
            </w:r>
            <w:r>
              <w:rPr>
                <w:color w:val="auto"/>
                <w:sz w:val="24"/>
              </w:rPr>
              <w:t>处的</w:t>
            </w:r>
            <w:r>
              <w:rPr>
                <w:rFonts w:hint="eastAsia"/>
                <w:color w:val="auto"/>
                <w:sz w:val="24"/>
              </w:rPr>
              <w:t>普渡河</w:t>
            </w:r>
            <w:r>
              <w:rPr>
                <w:color w:val="auto"/>
                <w:sz w:val="24"/>
              </w:rPr>
              <w:t>，</w:t>
            </w:r>
            <w:r>
              <w:rPr>
                <w:rFonts w:hint="eastAsia"/>
                <w:color w:val="auto"/>
                <w:sz w:val="24"/>
                <w:lang w:eastAsia="zh-CN"/>
              </w:rPr>
              <w:t>项目区所处断面为</w:t>
            </w:r>
            <w:r>
              <w:rPr>
                <w:rFonts w:hint="eastAsia"/>
                <w:color w:val="auto"/>
                <w:sz w:val="24"/>
              </w:rPr>
              <w:t>普渡河</w:t>
            </w:r>
            <w:r>
              <w:rPr>
                <w:color w:val="auto"/>
                <w:sz w:val="24"/>
              </w:rPr>
              <w:t>为</w:t>
            </w:r>
            <w:r>
              <w:rPr>
                <w:rFonts w:hint="eastAsia"/>
                <w:color w:val="auto"/>
                <w:sz w:val="24"/>
              </w:rPr>
              <w:t>富明大桥—普渡河桥段</w:t>
            </w:r>
            <w:r>
              <w:rPr>
                <w:color w:val="auto"/>
                <w:sz w:val="24"/>
              </w:rPr>
              <w:t>，</w:t>
            </w:r>
            <w:r>
              <w:rPr>
                <w:color w:val="auto"/>
                <w:sz w:val="24"/>
              </w:rPr>
              <w:t>根据《云南省地表水</w:t>
            </w:r>
            <w:r>
              <w:rPr>
                <w:rFonts w:hint="eastAsia"/>
                <w:color w:val="auto"/>
                <w:sz w:val="24"/>
              </w:rPr>
              <w:t>水</w:t>
            </w:r>
            <w:r>
              <w:rPr>
                <w:color w:val="auto"/>
                <w:sz w:val="24"/>
              </w:rPr>
              <w:t>环境功能区划》（2010-2020</w:t>
            </w:r>
            <w:r>
              <w:rPr>
                <w:rFonts w:hint="eastAsia"/>
                <w:color w:val="auto"/>
                <w:sz w:val="24"/>
              </w:rPr>
              <w:t>年</w:t>
            </w:r>
            <w:r>
              <w:rPr>
                <w:color w:val="auto"/>
                <w:sz w:val="24"/>
              </w:rPr>
              <w:t>），</w:t>
            </w:r>
            <w:r>
              <w:rPr>
                <w:rFonts w:hint="eastAsia"/>
                <w:color w:val="auto"/>
                <w:sz w:val="24"/>
              </w:rPr>
              <w:t>该段水环境功能为工业用水，水质类别为</w:t>
            </w:r>
            <w:r>
              <w:rPr>
                <w:rFonts w:hint="eastAsia" w:ascii="宋体" w:hAnsi="宋体" w:cs="宋体"/>
                <w:color w:val="auto"/>
                <w:sz w:val="24"/>
              </w:rPr>
              <w:t>Ⅳ</w:t>
            </w:r>
            <w:r>
              <w:rPr>
                <w:rFonts w:hint="eastAsia"/>
                <w:color w:val="auto"/>
                <w:sz w:val="24"/>
              </w:rPr>
              <w:t>类，普渡河</w:t>
            </w:r>
            <w:r>
              <w:rPr>
                <w:color w:val="auto"/>
                <w:sz w:val="24"/>
              </w:rPr>
              <w:t>执行《地表水环境质量标准》（GB3838-2002）</w:t>
            </w:r>
            <w:r>
              <w:rPr>
                <w:rFonts w:hint="eastAsia" w:ascii="宋体" w:hAnsi="宋体" w:cs="宋体"/>
                <w:color w:val="auto"/>
                <w:sz w:val="24"/>
              </w:rPr>
              <w:t>Ⅳ</w:t>
            </w:r>
            <w:r>
              <w:rPr>
                <w:color w:val="auto"/>
                <w:sz w:val="24"/>
              </w:rPr>
              <w:t>类标准。根据《</w:t>
            </w:r>
            <w:r>
              <w:rPr>
                <w:rFonts w:hint="eastAsia"/>
                <w:color w:val="auto"/>
                <w:sz w:val="24"/>
              </w:rPr>
              <w:t>2018年昆明市环境质量状况公报</w:t>
            </w:r>
            <w:r>
              <w:rPr>
                <w:color w:val="auto"/>
                <w:sz w:val="24"/>
              </w:rPr>
              <w:t>》，</w:t>
            </w:r>
            <w:r>
              <w:rPr>
                <w:rFonts w:ascii="Times New Roman" w:hAnsi="Times New Roman"/>
                <w:color w:val="auto"/>
                <w:sz w:val="24"/>
              </w:rPr>
              <w:t>监测结果</w:t>
            </w:r>
            <w:r>
              <w:rPr>
                <w:rFonts w:ascii="Times New Roman" w:hAnsi="Times New Roman"/>
                <w:color w:val="auto"/>
                <w:sz w:val="24"/>
                <w:szCs w:val="24"/>
                <w:shd w:val="clear" w:color="auto" w:fill="FFFFFF"/>
              </w:rPr>
              <w:t>滇池出湖河流中，螳螂川-普渡河：中滩闸门</w:t>
            </w:r>
            <w:r>
              <w:rPr>
                <w:rFonts w:hint="eastAsia" w:ascii="Times New Roman" w:hAnsi="Times New Roman"/>
                <w:color w:val="auto"/>
                <w:sz w:val="24"/>
                <w:szCs w:val="24"/>
                <w:shd w:val="clear" w:color="auto" w:fill="FFFFFF"/>
              </w:rPr>
              <w:t>断面水质类别为</w:t>
            </w:r>
            <w:r>
              <w:rPr>
                <w:rFonts w:hint="eastAsia" w:ascii="宋体" w:hAnsi="宋体" w:cs="宋体"/>
                <w:color w:val="auto"/>
                <w:sz w:val="24"/>
                <w:szCs w:val="24"/>
                <w:shd w:val="clear" w:color="auto" w:fill="FFFFFF"/>
              </w:rPr>
              <w:t>Ⅴ类，与2017年相比，中滩闸门水质类别由劣Ⅴ类上升到Ⅴ类；</w:t>
            </w:r>
            <w:r>
              <w:rPr>
                <w:rFonts w:ascii="Times New Roman" w:hAnsi="Times New Roman"/>
                <w:color w:val="auto"/>
                <w:sz w:val="24"/>
                <w:szCs w:val="24"/>
                <w:shd w:val="clear" w:color="auto" w:fill="FFFFFF"/>
              </w:rPr>
              <w:t>温泉大桥断面水质类别为劣Ⅴ类，与201</w:t>
            </w:r>
            <w:r>
              <w:rPr>
                <w:rFonts w:hint="eastAsia" w:ascii="Times New Roman" w:hAnsi="Times New Roman"/>
                <w:color w:val="auto"/>
                <w:sz w:val="24"/>
                <w:szCs w:val="24"/>
                <w:shd w:val="clear" w:color="auto" w:fill="FFFFFF"/>
              </w:rPr>
              <w:t>7</w:t>
            </w:r>
            <w:r>
              <w:rPr>
                <w:rFonts w:ascii="Times New Roman" w:hAnsi="Times New Roman"/>
                <w:color w:val="auto"/>
                <w:sz w:val="24"/>
                <w:szCs w:val="24"/>
                <w:shd w:val="clear" w:color="auto" w:fill="FFFFFF"/>
              </w:rPr>
              <w:t>年相比，水质类别</w:t>
            </w:r>
            <w:r>
              <w:rPr>
                <w:rFonts w:hint="eastAsia" w:ascii="Times New Roman" w:hAnsi="Times New Roman"/>
                <w:color w:val="auto"/>
                <w:sz w:val="24"/>
                <w:szCs w:val="24"/>
                <w:shd w:val="clear" w:color="auto" w:fill="FFFFFF"/>
              </w:rPr>
              <w:t>无变化；</w:t>
            </w:r>
            <w:r>
              <w:rPr>
                <w:rFonts w:ascii="Times New Roman" w:hAnsi="Times New Roman"/>
                <w:color w:val="auto"/>
                <w:sz w:val="24"/>
                <w:szCs w:val="24"/>
                <w:shd w:val="clear" w:color="auto" w:fill="FFFFFF"/>
              </w:rPr>
              <w:t>富民大桥断面水质类别为劣Ⅴ类，与201</w:t>
            </w:r>
            <w:r>
              <w:rPr>
                <w:rFonts w:hint="eastAsia" w:ascii="Times New Roman" w:hAnsi="Times New Roman"/>
                <w:color w:val="auto"/>
                <w:sz w:val="24"/>
                <w:szCs w:val="24"/>
                <w:shd w:val="clear" w:color="auto" w:fill="FFFFFF"/>
              </w:rPr>
              <w:t>7</w:t>
            </w:r>
            <w:r>
              <w:rPr>
                <w:rFonts w:ascii="Times New Roman" w:hAnsi="Times New Roman"/>
                <w:color w:val="auto"/>
                <w:sz w:val="24"/>
                <w:szCs w:val="24"/>
                <w:shd w:val="clear" w:color="auto" w:fill="FFFFFF"/>
              </w:rPr>
              <w:t>年相比，水质类别无变化；普渡河桥断面水质类别为Ⅴ类，与201</w:t>
            </w:r>
            <w:r>
              <w:rPr>
                <w:rFonts w:hint="eastAsia" w:ascii="Times New Roman" w:hAnsi="Times New Roman"/>
                <w:color w:val="auto"/>
                <w:sz w:val="24"/>
                <w:szCs w:val="24"/>
                <w:shd w:val="clear" w:color="auto" w:fill="FFFFFF"/>
              </w:rPr>
              <w:t>7</w:t>
            </w:r>
            <w:r>
              <w:rPr>
                <w:rFonts w:ascii="Times New Roman" w:hAnsi="Times New Roman"/>
                <w:color w:val="auto"/>
                <w:sz w:val="24"/>
                <w:szCs w:val="24"/>
                <w:shd w:val="clear" w:color="auto" w:fill="FFFFFF"/>
              </w:rPr>
              <w:t>年相比，水质类别</w:t>
            </w:r>
            <w:r>
              <w:rPr>
                <w:rFonts w:hint="eastAsia" w:ascii="Times New Roman" w:hAnsi="Times New Roman"/>
                <w:color w:val="auto"/>
                <w:sz w:val="24"/>
                <w:szCs w:val="24"/>
                <w:shd w:val="clear" w:color="auto" w:fill="FFFFFF"/>
              </w:rPr>
              <w:t>由</w:t>
            </w:r>
            <w:r>
              <w:rPr>
                <w:rFonts w:hint="eastAsia" w:ascii="宋体" w:hAnsi="宋体" w:cs="宋体"/>
                <w:color w:val="auto"/>
                <w:sz w:val="24"/>
                <w:szCs w:val="24"/>
                <w:shd w:val="clear" w:color="auto" w:fill="FFFFFF"/>
              </w:rPr>
              <w:t>Ⅲ</w:t>
            </w:r>
            <w:r>
              <w:rPr>
                <w:rFonts w:hint="eastAsia" w:ascii="Times New Roman" w:hAnsi="Times New Roman"/>
                <w:color w:val="auto"/>
                <w:sz w:val="24"/>
                <w:szCs w:val="24"/>
                <w:shd w:val="clear" w:color="auto" w:fill="FFFFFF"/>
              </w:rPr>
              <w:t>类降为Ⅴ类。</w:t>
            </w:r>
            <w:r>
              <w:rPr>
                <w:rFonts w:hint="eastAsia"/>
                <w:color w:val="auto"/>
                <w:sz w:val="24"/>
              </w:rPr>
              <w:t>可知，</w:t>
            </w:r>
            <w:r>
              <w:rPr>
                <w:rFonts w:hint="eastAsia"/>
                <w:color w:val="auto"/>
                <w:sz w:val="24"/>
              </w:rPr>
              <w:t>富明大桥—普渡河桥段</w:t>
            </w:r>
            <w:r>
              <w:rPr>
                <w:rFonts w:hint="eastAsia"/>
                <w:color w:val="auto"/>
                <w:sz w:val="24"/>
                <w:lang w:eastAsia="zh-CN"/>
              </w:rPr>
              <w:t>水质为劣Ⅴ类，项目区</w:t>
            </w:r>
            <w:r>
              <w:rPr>
                <w:rFonts w:hint="eastAsia"/>
                <w:color w:val="auto"/>
                <w:sz w:val="24"/>
              </w:rPr>
              <w:t>普渡河水质不能达</w:t>
            </w:r>
            <w:r>
              <w:rPr>
                <w:rFonts w:hint="eastAsia"/>
                <w:color w:val="auto"/>
                <w:sz w:val="24"/>
              </w:rPr>
              <w:t>到</w:t>
            </w:r>
            <w:r>
              <w:rPr>
                <w:color w:val="auto"/>
                <w:sz w:val="24"/>
              </w:rPr>
              <w:t>《地表水环境质量标准》（GB3838-2002）</w:t>
            </w:r>
            <w:r>
              <w:rPr>
                <w:rFonts w:hint="eastAsia" w:ascii="宋体" w:hAnsi="宋体" w:cs="宋体"/>
                <w:color w:val="auto"/>
                <w:sz w:val="24"/>
              </w:rPr>
              <w:t>Ⅳ</w:t>
            </w:r>
            <w:r>
              <w:rPr>
                <w:color w:val="auto"/>
                <w:sz w:val="24"/>
              </w:rPr>
              <w:t>类标准</w:t>
            </w:r>
            <w:r>
              <w:rPr>
                <w:rFonts w:hint="eastAsia"/>
                <w:color w:val="auto"/>
                <w:sz w:val="24"/>
              </w:rPr>
              <w:t>。分析超标原因：监测河段两岸分布有村庄的面源污染以及河流上游工业废水进入河道，造成水质超标。</w:t>
            </w:r>
          </w:p>
          <w:p>
            <w:pPr>
              <w:spacing w:line="360" w:lineRule="auto"/>
              <w:rPr>
                <w:rFonts w:ascii="Times New Roman" w:hAnsi="Times New Roman"/>
                <w:b/>
                <w:bCs/>
                <w:color w:val="auto"/>
                <w:sz w:val="24"/>
              </w:rPr>
            </w:pPr>
            <w:r>
              <w:rPr>
                <w:rFonts w:ascii="Times New Roman" w:hAnsi="Times New Roman"/>
                <w:b/>
                <w:bCs/>
                <w:color w:val="auto"/>
                <w:sz w:val="24"/>
              </w:rPr>
              <w:t>3、声环境质量现状</w:t>
            </w:r>
          </w:p>
          <w:p>
            <w:pPr>
              <w:spacing w:line="360" w:lineRule="auto"/>
              <w:ind w:firstLine="480" w:firstLineChars="200"/>
              <w:rPr>
                <w:b/>
                <w:color w:val="auto"/>
                <w:sz w:val="24"/>
              </w:rPr>
            </w:pPr>
            <w:r>
              <w:rPr>
                <w:rFonts w:hint="eastAsia"/>
                <w:color w:val="auto"/>
                <w:sz w:val="24"/>
              </w:rPr>
              <w:t>昆倘高速公路附属项目位于富明县东村镇西村村</w:t>
            </w:r>
            <w:r>
              <w:rPr>
                <w:color w:val="auto"/>
                <w:sz w:val="24"/>
              </w:rPr>
              <w:t>，项目区声环境质量</w:t>
            </w:r>
            <w:r>
              <w:rPr>
                <w:rFonts w:hint="eastAsia"/>
                <w:color w:val="auto"/>
                <w:sz w:val="24"/>
              </w:rPr>
              <w:t>应执行</w:t>
            </w:r>
            <w:r>
              <w:rPr>
                <w:color w:val="auto"/>
                <w:sz w:val="24"/>
              </w:rPr>
              <w:t>《声环境质量标准》（GB3096-2008）</w:t>
            </w:r>
            <w:r>
              <w:rPr>
                <w:rFonts w:hint="eastAsia"/>
                <w:color w:val="auto"/>
                <w:sz w:val="24"/>
              </w:rPr>
              <w:t>2</w:t>
            </w:r>
            <w:r>
              <w:rPr>
                <w:color w:val="auto"/>
                <w:sz w:val="24"/>
              </w:rPr>
              <w:t>类标准</w:t>
            </w:r>
            <w:r>
              <w:rPr>
                <w:rFonts w:hint="eastAsia"/>
                <w:color w:val="auto"/>
                <w:sz w:val="24"/>
              </w:rPr>
              <w:t>。</w:t>
            </w:r>
            <w:r>
              <w:rPr>
                <w:color w:val="auto"/>
                <w:sz w:val="24"/>
              </w:rPr>
              <w:t>根据《</w:t>
            </w:r>
            <w:r>
              <w:rPr>
                <w:rFonts w:hint="eastAsia"/>
                <w:color w:val="auto"/>
                <w:sz w:val="24"/>
              </w:rPr>
              <w:t>2018年昆明市环境质量状况公报</w:t>
            </w:r>
            <w:r>
              <w:rPr>
                <w:color w:val="auto"/>
                <w:sz w:val="24"/>
              </w:rPr>
              <w:t>》，201</w:t>
            </w:r>
            <w:r>
              <w:rPr>
                <w:rFonts w:hint="eastAsia"/>
                <w:color w:val="auto"/>
                <w:sz w:val="24"/>
              </w:rPr>
              <w:t>8</w:t>
            </w:r>
            <w:r>
              <w:rPr>
                <w:color w:val="auto"/>
                <w:sz w:val="24"/>
              </w:rPr>
              <w:t>年</w:t>
            </w:r>
            <w:r>
              <w:rPr>
                <w:rFonts w:hint="eastAsia"/>
                <w:color w:val="auto"/>
                <w:sz w:val="24"/>
              </w:rPr>
              <w:t>昆明市各</w:t>
            </w:r>
            <w:r>
              <w:rPr>
                <w:color w:val="auto"/>
                <w:sz w:val="24"/>
              </w:rPr>
              <w:t>县</w:t>
            </w:r>
            <w:r>
              <w:rPr>
                <w:rFonts w:hint="eastAsia"/>
                <w:color w:val="auto"/>
                <w:sz w:val="24"/>
              </w:rPr>
              <w:t>（市）</w:t>
            </w:r>
            <w:r>
              <w:rPr>
                <w:color w:val="auto"/>
                <w:sz w:val="24"/>
              </w:rPr>
              <w:t>城区域环境噪声</w:t>
            </w:r>
            <w:r>
              <w:rPr>
                <w:rFonts w:hint="eastAsia"/>
                <w:color w:val="auto"/>
                <w:sz w:val="24"/>
              </w:rPr>
              <w:t>年平均等效声级为49.1-59.2分贝（A），达到</w:t>
            </w:r>
            <w:r>
              <w:rPr>
                <w:color w:val="auto"/>
                <w:sz w:val="24"/>
              </w:rPr>
              <w:t>《声环境质量标准》（GB3096-2008）</w:t>
            </w:r>
            <w:r>
              <w:rPr>
                <w:rFonts w:hint="eastAsia"/>
                <w:color w:val="auto"/>
                <w:sz w:val="24"/>
              </w:rPr>
              <w:t>。与2017年相比，安宁市、宜良县、嵩明县、呈贡区、晋宁区的区域声环境噪声等效声级总体下降，东川区、石林县、禄劝县、富明县、寻甸县的区域环境噪声等效声级总体上升。</w:t>
            </w:r>
            <w:r>
              <w:rPr>
                <w:color w:val="auto"/>
                <w:sz w:val="24"/>
              </w:rPr>
              <w:t>项目位于</w:t>
            </w:r>
            <w:r>
              <w:rPr>
                <w:rFonts w:hint="eastAsia"/>
                <w:color w:val="auto"/>
                <w:sz w:val="24"/>
              </w:rPr>
              <w:t>富明县东村镇西村村</w:t>
            </w:r>
            <w:r>
              <w:rPr>
                <w:color w:val="auto"/>
                <w:sz w:val="24"/>
              </w:rPr>
              <w:t>，项目区声环境质量能够满足《声环境质量标准》（GB3096-2008）</w:t>
            </w:r>
            <w:r>
              <w:rPr>
                <w:rFonts w:hint="eastAsia"/>
                <w:color w:val="auto"/>
                <w:sz w:val="24"/>
              </w:rPr>
              <w:t>2</w:t>
            </w:r>
            <w:r>
              <w:rPr>
                <w:color w:val="auto"/>
                <w:sz w:val="24"/>
              </w:rPr>
              <w:t>类标准。</w:t>
            </w:r>
          </w:p>
          <w:p>
            <w:pPr>
              <w:spacing w:line="360" w:lineRule="auto"/>
              <w:ind w:firstLine="480" w:firstLineChars="200"/>
              <w:rPr>
                <w:rFonts w:ascii="Times New Roman" w:hAnsi="Times New Roman" w:eastAsiaTheme="minorEastAsia"/>
                <w:bCs/>
                <w:color w:val="auto"/>
                <w:sz w:val="24"/>
                <w:szCs w:val="24"/>
              </w:rPr>
            </w:pPr>
            <w:r>
              <w:rPr>
                <w:rFonts w:ascii="Times New Roman" w:hAnsi="Times New Roman" w:eastAsiaTheme="minorEastAsia"/>
                <w:bCs/>
                <w:color w:val="auto"/>
                <w:sz w:val="24"/>
                <w:szCs w:val="24"/>
              </w:rPr>
              <w:t>云南浩辰环保科技有限公司</w:t>
            </w:r>
            <w:r>
              <w:rPr>
                <w:rFonts w:hint="eastAsia" w:ascii="Times New Roman" w:hAnsi="Times New Roman" w:eastAsiaTheme="minorEastAsia"/>
                <w:bCs/>
                <w:color w:val="auto"/>
                <w:sz w:val="24"/>
                <w:szCs w:val="24"/>
              </w:rPr>
              <w:t>于2019年9月</w:t>
            </w:r>
            <w:r>
              <w:rPr>
                <w:rFonts w:hint="eastAsia" w:ascii="Times New Roman" w:hAnsi="Times New Roman" w:eastAsiaTheme="minorEastAsia"/>
                <w:bCs/>
                <w:color w:val="auto"/>
                <w:sz w:val="24"/>
                <w:szCs w:val="24"/>
                <w:lang w:val="en-US" w:eastAsia="zh-CN"/>
              </w:rPr>
              <w:t>19</w:t>
            </w:r>
            <w:r>
              <w:rPr>
                <w:rFonts w:hint="eastAsia" w:ascii="Times New Roman" w:hAnsi="Times New Roman" w:eastAsiaTheme="minorEastAsia"/>
                <w:bCs/>
                <w:color w:val="auto"/>
                <w:sz w:val="24"/>
                <w:szCs w:val="24"/>
              </w:rPr>
              <w:t>日</w:t>
            </w:r>
            <w:r>
              <w:rPr>
                <w:rFonts w:hint="eastAsia" w:ascii="Times New Roman" w:hAnsi="Times New Roman" w:eastAsiaTheme="minorEastAsia"/>
                <w:bCs/>
                <w:color w:val="auto"/>
                <w:sz w:val="24"/>
                <w:szCs w:val="24"/>
                <w:lang w:eastAsia="zh-CN"/>
              </w:rPr>
              <w:t>至</w:t>
            </w:r>
            <w:r>
              <w:rPr>
                <w:rFonts w:hint="eastAsia" w:ascii="Times New Roman" w:hAnsi="Times New Roman" w:eastAsiaTheme="minorEastAsia"/>
                <w:bCs/>
                <w:color w:val="auto"/>
                <w:sz w:val="24"/>
                <w:szCs w:val="24"/>
                <w:lang w:val="en-US" w:eastAsia="zh-CN"/>
              </w:rPr>
              <w:t>9月20日</w:t>
            </w:r>
            <w:r>
              <w:rPr>
                <w:rFonts w:hint="eastAsia" w:ascii="Times New Roman" w:hAnsi="Times New Roman" w:eastAsiaTheme="minorEastAsia"/>
                <w:bCs/>
                <w:color w:val="auto"/>
                <w:sz w:val="24"/>
                <w:szCs w:val="24"/>
              </w:rPr>
              <w:t>对项目区以及离项目区最近的乐在村的噪声进行监测，监测结果见下表。监测报告详见附件5。</w:t>
            </w:r>
          </w:p>
          <w:p>
            <w:pPr>
              <w:tabs>
                <w:tab w:val="left" w:pos="1746"/>
                <w:tab w:val="center" w:pos="3983"/>
              </w:tabs>
              <w:ind w:right="459"/>
              <w:jc w:val="center"/>
              <w:rPr>
                <w:rFonts w:ascii="Times New Roman" w:hAnsi="Times New Roman" w:eastAsiaTheme="minorEastAsia"/>
                <w:b/>
                <w:bCs/>
                <w:color w:val="auto"/>
                <w:sz w:val="28"/>
                <w:szCs w:val="28"/>
              </w:rPr>
            </w:pPr>
            <w:r>
              <w:rPr>
                <w:rFonts w:ascii="Times New Roman" w:hAnsi="Times New Roman" w:eastAsiaTheme="minorEastAsia"/>
                <w:b/>
                <w:bCs/>
                <w:color w:val="auto"/>
                <w:sz w:val="28"/>
                <w:szCs w:val="28"/>
              </w:rPr>
              <w:t>表</w:t>
            </w:r>
            <w:r>
              <w:rPr>
                <w:rFonts w:hint="eastAsia" w:ascii="Times New Roman" w:hAnsi="Times New Roman" w:eastAsiaTheme="minorEastAsia"/>
                <w:b/>
                <w:bCs/>
                <w:color w:val="auto"/>
                <w:sz w:val="28"/>
                <w:szCs w:val="28"/>
              </w:rPr>
              <w:t>3</w:t>
            </w:r>
            <w:r>
              <w:rPr>
                <w:rFonts w:ascii="Times New Roman" w:hAnsi="Times New Roman" w:eastAsiaTheme="minorEastAsia"/>
                <w:b/>
                <w:bCs/>
                <w:color w:val="auto"/>
                <w:sz w:val="28"/>
                <w:szCs w:val="28"/>
              </w:rPr>
              <w:t>-</w:t>
            </w:r>
            <w:r>
              <w:rPr>
                <w:rFonts w:hint="eastAsia" w:ascii="Times New Roman" w:hAnsi="Times New Roman" w:eastAsiaTheme="minorEastAsia"/>
                <w:b/>
                <w:bCs/>
                <w:color w:val="auto"/>
                <w:sz w:val="28"/>
                <w:szCs w:val="28"/>
                <w:lang w:val="en-US" w:eastAsia="zh-CN"/>
              </w:rPr>
              <w:t>3</w:t>
            </w:r>
            <w:r>
              <w:rPr>
                <w:rFonts w:ascii="Times New Roman" w:hAnsi="Times New Roman" w:eastAsiaTheme="minorEastAsia"/>
                <w:b/>
                <w:bCs/>
                <w:color w:val="auto"/>
                <w:sz w:val="28"/>
                <w:szCs w:val="28"/>
              </w:rPr>
              <w:t xml:space="preserve">  噪声监测结果一览表</w:t>
            </w:r>
          </w:p>
          <w:tbl>
            <w:tblPr>
              <w:tblStyle w:val="43"/>
              <w:tblW w:w="852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24"/>
              <w:gridCol w:w="1290"/>
              <w:gridCol w:w="1320"/>
              <w:gridCol w:w="975"/>
              <w:gridCol w:w="1470"/>
              <w:gridCol w:w="1380"/>
              <w:gridCol w:w="96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24"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监测类型</w:t>
                  </w:r>
                </w:p>
              </w:tc>
              <w:tc>
                <w:tcPr>
                  <w:tcW w:w="1290"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监测日期</w:t>
                  </w:r>
                </w:p>
              </w:tc>
              <w:tc>
                <w:tcPr>
                  <w:tcW w:w="1320"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监测点位</w:t>
                  </w:r>
                </w:p>
              </w:tc>
              <w:tc>
                <w:tcPr>
                  <w:tcW w:w="975"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时段</w:t>
                  </w:r>
                </w:p>
              </w:tc>
              <w:tc>
                <w:tcPr>
                  <w:tcW w:w="1470"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噪声值</w:t>
                  </w:r>
                  <w:r>
                    <w:rPr>
                      <w:rFonts w:ascii="Times New Roman" w:hAnsi="Times New Roman" w:eastAsiaTheme="minorEastAsia"/>
                      <w:color w:val="auto"/>
                    </w:rPr>
                    <w:t>dB(A)</w:t>
                  </w:r>
                </w:p>
              </w:tc>
              <w:tc>
                <w:tcPr>
                  <w:tcW w:w="1380" w:type="dxa"/>
                  <w:vAlign w:val="center"/>
                </w:tcPr>
                <w:p>
                  <w:pPr>
                    <w:autoSpaceDN w:val="0"/>
                    <w:jc w:val="center"/>
                    <w:textAlignment w:val="center"/>
                    <w:rPr>
                      <w:rFonts w:ascii="Times New Roman" w:hAnsi="Times New Roman" w:eastAsiaTheme="minorEastAsia"/>
                      <w:color w:val="auto"/>
                    </w:rPr>
                  </w:pPr>
                  <w:r>
                    <w:rPr>
                      <w:rFonts w:hint="eastAsia" w:ascii="Times New Roman" w:hAnsiTheme="minorEastAsia" w:eastAsiaTheme="minorEastAsia"/>
                      <w:color w:val="auto"/>
                    </w:rPr>
                    <w:t>标准</w:t>
                  </w:r>
                  <w:r>
                    <w:rPr>
                      <w:rFonts w:ascii="Times New Roman" w:hAnsi="Times New Roman" w:eastAsiaTheme="minorEastAsia"/>
                      <w:color w:val="auto"/>
                    </w:rPr>
                    <w:t>dB(A)</w:t>
                  </w:r>
                </w:p>
              </w:tc>
              <w:tc>
                <w:tcPr>
                  <w:tcW w:w="962" w:type="dxa"/>
                  <w:vAlign w:val="center"/>
                </w:tcPr>
                <w:p>
                  <w:pPr>
                    <w:autoSpaceDN w:val="0"/>
                    <w:jc w:val="center"/>
                    <w:textAlignment w:val="center"/>
                    <w:rPr>
                      <w:rFonts w:ascii="Times New Roman" w:hAnsiTheme="minorEastAsia" w:eastAsiaTheme="minorEastAsia"/>
                      <w:color w:val="auto"/>
                    </w:rPr>
                  </w:pPr>
                  <w:r>
                    <w:rPr>
                      <w:rFonts w:hint="eastAsia" w:ascii="Times New Roman" w:hAnsiTheme="minorEastAsia" w:eastAsiaTheme="minorEastAsia"/>
                      <w:color w:val="auto"/>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24" w:type="dxa"/>
                  <w:vMerge w:val="restart"/>
                  <w:vAlign w:val="center"/>
                </w:tcPr>
                <w:p>
                  <w:pPr>
                    <w:jc w:val="center"/>
                    <w:rPr>
                      <w:rFonts w:ascii="Times New Roman" w:hAnsi="Times New Roman" w:eastAsiaTheme="minorEastAsia"/>
                      <w:color w:val="auto"/>
                    </w:rPr>
                  </w:pPr>
                  <w:r>
                    <w:rPr>
                      <w:rFonts w:ascii="Times New Roman" w:hAnsiTheme="minorEastAsia" w:eastAsiaTheme="minorEastAsia"/>
                      <w:color w:val="auto"/>
                    </w:rPr>
                    <w:t>噪声</w:t>
                  </w:r>
                </w:p>
              </w:tc>
              <w:tc>
                <w:tcPr>
                  <w:tcW w:w="1290" w:type="dxa"/>
                  <w:vMerge w:val="restart"/>
                  <w:vAlign w:val="center"/>
                </w:tcPr>
                <w:p>
                  <w:pPr>
                    <w:jc w:val="center"/>
                    <w:rPr>
                      <w:rFonts w:ascii="Times New Roman" w:hAnsi="Times New Roman" w:eastAsiaTheme="minorEastAsia"/>
                      <w:color w:val="auto"/>
                    </w:rPr>
                  </w:pPr>
                  <w:r>
                    <w:rPr>
                      <w:rFonts w:ascii="Times New Roman" w:hAnsi="Times New Roman" w:eastAsiaTheme="minorEastAsia"/>
                      <w:color w:val="auto"/>
                    </w:rPr>
                    <w:t>2019.09.19</w:t>
                  </w:r>
                </w:p>
              </w:tc>
              <w:tc>
                <w:tcPr>
                  <w:tcW w:w="1320" w:type="dxa"/>
                  <w:vMerge w:val="restart"/>
                  <w:vAlign w:val="center"/>
                </w:tcPr>
                <w:p>
                  <w:pPr>
                    <w:jc w:val="center"/>
                    <w:rPr>
                      <w:rFonts w:ascii="Times New Roman" w:hAnsi="Times New Roman" w:eastAsiaTheme="minorEastAsia"/>
                      <w:color w:val="auto"/>
                    </w:rPr>
                  </w:pPr>
                  <w:r>
                    <w:rPr>
                      <w:rFonts w:ascii="Times New Roman" w:hAnsiTheme="minorEastAsia" w:eastAsiaTheme="minorEastAsia"/>
                      <w:color w:val="auto"/>
                    </w:rPr>
                    <w:t>项目区（</w:t>
                  </w:r>
                  <w:r>
                    <w:rPr>
                      <w:rFonts w:ascii="Times New Roman" w:hAnsi="Times New Roman" w:eastAsiaTheme="minorEastAsia"/>
                      <w:color w:val="auto"/>
                    </w:rPr>
                    <w:t>ZS01</w:t>
                  </w:r>
                  <w:r>
                    <w:rPr>
                      <w:rFonts w:ascii="Times New Roman" w:hAnsiTheme="minorEastAsia" w:eastAsiaTheme="minorEastAsia"/>
                      <w:color w:val="auto"/>
                    </w:rPr>
                    <w:t>）</w:t>
                  </w:r>
                </w:p>
              </w:tc>
              <w:tc>
                <w:tcPr>
                  <w:tcW w:w="975"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昼间</w:t>
                  </w:r>
                </w:p>
              </w:tc>
              <w:tc>
                <w:tcPr>
                  <w:tcW w:w="1470" w:type="dxa"/>
                  <w:vAlign w:val="center"/>
                </w:tcPr>
                <w:p>
                  <w:pPr>
                    <w:autoSpaceDN w:val="0"/>
                    <w:jc w:val="center"/>
                    <w:textAlignment w:val="center"/>
                    <w:rPr>
                      <w:rFonts w:ascii="Times New Roman" w:hAnsi="Times New Roman" w:eastAsiaTheme="minorEastAsia"/>
                      <w:color w:val="auto"/>
                    </w:rPr>
                  </w:pPr>
                  <w:r>
                    <w:rPr>
                      <w:rFonts w:ascii="Times New Roman" w:hAnsi="Times New Roman" w:eastAsiaTheme="minorEastAsia"/>
                      <w:color w:val="auto"/>
                    </w:rPr>
                    <w:t>50.5</w:t>
                  </w:r>
                </w:p>
              </w:tc>
              <w:tc>
                <w:tcPr>
                  <w:tcW w:w="1380" w:type="dxa"/>
                  <w:vMerge w:val="restart"/>
                  <w:vAlign w:val="center"/>
                </w:tcPr>
                <w:p>
                  <w:pPr>
                    <w:jc w:val="center"/>
                    <w:rPr>
                      <w:color w:val="auto"/>
                    </w:rPr>
                  </w:pPr>
                  <w:r>
                    <w:rPr>
                      <w:rFonts w:hint="eastAsia"/>
                      <w:color w:val="auto"/>
                    </w:rPr>
                    <w:t>昼间60</w:t>
                  </w:r>
                </w:p>
                <w:p>
                  <w:pPr>
                    <w:jc w:val="center"/>
                    <w:rPr>
                      <w:color w:val="auto"/>
                    </w:rPr>
                  </w:pPr>
                  <w:r>
                    <w:rPr>
                      <w:rFonts w:hint="eastAsia"/>
                      <w:color w:val="auto"/>
                    </w:rPr>
                    <w:t>夜间50</w:t>
                  </w:r>
                </w:p>
              </w:tc>
              <w:tc>
                <w:tcPr>
                  <w:tcW w:w="962" w:type="dxa"/>
                  <w:vMerge w:val="restart"/>
                  <w:vAlign w:val="center"/>
                </w:tcPr>
                <w:p>
                  <w:pPr>
                    <w:jc w:val="center"/>
                    <w:rPr>
                      <w:rFonts w:ascii="Times New Roman" w:hAnsi="Times New Roman" w:eastAsiaTheme="minorEastAsia"/>
                      <w:color w:val="auto"/>
                    </w:rPr>
                  </w:pPr>
                  <w:r>
                    <w:rPr>
                      <w:rFonts w:hint="eastAsia" w:ascii="Times New Roman" w:hAnsi="Times New Roman" w:eastAsiaTheme="minorEastAsia"/>
                      <w:color w:val="auto"/>
                    </w:rPr>
                    <w:t>达标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24" w:type="dxa"/>
                  <w:vMerge w:val="continue"/>
                  <w:vAlign w:val="center"/>
                </w:tcPr>
                <w:p>
                  <w:pPr>
                    <w:jc w:val="center"/>
                    <w:rPr>
                      <w:rFonts w:ascii="Times New Roman" w:hAnsi="Times New Roman" w:eastAsiaTheme="minorEastAsia"/>
                      <w:color w:val="auto"/>
                    </w:rPr>
                  </w:pPr>
                </w:p>
              </w:tc>
              <w:tc>
                <w:tcPr>
                  <w:tcW w:w="1290" w:type="dxa"/>
                  <w:vMerge w:val="continue"/>
                  <w:vAlign w:val="center"/>
                </w:tcPr>
                <w:p>
                  <w:pPr>
                    <w:jc w:val="center"/>
                    <w:rPr>
                      <w:rFonts w:ascii="Times New Roman" w:hAnsi="Times New Roman" w:eastAsiaTheme="minorEastAsia"/>
                      <w:color w:val="auto"/>
                    </w:rPr>
                  </w:pPr>
                </w:p>
              </w:tc>
              <w:tc>
                <w:tcPr>
                  <w:tcW w:w="1320" w:type="dxa"/>
                  <w:vMerge w:val="continue"/>
                  <w:vAlign w:val="center"/>
                </w:tcPr>
                <w:p>
                  <w:pPr>
                    <w:jc w:val="center"/>
                    <w:rPr>
                      <w:rFonts w:ascii="Times New Roman" w:hAnsi="Times New Roman" w:eastAsiaTheme="minorEastAsia"/>
                      <w:color w:val="auto"/>
                    </w:rPr>
                  </w:pPr>
                </w:p>
              </w:tc>
              <w:tc>
                <w:tcPr>
                  <w:tcW w:w="975"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夜间</w:t>
                  </w:r>
                </w:p>
              </w:tc>
              <w:tc>
                <w:tcPr>
                  <w:tcW w:w="1470" w:type="dxa"/>
                  <w:vAlign w:val="center"/>
                </w:tcPr>
                <w:p>
                  <w:pPr>
                    <w:autoSpaceDN w:val="0"/>
                    <w:jc w:val="center"/>
                    <w:textAlignment w:val="center"/>
                    <w:rPr>
                      <w:rFonts w:ascii="Times New Roman" w:hAnsi="Times New Roman" w:eastAsiaTheme="minorEastAsia"/>
                      <w:color w:val="auto"/>
                    </w:rPr>
                  </w:pPr>
                  <w:r>
                    <w:rPr>
                      <w:rFonts w:ascii="Times New Roman" w:hAnsi="Times New Roman" w:eastAsiaTheme="minorEastAsia"/>
                      <w:color w:val="auto"/>
                    </w:rPr>
                    <w:t>42.2</w:t>
                  </w:r>
                </w:p>
              </w:tc>
              <w:tc>
                <w:tcPr>
                  <w:tcW w:w="1380" w:type="dxa"/>
                  <w:vMerge w:val="continue"/>
                  <w:vAlign w:val="center"/>
                </w:tcPr>
                <w:p>
                  <w:pPr>
                    <w:jc w:val="center"/>
                    <w:rPr>
                      <w:rFonts w:ascii="Times New Roman" w:hAnsi="Times New Roman" w:eastAsiaTheme="minorEastAsia"/>
                      <w:color w:val="auto"/>
                    </w:rPr>
                  </w:pPr>
                </w:p>
              </w:tc>
              <w:tc>
                <w:tcPr>
                  <w:tcW w:w="962" w:type="dxa"/>
                  <w:vMerge w:val="continue"/>
                  <w:vAlign w:val="center"/>
                </w:tcPr>
                <w:p>
                  <w:pPr>
                    <w:jc w:val="center"/>
                    <w:rPr>
                      <w:rFonts w:ascii="Times New Roman" w:hAnsi="Times New Roman" w:eastAsiaTheme="minorEastAsia"/>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24" w:type="dxa"/>
                  <w:vMerge w:val="continue"/>
                  <w:vAlign w:val="center"/>
                </w:tcPr>
                <w:p>
                  <w:pPr>
                    <w:jc w:val="center"/>
                    <w:rPr>
                      <w:rFonts w:ascii="Times New Roman" w:hAnsi="Times New Roman" w:eastAsiaTheme="minorEastAsia"/>
                      <w:color w:val="auto"/>
                    </w:rPr>
                  </w:pPr>
                </w:p>
              </w:tc>
              <w:tc>
                <w:tcPr>
                  <w:tcW w:w="1290" w:type="dxa"/>
                  <w:vMerge w:val="continue"/>
                  <w:vAlign w:val="center"/>
                </w:tcPr>
                <w:p>
                  <w:pPr>
                    <w:jc w:val="center"/>
                    <w:rPr>
                      <w:rFonts w:ascii="Times New Roman" w:hAnsi="Times New Roman" w:eastAsiaTheme="minorEastAsia"/>
                      <w:color w:val="auto"/>
                    </w:rPr>
                  </w:pPr>
                </w:p>
              </w:tc>
              <w:tc>
                <w:tcPr>
                  <w:tcW w:w="1320" w:type="dxa"/>
                  <w:vMerge w:val="restart"/>
                  <w:vAlign w:val="center"/>
                </w:tcPr>
                <w:p>
                  <w:pPr>
                    <w:jc w:val="center"/>
                    <w:rPr>
                      <w:rFonts w:ascii="Times New Roman" w:hAnsi="Times New Roman" w:eastAsiaTheme="minorEastAsia"/>
                      <w:color w:val="auto"/>
                    </w:rPr>
                  </w:pPr>
                  <w:r>
                    <w:rPr>
                      <w:rFonts w:ascii="Times New Roman" w:hAnsiTheme="minorEastAsia" w:eastAsiaTheme="minorEastAsia"/>
                      <w:color w:val="auto"/>
                    </w:rPr>
                    <w:t>乐在村（</w:t>
                  </w:r>
                  <w:r>
                    <w:rPr>
                      <w:rFonts w:ascii="Times New Roman" w:hAnsi="Times New Roman" w:eastAsiaTheme="minorEastAsia"/>
                      <w:color w:val="auto"/>
                    </w:rPr>
                    <w:t>ZS02</w:t>
                  </w:r>
                  <w:r>
                    <w:rPr>
                      <w:rFonts w:ascii="Times New Roman" w:hAnsiTheme="minorEastAsia" w:eastAsiaTheme="minorEastAsia"/>
                      <w:color w:val="auto"/>
                    </w:rPr>
                    <w:t>）</w:t>
                  </w:r>
                </w:p>
              </w:tc>
              <w:tc>
                <w:tcPr>
                  <w:tcW w:w="975"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昼间</w:t>
                  </w:r>
                </w:p>
              </w:tc>
              <w:tc>
                <w:tcPr>
                  <w:tcW w:w="1470" w:type="dxa"/>
                  <w:vAlign w:val="center"/>
                </w:tcPr>
                <w:p>
                  <w:pPr>
                    <w:autoSpaceDN w:val="0"/>
                    <w:jc w:val="center"/>
                    <w:textAlignment w:val="center"/>
                    <w:rPr>
                      <w:rFonts w:ascii="Times New Roman" w:hAnsi="Times New Roman" w:eastAsiaTheme="minorEastAsia"/>
                      <w:color w:val="auto"/>
                    </w:rPr>
                  </w:pPr>
                  <w:r>
                    <w:rPr>
                      <w:rFonts w:ascii="Times New Roman" w:hAnsi="Times New Roman" w:eastAsiaTheme="minorEastAsia"/>
                      <w:color w:val="auto"/>
                    </w:rPr>
                    <w:t>52.9</w:t>
                  </w:r>
                </w:p>
              </w:tc>
              <w:tc>
                <w:tcPr>
                  <w:tcW w:w="1380" w:type="dxa"/>
                  <w:vMerge w:val="continue"/>
                  <w:vAlign w:val="center"/>
                </w:tcPr>
                <w:p>
                  <w:pPr>
                    <w:jc w:val="center"/>
                    <w:rPr>
                      <w:rFonts w:ascii="Times New Roman" w:hAnsi="Times New Roman" w:eastAsiaTheme="minorEastAsia"/>
                      <w:color w:val="auto"/>
                    </w:rPr>
                  </w:pPr>
                </w:p>
              </w:tc>
              <w:tc>
                <w:tcPr>
                  <w:tcW w:w="962" w:type="dxa"/>
                  <w:vMerge w:val="continue"/>
                  <w:vAlign w:val="center"/>
                </w:tcPr>
                <w:p>
                  <w:pPr>
                    <w:jc w:val="center"/>
                    <w:rPr>
                      <w:rFonts w:ascii="Times New Roman" w:hAnsi="Times New Roman" w:eastAsiaTheme="minorEastAsia"/>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24" w:type="dxa"/>
                  <w:vMerge w:val="continue"/>
                  <w:vAlign w:val="center"/>
                </w:tcPr>
                <w:p>
                  <w:pPr>
                    <w:jc w:val="center"/>
                    <w:rPr>
                      <w:rFonts w:ascii="Times New Roman" w:hAnsi="Times New Roman" w:eastAsiaTheme="minorEastAsia"/>
                      <w:color w:val="auto"/>
                    </w:rPr>
                  </w:pPr>
                </w:p>
              </w:tc>
              <w:tc>
                <w:tcPr>
                  <w:tcW w:w="1290" w:type="dxa"/>
                  <w:vMerge w:val="continue"/>
                  <w:vAlign w:val="center"/>
                </w:tcPr>
                <w:p>
                  <w:pPr>
                    <w:jc w:val="center"/>
                    <w:rPr>
                      <w:rFonts w:ascii="Times New Roman" w:hAnsi="Times New Roman" w:eastAsiaTheme="minorEastAsia"/>
                      <w:color w:val="auto"/>
                    </w:rPr>
                  </w:pPr>
                </w:p>
              </w:tc>
              <w:tc>
                <w:tcPr>
                  <w:tcW w:w="1320" w:type="dxa"/>
                  <w:vMerge w:val="continue"/>
                  <w:vAlign w:val="center"/>
                </w:tcPr>
                <w:p>
                  <w:pPr>
                    <w:jc w:val="center"/>
                    <w:rPr>
                      <w:rFonts w:ascii="Times New Roman" w:hAnsi="Times New Roman" w:eastAsiaTheme="minorEastAsia"/>
                      <w:color w:val="auto"/>
                    </w:rPr>
                  </w:pPr>
                </w:p>
              </w:tc>
              <w:tc>
                <w:tcPr>
                  <w:tcW w:w="975"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夜间</w:t>
                  </w:r>
                </w:p>
              </w:tc>
              <w:tc>
                <w:tcPr>
                  <w:tcW w:w="1470" w:type="dxa"/>
                  <w:vAlign w:val="center"/>
                </w:tcPr>
                <w:p>
                  <w:pPr>
                    <w:autoSpaceDN w:val="0"/>
                    <w:jc w:val="center"/>
                    <w:textAlignment w:val="center"/>
                    <w:rPr>
                      <w:rFonts w:ascii="Times New Roman" w:hAnsi="Times New Roman" w:eastAsiaTheme="minorEastAsia"/>
                      <w:color w:val="auto"/>
                    </w:rPr>
                  </w:pPr>
                  <w:r>
                    <w:rPr>
                      <w:rFonts w:ascii="Times New Roman" w:hAnsi="Times New Roman" w:eastAsiaTheme="minorEastAsia"/>
                      <w:color w:val="auto"/>
                    </w:rPr>
                    <w:t>44.2</w:t>
                  </w:r>
                </w:p>
              </w:tc>
              <w:tc>
                <w:tcPr>
                  <w:tcW w:w="1380" w:type="dxa"/>
                  <w:vMerge w:val="continue"/>
                  <w:vAlign w:val="center"/>
                </w:tcPr>
                <w:p>
                  <w:pPr>
                    <w:jc w:val="center"/>
                    <w:rPr>
                      <w:rFonts w:ascii="Times New Roman" w:hAnsi="Times New Roman" w:eastAsiaTheme="minorEastAsia"/>
                      <w:color w:val="auto"/>
                    </w:rPr>
                  </w:pPr>
                </w:p>
              </w:tc>
              <w:tc>
                <w:tcPr>
                  <w:tcW w:w="962" w:type="dxa"/>
                  <w:vMerge w:val="continue"/>
                  <w:vAlign w:val="center"/>
                </w:tcPr>
                <w:p>
                  <w:pPr>
                    <w:jc w:val="center"/>
                    <w:rPr>
                      <w:rFonts w:ascii="Times New Roman" w:hAnsi="Times New Roman" w:eastAsiaTheme="minorEastAsia"/>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24" w:type="dxa"/>
                  <w:vMerge w:val="continue"/>
                  <w:vAlign w:val="center"/>
                </w:tcPr>
                <w:p>
                  <w:pPr>
                    <w:jc w:val="center"/>
                    <w:rPr>
                      <w:rFonts w:ascii="Times New Roman" w:hAnsi="Times New Roman" w:eastAsiaTheme="minorEastAsia"/>
                      <w:color w:val="auto"/>
                    </w:rPr>
                  </w:pPr>
                </w:p>
              </w:tc>
              <w:tc>
                <w:tcPr>
                  <w:tcW w:w="1290" w:type="dxa"/>
                  <w:vMerge w:val="restart"/>
                  <w:vAlign w:val="center"/>
                </w:tcPr>
                <w:p>
                  <w:pPr>
                    <w:jc w:val="center"/>
                    <w:rPr>
                      <w:rFonts w:ascii="Times New Roman" w:hAnsi="Times New Roman" w:eastAsiaTheme="minorEastAsia"/>
                      <w:color w:val="auto"/>
                    </w:rPr>
                  </w:pPr>
                  <w:r>
                    <w:rPr>
                      <w:rFonts w:ascii="Times New Roman" w:hAnsi="Times New Roman" w:eastAsiaTheme="minorEastAsia"/>
                      <w:color w:val="auto"/>
                    </w:rPr>
                    <w:t>2019.09.20</w:t>
                  </w:r>
                </w:p>
              </w:tc>
              <w:tc>
                <w:tcPr>
                  <w:tcW w:w="1320" w:type="dxa"/>
                  <w:vMerge w:val="restart"/>
                  <w:vAlign w:val="center"/>
                </w:tcPr>
                <w:p>
                  <w:pPr>
                    <w:jc w:val="center"/>
                    <w:rPr>
                      <w:rFonts w:ascii="Times New Roman" w:hAnsi="Times New Roman" w:eastAsiaTheme="minorEastAsia"/>
                      <w:color w:val="auto"/>
                    </w:rPr>
                  </w:pPr>
                  <w:r>
                    <w:rPr>
                      <w:rFonts w:ascii="Times New Roman" w:hAnsiTheme="minorEastAsia" w:eastAsiaTheme="minorEastAsia"/>
                      <w:color w:val="auto"/>
                    </w:rPr>
                    <w:t>项目区（</w:t>
                  </w:r>
                  <w:r>
                    <w:rPr>
                      <w:rFonts w:ascii="Times New Roman" w:hAnsi="Times New Roman" w:eastAsiaTheme="minorEastAsia"/>
                      <w:color w:val="auto"/>
                    </w:rPr>
                    <w:t>ZS01</w:t>
                  </w:r>
                  <w:r>
                    <w:rPr>
                      <w:rFonts w:ascii="Times New Roman" w:hAnsiTheme="minorEastAsia" w:eastAsiaTheme="minorEastAsia"/>
                      <w:color w:val="auto"/>
                    </w:rPr>
                    <w:t>）</w:t>
                  </w:r>
                </w:p>
              </w:tc>
              <w:tc>
                <w:tcPr>
                  <w:tcW w:w="975"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昼间</w:t>
                  </w:r>
                </w:p>
              </w:tc>
              <w:tc>
                <w:tcPr>
                  <w:tcW w:w="1470" w:type="dxa"/>
                  <w:vAlign w:val="center"/>
                </w:tcPr>
                <w:p>
                  <w:pPr>
                    <w:autoSpaceDN w:val="0"/>
                    <w:jc w:val="center"/>
                    <w:textAlignment w:val="center"/>
                    <w:rPr>
                      <w:rFonts w:ascii="Times New Roman" w:hAnsi="Times New Roman" w:eastAsiaTheme="minorEastAsia"/>
                      <w:color w:val="auto"/>
                    </w:rPr>
                  </w:pPr>
                  <w:r>
                    <w:rPr>
                      <w:rFonts w:ascii="Times New Roman" w:hAnsi="Times New Roman" w:eastAsiaTheme="minorEastAsia"/>
                      <w:color w:val="auto"/>
                    </w:rPr>
                    <w:t>50.8</w:t>
                  </w:r>
                </w:p>
              </w:tc>
              <w:tc>
                <w:tcPr>
                  <w:tcW w:w="1380" w:type="dxa"/>
                  <w:vMerge w:val="continue"/>
                  <w:vAlign w:val="center"/>
                </w:tcPr>
                <w:p>
                  <w:pPr>
                    <w:jc w:val="center"/>
                    <w:rPr>
                      <w:rFonts w:ascii="Times New Roman" w:hAnsi="Times New Roman" w:eastAsiaTheme="minorEastAsia"/>
                      <w:color w:val="auto"/>
                    </w:rPr>
                  </w:pPr>
                </w:p>
              </w:tc>
              <w:tc>
                <w:tcPr>
                  <w:tcW w:w="962" w:type="dxa"/>
                  <w:vMerge w:val="continue"/>
                  <w:vAlign w:val="center"/>
                </w:tcPr>
                <w:p>
                  <w:pPr>
                    <w:jc w:val="center"/>
                    <w:rPr>
                      <w:rFonts w:ascii="Times New Roman" w:hAnsi="Times New Roman" w:eastAsiaTheme="minorEastAsia"/>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24" w:type="dxa"/>
                  <w:vMerge w:val="continue"/>
                  <w:vAlign w:val="center"/>
                </w:tcPr>
                <w:p>
                  <w:pPr>
                    <w:jc w:val="center"/>
                    <w:rPr>
                      <w:rFonts w:ascii="Times New Roman" w:hAnsi="Times New Roman" w:eastAsiaTheme="minorEastAsia"/>
                      <w:color w:val="auto"/>
                    </w:rPr>
                  </w:pPr>
                </w:p>
              </w:tc>
              <w:tc>
                <w:tcPr>
                  <w:tcW w:w="1290" w:type="dxa"/>
                  <w:vMerge w:val="continue"/>
                  <w:vAlign w:val="center"/>
                </w:tcPr>
                <w:p>
                  <w:pPr>
                    <w:jc w:val="center"/>
                    <w:rPr>
                      <w:rFonts w:ascii="Times New Roman" w:hAnsi="Times New Roman" w:eastAsiaTheme="minorEastAsia"/>
                      <w:color w:val="auto"/>
                    </w:rPr>
                  </w:pPr>
                </w:p>
              </w:tc>
              <w:tc>
                <w:tcPr>
                  <w:tcW w:w="1320" w:type="dxa"/>
                  <w:vMerge w:val="continue"/>
                  <w:vAlign w:val="center"/>
                </w:tcPr>
                <w:p>
                  <w:pPr>
                    <w:jc w:val="center"/>
                    <w:rPr>
                      <w:rFonts w:ascii="Times New Roman" w:hAnsi="Times New Roman" w:eastAsiaTheme="minorEastAsia"/>
                      <w:color w:val="auto"/>
                    </w:rPr>
                  </w:pPr>
                </w:p>
              </w:tc>
              <w:tc>
                <w:tcPr>
                  <w:tcW w:w="975"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夜间</w:t>
                  </w:r>
                </w:p>
              </w:tc>
              <w:tc>
                <w:tcPr>
                  <w:tcW w:w="1470" w:type="dxa"/>
                  <w:vAlign w:val="center"/>
                </w:tcPr>
                <w:p>
                  <w:pPr>
                    <w:autoSpaceDN w:val="0"/>
                    <w:jc w:val="center"/>
                    <w:textAlignment w:val="center"/>
                    <w:rPr>
                      <w:rFonts w:ascii="Times New Roman" w:hAnsi="Times New Roman" w:eastAsiaTheme="minorEastAsia"/>
                      <w:color w:val="auto"/>
                    </w:rPr>
                  </w:pPr>
                  <w:r>
                    <w:rPr>
                      <w:rFonts w:ascii="Times New Roman" w:hAnsi="Times New Roman" w:eastAsiaTheme="minorEastAsia"/>
                      <w:color w:val="auto"/>
                    </w:rPr>
                    <w:t>43.0</w:t>
                  </w:r>
                </w:p>
              </w:tc>
              <w:tc>
                <w:tcPr>
                  <w:tcW w:w="1380" w:type="dxa"/>
                  <w:vMerge w:val="continue"/>
                  <w:vAlign w:val="center"/>
                </w:tcPr>
                <w:p>
                  <w:pPr>
                    <w:jc w:val="center"/>
                    <w:rPr>
                      <w:rFonts w:ascii="Times New Roman" w:hAnsi="Times New Roman" w:eastAsiaTheme="minorEastAsia"/>
                      <w:color w:val="auto"/>
                    </w:rPr>
                  </w:pPr>
                </w:p>
              </w:tc>
              <w:tc>
                <w:tcPr>
                  <w:tcW w:w="962" w:type="dxa"/>
                  <w:vMerge w:val="continue"/>
                  <w:vAlign w:val="center"/>
                </w:tcPr>
                <w:p>
                  <w:pPr>
                    <w:jc w:val="center"/>
                    <w:rPr>
                      <w:rFonts w:ascii="Times New Roman" w:hAnsi="Times New Roman" w:eastAsiaTheme="minorEastAsia"/>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24" w:type="dxa"/>
                  <w:vMerge w:val="continue"/>
                  <w:vAlign w:val="center"/>
                </w:tcPr>
                <w:p>
                  <w:pPr>
                    <w:jc w:val="center"/>
                    <w:rPr>
                      <w:rFonts w:ascii="Times New Roman" w:hAnsi="Times New Roman" w:eastAsiaTheme="minorEastAsia"/>
                      <w:color w:val="auto"/>
                    </w:rPr>
                  </w:pPr>
                </w:p>
              </w:tc>
              <w:tc>
                <w:tcPr>
                  <w:tcW w:w="1290" w:type="dxa"/>
                  <w:vMerge w:val="continue"/>
                  <w:vAlign w:val="center"/>
                </w:tcPr>
                <w:p>
                  <w:pPr>
                    <w:jc w:val="center"/>
                    <w:rPr>
                      <w:rFonts w:ascii="Times New Roman" w:hAnsi="Times New Roman" w:eastAsiaTheme="minorEastAsia"/>
                      <w:color w:val="auto"/>
                    </w:rPr>
                  </w:pPr>
                </w:p>
              </w:tc>
              <w:tc>
                <w:tcPr>
                  <w:tcW w:w="1320" w:type="dxa"/>
                  <w:vMerge w:val="restart"/>
                  <w:vAlign w:val="center"/>
                </w:tcPr>
                <w:p>
                  <w:pPr>
                    <w:jc w:val="center"/>
                    <w:rPr>
                      <w:rFonts w:ascii="Times New Roman" w:hAnsi="Times New Roman" w:eastAsiaTheme="minorEastAsia"/>
                      <w:color w:val="auto"/>
                    </w:rPr>
                  </w:pPr>
                  <w:r>
                    <w:rPr>
                      <w:rFonts w:ascii="Times New Roman" w:hAnsiTheme="minorEastAsia" w:eastAsiaTheme="minorEastAsia"/>
                      <w:color w:val="auto"/>
                    </w:rPr>
                    <w:t>乐在村（</w:t>
                  </w:r>
                  <w:r>
                    <w:rPr>
                      <w:rFonts w:ascii="Times New Roman" w:hAnsi="Times New Roman" w:eastAsiaTheme="minorEastAsia"/>
                      <w:color w:val="auto"/>
                    </w:rPr>
                    <w:t>ZS02</w:t>
                  </w:r>
                  <w:r>
                    <w:rPr>
                      <w:rFonts w:ascii="Times New Roman" w:hAnsiTheme="minorEastAsia" w:eastAsiaTheme="minorEastAsia"/>
                      <w:color w:val="auto"/>
                    </w:rPr>
                    <w:t>）</w:t>
                  </w:r>
                </w:p>
              </w:tc>
              <w:tc>
                <w:tcPr>
                  <w:tcW w:w="975"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昼间</w:t>
                  </w:r>
                </w:p>
              </w:tc>
              <w:tc>
                <w:tcPr>
                  <w:tcW w:w="1470" w:type="dxa"/>
                  <w:vAlign w:val="center"/>
                </w:tcPr>
                <w:p>
                  <w:pPr>
                    <w:autoSpaceDN w:val="0"/>
                    <w:jc w:val="center"/>
                    <w:textAlignment w:val="center"/>
                    <w:rPr>
                      <w:rFonts w:ascii="Times New Roman" w:hAnsi="Times New Roman" w:eastAsiaTheme="minorEastAsia"/>
                      <w:color w:val="auto"/>
                    </w:rPr>
                  </w:pPr>
                  <w:r>
                    <w:rPr>
                      <w:rFonts w:ascii="Times New Roman" w:hAnsi="Times New Roman" w:eastAsiaTheme="minorEastAsia"/>
                      <w:color w:val="auto"/>
                    </w:rPr>
                    <w:t>50.8</w:t>
                  </w:r>
                </w:p>
              </w:tc>
              <w:tc>
                <w:tcPr>
                  <w:tcW w:w="1380" w:type="dxa"/>
                  <w:vMerge w:val="continue"/>
                  <w:vAlign w:val="center"/>
                </w:tcPr>
                <w:p>
                  <w:pPr>
                    <w:jc w:val="center"/>
                    <w:rPr>
                      <w:rFonts w:ascii="Times New Roman" w:hAnsi="Times New Roman" w:eastAsiaTheme="minorEastAsia"/>
                      <w:color w:val="auto"/>
                    </w:rPr>
                  </w:pPr>
                </w:p>
              </w:tc>
              <w:tc>
                <w:tcPr>
                  <w:tcW w:w="962" w:type="dxa"/>
                  <w:vMerge w:val="continue"/>
                  <w:vAlign w:val="center"/>
                </w:tcPr>
                <w:p>
                  <w:pPr>
                    <w:jc w:val="center"/>
                    <w:rPr>
                      <w:rFonts w:ascii="Times New Roman" w:hAnsi="Times New Roman" w:eastAsiaTheme="minorEastAsia"/>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24" w:type="dxa"/>
                  <w:vMerge w:val="continue"/>
                  <w:vAlign w:val="center"/>
                </w:tcPr>
                <w:p>
                  <w:pPr>
                    <w:jc w:val="center"/>
                    <w:rPr>
                      <w:rFonts w:ascii="Times New Roman" w:hAnsi="Times New Roman" w:eastAsiaTheme="minorEastAsia"/>
                      <w:color w:val="auto"/>
                    </w:rPr>
                  </w:pPr>
                </w:p>
              </w:tc>
              <w:tc>
                <w:tcPr>
                  <w:tcW w:w="1290" w:type="dxa"/>
                  <w:vMerge w:val="continue"/>
                  <w:vAlign w:val="center"/>
                </w:tcPr>
                <w:p>
                  <w:pPr>
                    <w:jc w:val="center"/>
                    <w:rPr>
                      <w:rFonts w:ascii="Times New Roman" w:hAnsi="Times New Roman" w:eastAsiaTheme="minorEastAsia"/>
                      <w:color w:val="auto"/>
                    </w:rPr>
                  </w:pPr>
                </w:p>
              </w:tc>
              <w:tc>
                <w:tcPr>
                  <w:tcW w:w="1320" w:type="dxa"/>
                  <w:vMerge w:val="continue"/>
                  <w:vAlign w:val="center"/>
                </w:tcPr>
                <w:p>
                  <w:pPr>
                    <w:jc w:val="center"/>
                    <w:rPr>
                      <w:rFonts w:ascii="Times New Roman" w:hAnsi="Times New Roman" w:eastAsiaTheme="minorEastAsia"/>
                      <w:color w:val="auto"/>
                    </w:rPr>
                  </w:pPr>
                </w:p>
              </w:tc>
              <w:tc>
                <w:tcPr>
                  <w:tcW w:w="975" w:type="dxa"/>
                  <w:vAlign w:val="center"/>
                </w:tcPr>
                <w:p>
                  <w:pPr>
                    <w:autoSpaceDN w:val="0"/>
                    <w:jc w:val="center"/>
                    <w:textAlignment w:val="center"/>
                    <w:rPr>
                      <w:rFonts w:ascii="Times New Roman" w:hAnsi="Times New Roman" w:eastAsiaTheme="minorEastAsia"/>
                      <w:color w:val="auto"/>
                    </w:rPr>
                  </w:pPr>
                  <w:r>
                    <w:rPr>
                      <w:rFonts w:ascii="Times New Roman" w:hAnsiTheme="minorEastAsia" w:eastAsiaTheme="minorEastAsia"/>
                      <w:color w:val="auto"/>
                    </w:rPr>
                    <w:t>夜间</w:t>
                  </w:r>
                </w:p>
              </w:tc>
              <w:tc>
                <w:tcPr>
                  <w:tcW w:w="1470" w:type="dxa"/>
                  <w:vAlign w:val="center"/>
                </w:tcPr>
                <w:p>
                  <w:pPr>
                    <w:autoSpaceDN w:val="0"/>
                    <w:jc w:val="center"/>
                    <w:textAlignment w:val="center"/>
                    <w:rPr>
                      <w:rFonts w:ascii="Times New Roman" w:hAnsi="Times New Roman" w:eastAsiaTheme="minorEastAsia"/>
                      <w:color w:val="auto"/>
                    </w:rPr>
                  </w:pPr>
                  <w:r>
                    <w:rPr>
                      <w:rFonts w:ascii="Times New Roman" w:hAnsi="Times New Roman" w:eastAsiaTheme="minorEastAsia"/>
                      <w:color w:val="auto"/>
                    </w:rPr>
                    <w:t>44.6</w:t>
                  </w:r>
                </w:p>
              </w:tc>
              <w:tc>
                <w:tcPr>
                  <w:tcW w:w="1380" w:type="dxa"/>
                  <w:vMerge w:val="continue"/>
                  <w:vAlign w:val="center"/>
                </w:tcPr>
                <w:p>
                  <w:pPr>
                    <w:jc w:val="center"/>
                    <w:rPr>
                      <w:rFonts w:ascii="Times New Roman" w:hAnsi="Times New Roman" w:eastAsiaTheme="minorEastAsia"/>
                      <w:color w:val="auto"/>
                    </w:rPr>
                  </w:pPr>
                </w:p>
              </w:tc>
              <w:tc>
                <w:tcPr>
                  <w:tcW w:w="962" w:type="dxa"/>
                  <w:vMerge w:val="continue"/>
                  <w:vAlign w:val="center"/>
                </w:tcPr>
                <w:p>
                  <w:pPr>
                    <w:jc w:val="center"/>
                    <w:rPr>
                      <w:rFonts w:ascii="Times New Roman" w:hAnsi="Times New Roman" w:eastAsiaTheme="minorEastAsia"/>
                      <w:color w:val="auto"/>
                    </w:rPr>
                  </w:pPr>
                </w:p>
              </w:tc>
            </w:tr>
          </w:tbl>
          <w:p>
            <w:pPr>
              <w:spacing w:line="360" w:lineRule="auto"/>
              <w:ind w:firstLine="480" w:firstLineChars="200"/>
              <w:rPr>
                <w:rFonts w:ascii="Times New Roman" w:hAnsi="Times New Roman"/>
                <w:color w:val="auto"/>
                <w:sz w:val="24"/>
              </w:rPr>
            </w:pPr>
            <w:r>
              <w:rPr>
                <w:rFonts w:hint="eastAsia" w:ascii="Times New Roman" w:hAnsi="Times New Roman"/>
                <w:color w:val="auto"/>
                <w:sz w:val="24"/>
              </w:rPr>
              <w:t>由表3-</w:t>
            </w:r>
            <w:r>
              <w:rPr>
                <w:rFonts w:hint="eastAsia" w:ascii="Times New Roman" w:hAnsi="Times New Roman"/>
                <w:color w:val="auto"/>
                <w:sz w:val="24"/>
                <w:lang w:val="en-US" w:eastAsia="zh-CN"/>
              </w:rPr>
              <w:t>3</w:t>
            </w:r>
            <w:r>
              <w:rPr>
                <w:rFonts w:hint="eastAsia" w:ascii="Times New Roman" w:hAnsi="Times New Roman"/>
                <w:color w:val="auto"/>
                <w:sz w:val="24"/>
              </w:rPr>
              <w:t>可知项目区以及乐在村声环境质量状况良好，能够满足《声环境质量标准》（GB3096-2008）中二级标准限值。</w:t>
            </w:r>
          </w:p>
          <w:p>
            <w:pPr>
              <w:spacing w:line="360" w:lineRule="auto"/>
              <w:rPr>
                <w:rFonts w:ascii="Times New Roman" w:hAnsi="Times New Roman"/>
                <w:b/>
                <w:bCs/>
                <w:color w:val="auto"/>
                <w:sz w:val="24"/>
              </w:rPr>
            </w:pPr>
            <w:r>
              <w:rPr>
                <w:rFonts w:ascii="Times New Roman" w:hAnsi="Times New Roman"/>
                <w:b/>
                <w:bCs/>
                <w:color w:val="auto"/>
                <w:sz w:val="24"/>
              </w:rPr>
              <w:t>4、生态环境</w:t>
            </w:r>
          </w:p>
          <w:p>
            <w:pPr>
              <w:spacing w:line="360" w:lineRule="auto"/>
              <w:ind w:firstLine="480" w:firstLineChars="200"/>
              <w:rPr>
                <w:bCs/>
                <w:color w:val="auto"/>
                <w:sz w:val="24"/>
              </w:rPr>
            </w:pPr>
            <w:r>
              <w:rPr>
                <w:rFonts w:hint="eastAsia"/>
                <w:color w:val="auto"/>
                <w:sz w:val="24"/>
              </w:rPr>
              <w:t>昆倘高速公路附属项目位于富明县东村镇西村村</w:t>
            </w:r>
            <w:r>
              <w:rPr>
                <w:rFonts w:hint="eastAsia"/>
                <w:color w:val="auto"/>
                <w:sz w:val="24"/>
                <w:szCs w:val="28"/>
              </w:rPr>
              <w:t>，项目区背对山坡</w:t>
            </w:r>
            <w:r>
              <w:rPr>
                <w:color w:val="auto"/>
                <w:sz w:val="24"/>
                <w:szCs w:val="28"/>
              </w:rPr>
              <w:t>。</w:t>
            </w:r>
            <w:r>
              <w:rPr>
                <w:color w:val="auto"/>
                <w:sz w:val="24"/>
              </w:rPr>
              <w:t>目前项目处于人类开发活动范围内。项目区</w:t>
            </w:r>
            <w:r>
              <w:rPr>
                <w:bCs/>
                <w:color w:val="auto"/>
                <w:sz w:val="24"/>
              </w:rPr>
              <w:t>生物多样性一般，生态环境较单一，自身生态调控调节能力较低，其生态环境以人为控制为主，生态环境一般。</w:t>
            </w:r>
            <w:r>
              <w:rPr>
                <w:color w:val="auto"/>
                <w:kern w:val="0"/>
                <w:sz w:val="24"/>
              </w:rPr>
              <w:t>项目周围</w:t>
            </w:r>
            <w:r>
              <w:rPr>
                <w:bCs/>
                <w:color w:val="auto"/>
                <w:sz w:val="24"/>
              </w:rPr>
              <w:t>无自然保护区分布，</w:t>
            </w:r>
            <w:r>
              <w:rPr>
                <w:rFonts w:hint="eastAsia"/>
                <w:bCs/>
                <w:color w:val="auto"/>
                <w:sz w:val="24"/>
                <w:lang w:eastAsia="zh-CN"/>
              </w:rPr>
              <w:t>未发现有</w:t>
            </w:r>
            <w:r>
              <w:rPr>
                <w:bCs/>
                <w:color w:val="auto"/>
                <w:sz w:val="24"/>
              </w:rPr>
              <w:t>珍稀、濒危或需要特殊保护的动植物存在。</w:t>
            </w:r>
          </w:p>
          <w:p>
            <w:pPr>
              <w:tabs>
                <w:tab w:val="left" w:pos="2395"/>
              </w:tabs>
              <w:adjustRightInd w:val="0"/>
              <w:snapToGrid w:val="0"/>
              <w:spacing w:line="360" w:lineRule="auto"/>
              <w:jc w:val="left"/>
              <w:rPr>
                <w:rFonts w:ascii="Times New Roman" w:hAnsi="Times New Roman"/>
                <w:b/>
                <w:bCs/>
                <w:color w:val="auto"/>
                <w:spacing w:val="2"/>
                <w:kern w:val="0"/>
                <w:sz w:val="28"/>
                <w:szCs w:val="28"/>
              </w:rPr>
            </w:pPr>
            <w:r>
              <w:rPr>
                <w:rFonts w:ascii="Times New Roman" w:hAnsi="Times New Roman"/>
                <w:b/>
                <w:bCs/>
                <w:color w:val="auto"/>
                <w:spacing w:val="2"/>
                <w:kern w:val="0"/>
                <w:sz w:val="28"/>
                <w:szCs w:val="28"/>
              </w:rPr>
              <w:t>主要环境保护目标(列出名单及保护级别)：</w:t>
            </w:r>
          </w:p>
          <w:p>
            <w:pPr>
              <w:adjustRightInd w:val="0"/>
              <w:snapToGrid w:val="0"/>
              <w:spacing w:beforeLines="25" w:line="360" w:lineRule="auto"/>
              <w:ind w:firstLine="482" w:firstLineChars="200"/>
              <w:rPr>
                <w:rFonts w:ascii="Times New Roman" w:hAnsi="Times New Roman"/>
                <w:b/>
                <w:color w:val="auto"/>
                <w:sz w:val="24"/>
              </w:rPr>
            </w:pPr>
            <w:r>
              <w:rPr>
                <w:rFonts w:ascii="Times New Roman" w:hAnsi="Times New Roman"/>
                <w:b/>
                <w:color w:val="auto"/>
                <w:sz w:val="24"/>
              </w:rPr>
              <w:t>（1）大气环境</w:t>
            </w:r>
          </w:p>
          <w:p>
            <w:pPr>
              <w:spacing w:line="360" w:lineRule="auto"/>
              <w:ind w:firstLine="480" w:firstLineChars="200"/>
              <w:rPr>
                <w:bCs/>
                <w:color w:val="auto"/>
                <w:sz w:val="24"/>
                <w:szCs w:val="24"/>
              </w:rPr>
            </w:pPr>
            <w:r>
              <w:rPr>
                <w:rFonts w:hint="eastAsia"/>
                <w:bCs/>
                <w:color w:val="auto"/>
                <w:sz w:val="24"/>
                <w:szCs w:val="24"/>
              </w:rPr>
              <w:t>项目区内附近2500米范围内有村庄5个，执行《环境空气质量标准》（GB3095-2012）二级标准，具体位置详见大气环境目标保护一览表表3-</w:t>
            </w:r>
            <w:r>
              <w:rPr>
                <w:rFonts w:hint="eastAsia"/>
                <w:bCs/>
                <w:color w:val="auto"/>
                <w:sz w:val="24"/>
                <w:szCs w:val="24"/>
                <w:lang w:val="en-US" w:eastAsia="zh-CN"/>
              </w:rPr>
              <w:t>4</w:t>
            </w:r>
            <w:r>
              <w:rPr>
                <w:rFonts w:hint="eastAsia"/>
                <w:bCs/>
                <w:color w:val="auto"/>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b/>
                <w:color w:val="auto"/>
                <w:sz w:val="24"/>
                <w:szCs w:val="24"/>
              </w:rPr>
            </w:pPr>
            <w:r>
              <w:rPr>
                <w:rFonts w:hint="eastAsia"/>
                <w:b/>
                <w:color w:val="auto"/>
                <w:sz w:val="24"/>
                <w:szCs w:val="24"/>
              </w:rPr>
              <w:t>图3-</w:t>
            </w:r>
            <w:r>
              <w:rPr>
                <w:rFonts w:hint="eastAsia"/>
                <w:b/>
                <w:color w:val="auto"/>
                <w:sz w:val="24"/>
                <w:szCs w:val="24"/>
                <w:lang w:val="en-US" w:eastAsia="zh-CN"/>
              </w:rPr>
              <w:t>4</w:t>
            </w:r>
            <w:r>
              <w:rPr>
                <w:rFonts w:hint="eastAsia"/>
                <w:b/>
                <w:color w:val="auto"/>
                <w:sz w:val="24"/>
                <w:szCs w:val="24"/>
              </w:rPr>
              <w:t>大气环境目标保护一览表</w:t>
            </w:r>
          </w:p>
          <w:tbl>
            <w:tblPr>
              <w:tblStyle w:val="44"/>
              <w:tblW w:w="82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945"/>
              <w:gridCol w:w="1065"/>
              <w:gridCol w:w="945"/>
              <w:gridCol w:w="780"/>
              <w:gridCol w:w="990"/>
              <w:gridCol w:w="111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91" w:type="dxa"/>
                  <w:vMerge w:val="restart"/>
                  <w:vAlign w:val="center"/>
                </w:tcPr>
                <w:p>
                  <w:pPr>
                    <w:jc w:val="center"/>
                    <w:rPr>
                      <w:rFonts w:ascii="宋体" w:hAnsi="宋体" w:cs="宋体"/>
                      <w:bCs/>
                      <w:color w:val="auto"/>
                      <w:szCs w:val="21"/>
                    </w:rPr>
                  </w:pPr>
                  <w:r>
                    <w:rPr>
                      <w:rFonts w:hint="eastAsia" w:ascii="宋体" w:hAnsi="宋体" w:cs="宋体"/>
                      <w:bCs/>
                      <w:color w:val="auto"/>
                      <w:szCs w:val="21"/>
                    </w:rPr>
                    <w:t>名称</w:t>
                  </w:r>
                </w:p>
              </w:tc>
              <w:tc>
                <w:tcPr>
                  <w:tcW w:w="2010" w:type="dxa"/>
                  <w:gridSpan w:val="2"/>
                  <w:vAlign w:val="center"/>
                </w:tcPr>
                <w:p>
                  <w:pPr>
                    <w:jc w:val="center"/>
                    <w:rPr>
                      <w:rFonts w:ascii="宋体" w:hAnsi="宋体" w:cs="宋体"/>
                      <w:bCs/>
                      <w:color w:val="auto"/>
                      <w:szCs w:val="21"/>
                    </w:rPr>
                  </w:pPr>
                  <w:r>
                    <w:rPr>
                      <w:rFonts w:hint="eastAsia" w:ascii="宋体" w:hAnsi="宋体" w:cs="宋体"/>
                      <w:bCs/>
                      <w:color w:val="auto"/>
                      <w:szCs w:val="21"/>
                    </w:rPr>
                    <w:t>坐标</w:t>
                  </w:r>
                </w:p>
              </w:tc>
              <w:tc>
                <w:tcPr>
                  <w:tcW w:w="945" w:type="dxa"/>
                  <w:vMerge w:val="restart"/>
                  <w:vAlign w:val="center"/>
                </w:tcPr>
                <w:p>
                  <w:pPr>
                    <w:jc w:val="center"/>
                    <w:rPr>
                      <w:b/>
                      <w:color w:val="auto"/>
                      <w:sz w:val="28"/>
                    </w:rPr>
                  </w:pPr>
                  <w:r>
                    <w:rPr>
                      <w:rFonts w:hint="eastAsia"/>
                      <w:bCs/>
                      <w:color w:val="auto"/>
                      <w:szCs w:val="21"/>
                    </w:rPr>
                    <w:t>保护对象</w:t>
                  </w:r>
                </w:p>
              </w:tc>
              <w:tc>
                <w:tcPr>
                  <w:tcW w:w="780" w:type="dxa"/>
                  <w:vMerge w:val="restart"/>
                  <w:vAlign w:val="center"/>
                </w:tcPr>
                <w:p>
                  <w:pPr>
                    <w:jc w:val="center"/>
                    <w:rPr>
                      <w:b/>
                      <w:color w:val="auto"/>
                      <w:szCs w:val="21"/>
                    </w:rPr>
                  </w:pPr>
                  <w:r>
                    <w:rPr>
                      <w:rFonts w:hint="eastAsia"/>
                      <w:bCs/>
                      <w:color w:val="auto"/>
                      <w:szCs w:val="21"/>
                    </w:rPr>
                    <w:t>保护内容</w:t>
                  </w:r>
                </w:p>
              </w:tc>
              <w:tc>
                <w:tcPr>
                  <w:tcW w:w="990" w:type="dxa"/>
                  <w:vMerge w:val="restart"/>
                  <w:vAlign w:val="center"/>
                </w:tcPr>
                <w:p>
                  <w:pPr>
                    <w:jc w:val="center"/>
                    <w:rPr>
                      <w:b/>
                      <w:color w:val="auto"/>
                      <w:sz w:val="28"/>
                    </w:rPr>
                  </w:pPr>
                  <w:r>
                    <w:rPr>
                      <w:rFonts w:hint="eastAsia"/>
                      <w:bCs/>
                      <w:color w:val="auto"/>
                      <w:szCs w:val="21"/>
                    </w:rPr>
                    <w:t>环境功能区</w:t>
                  </w:r>
                </w:p>
              </w:tc>
              <w:tc>
                <w:tcPr>
                  <w:tcW w:w="1112" w:type="dxa"/>
                  <w:vMerge w:val="restart"/>
                  <w:vAlign w:val="center"/>
                </w:tcPr>
                <w:p>
                  <w:pPr>
                    <w:jc w:val="center"/>
                    <w:rPr>
                      <w:b/>
                      <w:color w:val="auto"/>
                      <w:sz w:val="28"/>
                    </w:rPr>
                  </w:pPr>
                  <w:r>
                    <w:rPr>
                      <w:rFonts w:hint="eastAsia"/>
                      <w:bCs/>
                      <w:color w:val="auto"/>
                      <w:szCs w:val="21"/>
                    </w:rPr>
                    <w:t>相对方位</w:t>
                  </w:r>
                </w:p>
              </w:tc>
              <w:tc>
                <w:tcPr>
                  <w:tcW w:w="1134" w:type="dxa"/>
                  <w:vMerge w:val="restart"/>
                  <w:vAlign w:val="center"/>
                </w:tcPr>
                <w:p>
                  <w:pPr>
                    <w:jc w:val="center"/>
                    <w:rPr>
                      <w:b/>
                      <w:color w:val="auto"/>
                      <w:sz w:val="28"/>
                    </w:rPr>
                  </w:pPr>
                  <w:r>
                    <w:rPr>
                      <w:rFonts w:hint="eastAsia"/>
                      <w:bCs/>
                      <w:color w:val="auto"/>
                      <w:szCs w:val="21"/>
                    </w:rPr>
                    <w:t>相对距离/m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91" w:type="dxa"/>
                  <w:vMerge w:val="continue"/>
                  <w:vAlign w:val="center"/>
                </w:tcPr>
                <w:p>
                  <w:pPr>
                    <w:jc w:val="center"/>
                    <w:rPr>
                      <w:rFonts w:ascii="宋体" w:hAnsi="宋体" w:cs="宋体"/>
                      <w:bCs/>
                      <w:color w:val="auto"/>
                      <w:szCs w:val="21"/>
                    </w:rPr>
                  </w:pPr>
                </w:p>
              </w:tc>
              <w:tc>
                <w:tcPr>
                  <w:tcW w:w="945" w:type="dxa"/>
                  <w:vAlign w:val="center"/>
                </w:tcPr>
                <w:p>
                  <w:pPr>
                    <w:jc w:val="center"/>
                    <w:rPr>
                      <w:rFonts w:ascii="宋体" w:hAnsi="宋体" w:cs="宋体"/>
                      <w:bCs/>
                      <w:color w:val="auto"/>
                      <w:szCs w:val="21"/>
                    </w:rPr>
                  </w:pPr>
                  <w:r>
                    <w:rPr>
                      <w:rFonts w:hint="eastAsia" w:ascii="宋体" w:hAnsi="宋体" w:cs="宋体"/>
                      <w:bCs/>
                      <w:color w:val="auto"/>
                      <w:szCs w:val="21"/>
                    </w:rPr>
                    <w:t>x</w:t>
                  </w:r>
                </w:p>
              </w:tc>
              <w:tc>
                <w:tcPr>
                  <w:tcW w:w="1065" w:type="dxa"/>
                  <w:vAlign w:val="center"/>
                </w:tcPr>
                <w:p>
                  <w:pPr>
                    <w:jc w:val="center"/>
                    <w:rPr>
                      <w:rFonts w:ascii="宋体" w:hAnsi="宋体" w:cs="宋体"/>
                      <w:bCs/>
                      <w:color w:val="auto"/>
                      <w:szCs w:val="21"/>
                    </w:rPr>
                  </w:pPr>
                  <w:r>
                    <w:rPr>
                      <w:rFonts w:hint="eastAsia" w:ascii="宋体" w:hAnsi="宋体" w:cs="宋体"/>
                      <w:bCs/>
                      <w:color w:val="auto"/>
                      <w:szCs w:val="21"/>
                    </w:rPr>
                    <w:t>y</w:t>
                  </w:r>
                </w:p>
              </w:tc>
              <w:tc>
                <w:tcPr>
                  <w:tcW w:w="945" w:type="dxa"/>
                  <w:vMerge w:val="continue"/>
                  <w:vAlign w:val="center"/>
                </w:tcPr>
                <w:p>
                  <w:pPr>
                    <w:jc w:val="center"/>
                    <w:rPr>
                      <w:b/>
                      <w:color w:val="auto"/>
                      <w:sz w:val="28"/>
                    </w:rPr>
                  </w:pPr>
                </w:p>
              </w:tc>
              <w:tc>
                <w:tcPr>
                  <w:tcW w:w="780" w:type="dxa"/>
                  <w:vMerge w:val="continue"/>
                  <w:vAlign w:val="center"/>
                </w:tcPr>
                <w:p>
                  <w:pPr>
                    <w:jc w:val="center"/>
                    <w:rPr>
                      <w:b/>
                      <w:color w:val="auto"/>
                      <w:sz w:val="28"/>
                    </w:rPr>
                  </w:pPr>
                </w:p>
              </w:tc>
              <w:tc>
                <w:tcPr>
                  <w:tcW w:w="990" w:type="dxa"/>
                  <w:vMerge w:val="continue"/>
                  <w:vAlign w:val="center"/>
                </w:tcPr>
                <w:p>
                  <w:pPr>
                    <w:jc w:val="center"/>
                    <w:rPr>
                      <w:b/>
                      <w:color w:val="auto"/>
                      <w:sz w:val="28"/>
                    </w:rPr>
                  </w:pPr>
                </w:p>
              </w:tc>
              <w:tc>
                <w:tcPr>
                  <w:tcW w:w="1112" w:type="dxa"/>
                  <w:vMerge w:val="continue"/>
                  <w:vAlign w:val="center"/>
                </w:tcPr>
                <w:p>
                  <w:pPr>
                    <w:jc w:val="center"/>
                    <w:rPr>
                      <w:b/>
                      <w:color w:val="auto"/>
                      <w:sz w:val="28"/>
                    </w:rPr>
                  </w:pPr>
                </w:p>
              </w:tc>
              <w:tc>
                <w:tcPr>
                  <w:tcW w:w="1134" w:type="dxa"/>
                  <w:vMerge w:val="continue"/>
                  <w:vAlign w:val="center"/>
                </w:tcPr>
                <w:p>
                  <w:pPr>
                    <w:jc w:val="center"/>
                    <w:rPr>
                      <w:b/>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291" w:type="dxa"/>
                  <w:vAlign w:val="center"/>
                </w:tcPr>
                <w:p>
                  <w:pPr>
                    <w:jc w:val="center"/>
                    <w:rPr>
                      <w:b/>
                      <w:color w:val="auto"/>
                      <w:sz w:val="28"/>
                    </w:rPr>
                  </w:pPr>
                  <w:r>
                    <w:rPr>
                      <w:rFonts w:hint="eastAsia" w:ascii="Times New Roman" w:hAnsi="Times New Roman"/>
                      <w:color w:val="auto"/>
                      <w:szCs w:val="21"/>
                    </w:rPr>
                    <w:t>乐在村</w:t>
                  </w:r>
                </w:p>
              </w:tc>
              <w:tc>
                <w:tcPr>
                  <w:tcW w:w="945" w:type="dxa"/>
                  <w:vAlign w:val="center"/>
                </w:tcPr>
                <w:p>
                  <w:pPr>
                    <w:widowControl/>
                    <w:jc w:val="center"/>
                    <w:textAlignment w:val="top"/>
                    <w:rPr>
                      <w:b/>
                      <w:color w:val="auto"/>
                      <w:szCs w:val="21"/>
                    </w:rPr>
                  </w:pPr>
                  <w:r>
                    <w:rPr>
                      <w:rFonts w:hint="eastAsia" w:ascii="Times New Roman" w:hAnsi="Times New Roman"/>
                      <w:color w:val="auto"/>
                      <w:kern w:val="0"/>
                      <w:szCs w:val="21"/>
                    </w:rPr>
                    <w:t>25.3147</w:t>
                  </w:r>
                </w:p>
              </w:tc>
              <w:tc>
                <w:tcPr>
                  <w:tcW w:w="1065" w:type="dxa"/>
                  <w:vAlign w:val="center"/>
                </w:tcPr>
                <w:p>
                  <w:pPr>
                    <w:widowControl/>
                    <w:jc w:val="center"/>
                    <w:textAlignment w:val="top"/>
                    <w:rPr>
                      <w:b/>
                      <w:color w:val="auto"/>
                      <w:szCs w:val="21"/>
                    </w:rPr>
                  </w:pPr>
                  <w:r>
                    <w:rPr>
                      <w:rFonts w:hint="eastAsia" w:ascii="Times New Roman" w:hAnsi="Times New Roman"/>
                      <w:color w:val="auto"/>
                      <w:kern w:val="0"/>
                      <w:szCs w:val="21"/>
                    </w:rPr>
                    <w:t>102.4006</w:t>
                  </w:r>
                </w:p>
              </w:tc>
              <w:tc>
                <w:tcPr>
                  <w:tcW w:w="945" w:type="dxa"/>
                  <w:vAlign w:val="center"/>
                </w:tcPr>
                <w:p>
                  <w:pPr>
                    <w:jc w:val="center"/>
                    <w:rPr>
                      <w:b/>
                      <w:color w:val="auto"/>
                      <w:sz w:val="28"/>
                    </w:rPr>
                  </w:pPr>
                  <w:r>
                    <w:rPr>
                      <w:rFonts w:hint="eastAsia"/>
                      <w:bCs/>
                      <w:color w:val="auto"/>
                      <w:szCs w:val="21"/>
                    </w:rPr>
                    <w:t>居民点</w:t>
                  </w:r>
                </w:p>
              </w:tc>
              <w:tc>
                <w:tcPr>
                  <w:tcW w:w="780" w:type="dxa"/>
                  <w:vAlign w:val="center"/>
                </w:tcPr>
                <w:p>
                  <w:pPr>
                    <w:jc w:val="center"/>
                    <w:rPr>
                      <w:b/>
                      <w:color w:val="auto"/>
                      <w:sz w:val="28"/>
                    </w:rPr>
                  </w:pPr>
                  <w:r>
                    <w:rPr>
                      <w:rFonts w:hint="eastAsia"/>
                      <w:bCs/>
                      <w:color w:val="auto"/>
                      <w:szCs w:val="21"/>
                    </w:rPr>
                    <w:t>人群</w:t>
                  </w:r>
                </w:p>
              </w:tc>
              <w:tc>
                <w:tcPr>
                  <w:tcW w:w="990" w:type="dxa"/>
                  <w:vAlign w:val="center"/>
                </w:tcPr>
                <w:p>
                  <w:pPr>
                    <w:jc w:val="center"/>
                    <w:rPr>
                      <w:b/>
                      <w:color w:val="auto"/>
                      <w:sz w:val="28"/>
                    </w:rPr>
                  </w:pPr>
                  <w:r>
                    <w:rPr>
                      <w:rFonts w:hint="eastAsia"/>
                      <w:bCs/>
                      <w:color w:val="auto"/>
                      <w:szCs w:val="21"/>
                    </w:rPr>
                    <w:t>二类区</w:t>
                  </w:r>
                </w:p>
              </w:tc>
              <w:tc>
                <w:tcPr>
                  <w:tcW w:w="1112" w:type="dxa"/>
                  <w:vAlign w:val="center"/>
                </w:tcPr>
                <w:p>
                  <w:pPr>
                    <w:jc w:val="center"/>
                    <w:rPr>
                      <w:b/>
                      <w:color w:val="auto"/>
                      <w:sz w:val="28"/>
                    </w:rPr>
                  </w:pPr>
                  <w:r>
                    <w:rPr>
                      <w:rFonts w:hint="eastAsia" w:ascii="Times New Roman" w:hAnsi="Times New Roman"/>
                      <w:bCs/>
                      <w:color w:val="auto"/>
                      <w:szCs w:val="21"/>
                    </w:rPr>
                    <w:t>东南</w:t>
                  </w:r>
                </w:p>
              </w:tc>
              <w:tc>
                <w:tcPr>
                  <w:tcW w:w="1134" w:type="dxa"/>
                  <w:vAlign w:val="center"/>
                </w:tcPr>
                <w:p>
                  <w:pPr>
                    <w:jc w:val="center"/>
                    <w:rPr>
                      <w:b/>
                      <w:color w:val="auto"/>
                      <w:sz w:val="28"/>
                    </w:rPr>
                  </w:pPr>
                  <w:r>
                    <w:rPr>
                      <w:rFonts w:hint="eastAsia" w:ascii="Times New Roman" w:hAnsi="Times New Roman"/>
                      <w:color w:val="auto"/>
                      <w:szCs w:val="21"/>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91" w:type="dxa"/>
                  <w:vAlign w:val="center"/>
                </w:tcPr>
                <w:p>
                  <w:pPr>
                    <w:jc w:val="center"/>
                    <w:rPr>
                      <w:b/>
                      <w:color w:val="auto"/>
                      <w:sz w:val="28"/>
                    </w:rPr>
                  </w:pPr>
                  <w:r>
                    <w:rPr>
                      <w:rFonts w:hint="eastAsia" w:ascii="Times New Roman" w:hAnsi="Times New Roman"/>
                      <w:color w:val="auto"/>
                      <w:szCs w:val="21"/>
                    </w:rPr>
                    <w:t>老街</w:t>
                  </w:r>
                </w:p>
              </w:tc>
              <w:tc>
                <w:tcPr>
                  <w:tcW w:w="945" w:type="dxa"/>
                  <w:vAlign w:val="center"/>
                </w:tcPr>
                <w:p>
                  <w:pPr>
                    <w:widowControl/>
                    <w:jc w:val="center"/>
                    <w:textAlignment w:val="top"/>
                    <w:rPr>
                      <w:b/>
                      <w:color w:val="auto"/>
                      <w:szCs w:val="21"/>
                    </w:rPr>
                  </w:pPr>
                  <w:r>
                    <w:rPr>
                      <w:rFonts w:hint="eastAsia" w:ascii="Times New Roman" w:hAnsi="Times New Roman"/>
                      <w:color w:val="auto"/>
                      <w:kern w:val="0"/>
                      <w:szCs w:val="21"/>
                    </w:rPr>
                    <w:t>25.3103</w:t>
                  </w:r>
                </w:p>
              </w:tc>
              <w:tc>
                <w:tcPr>
                  <w:tcW w:w="1065" w:type="dxa"/>
                  <w:vAlign w:val="center"/>
                </w:tcPr>
                <w:p>
                  <w:pPr>
                    <w:widowControl/>
                    <w:jc w:val="center"/>
                    <w:textAlignment w:val="top"/>
                    <w:rPr>
                      <w:b/>
                      <w:color w:val="auto"/>
                      <w:szCs w:val="21"/>
                    </w:rPr>
                  </w:pPr>
                  <w:r>
                    <w:rPr>
                      <w:rFonts w:hint="eastAsia" w:ascii="Times New Roman" w:hAnsi="Times New Roman"/>
                      <w:color w:val="auto"/>
                      <w:kern w:val="0"/>
                      <w:szCs w:val="21"/>
                    </w:rPr>
                    <w:t>102.4026</w:t>
                  </w:r>
                </w:p>
              </w:tc>
              <w:tc>
                <w:tcPr>
                  <w:tcW w:w="945" w:type="dxa"/>
                  <w:vAlign w:val="center"/>
                </w:tcPr>
                <w:p>
                  <w:pPr>
                    <w:jc w:val="center"/>
                    <w:rPr>
                      <w:b/>
                      <w:color w:val="auto"/>
                      <w:sz w:val="28"/>
                    </w:rPr>
                  </w:pPr>
                  <w:r>
                    <w:rPr>
                      <w:rFonts w:hint="eastAsia"/>
                      <w:bCs/>
                      <w:color w:val="auto"/>
                      <w:szCs w:val="21"/>
                    </w:rPr>
                    <w:t>居民点</w:t>
                  </w:r>
                </w:p>
              </w:tc>
              <w:tc>
                <w:tcPr>
                  <w:tcW w:w="780" w:type="dxa"/>
                  <w:vAlign w:val="center"/>
                </w:tcPr>
                <w:p>
                  <w:pPr>
                    <w:jc w:val="center"/>
                    <w:rPr>
                      <w:b/>
                      <w:color w:val="auto"/>
                      <w:sz w:val="28"/>
                    </w:rPr>
                  </w:pPr>
                  <w:r>
                    <w:rPr>
                      <w:rFonts w:hint="eastAsia"/>
                      <w:bCs/>
                      <w:color w:val="auto"/>
                      <w:szCs w:val="21"/>
                    </w:rPr>
                    <w:t>人群</w:t>
                  </w:r>
                </w:p>
              </w:tc>
              <w:tc>
                <w:tcPr>
                  <w:tcW w:w="990" w:type="dxa"/>
                  <w:vAlign w:val="center"/>
                </w:tcPr>
                <w:p>
                  <w:pPr>
                    <w:jc w:val="center"/>
                    <w:rPr>
                      <w:b/>
                      <w:color w:val="auto"/>
                      <w:sz w:val="28"/>
                    </w:rPr>
                  </w:pPr>
                  <w:r>
                    <w:rPr>
                      <w:rFonts w:hint="eastAsia"/>
                      <w:bCs/>
                      <w:color w:val="auto"/>
                      <w:szCs w:val="21"/>
                    </w:rPr>
                    <w:t>二类区</w:t>
                  </w:r>
                </w:p>
              </w:tc>
              <w:tc>
                <w:tcPr>
                  <w:tcW w:w="1112" w:type="dxa"/>
                  <w:vAlign w:val="center"/>
                </w:tcPr>
                <w:p>
                  <w:pPr>
                    <w:jc w:val="center"/>
                    <w:rPr>
                      <w:b/>
                      <w:color w:val="auto"/>
                      <w:sz w:val="28"/>
                    </w:rPr>
                  </w:pPr>
                  <w:r>
                    <w:rPr>
                      <w:rFonts w:hint="eastAsia" w:ascii="Times New Roman" w:hAnsi="Times New Roman"/>
                      <w:bCs/>
                      <w:color w:val="auto"/>
                      <w:szCs w:val="21"/>
                    </w:rPr>
                    <w:t>东南</w:t>
                  </w:r>
                </w:p>
              </w:tc>
              <w:tc>
                <w:tcPr>
                  <w:tcW w:w="1134" w:type="dxa"/>
                  <w:vAlign w:val="center"/>
                </w:tcPr>
                <w:p>
                  <w:pPr>
                    <w:jc w:val="center"/>
                    <w:rPr>
                      <w:b/>
                      <w:color w:val="auto"/>
                      <w:sz w:val="28"/>
                    </w:rPr>
                  </w:pPr>
                  <w:r>
                    <w:rPr>
                      <w:rFonts w:hint="eastAsia" w:ascii="Times New Roman" w:hAnsi="Times New Roman"/>
                      <w:color w:val="auto"/>
                      <w:szCs w:val="21"/>
                    </w:rPr>
                    <w:t>1910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91" w:type="dxa"/>
                  <w:vAlign w:val="center"/>
                </w:tcPr>
                <w:p>
                  <w:pPr>
                    <w:jc w:val="center"/>
                    <w:rPr>
                      <w:b/>
                      <w:color w:val="auto"/>
                      <w:sz w:val="28"/>
                    </w:rPr>
                  </w:pPr>
                  <w:r>
                    <w:rPr>
                      <w:rFonts w:hint="eastAsia" w:ascii="Times New Roman" w:hAnsi="Times New Roman"/>
                      <w:color w:val="auto"/>
                      <w:szCs w:val="21"/>
                    </w:rPr>
                    <w:t>平田</w:t>
                  </w:r>
                </w:p>
              </w:tc>
              <w:tc>
                <w:tcPr>
                  <w:tcW w:w="945" w:type="dxa"/>
                  <w:vAlign w:val="center"/>
                </w:tcPr>
                <w:p>
                  <w:pPr>
                    <w:widowControl/>
                    <w:jc w:val="center"/>
                    <w:textAlignment w:val="top"/>
                    <w:rPr>
                      <w:b/>
                      <w:color w:val="auto"/>
                      <w:szCs w:val="21"/>
                    </w:rPr>
                  </w:pPr>
                  <w:r>
                    <w:rPr>
                      <w:rFonts w:hint="eastAsia" w:ascii="Times New Roman" w:hAnsi="Times New Roman"/>
                      <w:color w:val="auto"/>
                      <w:kern w:val="0"/>
                      <w:szCs w:val="21"/>
                    </w:rPr>
                    <w:t>25.3250</w:t>
                  </w:r>
                </w:p>
              </w:tc>
              <w:tc>
                <w:tcPr>
                  <w:tcW w:w="1065" w:type="dxa"/>
                  <w:vAlign w:val="center"/>
                </w:tcPr>
                <w:p>
                  <w:pPr>
                    <w:widowControl/>
                    <w:jc w:val="center"/>
                    <w:textAlignment w:val="top"/>
                    <w:rPr>
                      <w:b/>
                      <w:color w:val="auto"/>
                      <w:szCs w:val="21"/>
                    </w:rPr>
                  </w:pPr>
                  <w:r>
                    <w:rPr>
                      <w:rFonts w:hint="eastAsia" w:ascii="Times New Roman" w:hAnsi="Times New Roman"/>
                      <w:color w:val="auto"/>
                      <w:kern w:val="0"/>
                      <w:szCs w:val="21"/>
                    </w:rPr>
                    <w:t>102.4051</w:t>
                  </w:r>
                </w:p>
              </w:tc>
              <w:tc>
                <w:tcPr>
                  <w:tcW w:w="945" w:type="dxa"/>
                  <w:vAlign w:val="center"/>
                </w:tcPr>
                <w:p>
                  <w:pPr>
                    <w:jc w:val="center"/>
                    <w:rPr>
                      <w:b/>
                      <w:color w:val="auto"/>
                      <w:sz w:val="28"/>
                    </w:rPr>
                  </w:pPr>
                  <w:r>
                    <w:rPr>
                      <w:rFonts w:hint="eastAsia"/>
                      <w:bCs/>
                      <w:color w:val="auto"/>
                      <w:szCs w:val="21"/>
                    </w:rPr>
                    <w:t>居民点</w:t>
                  </w:r>
                </w:p>
              </w:tc>
              <w:tc>
                <w:tcPr>
                  <w:tcW w:w="780" w:type="dxa"/>
                  <w:vAlign w:val="center"/>
                </w:tcPr>
                <w:p>
                  <w:pPr>
                    <w:jc w:val="center"/>
                    <w:rPr>
                      <w:b/>
                      <w:color w:val="auto"/>
                      <w:sz w:val="28"/>
                    </w:rPr>
                  </w:pPr>
                  <w:r>
                    <w:rPr>
                      <w:rFonts w:hint="eastAsia"/>
                      <w:bCs/>
                      <w:color w:val="auto"/>
                      <w:szCs w:val="21"/>
                    </w:rPr>
                    <w:t>人群</w:t>
                  </w:r>
                </w:p>
              </w:tc>
              <w:tc>
                <w:tcPr>
                  <w:tcW w:w="990" w:type="dxa"/>
                  <w:vAlign w:val="center"/>
                </w:tcPr>
                <w:p>
                  <w:pPr>
                    <w:jc w:val="center"/>
                    <w:rPr>
                      <w:b/>
                      <w:color w:val="auto"/>
                      <w:sz w:val="28"/>
                    </w:rPr>
                  </w:pPr>
                  <w:r>
                    <w:rPr>
                      <w:rFonts w:hint="eastAsia"/>
                      <w:bCs/>
                      <w:color w:val="auto"/>
                      <w:szCs w:val="21"/>
                    </w:rPr>
                    <w:t>二类区</w:t>
                  </w:r>
                </w:p>
              </w:tc>
              <w:tc>
                <w:tcPr>
                  <w:tcW w:w="1112" w:type="dxa"/>
                  <w:vAlign w:val="center"/>
                </w:tcPr>
                <w:p>
                  <w:pPr>
                    <w:jc w:val="center"/>
                    <w:rPr>
                      <w:b/>
                      <w:color w:val="auto"/>
                      <w:sz w:val="28"/>
                    </w:rPr>
                  </w:pPr>
                  <w:r>
                    <w:rPr>
                      <w:rFonts w:hint="eastAsia" w:ascii="Times New Roman" w:hAnsi="Times New Roman"/>
                      <w:bCs/>
                      <w:color w:val="auto"/>
                      <w:szCs w:val="21"/>
                    </w:rPr>
                    <w:t>东北</w:t>
                  </w:r>
                </w:p>
              </w:tc>
              <w:tc>
                <w:tcPr>
                  <w:tcW w:w="1134" w:type="dxa"/>
                  <w:vAlign w:val="center"/>
                </w:tcPr>
                <w:p>
                  <w:pPr>
                    <w:jc w:val="center"/>
                    <w:rPr>
                      <w:b/>
                      <w:color w:val="auto"/>
                      <w:sz w:val="28"/>
                    </w:rPr>
                  </w:pPr>
                  <w:r>
                    <w:rPr>
                      <w:rFonts w:hint="eastAsia" w:ascii="Times New Roman" w:hAnsi="Times New Roman"/>
                      <w:color w:val="auto"/>
                      <w:szCs w:val="21"/>
                    </w:rPr>
                    <w:t>2260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91" w:type="dxa"/>
                  <w:vAlign w:val="center"/>
                </w:tcPr>
                <w:p>
                  <w:pPr>
                    <w:jc w:val="center"/>
                    <w:rPr>
                      <w:b/>
                      <w:color w:val="auto"/>
                      <w:sz w:val="28"/>
                    </w:rPr>
                  </w:pPr>
                  <w:r>
                    <w:rPr>
                      <w:rFonts w:hint="eastAsia" w:ascii="Times New Roman" w:hAnsi="Times New Roman"/>
                      <w:color w:val="auto"/>
                      <w:szCs w:val="21"/>
                    </w:rPr>
                    <w:t>下松园</w:t>
                  </w:r>
                </w:p>
              </w:tc>
              <w:tc>
                <w:tcPr>
                  <w:tcW w:w="945" w:type="dxa"/>
                  <w:vAlign w:val="center"/>
                </w:tcPr>
                <w:p>
                  <w:pPr>
                    <w:widowControl/>
                    <w:jc w:val="center"/>
                    <w:textAlignment w:val="top"/>
                    <w:rPr>
                      <w:b/>
                      <w:color w:val="auto"/>
                      <w:szCs w:val="21"/>
                    </w:rPr>
                  </w:pPr>
                  <w:r>
                    <w:rPr>
                      <w:rFonts w:hint="eastAsia" w:ascii="Times New Roman" w:hAnsi="Times New Roman"/>
                      <w:color w:val="auto"/>
                      <w:kern w:val="0"/>
                      <w:szCs w:val="21"/>
                    </w:rPr>
                    <w:t>25.3229</w:t>
                  </w:r>
                </w:p>
              </w:tc>
              <w:tc>
                <w:tcPr>
                  <w:tcW w:w="1065" w:type="dxa"/>
                  <w:vAlign w:val="center"/>
                </w:tcPr>
                <w:p>
                  <w:pPr>
                    <w:widowControl/>
                    <w:jc w:val="center"/>
                    <w:textAlignment w:val="top"/>
                    <w:rPr>
                      <w:b/>
                      <w:color w:val="auto"/>
                      <w:szCs w:val="21"/>
                    </w:rPr>
                  </w:pPr>
                  <w:r>
                    <w:rPr>
                      <w:rFonts w:hint="eastAsia" w:ascii="Times New Roman" w:hAnsi="Times New Roman"/>
                      <w:color w:val="auto"/>
                      <w:kern w:val="0"/>
                      <w:szCs w:val="21"/>
                    </w:rPr>
                    <w:t>102.4108</w:t>
                  </w:r>
                </w:p>
              </w:tc>
              <w:tc>
                <w:tcPr>
                  <w:tcW w:w="945" w:type="dxa"/>
                  <w:vAlign w:val="center"/>
                </w:tcPr>
                <w:p>
                  <w:pPr>
                    <w:jc w:val="center"/>
                    <w:rPr>
                      <w:b/>
                      <w:color w:val="auto"/>
                      <w:sz w:val="28"/>
                    </w:rPr>
                  </w:pPr>
                  <w:r>
                    <w:rPr>
                      <w:rFonts w:hint="eastAsia"/>
                      <w:bCs/>
                      <w:color w:val="auto"/>
                      <w:szCs w:val="21"/>
                    </w:rPr>
                    <w:t>居民点</w:t>
                  </w:r>
                </w:p>
              </w:tc>
              <w:tc>
                <w:tcPr>
                  <w:tcW w:w="780" w:type="dxa"/>
                  <w:vAlign w:val="center"/>
                </w:tcPr>
                <w:p>
                  <w:pPr>
                    <w:jc w:val="center"/>
                    <w:rPr>
                      <w:b/>
                      <w:color w:val="auto"/>
                      <w:sz w:val="28"/>
                    </w:rPr>
                  </w:pPr>
                  <w:r>
                    <w:rPr>
                      <w:rFonts w:hint="eastAsia"/>
                      <w:bCs/>
                      <w:color w:val="auto"/>
                      <w:szCs w:val="21"/>
                    </w:rPr>
                    <w:t>人群</w:t>
                  </w:r>
                </w:p>
              </w:tc>
              <w:tc>
                <w:tcPr>
                  <w:tcW w:w="990" w:type="dxa"/>
                  <w:vAlign w:val="center"/>
                </w:tcPr>
                <w:p>
                  <w:pPr>
                    <w:jc w:val="center"/>
                    <w:rPr>
                      <w:b/>
                      <w:color w:val="auto"/>
                      <w:sz w:val="28"/>
                    </w:rPr>
                  </w:pPr>
                  <w:r>
                    <w:rPr>
                      <w:rFonts w:hint="eastAsia"/>
                      <w:bCs/>
                      <w:color w:val="auto"/>
                      <w:szCs w:val="21"/>
                    </w:rPr>
                    <w:t>二类区</w:t>
                  </w:r>
                </w:p>
              </w:tc>
              <w:tc>
                <w:tcPr>
                  <w:tcW w:w="1112" w:type="dxa"/>
                  <w:vAlign w:val="center"/>
                </w:tcPr>
                <w:p>
                  <w:pPr>
                    <w:jc w:val="center"/>
                    <w:rPr>
                      <w:b/>
                      <w:color w:val="auto"/>
                      <w:sz w:val="28"/>
                    </w:rPr>
                  </w:pPr>
                  <w:r>
                    <w:rPr>
                      <w:rFonts w:hint="eastAsia" w:ascii="Times New Roman" w:hAnsi="Times New Roman"/>
                      <w:bCs/>
                      <w:color w:val="auto"/>
                      <w:szCs w:val="21"/>
                    </w:rPr>
                    <w:t>东</w:t>
                  </w:r>
                </w:p>
              </w:tc>
              <w:tc>
                <w:tcPr>
                  <w:tcW w:w="1134" w:type="dxa"/>
                  <w:vAlign w:val="center"/>
                </w:tcPr>
                <w:p>
                  <w:pPr>
                    <w:jc w:val="center"/>
                    <w:rPr>
                      <w:bCs/>
                      <w:color w:val="auto"/>
                      <w:szCs w:val="21"/>
                    </w:rPr>
                  </w:pPr>
                  <w:r>
                    <w:rPr>
                      <w:rFonts w:hint="eastAsia"/>
                      <w:bCs/>
                      <w:color w:val="auto"/>
                      <w:szCs w:val="21"/>
                    </w:rPr>
                    <w:t>2360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91" w:type="dxa"/>
                  <w:vAlign w:val="center"/>
                </w:tcPr>
                <w:p>
                  <w:pPr>
                    <w:jc w:val="center"/>
                    <w:rPr>
                      <w:b/>
                      <w:color w:val="auto"/>
                      <w:sz w:val="28"/>
                    </w:rPr>
                  </w:pPr>
                  <w:r>
                    <w:rPr>
                      <w:rFonts w:hint="eastAsia" w:ascii="Times New Roman" w:hAnsi="Times New Roman"/>
                      <w:color w:val="auto"/>
                      <w:szCs w:val="21"/>
                    </w:rPr>
                    <w:t>小蓬祖</w:t>
                  </w:r>
                </w:p>
              </w:tc>
              <w:tc>
                <w:tcPr>
                  <w:tcW w:w="945" w:type="dxa"/>
                  <w:vAlign w:val="center"/>
                </w:tcPr>
                <w:p>
                  <w:pPr>
                    <w:widowControl/>
                    <w:jc w:val="center"/>
                    <w:textAlignment w:val="top"/>
                    <w:rPr>
                      <w:b/>
                      <w:color w:val="auto"/>
                      <w:szCs w:val="21"/>
                    </w:rPr>
                  </w:pPr>
                  <w:r>
                    <w:rPr>
                      <w:rFonts w:hint="eastAsia" w:ascii="Times New Roman" w:hAnsi="Times New Roman"/>
                      <w:color w:val="auto"/>
                      <w:kern w:val="0"/>
                      <w:szCs w:val="21"/>
                    </w:rPr>
                    <w:t>25.3323</w:t>
                  </w:r>
                </w:p>
              </w:tc>
              <w:tc>
                <w:tcPr>
                  <w:tcW w:w="1065" w:type="dxa"/>
                  <w:vAlign w:val="center"/>
                </w:tcPr>
                <w:p>
                  <w:pPr>
                    <w:widowControl/>
                    <w:jc w:val="center"/>
                    <w:textAlignment w:val="top"/>
                    <w:rPr>
                      <w:b/>
                      <w:color w:val="auto"/>
                      <w:szCs w:val="21"/>
                    </w:rPr>
                  </w:pPr>
                  <w:r>
                    <w:rPr>
                      <w:rFonts w:hint="eastAsia" w:ascii="Times New Roman" w:hAnsi="Times New Roman"/>
                      <w:color w:val="auto"/>
                      <w:kern w:val="0"/>
                      <w:szCs w:val="21"/>
                    </w:rPr>
                    <w:t>102.3842</w:t>
                  </w:r>
                </w:p>
              </w:tc>
              <w:tc>
                <w:tcPr>
                  <w:tcW w:w="945" w:type="dxa"/>
                  <w:vAlign w:val="center"/>
                </w:tcPr>
                <w:p>
                  <w:pPr>
                    <w:jc w:val="center"/>
                    <w:rPr>
                      <w:b/>
                      <w:color w:val="auto"/>
                      <w:sz w:val="28"/>
                    </w:rPr>
                  </w:pPr>
                  <w:r>
                    <w:rPr>
                      <w:rFonts w:hint="eastAsia"/>
                      <w:bCs/>
                      <w:color w:val="auto"/>
                      <w:szCs w:val="21"/>
                    </w:rPr>
                    <w:t>居民点</w:t>
                  </w:r>
                </w:p>
              </w:tc>
              <w:tc>
                <w:tcPr>
                  <w:tcW w:w="780" w:type="dxa"/>
                  <w:vAlign w:val="center"/>
                </w:tcPr>
                <w:p>
                  <w:pPr>
                    <w:jc w:val="center"/>
                    <w:rPr>
                      <w:b/>
                      <w:color w:val="auto"/>
                      <w:sz w:val="28"/>
                    </w:rPr>
                  </w:pPr>
                  <w:r>
                    <w:rPr>
                      <w:rFonts w:hint="eastAsia"/>
                      <w:bCs/>
                      <w:color w:val="auto"/>
                      <w:szCs w:val="21"/>
                    </w:rPr>
                    <w:t>人群</w:t>
                  </w:r>
                </w:p>
              </w:tc>
              <w:tc>
                <w:tcPr>
                  <w:tcW w:w="990" w:type="dxa"/>
                  <w:vAlign w:val="center"/>
                </w:tcPr>
                <w:p>
                  <w:pPr>
                    <w:jc w:val="center"/>
                    <w:rPr>
                      <w:b/>
                      <w:color w:val="auto"/>
                      <w:sz w:val="28"/>
                    </w:rPr>
                  </w:pPr>
                  <w:r>
                    <w:rPr>
                      <w:rFonts w:hint="eastAsia"/>
                      <w:bCs/>
                      <w:color w:val="auto"/>
                      <w:szCs w:val="21"/>
                    </w:rPr>
                    <w:t>二类区</w:t>
                  </w:r>
                </w:p>
              </w:tc>
              <w:tc>
                <w:tcPr>
                  <w:tcW w:w="1112" w:type="dxa"/>
                  <w:vAlign w:val="center"/>
                </w:tcPr>
                <w:p>
                  <w:pPr>
                    <w:jc w:val="center"/>
                    <w:rPr>
                      <w:b/>
                      <w:color w:val="auto"/>
                      <w:sz w:val="28"/>
                    </w:rPr>
                  </w:pPr>
                  <w:r>
                    <w:rPr>
                      <w:rFonts w:hint="eastAsia" w:ascii="Times New Roman" w:hAnsi="Times New Roman"/>
                      <w:bCs/>
                      <w:color w:val="auto"/>
                      <w:szCs w:val="21"/>
                    </w:rPr>
                    <w:t>西</w:t>
                  </w:r>
                </w:p>
              </w:tc>
              <w:tc>
                <w:tcPr>
                  <w:tcW w:w="1134" w:type="dxa"/>
                  <w:vAlign w:val="center"/>
                </w:tcPr>
                <w:p>
                  <w:pPr>
                    <w:jc w:val="center"/>
                    <w:rPr>
                      <w:bCs/>
                      <w:color w:val="auto"/>
                      <w:szCs w:val="21"/>
                    </w:rPr>
                  </w:pPr>
                  <w:r>
                    <w:rPr>
                      <w:rFonts w:hint="eastAsia"/>
                      <w:bCs/>
                      <w:color w:val="auto"/>
                      <w:szCs w:val="21"/>
                    </w:rPr>
                    <w:t>1510</w:t>
                  </w:r>
                </w:p>
              </w:tc>
            </w:tr>
          </w:tbl>
          <w:p>
            <w:pPr>
              <w:adjustRightInd w:val="0"/>
              <w:snapToGrid w:val="0"/>
              <w:spacing w:beforeLines="25" w:line="360" w:lineRule="auto"/>
              <w:ind w:firstLine="482" w:firstLineChars="200"/>
              <w:rPr>
                <w:rFonts w:ascii="Times New Roman" w:hAnsi="Times New Roman"/>
                <w:b/>
                <w:color w:val="auto"/>
                <w:sz w:val="24"/>
                <w:szCs w:val="24"/>
              </w:rPr>
            </w:pPr>
            <w:bookmarkStart w:id="4" w:name="_Toc450029299"/>
            <w:r>
              <w:rPr>
                <w:rFonts w:ascii="Times New Roman" w:hAnsi="Times New Roman"/>
                <w:b/>
                <w:color w:val="auto"/>
                <w:sz w:val="24"/>
                <w:szCs w:val="24"/>
              </w:rPr>
              <w:t>（2）地表水环境</w:t>
            </w:r>
            <w:bookmarkEnd w:id="4"/>
          </w:p>
          <w:p>
            <w:pPr>
              <w:spacing w:line="360" w:lineRule="auto"/>
              <w:ind w:firstLine="480" w:firstLineChars="200"/>
              <w:rPr>
                <w:bCs/>
                <w:color w:val="auto"/>
                <w:sz w:val="28"/>
              </w:rPr>
            </w:pPr>
            <w:bookmarkStart w:id="5" w:name="_Toc450029300"/>
            <w:r>
              <w:rPr>
                <w:rFonts w:hint="eastAsia"/>
                <w:bCs/>
                <w:color w:val="auto"/>
                <w:sz w:val="24"/>
                <w:szCs w:val="24"/>
              </w:rPr>
              <w:t>项目区涉及地表水主要为</w:t>
            </w:r>
            <w:r>
              <w:rPr>
                <w:rFonts w:hint="eastAsia"/>
                <w:color w:val="auto"/>
                <w:sz w:val="24"/>
              </w:rPr>
              <w:t>西</w:t>
            </w:r>
            <w:r>
              <w:rPr>
                <w:color w:val="auto"/>
                <w:sz w:val="24"/>
              </w:rPr>
              <w:t>面</w:t>
            </w:r>
            <w:r>
              <w:rPr>
                <w:rFonts w:hint="eastAsia"/>
                <w:color w:val="auto"/>
                <w:sz w:val="24"/>
              </w:rPr>
              <w:t>1380m</w:t>
            </w:r>
            <w:r>
              <w:rPr>
                <w:color w:val="auto"/>
                <w:sz w:val="24"/>
              </w:rPr>
              <w:t>处的</w:t>
            </w:r>
            <w:r>
              <w:rPr>
                <w:rFonts w:hint="eastAsia"/>
                <w:color w:val="auto"/>
                <w:sz w:val="24"/>
              </w:rPr>
              <w:t>普渡河</w:t>
            </w:r>
            <w:r>
              <w:rPr>
                <w:rFonts w:hint="eastAsia"/>
                <w:bCs/>
                <w:color w:val="auto"/>
                <w:sz w:val="24"/>
                <w:szCs w:val="24"/>
              </w:rPr>
              <w:t>，具体见地表水环境保护目标一览表3-</w:t>
            </w:r>
            <w:r>
              <w:rPr>
                <w:rFonts w:hint="eastAsia"/>
                <w:bCs/>
                <w:color w:val="auto"/>
                <w:sz w:val="24"/>
                <w:szCs w:val="24"/>
                <w:lang w:val="en-US" w:eastAsia="zh-CN"/>
              </w:rPr>
              <w:t>5</w:t>
            </w:r>
            <w:r>
              <w:rPr>
                <w:rFonts w:hint="eastAsia"/>
                <w:bCs/>
                <w:color w:val="auto"/>
                <w:sz w:val="24"/>
                <w:szCs w:val="24"/>
              </w:rPr>
              <w:t>。</w:t>
            </w:r>
          </w:p>
          <w:p>
            <w:pPr>
              <w:ind w:firstLine="482" w:firstLineChars="200"/>
              <w:jc w:val="center"/>
              <w:rPr>
                <w:b/>
                <w:color w:val="auto"/>
                <w:sz w:val="24"/>
              </w:rPr>
            </w:pPr>
            <w:r>
              <w:rPr>
                <w:b/>
                <w:color w:val="auto"/>
                <w:sz w:val="24"/>
              </w:rPr>
              <w:t>表</w:t>
            </w:r>
            <w:r>
              <w:rPr>
                <w:rFonts w:hint="eastAsia"/>
                <w:b/>
                <w:color w:val="auto"/>
                <w:sz w:val="24"/>
              </w:rPr>
              <w:t>3-</w:t>
            </w:r>
            <w:r>
              <w:rPr>
                <w:rFonts w:hint="eastAsia"/>
                <w:b/>
                <w:color w:val="auto"/>
                <w:sz w:val="24"/>
                <w:lang w:val="en-US" w:eastAsia="zh-CN"/>
              </w:rPr>
              <w:t>5</w:t>
            </w:r>
            <w:r>
              <w:rPr>
                <w:rFonts w:hint="eastAsia"/>
                <w:b/>
                <w:color w:val="auto"/>
                <w:sz w:val="24"/>
              </w:rPr>
              <w:t>地表水</w:t>
            </w:r>
            <w:r>
              <w:rPr>
                <w:b/>
                <w:color w:val="auto"/>
                <w:sz w:val="24"/>
              </w:rPr>
              <w:t>环境保护目标一览表</w:t>
            </w:r>
          </w:p>
          <w:tbl>
            <w:tblPr>
              <w:tblStyle w:val="43"/>
              <w:tblW w:w="82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8"/>
              <w:gridCol w:w="2309"/>
              <w:gridCol w:w="2355"/>
              <w:gridCol w:w="24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108" w:type="dxa"/>
                  <w:vAlign w:val="center"/>
                </w:tcPr>
                <w:p>
                  <w:pPr>
                    <w:jc w:val="center"/>
                    <w:rPr>
                      <w:rFonts w:ascii="Times New Roman" w:hAnsi="Times New Roman"/>
                      <w:bCs/>
                      <w:color w:val="auto"/>
                      <w:szCs w:val="21"/>
                    </w:rPr>
                  </w:pPr>
                  <w:r>
                    <w:rPr>
                      <w:rFonts w:ascii="Times New Roman" w:hAnsi="Times New Roman"/>
                      <w:bCs/>
                      <w:color w:val="auto"/>
                      <w:szCs w:val="21"/>
                    </w:rPr>
                    <w:t>环境类别</w:t>
                  </w:r>
                </w:p>
              </w:tc>
              <w:tc>
                <w:tcPr>
                  <w:tcW w:w="2309" w:type="dxa"/>
                  <w:vAlign w:val="center"/>
                </w:tcPr>
                <w:p>
                  <w:pPr>
                    <w:jc w:val="center"/>
                    <w:rPr>
                      <w:rFonts w:ascii="Times New Roman" w:hAnsi="Times New Roman"/>
                      <w:bCs/>
                      <w:color w:val="auto"/>
                      <w:szCs w:val="21"/>
                    </w:rPr>
                  </w:pPr>
                  <w:r>
                    <w:rPr>
                      <w:rFonts w:ascii="Times New Roman" w:hAnsi="Times New Roman"/>
                      <w:bCs/>
                      <w:color w:val="auto"/>
                      <w:szCs w:val="21"/>
                    </w:rPr>
                    <w:t>环境保护目标</w:t>
                  </w:r>
                </w:p>
              </w:tc>
              <w:tc>
                <w:tcPr>
                  <w:tcW w:w="2355" w:type="dxa"/>
                  <w:vAlign w:val="center"/>
                </w:tcPr>
                <w:p>
                  <w:pPr>
                    <w:jc w:val="center"/>
                    <w:rPr>
                      <w:rFonts w:ascii="Times New Roman" w:hAnsi="Times New Roman"/>
                      <w:bCs/>
                      <w:color w:val="auto"/>
                      <w:szCs w:val="21"/>
                    </w:rPr>
                  </w:pPr>
                  <w:r>
                    <w:rPr>
                      <w:rFonts w:hint="eastAsia" w:ascii="Times New Roman" w:hAnsi="Times New Roman"/>
                      <w:bCs/>
                      <w:color w:val="auto"/>
                      <w:szCs w:val="21"/>
                    </w:rPr>
                    <w:t>流向</w:t>
                  </w:r>
                </w:p>
              </w:tc>
              <w:tc>
                <w:tcPr>
                  <w:tcW w:w="2490" w:type="dxa"/>
                  <w:vAlign w:val="center"/>
                </w:tcPr>
                <w:p>
                  <w:pPr>
                    <w:jc w:val="center"/>
                    <w:rPr>
                      <w:rFonts w:ascii="Times New Roman" w:hAnsi="Times New Roman"/>
                      <w:bCs/>
                      <w:color w:val="auto"/>
                      <w:szCs w:val="21"/>
                    </w:rPr>
                  </w:pPr>
                  <w:r>
                    <w:rPr>
                      <w:rFonts w:ascii="Times New Roman" w:hAnsi="Times New Roman"/>
                      <w:bCs/>
                      <w:color w:val="auto"/>
                      <w:szCs w:val="21"/>
                    </w:rPr>
                    <w:t>保护级别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trPr>
              <w:tc>
                <w:tcPr>
                  <w:tcW w:w="1108" w:type="dxa"/>
                  <w:vAlign w:val="center"/>
                </w:tcPr>
                <w:p>
                  <w:pPr>
                    <w:jc w:val="center"/>
                    <w:rPr>
                      <w:rFonts w:ascii="Times New Roman" w:hAnsi="Times New Roman"/>
                      <w:color w:val="auto"/>
                      <w:szCs w:val="21"/>
                    </w:rPr>
                  </w:pPr>
                  <w:r>
                    <w:rPr>
                      <w:rFonts w:ascii="Times New Roman" w:hAnsi="Times New Roman"/>
                      <w:color w:val="auto"/>
                      <w:szCs w:val="21"/>
                    </w:rPr>
                    <w:t>地</w:t>
                  </w:r>
                  <w:r>
                    <w:rPr>
                      <w:rFonts w:hint="eastAsia" w:ascii="Times New Roman" w:hAnsi="Times New Roman"/>
                      <w:color w:val="auto"/>
                      <w:szCs w:val="21"/>
                    </w:rPr>
                    <w:t>表</w:t>
                  </w:r>
                  <w:r>
                    <w:rPr>
                      <w:rFonts w:ascii="Times New Roman" w:hAnsi="Times New Roman"/>
                      <w:color w:val="auto"/>
                      <w:szCs w:val="21"/>
                    </w:rPr>
                    <w:t>水</w:t>
                  </w:r>
                </w:p>
              </w:tc>
              <w:tc>
                <w:tcPr>
                  <w:tcW w:w="2309" w:type="dxa"/>
                  <w:vAlign w:val="center"/>
                </w:tcPr>
                <w:p>
                  <w:pPr>
                    <w:jc w:val="center"/>
                    <w:rPr>
                      <w:rFonts w:ascii="Times New Roman" w:hAnsi="Times New Roman"/>
                      <w:color w:val="auto"/>
                      <w:szCs w:val="21"/>
                    </w:rPr>
                  </w:pPr>
                  <w:r>
                    <w:rPr>
                      <w:rFonts w:hint="eastAsia" w:ascii="Times New Roman" w:hAnsi="Times New Roman"/>
                      <w:color w:val="auto"/>
                      <w:szCs w:val="21"/>
                    </w:rPr>
                    <w:t>普渡河</w:t>
                  </w:r>
                  <w:r>
                    <w:rPr>
                      <w:rFonts w:ascii="Times New Roman" w:hAnsi="Times New Roman"/>
                      <w:color w:val="auto"/>
                      <w:szCs w:val="21"/>
                    </w:rPr>
                    <w:t>（</w:t>
                  </w:r>
                  <w:r>
                    <w:rPr>
                      <w:rFonts w:hint="eastAsia" w:ascii="Times New Roman" w:hAnsi="Times New Roman"/>
                      <w:color w:val="auto"/>
                      <w:szCs w:val="21"/>
                    </w:rPr>
                    <w:t>项目区西面1380m</w:t>
                  </w:r>
                  <w:r>
                    <w:rPr>
                      <w:rFonts w:ascii="Times New Roman" w:hAnsi="Times New Roman"/>
                      <w:color w:val="auto"/>
                      <w:szCs w:val="21"/>
                    </w:rPr>
                    <w:t>）</w:t>
                  </w:r>
                </w:p>
              </w:tc>
              <w:tc>
                <w:tcPr>
                  <w:tcW w:w="2355" w:type="dxa"/>
                  <w:vAlign w:val="center"/>
                </w:tcPr>
                <w:p>
                  <w:pPr>
                    <w:jc w:val="center"/>
                    <w:rPr>
                      <w:rFonts w:ascii="Times New Roman" w:hAnsi="Times New Roman"/>
                      <w:color w:val="auto"/>
                      <w:szCs w:val="21"/>
                    </w:rPr>
                  </w:pPr>
                  <w:r>
                    <w:rPr>
                      <w:rFonts w:hint="eastAsia" w:ascii="Times New Roman" w:hAnsi="Times New Roman"/>
                      <w:color w:val="auto"/>
                      <w:szCs w:val="21"/>
                    </w:rPr>
                    <w:t>自南向北汇入金沙江</w:t>
                  </w:r>
                </w:p>
              </w:tc>
              <w:tc>
                <w:tcPr>
                  <w:tcW w:w="2490" w:type="dxa"/>
                  <w:vAlign w:val="center"/>
                </w:tcPr>
                <w:p>
                  <w:pPr>
                    <w:jc w:val="center"/>
                    <w:rPr>
                      <w:rFonts w:ascii="Times New Roman" w:hAnsi="Times New Roman"/>
                      <w:color w:val="auto"/>
                      <w:szCs w:val="21"/>
                    </w:rPr>
                  </w:pPr>
                  <w:r>
                    <w:rPr>
                      <w:rFonts w:ascii="Times New Roman" w:hAnsi="Times New Roman"/>
                      <w:color w:val="auto"/>
                      <w:szCs w:val="21"/>
                    </w:rPr>
                    <w:t>《地表水环境质量》</w:t>
                  </w:r>
                  <w:r>
                    <w:rPr>
                      <w:rFonts w:hint="eastAsia" w:ascii="Times New Roman" w:hAnsi="Times New Roman"/>
                      <w:color w:val="auto"/>
                      <w:szCs w:val="21"/>
                    </w:rPr>
                    <w:t>（GB3838－2002）</w:t>
                  </w:r>
                  <w:r>
                    <w:rPr>
                      <w:rFonts w:hint="eastAsia" w:ascii="宋体" w:hAnsi="宋体" w:cs="宋体"/>
                      <w:color w:val="auto"/>
                      <w:szCs w:val="21"/>
                    </w:rPr>
                    <w:t>Ⅳ</w:t>
                  </w:r>
                  <w:r>
                    <w:rPr>
                      <w:rFonts w:ascii="Times New Roman" w:hAnsi="Times New Roman"/>
                      <w:color w:val="auto"/>
                      <w:szCs w:val="21"/>
                    </w:rPr>
                    <w:t>类标准</w:t>
                  </w:r>
                </w:p>
              </w:tc>
            </w:tr>
          </w:tbl>
          <w:p>
            <w:pPr>
              <w:adjustRightInd w:val="0"/>
              <w:snapToGrid w:val="0"/>
              <w:spacing w:beforeLines="25" w:line="360" w:lineRule="auto"/>
              <w:ind w:firstLine="482" w:firstLineChars="200"/>
              <w:rPr>
                <w:rFonts w:ascii="Times New Roman" w:hAnsi="Times New Roman"/>
                <w:b/>
                <w:color w:val="auto"/>
                <w:sz w:val="24"/>
                <w:szCs w:val="24"/>
              </w:rPr>
            </w:pPr>
            <w:r>
              <w:rPr>
                <w:rFonts w:ascii="Times New Roman" w:hAnsi="Times New Roman"/>
                <w:b/>
                <w:color w:val="auto"/>
                <w:sz w:val="24"/>
                <w:szCs w:val="24"/>
              </w:rPr>
              <w:t>（3）声环境</w:t>
            </w:r>
            <w:bookmarkEnd w:id="5"/>
          </w:p>
          <w:p>
            <w:pPr>
              <w:pStyle w:val="5"/>
              <w:ind w:firstLine="480" w:firstLineChars="200"/>
              <w:rPr>
                <w:color w:val="auto"/>
              </w:rPr>
            </w:pPr>
            <w:bookmarkStart w:id="6" w:name="_Toc450029301"/>
            <w:r>
              <w:rPr>
                <w:rFonts w:hint="eastAsia"/>
                <w:color w:val="auto"/>
                <w:sz w:val="24"/>
                <w:szCs w:val="24"/>
              </w:rPr>
              <w:t>项目区200m范围内无保护目标分布，因此无声环境保护目标。</w:t>
            </w:r>
          </w:p>
          <w:p>
            <w:pPr>
              <w:adjustRightInd w:val="0"/>
              <w:snapToGrid w:val="0"/>
              <w:spacing w:beforeLines="25" w:line="360" w:lineRule="auto"/>
              <w:ind w:firstLine="482" w:firstLineChars="200"/>
              <w:rPr>
                <w:rFonts w:ascii="Times New Roman" w:hAnsi="Times New Roman"/>
                <w:b/>
                <w:color w:val="auto"/>
                <w:sz w:val="24"/>
                <w:szCs w:val="24"/>
              </w:rPr>
            </w:pPr>
            <w:r>
              <w:rPr>
                <w:rFonts w:ascii="Times New Roman" w:hAnsi="Times New Roman"/>
                <w:b/>
                <w:color w:val="auto"/>
                <w:sz w:val="24"/>
                <w:szCs w:val="24"/>
              </w:rPr>
              <w:t>（4）生态保护目标</w:t>
            </w:r>
            <w:bookmarkEnd w:id="6"/>
          </w:p>
          <w:p>
            <w:pPr>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项目周围植被、动物、农作物，根据现场调查，本项目占地范围内</w:t>
            </w:r>
            <w:r>
              <w:rPr>
                <w:rFonts w:hint="eastAsia" w:ascii="Times New Roman" w:hAnsi="Times New Roman"/>
                <w:color w:val="auto"/>
                <w:sz w:val="24"/>
                <w:szCs w:val="24"/>
                <w:lang w:eastAsia="zh-CN"/>
              </w:rPr>
              <w:t>未发现</w:t>
            </w:r>
            <w:r>
              <w:rPr>
                <w:rFonts w:ascii="Times New Roman" w:hAnsi="Times New Roman"/>
                <w:color w:val="auto"/>
                <w:sz w:val="24"/>
                <w:szCs w:val="24"/>
              </w:rPr>
              <w:t>珍</w:t>
            </w:r>
            <w:r>
              <w:rPr>
                <w:rFonts w:hint="eastAsia" w:ascii="Times New Roman" w:hAnsi="Times New Roman"/>
                <w:color w:val="auto"/>
                <w:sz w:val="24"/>
                <w:szCs w:val="24"/>
              </w:rPr>
              <w:t>稀</w:t>
            </w:r>
            <w:r>
              <w:rPr>
                <w:rFonts w:ascii="Times New Roman" w:hAnsi="Times New Roman"/>
                <w:color w:val="auto"/>
                <w:sz w:val="24"/>
                <w:szCs w:val="24"/>
              </w:rPr>
              <w:t>保护植物和</w:t>
            </w:r>
            <w:r>
              <w:rPr>
                <w:rFonts w:hint="eastAsia" w:ascii="Times New Roman" w:hAnsi="Times New Roman"/>
                <w:color w:val="auto"/>
                <w:sz w:val="24"/>
                <w:szCs w:val="24"/>
              </w:rPr>
              <w:t>名木</w:t>
            </w:r>
            <w:r>
              <w:rPr>
                <w:rFonts w:ascii="Times New Roman" w:hAnsi="Times New Roman"/>
                <w:color w:val="auto"/>
                <w:sz w:val="24"/>
                <w:szCs w:val="24"/>
              </w:rPr>
              <w:t>古树分布。</w:t>
            </w:r>
          </w:p>
          <w:p>
            <w:pPr>
              <w:pStyle w:val="2"/>
              <w:rPr>
                <w:rFonts w:ascii="Times New Roman" w:hAnsi="Times New Roman"/>
                <w:color w:val="auto"/>
              </w:rPr>
            </w:pPr>
          </w:p>
          <w:p>
            <w:pPr>
              <w:pStyle w:val="2"/>
              <w:rPr>
                <w:rFonts w:ascii="Times New Roman" w:hAnsi="Times New Roman"/>
                <w:color w:val="auto"/>
              </w:rPr>
            </w:pPr>
          </w:p>
          <w:p>
            <w:pPr>
              <w:pStyle w:val="2"/>
              <w:rPr>
                <w:rFonts w:ascii="Times New Roman" w:hAnsi="Times New Roman"/>
                <w:color w:val="auto"/>
              </w:rPr>
            </w:pPr>
          </w:p>
          <w:p>
            <w:pPr>
              <w:pStyle w:val="2"/>
              <w:rPr>
                <w:rFonts w:ascii="Times New Roman" w:hAnsi="Times New Roman"/>
                <w:color w:val="auto"/>
              </w:rPr>
            </w:pPr>
          </w:p>
          <w:p>
            <w:pPr>
              <w:widowControl/>
              <w:jc w:val="left"/>
              <w:rPr>
                <w:rFonts w:ascii="Times New Roman" w:hAnsi="Times New Roman"/>
                <w:color w:val="auto"/>
                <w:kern w:val="0"/>
                <w:sz w:val="24"/>
                <w:szCs w:val="24"/>
              </w:rPr>
            </w:pPr>
          </w:p>
          <w:p>
            <w:pPr>
              <w:pStyle w:val="2"/>
              <w:rPr>
                <w:rFonts w:ascii="Times New Roman" w:hAnsi="Times New Roman"/>
                <w:b/>
                <w:color w:val="auto"/>
              </w:rPr>
            </w:pPr>
          </w:p>
          <w:p>
            <w:pPr>
              <w:pStyle w:val="2"/>
              <w:rPr>
                <w:rFonts w:ascii="Times New Roman" w:hAnsi="Times New Roman"/>
                <w:b/>
                <w:color w:val="auto"/>
              </w:rPr>
            </w:pPr>
          </w:p>
          <w:p>
            <w:pPr>
              <w:pStyle w:val="2"/>
              <w:rPr>
                <w:rFonts w:ascii="Times New Roman" w:hAnsi="Times New Roman"/>
                <w:b/>
                <w:color w:val="auto"/>
              </w:rPr>
            </w:pPr>
          </w:p>
          <w:p>
            <w:pPr>
              <w:pStyle w:val="2"/>
              <w:rPr>
                <w:rFonts w:ascii="Times New Roman" w:hAnsi="Times New Roman"/>
                <w:b/>
                <w:color w:val="auto"/>
              </w:rPr>
            </w:pPr>
          </w:p>
          <w:p>
            <w:pPr>
              <w:pStyle w:val="2"/>
              <w:rPr>
                <w:rFonts w:ascii="Times New Roman" w:hAnsi="Times New Roman"/>
                <w:b/>
                <w:color w:val="auto"/>
              </w:rPr>
            </w:pPr>
          </w:p>
          <w:p>
            <w:pPr>
              <w:pStyle w:val="2"/>
              <w:rPr>
                <w:rFonts w:ascii="Times New Roman" w:hAnsi="Times New Roman"/>
                <w:b/>
                <w:color w:val="auto"/>
              </w:rPr>
            </w:pPr>
          </w:p>
          <w:p>
            <w:pPr>
              <w:pStyle w:val="2"/>
              <w:rPr>
                <w:rFonts w:ascii="Times New Roman" w:hAnsi="Times New Roman"/>
                <w:b/>
                <w:color w:val="auto"/>
              </w:rPr>
            </w:pPr>
          </w:p>
          <w:p>
            <w:pPr>
              <w:pStyle w:val="2"/>
              <w:rPr>
                <w:rFonts w:ascii="Times New Roman" w:hAnsi="Times New Roman"/>
                <w:color w:val="auto"/>
              </w:rPr>
            </w:pPr>
          </w:p>
        </w:tc>
      </w:tr>
    </w:tbl>
    <w:p>
      <w:pPr>
        <w:pStyle w:val="3"/>
        <w:pageBreakBefore/>
        <w:spacing w:before="0" w:after="0" w:line="240" w:lineRule="auto"/>
        <w:rPr>
          <w:rFonts w:ascii="Times New Roman" w:hAnsi="Times New Roman"/>
          <w:color w:val="auto"/>
          <w:spacing w:val="2"/>
          <w:sz w:val="28"/>
          <w:szCs w:val="28"/>
        </w:rPr>
      </w:pPr>
      <w:bookmarkStart w:id="7" w:name="_Toc513627177"/>
      <w:r>
        <w:rPr>
          <w:rFonts w:ascii="Times New Roman" w:hAnsi="Times New Roman"/>
          <w:color w:val="auto"/>
          <w:spacing w:val="2"/>
          <w:sz w:val="28"/>
          <w:szCs w:val="28"/>
        </w:rPr>
        <w:t>表四、评价适用标准</w:t>
      </w:r>
      <w:bookmarkEnd w:id="7"/>
    </w:p>
    <w:tbl>
      <w:tblPr>
        <w:tblStyle w:val="43"/>
        <w:tblW w:w="85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8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3" w:hRule="atLeast"/>
        </w:trPr>
        <w:tc>
          <w:tcPr>
            <w:tcW w:w="503" w:type="dxa"/>
            <w:vAlign w:val="center"/>
          </w:tcPr>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环</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境</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质</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量</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标</w:t>
            </w:r>
          </w:p>
          <w:p>
            <w:pPr>
              <w:spacing w:line="360" w:lineRule="auto"/>
              <w:jc w:val="center"/>
              <w:rPr>
                <w:rFonts w:ascii="Times New Roman" w:hAnsi="Times New Roman"/>
                <w:color w:val="auto"/>
              </w:rPr>
            </w:pPr>
            <w:r>
              <w:rPr>
                <w:rFonts w:ascii="Times New Roman" w:hAnsi="Times New Roman"/>
                <w:color w:val="auto"/>
                <w:kern w:val="0"/>
                <w:sz w:val="24"/>
                <w:szCs w:val="21"/>
              </w:rPr>
              <w:t>准</w:t>
            </w:r>
          </w:p>
        </w:tc>
        <w:tc>
          <w:tcPr>
            <w:tcW w:w="8065" w:type="dxa"/>
          </w:tcPr>
          <w:p>
            <w:pPr>
              <w:tabs>
                <w:tab w:val="left" w:pos="2395"/>
              </w:tabs>
              <w:spacing w:line="360" w:lineRule="auto"/>
              <w:jc w:val="left"/>
              <w:rPr>
                <w:rFonts w:ascii="Times New Roman" w:hAnsi="Times New Roman"/>
                <w:b/>
                <w:bCs/>
                <w:color w:val="auto"/>
                <w:spacing w:val="2"/>
                <w:kern w:val="0"/>
                <w:sz w:val="24"/>
                <w:szCs w:val="24"/>
              </w:rPr>
            </w:pPr>
            <w:r>
              <w:rPr>
                <w:rFonts w:ascii="Times New Roman" w:hAnsi="Times New Roman"/>
                <w:b/>
                <w:bCs/>
                <w:color w:val="auto"/>
                <w:spacing w:val="2"/>
                <w:kern w:val="0"/>
                <w:sz w:val="24"/>
                <w:szCs w:val="24"/>
              </w:rPr>
              <w:t>1、环境空气质量标准</w:t>
            </w:r>
          </w:p>
          <w:p>
            <w:pPr>
              <w:adjustRightInd w:val="0"/>
              <w:snapToGrid w:val="0"/>
              <w:spacing w:line="360" w:lineRule="auto"/>
              <w:ind w:firstLine="480" w:firstLineChars="200"/>
              <w:rPr>
                <w:b/>
                <w:color w:val="auto"/>
                <w:sz w:val="24"/>
              </w:rPr>
            </w:pPr>
            <w:r>
              <w:rPr>
                <w:color w:val="auto"/>
                <w:sz w:val="24"/>
              </w:rPr>
              <w:t>项目区域环境空气质量执行</w:t>
            </w:r>
            <w:r>
              <w:rPr>
                <w:snapToGrid w:val="0"/>
                <w:color w:val="auto"/>
                <w:kern w:val="0"/>
                <w:sz w:val="24"/>
              </w:rPr>
              <w:t>《环境空气质量标准》（GB3095-2012）中二级标准。标准值见表4-1。</w:t>
            </w:r>
          </w:p>
          <w:p>
            <w:pPr>
              <w:ind w:firstLine="422"/>
              <w:jc w:val="center"/>
              <w:rPr>
                <w:b/>
                <w:color w:val="auto"/>
                <w:sz w:val="24"/>
                <w:vertAlign w:val="superscript"/>
              </w:rPr>
            </w:pPr>
            <w:r>
              <w:rPr>
                <w:b/>
                <w:color w:val="auto"/>
                <w:sz w:val="24"/>
              </w:rPr>
              <w:t xml:space="preserve"> 表4-1  环境空气质量标准限值    单位：μg/m</w:t>
            </w:r>
            <w:r>
              <w:rPr>
                <w:b/>
                <w:color w:val="auto"/>
                <w:sz w:val="24"/>
                <w:vertAlign w:val="superscript"/>
              </w:rPr>
              <w:t>3</w:t>
            </w:r>
          </w:p>
          <w:tbl>
            <w:tblPr>
              <w:tblStyle w:val="43"/>
              <w:tblW w:w="7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7"/>
              <w:gridCol w:w="1258"/>
              <w:gridCol w:w="2096"/>
              <w:gridCol w:w="1378"/>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1309" w:type="dxa"/>
                  <w:vMerge w:val="restart"/>
                  <w:vAlign w:val="center"/>
                </w:tcPr>
                <w:p>
                  <w:pPr>
                    <w:spacing w:line="276" w:lineRule="auto"/>
                    <w:jc w:val="center"/>
                    <w:rPr>
                      <w:bCs/>
                      <w:color w:val="auto"/>
                      <w:szCs w:val="21"/>
                    </w:rPr>
                  </w:pPr>
                  <w:r>
                    <w:rPr>
                      <w:bCs/>
                      <w:color w:val="auto"/>
                      <w:szCs w:val="21"/>
                    </w:rPr>
                    <w:t>污染物</w:t>
                  </w:r>
                </w:p>
              </w:tc>
              <w:tc>
                <w:tcPr>
                  <w:tcW w:w="4740" w:type="dxa"/>
                  <w:gridSpan w:val="3"/>
                  <w:vAlign w:val="center"/>
                </w:tcPr>
                <w:p>
                  <w:pPr>
                    <w:spacing w:line="276" w:lineRule="auto"/>
                    <w:jc w:val="center"/>
                    <w:rPr>
                      <w:bCs/>
                      <w:color w:val="auto"/>
                      <w:szCs w:val="21"/>
                    </w:rPr>
                  </w:pPr>
                  <w:r>
                    <w:rPr>
                      <w:bCs/>
                      <w:color w:val="auto"/>
                      <w:szCs w:val="21"/>
                    </w:rPr>
                    <w:t>各项污染物的浓度限值</w:t>
                  </w:r>
                </w:p>
              </w:tc>
              <w:tc>
                <w:tcPr>
                  <w:tcW w:w="1790" w:type="dxa"/>
                  <w:vMerge w:val="restart"/>
                  <w:vAlign w:val="center"/>
                </w:tcPr>
                <w:p>
                  <w:pPr>
                    <w:spacing w:line="360" w:lineRule="auto"/>
                    <w:jc w:val="center"/>
                    <w:rPr>
                      <w:bCs/>
                      <w:color w:val="auto"/>
                      <w:szCs w:val="21"/>
                    </w:rPr>
                  </w:pPr>
                  <w:r>
                    <w:rPr>
                      <w:bCs/>
                      <w:color w:val="auto"/>
                      <w:szCs w:val="21"/>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09" w:type="dxa"/>
                  <w:vMerge w:val="continue"/>
                  <w:vAlign w:val="center"/>
                </w:tcPr>
                <w:p>
                  <w:pPr>
                    <w:spacing w:line="276" w:lineRule="auto"/>
                    <w:jc w:val="center"/>
                    <w:rPr>
                      <w:bCs/>
                      <w:color w:val="auto"/>
                      <w:szCs w:val="21"/>
                    </w:rPr>
                  </w:pPr>
                </w:p>
              </w:tc>
              <w:tc>
                <w:tcPr>
                  <w:tcW w:w="1260" w:type="dxa"/>
                  <w:vAlign w:val="center"/>
                </w:tcPr>
                <w:p>
                  <w:pPr>
                    <w:spacing w:line="276" w:lineRule="auto"/>
                    <w:jc w:val="center"/>
                    <w:rPr>
                      <w:bCs/>
                      <w:color w:val="auto"/>
                      <w:szCs w:val="21"/>
                    </w:rPr>
                  </w:pPr>
                  <w:r>
                    <w:rPr>
                      <w:bCs/>
                      <w:color w:val="auto"/>
                      <w:szCs w:val="21"/>
                    </w:rPr>
                    <w:t>年平均</w:t>
                  </w:r>
                </w:p>
              </w:tc>
              <w:tc>
                <w:tcPr>
                  <w:tcW w:w="2100" w:type="dxa"/>
                  <w:vAlign w:val="center"/>
                </w:tcPr>
                <w:p>
                  <w:pPr>
                    <w:spacing w:line="276" w:lineRule="auto"/>
                    <w:jc w:val="center"/>
                    <w:rPr>
                      <w:bCs/>
                      <w:color w:val="auto"/>
                      <w:szCs w:val="21"/>
                    </w:rPr>
                  </w:pPr>
                  <w:r>
                    <w:rPr>
                      <w:bCs/>
                      <w:color w:val="auto"/>
                      <w:szCs w:val="21"/>
                    </w:rPr>
                    <w:t>24小时平均</w:t>
                  </w:r>
                </w:p>
              </w:tc>
              <w:tc>
                <w:tcPr>
                  <w:tcW w:w="1380" w:type="dxa"/>
                  <w:vAlign w:val="center"/>
                </w:tcPr>
                <w:p>
                  <w:pPr>
                    <w:spacing w:line="276" w:lineRule="auto"/>
                    <w:jc w:val="center"/>
                    <w:rPr>
                      <w:bCs/>
                      <w:color w:val="auto"/>
                      <w:szCs w:val="21"/>
                    </w:rPr>
                  </w:pPr>
                  <w:r>
                    <w:rPr>
                      <w:bCs/>
                      <w:color w:val="auto"/>
                      <w:szCs w:val="21"/>
                    </w:rPr>
                    <w:t>1小时平均</w:t>
                  </w:r>
                </w:p>
              </w:tc>
              <w:tc>
                <w:tcPr>
                  <w:tcW w:w="1790" w:type="dxa"/>
                  <w:vMerge w:val="continue"/>
                  <w:vAlign w:val="center"/>
                </w:tcPr>
                <w:p>
                  <w:pPr>
                    <w:spacing w:line="360" w:lineRule="auto"/>
                    <w:jc w:val="center"/>
                    <w:rPr>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09" w:type="dxa"/>
                  <w:vAlign w:val="center"/>
                </w:tcPr>
                <w:p>
                  <w:pPr>
                    <w:spacing w:line="276" w:lineRule="auto"/>
                    <w:jc w:val="center"/>
                    <w:rPr>
                      <w:bCs/>
                      <w:color w:val="auto"/>
                      <w:szCs w:val="21"/>
                    </w:rPr>
                  </w:pPr>
                  <w:r>
                    <w:rPr>
                      <w:bCs/>
                      <w:color w:val="auto"/>
                      <w:szCs w:val="21"/>
                    </w:rPr>
                    <w:t>SO</w:t>
                  </w:r>
                  <w:r>
                    <w:rPr>
                      <w:bCs/>
                      <w:color w:val="auto"/>
                      <w:szCs w:val="21"/>
                      <w:vertAlign w:val="subscript"/>
                    </w:rPr>
                    <w:t>2</w:t>
                  </w:r>
                </w:p>
              </w:tc>
              <w:tc>
                <w:tcPr>
                  <w:tcW w:w="1260" w:type="dxa"/>
                  <w:vAlign w:val="center"/>
                </w:tcPr>
                <w:p>
                  <w:pPr>
                    <w:spacing w:line="276" w:lineRule="auto"/>
                    <w:jc w:val="center"/>
                    <w:rPr>
                      <w:bCs/>
                      <w:color w:val="auto"/>
                      <w:szCs w:val="21"/>
                    </w:rPr>
                  </w:pPr>
                  <w:r>
                    <w:rPr>
                      <w:rFonts w:hint="eastAsia"/>
                      <w:bCs/>
                      <w:color w:val="auto"/>
                      <w:szCs w:val="21"/>
                    </w:rPr>
                    <w:t>60</w:t>
                  </w:r>
                </w:p>
              </w:tc>
              <w:tc>
                <w:tcPr>
                  <w:tcW w:w="2100" w:type="dxa"/>
                  <w:vAlign w:val="center"/>
                </w:tcPr>
                <w:p>
                  <w:pPr>
                    <w:spacing w:line="276" w:lineRule="auto"/>
                    <w:jc w:val="center"/>
                    <w:rPr>
                      <w:bCs/>
                      <w:color w:val="auto"/>
                      <w:szCs w:val="21"/>
                    </w:rPr>
                  </w:pPr>
                  <w:r>
                    <w:rPr>
                      <w:rFonts w:hint="eastAsia"/>
                      <w:bCs/>
                      <w:color w:val="auto"/>
                      <w:szCs w:val="21"/>
                    </w:rPr>
                    <w:t>150</w:t>
                  </w:r>
                </w:p>
              </w:tc>
              <w:tc>
                <w:tcPr>
                  <w:tcW w:w="1380" w:type="dxa"/>
                  <w:vAlign w:val="center"/>
                </w:tcPr>
                <w:p>
                  <w:pPr>
                    <w:spacing w:line="276" w:lineRule="auto"/>
                    <w:jc w:val="center"/>
                    <w:rPr>
                      <w:bCs/>
                      <w:color w:val="auto"/>
                      <w:szCs w:val="21"/>
                    </w:rPr>
                  </w:pPr>
                  <w:r>
                    <w:rPr>
                      <w:rFonts w:hint="eastAsia"/>
                      <w:bCs/>
                      <w:color w:val="auto"/>
                      <w:szCs w:val="21"/>
                    </w:rPr>
                    <w:t>500</w:t>
                  </w:r>
                </w:p>
              </w:tc>
              <w:tc>
                <w:tcPr>
                  <w:tcW w:w="1790" w:type="dxa"/>
                  <w:vMerge w:val="restart"/>
                  <w:vAlign w:val="center"/>
                </w:tcPr>
                <w:p>
                  <w:pPr>
                    <w:spacing w:line="360" w:lineRule="auto"/>
                    <w:jc w:val="center"/>
                    <w:rPr>
                      <w:bCs/>
                      <w:color w:val="auto"/>
                      <w:szCs w:val="21"/>
                    </w:rPr>
                  </w:pPr>
                  <w:r>
                    <w:rPr>
                      <w:rFonts w:hint="eastAsia"/>
                      <w:bCs/>
                      <w:color w:val="auto"/>
                      <w:szCs w:val="21"/>
                    </w:rPr>
                    <w:t>《环境空气质量标准》（GB3095-2012）</w:t>
                  </w:r>
                </w:p>
                <w:p>
                  <w:pPr>
                    <w:spacing w:line="360" w:lineRule="auto"/>
                    <w:jc w:val="center"/>
                    <w:rPr>
                      <w:bCs/>
                      <w:color w:val="auto"/>
                      <w:szCs w:val="21"/>
                    </w:rPr>
                  </w:pPr>
                  <w:r>
                    <w:rPr>
                      <w:bCs/>
                      <w:color w:val="auto"/>
                      <w:szCs w:val="21"/>
                    </w:rPr>
                    <w:t>中的二级标准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1309" w:type="dxa"/>
                  <w:vAlign w:val="center"/>
                </w:tcPr>
                <w:p>
                  <w:pPr>
                    <w:spacing w:line="276" w:lineRule="auto"/>
                    <w:jc w:val="center"/>
                    <w:rPr>
                      <w:bCs/>
                      <w:color w:val="auto"/>
                      <w:szCs w:val="21"/>
                    </w:rPr>
                  </w:pPr>
                  <w:r>
                    <w:rPr>
                      <w:bCs/>
                      <w:color w:val="auto"/>
                      <w:szCs w:val="21"/>
                    </w:rPr>
                    <w:t>NO</w:t>
                  </w:r>
                  <w:r>
                    <w:rPr>
                      <w:bCs/>
                      <w:color w:val="auto"/>
                      <w:szCs w:val="21"/>
                      <w:vertAlign w:val="subscript"/>
                    </w:rPr>
                    <w:t>2</w:t>
                  </w:r>
                </w:p>
              </w:tc>
              <w:tc>
                <w:tcPr>
                  <w:tcW w:w="1260" w:type="dxa"/>
                  <w:vAlign w:val="center"/>
                </w:tcPr>
                <w:p>
                  <w:pPr>
                    <w:spacing w:line="276" w:lineRule="auto"/>
                    <w:jc w:val="center"/>
                    <w:rPr>
                      <w:bCs/>
                      <w:color w:val="auto"/>
                      <w:szCs w:val="21"/>
                    </w:rPr>
                  </w:pPr>
                  <w:r>
                    <w:rPr>
                      <w:bCs/>
                      <w:color w:val="auto"/>
                      <w:szCs w:val="21"/>
                    </w:rPr>
                    <w:t>4</w:t>
                  </w:r>
                  <w:r>
                    <w:rPr>
                      <w:rFonts w:hint="eastAsia"/>
                      <w:bCs/>
                      <w:color w:val="auto"/>
                      <w:szCs w:val="21"/>
                    </w:rPr>
                    <w:t>0</w:t>
                  </w:r>
                </w:p>
              </w:tc>
              <w:tc>
                <w:tcPr>
                  <w:tcW w:w="2100" w:type="dxa"/>
                  <w:vAlign w:val="center"/>
                </w:tcPr>
                <w:p>
                  <w:pPr>
                    <w:spacing w:line="276" w:lineRule="auto"/>
                    <w:jc w:val="center"/>
                    <w:rPr>
                      <w:bCs/>
                      <w:color w:val="auto"/>
                      <w:szCs w:val="21"/>
                    </w:rPr>
                  </w:pPr>
                  <w:r>
                    <w:rPr>
                      <w:rFonts w:hint="eastAsia"/>
                      <w:bCs/>
                      <w:color w:val="auto"/>
                      <w:szCs w:val="21"/>
                    </w:rPr>
                    <w:t>80</w:t>
                  </w:r>
                </w:p>
              </w:tc>
              <w:tc>
                <w:tcPr>
                  <w:tcW w:w="1380" w:type="dxa"/>
                  <w:vAlign w:val="center"/>
                </w:tcPr>
                <w:p>
                  <w:pPr>
                    <w:spacing w:line="276" w:lineRule="auto"/>
                    <w:jc w:val="center"/>
                    <w:rPr>
                      <w:bCs/>
                      <w:color w:val="auto"/>
                      <w:szCs w:val="21"/>
                    </w:rPr>
                  </w:pPr>
                  <w:r>
                    <w:rPr>
                      <w:bCs/>
                      <w:color w:val="auto"/>
                      <w:szCs w:val="21"/>
                    </w:rPr>
                    <w:t>2</w:t>
                  </w:r>
                  <w:r>
                    <w:rPr>
                      <w:rFonts w:hint="eastAsia"/>
                      <w:bCs/>
                      <w:color w:val="auto"/>
                      <w:szCs w:val="21"/>
                    </w:rPr>
                    <w:t>00</w:t>
                  </w:r>
                </w:p>
              </w:tc>
              <w:tc>
                <w:tcPr>
                  <w:tcW w:w="1790" w:type="dxa"/>
                  <w:vMerge w:val="continue"/>
                  <w:vAlign w:val="center"/>
                </w:tcPr>
                <w:p>
                  <w:pPr>
                    <w:spacing w:line="360" w:lineRule="auto"/>
                    <w:jc w:val="center"/>
                    <w:rPr>
                      <w:b/>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309" w:type="dxa"/>
                  <w:vAlign w:val="center"/>
                </w:tcPr>
                <w:p>
                  <w:pPr>
                    <w:spacing w:line="276" w:lineRule="auto"/>
                    <w:jc w:val="center"/>
                    <w:rPr>
                      <w:bCs/>
                      <w:color w:val="auto"/>
                      <w:szCs w:val="21"/>
                    </w:rPr>
                  </w:pPr>
                  <w:r>
                    <w:rPr>
                      <w:bCs/>
                      <w:color w:val="auto"/>
                      <w:szCs w:val="21"/>
                    </w:rPr>
                    <w:t>TSP</w:t>
                  </w:r>
                </w:p>
              </w:tc>
              <w:tc>
                <w:tcPr>
                  <w:tcW w:w="1260" w:type="dxa"/>
                  <w:vAlign w:val="center"/>
                </w:tcPr>
                <w:p>
                  <w:pPr>
                    <w:spacing w:line="276" w:lineRule="auto"/>
                    <w:jc w:val="center"/>
                    <w:rPr>
                      <w:bCs/>
                      <w:color w:val="auto"/>
                      <w:szCs w:val="21"/>
                    </w:rPr>
                  </w:pPr>
                  <w:r>
                    <w:rPr>
                      <w:rFonts w:hint="eastAsia"/>
                      <w:bCs/>
                      <w:color w:val="auto"/>
                      <w:szCs w:val="21"/>
                    </w:rPr>
                    <w:t>200</w:t>
                  </w:r>
                </w:p>
              </w:tc>
              <w:tc>
                <w:tcPr>
                  <w:tcW w:w="2100" w:type="dxa"/>
                  <w:vAlign w:val="center"/>
                </w:tcPr>
                <w:p>
                  <w:pPr>
                    <w:spacing w:line="276" w:lineRule="auto"/>
                    <w:jc w:val="center"/>
                    <w:rPr>
                      <w:bCs/>
                      <w:color w:val="auto"/>
                      <w:szCs w:val="21"/>
                    </w:rPr>
                  </w:pPr>
                  <w:r>
                    <w:rPr>
                      <w:rFonts w:hint="eastAsia"/>
                      <w:bCs/>
                      <w:color w:val="auto"/>
                      <w:szCs w:val="21"/>
                    </w:rPr>
                    <w:t>300</w:t>
                  </w:r>
                </w:p>
              </w:tc>
              <w:tc>
                <w:tcPr>
                  <w:tcW w:w="1380" w:type="dxa"/>
                  <w:vAlign w:val="center"/>
                </w:tcPr>
                <w:p>
                  <w:pPr>
                    <w:spacing w:line="276" w:lineRule="auto"/>
                    <w:jc w:val="center"/>
                    <w:rPr>
                      <w:bCs/>
                      <w:color w:val="auto"/>
                      <w:szCs w:val="21"/>
                    </w:rPr>
                  </w:pPr>
                  <w:r>
                    <w:rPr>
                      <w:bCs/>
                      <w:color w:val="auto"/>
                      <w:szCs w:val="21"/>
                    </w:rPr>
                    <w:t>—</w:t>
                  </w:r>
                </w:p>
              </w:tc>
              <w:tc>
                <w:tcPr>
                  <w:tcW w:w="1790" w:type="dxa"/>
                  <w:vMerge w:val="continue"/>
                  <w:vAlign w:val="center"/>
                </w:tcPr>
                <w:p>
                  <w:pPr>
                    <w:spacing w:line="360" w:lineRule="auto"/>
                    <w:jc w:val="center"/>
                    <w:rPr>
                      <w:b/>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1309" w:type="dxa"/>
                  <w:vAlign w:val="center"/>
                </w:tcPr>
                <w:p>
                  <w:pPr>
                    <w:spacing w:line="276" w:lineRule="auto"/>
                    <w:jc w:val="center"/>
                    <w:rPr>
                      <w:bCs/>
                      <w:color w:val="auto"/>
                      <w:szCs w:val="21"/>
                    </w:rPr>
                  </w:pPr>
                  <w:r>
                    <w:rPr>
                      <w:bCs/>
                      <w:color w:val="auto"/>
                      <w:szCs w:val="21"/>
                    </w:rPr>
                    <w:t>PM</w:t>
                  </w:r>
                  <w:r>
                    <w:rPr>
                      <w:bCs/>
                      <w:color w:val="auto"/>
                      <w:szCs w:val="21"/>
                      <w:vertAlign w:val="subscript"/>
                    </w:rPr>
                    <w:t>10</w:t>
                  </w:r>
                </w:p>
              </w:tc>
              <w:tc>
                <w:tcPr>
                  <w:tcW w:w="1260" w:type="dxa"/>
                  <w:vAlign w:val="center"/>
                </w:tcPr>
                <w:p>
                  <w:pPr>
                    <w:spacing w:line="276" w:lineRule="auto"/>
                    <w:jc w:val="center"/>
                    <w:rPr>
                      <w:bCs/>
                      <w:color w:val="auto"/>
                      <w:szCs w:val="21"/>
                    </w:rPr>
                  </w:pPr>
                  <w:r>
                    <w:rPr>
                      <w:rFonts w:hint="eastAsia"/>
                      <w:bCs/>
                      <w:color w:val="auto"/>
                      <w:szCs w:val="21"/>
                    </w:rPr>
                    <w:t>70</w:t>
                  </w:r>
                </w:p>
              </w:tc>
              <w:tc>
                <w:tcPr>
                  <w:tcW w:w="2100" w:type="dxa"/>
                  <w:vAlign w:val="center"/>
                </w:tcPr>
                <w:p>
                  <w:pPr>
                    <w:spacing w:line="276" w:lineRule="auto"/>
                    <w:jc w:val="center"/>
                    <w:rPr>
                      <w:bCs/>
                      <w:color w:val="auto"/>
                      <w:szCs w:val="21"/>
                    </w:rPr>
                  </w:pPr>
                  <w:r>
                    <w:rPr>
                      <w:rFonts w:hint="eastAsia"/>
                      <w:bCs/>
                      <w:color w:val="auto"/>
                      <w:szCs w:val="21"/>
                    </w:rPr>
                    <w:t>150</w:t>
                  </w:r>
                </w:p>
              </w:tc>
              <w:tc>
                <w:tcPr>
                  <w:tcW w:w="1380" w:type="dxa"/>
                  <w:vAlign w:val="center"/>
                </w:tcPr>
                <w:p>
                  <w:pPr>
                    <w:spacing w:line="276" w:lineRule="auto"/>
                    <w:jc w:val="center"/>
                    <w:rPr>
                      <w:bCs/>
                      <w:color w:val="auto"/>
                      <w:szCs w:val="21"/>
                    </w:rPr>
                  </w:pPr>
                  <w:r>
                    <w:rPr>
                      <w:bCs/>
                      <w:color w:val="auto"/>
                      <w:szCs w:val="21"/>
                    </w:rPr>
                    <w:t>—</w:t>
                  </w:r>
                </w:p>
              </w:tc>
              <w:tc>
                <w:tcPr>
                  <w:tcW w:w="1790" w:type="dxa"/>
                  <w:vMerge w:val="continue"/>
                  <w:vAlign w:val="center"/>
                </w:tcPr>
                <w:p>
                  <w:pPr>
                    <w:spacing w:line="360" w:lineRule="auto"/>
                    <w:jc w:val="center"/>
                    <w:rPr>
                      <w:b/>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309" w:type="dxa"/>
                  <w:vAlign w:val="center"/>
                </w:tcPr>
                <w:p>
                  <w:pPr>
                    <w:spacing w:line="276" w:lineRule="auto"/>
                    <w:jc w:val="center"/>
                    <w:rPr>
                      <w:bCs/>
                      <w:color w:val="auto"/>
                      <w:szCs w:val="21"/>
                    </w:rPr>
                  </w:pPr>
                  <w:r>
                    <w:rPr>
                      <w:bCs/>
                      <w:color w:val="auto"/>
                      <w:szCs w:val="21"/>
                    </w:rPr>
                    <w:t>PM</w:t>
                  </w:r>
                  <w:r>
                    <w:rPr>
                      <w:rFonts w:hint="eastAsia"/>
                      <w:bCs/>
                      <w:color w:val="auto"/>
                      <w:szCs w:val="21"/>
                      <w:vertAlign w:val="subscript"/>
                    </w:rPr>
                    <w:t>2.5</w:t>
                  </w:r>
                </w:p>
              </w:tc>
              <w:tc>
                <w:tcPr>
                  <w:tcW w:w="1260" w:type="dxa"/>
                  <w:vAlign w:val="center"/>
                </w:tcPr>
                <w:p>
                  <w:pPr>
                    <w:spacing w:line="276" w:lineRule="auto"/>
                    <w:jc w:val="center"/>
                    <w:rPr>
                      <w:bCs/>
                      <w:color w:val="auto"/>
                      <w:szCs w:val="21"/>
                    </w:rPr>
                  </w:pPr>
                  <w:r>
                    <w:rPr>
                      <w:rFonts w:hint="eastAsia"/>
                      <w:bCs/>
                      <w:color w:val="auto"/>
                      <w:szCs w:val="21"/>
                    </w:rPr>
                    <w:t>35</w:t>
                  </w:r>
                </w:p>
              </w:tc>
              <w:tc>
                <w:tcPr>
                  <w:tcW w:w="2100" w:type="dxa"/>
                  <w:vAlign w:val="center"/>
                </w:tcPr>
                <w:p>
                  <w:pPr>
                    <w:spacing w:line="276" w:lineRule="auto"/>
                    <w:jc w:val="center"/>
                    <w:rPr>
                      <w:bCs/>
                      <w:color w:val="auto"/>
                      <w:szCs w:val="21"/>
                    </w:rPr>
                  </w:pPr>
                  <w:r>
                    <w:rPr>
                      <w:rFonts w:hint="eastAsia"/>
                      <w:bCs/>
                      <w:color w:val="auto"/>
                      <w:szCs w:val="21"/>
                    </w:rPr>
                    <w:t>75</w:t>
                  </w:r>
                </w:p>
              </w:tc>
              <w:tc>
                <w:tcPr>
                  <w:tcW w:w="1380" w:type="dxa"/>
                  <w:vAlign w:val="center"/>
                </w:tcPr>
                <w:p>
                  <w:pPr>
                    <w:spacing w:line="276" w:lineRule="auto"/>
                    <w:jc w:val="center"/>
                    <w:rPr>
                      <w:bCs/>
                      <w:color w:val="auto"/>
                      <w:szCs w:val="21"/>
                    </w:rPr>
                  </w:pPr>
                  <w:r>
                    <w:rPr>
                      <w:bCs/>
                      <w:color w:val="auto"/>
                      <w:szCs w:val="21"/>
                    </w:rPr>
                    <w:t>—</w:t>
                  </w:r>
                </w:p>
              </w:tc>
              <w:tc>
                <w:tcPr>
                  <w:tcW w:w="1790" w:type="dxa"/>
                  <w:vMerge w:val="continue"/>
                  <w:vAlign w:val="center"/>
                </w:tcPr>
                <w:p>
                  <w:pPr>
                    <w:spacing w:line="360" w:lineRule="auto"/>
                    <w:jc w:val="center"/>
                    <w:rPr>
                      <w:b/>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1309" w:type="dxa"/>
                  <w:vAlign w:val="center"/>
                </w:tcPr>
                <w:p>
                  <w:pPr>
                    <w:spacing w:line="276" w:lineRule="auto"/>
                    <w:jc w:val="center"/>
                    <w:rPr>
                      <w:bCs/>
                      <w:color w:val="auto"/>
                      <w:szCs w:val="21"/>
                    </w:rPr>
                  </w:pPr>
                  <w:r>
                    <w:rPr>
                      <w:rFonts w:hint="eastAsia"/>
                      <w:bCs/>
                      <w:color w:val="auto"/>
                      <w:szCs w:val="21"/>
                    </w:rPr>
                    <w:t>CO</w:t>
                  </w:r>
                </w:p>
              </w:tc>
              <w:tc>
                <w:tcPr>
                  <w:tcW w:w="1260" w:type="dxa"/>
                  <w:vAlign w:val="center"/>
                </w:tcPr>
                <w:p>
                  <w:pPr>
                    <w:spacing w:line="276" w:lineRule="auto"/>
                    <w:jc w:val="center"/>
                    <w:rPr>
                      <w:bCs/>
                      <w:color w:val="auto"/>
                      <w:szCs w:val="21"/>
                    </w:rPr>
                  </w:pPr>
                  <w:r>
                    <w:rPr>
                      <w:bCs/>
                      <w:color w:val="auto"/>
                      <w:szCs w:val="21"/>
                    </w:rPr>
                    <w:t>—</w:t>
                  </w:r>
                </w:p>
              </w:tc>
              <w:tc>
                <w:tcPr>
                  <w:tcW w:w="2100" w:type="dxa"/>
                  <w:vAlign w:val="center"/>
                </w:tcPr>
                <w:p>
                  <w:pPr>
                    <w:spacing w:line="276" w:lineRule="auto"/>
                    <w:jc w:val="center"/>
                    <w:rPr>
                      <w:bCs/>
                      <w:color w:val="auto"/>
                      <w:szCs w:val="21"/>
                    </w:rPr>
                  </w:pPr>
                  <w:r>
                    <w:rPr>
                      <w:rFonts w:hint="eastAsia"/>
                      <w:bCs/>
                      <w:color w:val="auto"/>
                      <w:szCs w:val="21"/>
                    </w:rPr>
                    <w:t>4000</w:t>
                  </w:r>
                </w:p>
              </w:tc>
              <w:tc>
                <w:tcPr>
                  <w:tcW w:w="1380" w:type="dxa"/>
                  <w:vAlign w:val="center"/>
                </w:tcPr>
                <w:p>
                  <w:pPr>
                    <w:spacing w:line="276" w:lineRule="auto"/>
                    <w:jc w:val="center"/>
                    <w:rPr>
                      <w:bCs/>
                      <w:color w:val="auto"/>
                      <w:szCs w:val="21"/>
                    </w:rPr>
                  </w:pPr>
                  <w:r>
                    <w:rPr>
                      <w:rFonts w:hint="eastAsia"/>
                      <w:bCs/>
                      <w:color w:val="auto"/>
                      <w:szCs w:val="21"/>
                    </w:rPr>
                    <w:t>10000</w:t>
                  </w:r>
                </w:p>
              </w:tc>
              <w:tc>
                <w:tcPr>
                  <w:tcW w:w="1790" w:type="dxa"/>
                  <w:vMerge w:val="continue"/>
                  <w:vAlign w:val="center"/>
                </w:tcPr>
                <w:p>
                  <w:pPr>
                    <w:spacing w:line="360" w:lineRule="auto"/>
                    <w:jc w:val="center"/>
                    <w:rPr>
                      <w:b/>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309" w:type="dxa"/>
                  <w:vAlign w:val="center"/>
                </w:tcPr>
                <w:p>
                  <w:pPr>
                    <w:spacing w:line="276" w:lineRule="auto"/>
                    <w:jc w:val="center"/>
                    <w:rPr>
                      <w:bCs/>
                      <w:color w:val="auto"/>
                      <w:szCs w:val="21"/>
                    </w:rPr>
                  </w:pPr>
                  <w:r>
                    <w:rPr>
                      <w:rFonts w:hint="eastAsia"/>
                      <w:bCs/>
                      <w:color w:val="auto"/>
                      <w:szCs w:val="21"/>
                    </w:rPr>
                    <w:t>O</w:t>
                  </w:r>
                  <w:r>
                    <w:rPr>
                      <w:rFonts w:hint="eastAsia"/>
                      <w:bCs/>
                      <w:color w:val="auto"/>
                      <w:szCs w:val="21"/>
                      <w:vertAlign w:val="subscript"/>
                    </w:rPr>
                    <w:t>3</w:t>
                  </w:r>
                </w:p>
              </w:tc>
              <w:tc>
                <w:tcPr>
                  <w:tcW w:w="1260" w:type="dxa"/>
                  <w:vAlign w:val="center"/>
                </w:tcPr>
                <w:p>
                  <w:pPr>
                    <w:spacing w:line="276" w:lineRule="auto"/>
                    <w:jc w:val="center"/>
                    <w:rPr>
                      <w:bCs/>
                      <w:color w:val="auto"/>
                      <w:szCs w:val="21"/>
                    </w:rPr>
                  </w:pPr>
                  <w:r>
                    <w:rPr>
                      <w:bCs/>
                      <w:color w:val="auto"/>
                      <w:szCs w:val="21"/>
                    </w:rPr>
                    <w:t>—</w:t>
                  </w:r>
                </w:p>
              </w:tc>
              <w:tc>
                <w:tcPr>
                  <w:tcW w:w="2100" w:type="dxa"/>
                  <w:vAlign w:val="center"/>
                </w:tcPr>
                <w:p>
                  <w:pPr>
                    <w:spacing w:line="276" w:lineRule="auto"/>
                    <w:jc w:val="center"/>
                    <w:rPr>
                      <w:bCs/>
                      <w:color w:val="auto"/>
                      <w:szCs w:val="21"/>
                    </w:rPr>
                  </w:pPr>
                  <w:r>
                    <w:rPr>
                      <w:rFonts w:hint="eastAsia"/>
                      <w:bCs/>
                      <w:color w:val="auto"/>
                      <w:szCs w:val="21"/>
                    </w:rPr>
                    <w:t>160（日8小时平均）</w:t>
                  </w:r>
                </w:p>
              </w:tc>
              <w:tc>
                <w:tcPr>
                  <w:tcW w:w="1380" w:type="dxa"/>
                  <w:vAlign w:val="center"/>
                </w:tcPr>
                <w:p>
                  <w:pPr>
                    <w:spacing w:line="276" w:lineRule="auto"/>
                    <w:jc w:val="center"/>
                    <w:rPr>
                      <w:bCs/>
                      <w:color w:val="auto"/>
                      <w:szCs w:val="21"/>
                    </w:rPr>
                  </w:pPr>
                  <w:r>
                    <w:rPr>
                      <w:rFonts w:hint="eastAsia"/>
                      <w:bCs/>
                      <w:color w:val="auto"/>
                      <w:szCs w:val="21"/>
                    </w:rPr>
                    <w:t>200</w:t>
                  </w:r>
                </w:p>
              </w:tc>
              <w:tc>
                <w:tcPr>
                  <w:tcW w:w="1790" w:type="dxa"/>
                  <w:vMerge w:val="continue"/>
                  <w:vAlign w:val="center"/>
                </w:tcPr>
                <w:p>
                  <w:pPr>
                    <w:spacing w:line="360" w:lineRule="auto"/>
                    <w:jc w:val="center"/>
                    <w:rPr>
                      <w:b/>
                      <w:color w:val="auto"/>
                      <w:szCs w:val="21"/>
                    </w:rPr>
                  </w:pPr>
                </w:p>
              </w:tc>
            </w:tr>
          </w:tbl>
          <w:p>
            <w:pPr>
              <w:numPr>
                <w:ilvl w:val="0"/>
                <w:numId w:val="0"/>
              </w:numPr>
              <w:spacing w:line="360" w:lineRule="auto"/>
              <w:rPr>
                <w:b/>
                <w:color w:val="auto"/>
                <w:sz w:val="24"/>
                <w:szCs w:val="24"/>
              </w:rPr>
            </w:pPr>
            <w:r>
              <w:rPr>
                <w:rFonts w:hint="eastAsia"/>
                <w:b/>
                <w:color w:val="auto"/>
                <w:sz w:val="24"/>
                <w:szCs w:val="24"/>
                <w:lang w:val="en-US" w:eastAsia="zh-CN"/>
              </w:rPr>
              <w:t>2、</w:t>
            </w:r>
            <w:r>
              <w:rPr>
                <w:b/>
                <w:color w:val="auto"/>
                <w:sz w:val="24"/>
                <w:szCs w:val="24"/>
              </w:rPr>
              <w:t>水环境</w:t>
            </w:r>
          </w:p>
          <w:p>
            <w:pPr>
              <w:pStyle w:val="2"/>
              <w:numPr>
                <w:ilvl w:val="0"/>
                <w:numId w:val="0"/>
              </w:numP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2.1地表水</w:t>
            </w:r>
          </w:p>
          <w:p>
            <w:pPr>
              <w:spacing w:line="360" w:lineRule="auto"/>
              <w:ind w:firstLine="480" w:firstLineChars="200"/>
              <w:rPr>
                <w:b/>
                <w:color w:val="auto"/>
                <w:sz w:val="24"/>
              </w:rPr>
            </w:pPr>
            <w:r>
              <w:rPr>
                <w:color w:val="auto"/>
                <w:sz w:val="24"/>
              </w:rPr>
              <w:t>项目区所在区域地表水体为</w:t>
            </w:r>
            <w:r>
              <w:rPr>
                <w:rFonts w:hint="eastAsia"/>
                <w:color w:val="auto"/>
                <w:sz w:val="24"/>
              </w:rPr>
              <w:t>南西</w:t>
            </w:r>
            <w:r>
              <w:rPr>
                <w:color w:val="auto"/>
                <w:sz w:val="24"/>
              </w:rPr>
              <w:t>面</w:t>
            </w:r>
            <w:r>
              <w:rPr>
                <w:rFonts w:hint="eastAsia"/>
                <w:color w:val="auto"/>
                <w:sz w:val="24"/>
              </w:rPr>
              <w:t>1380m</w:t>
            </w:r>
            <w:r>
              <w:rPr>
                <w:color w:val="auto"/>
                <w:sz w:val="24"/>
              </w:rPr>
              <w:t>处的</w:t>
            </w:r>
            <w:r>
              <w:rPr>
                <w:rFonts w:hint="eastAsia"/>
                <w:color w:val="auto"/>
                <w:sz w:val="24"/>
              </w:rPr>
              <w:t>普渡河，所在河段为普渡河富明大桥—普渡河桥段</w:t>
            </w:r>
            <w:r>
              <w:rPr>
                <w:color w:val="auto"/>
                <w:sz w:val="24"/>
              </w:rPr>
              <w:t>，根据《云南省地表水</w:t>
            </w:r>
            <w:r>
              <w:rPr>
                <w:rFonts w:hint="eastAsia"/>
                <w:color w:val="auto"/>
                <w:sz w:val="24"/>
              </w:rPr>
              <w:t>水</w:t>
            </w:r>
            <w:r>
              <w:rPr>
                <w:color w:val="auto"/>
                <w:sz w:val="24"/>
              </w:rPr>
              <w:t>环境功能区划》（2010-2020</w:t>
            </w:r>
            <w:r>
              <w:rPr>
                <w:rFonts w:hint="eastAsia"/>
                <w:color w:val="auto"/>
              </w:rPr>
              <w:t>年</w:t>
            </w:r>
            <w:r>
              <w:rPr>
                <w:color w:val="auto"/>
                <w:sz w:val="24"/>
              </w:rPr>
              <w:t>），</w:t>
            </w:r>
            <w:r>
              <w:rPr>
                <w:rFonts w:hint="eastAsia"/>
                <w:color w:val="auto"/>
                <w:sz w:val="24"/>
              </w:rPr>
              <w:t>该段水环境功能为工业用水，水质类别为</w:t>
            </w:r>
            <w:r>
              <w:rPr>
                <w:rFonts w:hint="eastAsia" w:ascii="宋体" w:hAnsi="宋体" w:cs="宋体"/>
                <w:color w:val="auto"/>
                <w:sz w:val="24"/>
              </w:rPr>
              <w:t>Ⅳ</w:t>
            </w:r>
            <w:r>
              <w:rPr>
                <w:rFonts w:hint="eastAsia"/>
                <w:color w:val="auto"/>
                <w:sz w:val="24"/>
              </w:rPr>
              <w:t>类，普渡河</w:t>
            </w:r>
            <w:r>
              <w:rPr>
                <w:color w:val="auto"/>
                <w:sz w:val="24"/>
              </w:rPr>
              <w:t>执行《地表水环境质量标准》（GB3838-2002）</w:t>
            </w:r>
            <w:r>
              <w:rPr>
                <w:rFonts w:hint="eastAsia" w:ascii="宋体" w:hAnsi="宋体" w:cs="宋体"/>
                <w:color w:val="auto"/>
                <w:sz w:val="24"/>
              </w:rPr>
              <w:t>Ⅳ</w:t>
            </w:r>
            <w:r>
              <w:rPr>
                <w:color w:val="auto"/>
                <w:sz w:val="24"/>
              </w:rPr>
              <w:t>类标准。标准值详见表4-2。</w:t>
            </w:r>
          </w:p>
          <w:p>
            <w:pPr>
              <w:ind w:firstLine="422"/>
              <w:jc w:val="center"/>
              <w:rPr>
                <w:b/>
                <w:color w:val="auto"/>
                <w:sz w:val="24"/>
              </w:rPr>
            </w:pPr>
            <w:r>
              <w:rPr>
                <w:b/>
                <w:color w:val="auto"/>
                <w:sz w:val="24"/>
              </w:rPr>
              <w:t>表4-2   地表水环境质量标准   单位：mg/L（pH无量纲）</w:t>
            </w:r>
          </w:p>
          <w:tbl>
            <w:tblPr>
              <w:tblStyle w:val="43"/>
              <w:tblW w:w="783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961"/>
              <w:gridCol w:w="1960"/>
              <w:gridCol w:w="1958"/>
              <w:gridCol w:w="19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1961" w:type="dxa"/>
                  <w:tcBorders>
                    <w:top w:val="single" w:color="auto" w:sz="4" w:space="0"/>
                    <w:bottom w:val="single" w:color="auto" w:sz="6" w:space="0"/>
                  </w:tcBorders>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项目</w:t>
                  </w:r>
                </w:p>
              </w:tc>
              <w:tc>
                <w:tcPr>
                  <w:tcW w:w="1960" w:type="dxa"/>
                  <w:tcBorders>
                    <w:top w:val="single" w:color="auto" w:sz="4" w:space="0"/>
                    <w:bottom w:val="single" w:color="auto" w:sz="6" w:space="0"/>
                  </w:tcBorders>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标准值</w:t>
                  </w:r>
                </w:p>
              </w:tc>
              <w:tc>
                <w:tcPr>
                  <w:tcW w:w="1958" w:type="dxa"/>
                  <w:tcBorders>
                    <w:top w:val="single" w:color="auto" w:sz="4" w:space="0"/>
                    <w:bottom w:val="single" w:color="auto" w:sz="6" w:space="0"/>
                  </w:tcBorders>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项目</w:t>
                  </w:r>
                </w:p>
              </w:tc>
              <w:tc>
                <w:tcPr>
                  <w:tcW w:w="1960" w:type="dxa"/>
                  <w:tcBorders>
                    <w:top w:val="single" w:color="auto" w:sz="4" w:space="0"/>
                    <w:bottom w:val="single" w:color="auto" w:sz="6" w:space="0"/>
                  </w:tcBorders>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标准值</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961" w:type="dxa"/>
                  <w:tcBorders>
                    <w:top w:val="single" w:color="auto" w:sz="6" w:space="0"/>
                  </w:tcBorders>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pH</w:t>
                  </w:r>
                </w:p>
              </w:tc>
              <w:tc>
                <w:tcPr>
                  <w:tcW w:w="1960" w:type="dxa"/>
                  <w:tcBorders>
                    <w:top w:val="single" w:color="auto" w:sz="6" w:space="0"/>
                  </w:tcBorders>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6～9</w:t>
                  </w:r>
                </w:p>
              </w:tc>
              <w:tc>
                <w:tcPr>
                  <w:tcW w:w="1958" w:type="dxa"/>
                  <w:tcBorders>
                    <w:top w:val="single" w:color="auto" w:sz="6" w:space="0"/>
                  </w:tcBorders>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溶解氧</w:t>
                  </w:r>
                </w:p>
              </w:tc>
              <w:tc>
                <w:tcPr>
                  <w:tcW w:w="1960" w:type="dxa"/>
                  <w:tcBorders>
                    <w:top w:val="single" w:color="auto" w:sz="6" w:space="0"/>
                  </w:tcBorders>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w:t>
                  </w:r>
                  <w:r>
                    <w:rPr>
                      <w:rFonts w:hint="eastAsia"/>
                      <w:bCs/>
                      <w:caps/>
                      <w:snapToGrid w:val="0"/>
                      <w:color w:val="auto"/>
                      <w:kern w:val="0"/>
                      <w:szCs w:val="21"/>
                    </w:rPr>
                    <w:t>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961"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COD</w:t>
                  </w:r>
                </w:p>
              </w:tc>
              <w:tc>
                <w:tcPr>
                  <w:tcW w:w="1960"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w:t>
                  </w:r>
                  <w:r>
                    <w:rPr>
                      <w:rFonts w:hint="eastAsia"/>
                      <w:bCs/>
                      <w:caps/>
                      <w:snapToGrid w:val="0"/>
                      <w:color w:val="auto"/>
                      <w:kern w:val="0"/>
                      <w:szCs w:val="21"/>
                    </w:rPr>
                    <w:t>30</w:t>
                  </w:r>
                </w:p>
              </w:tc>
              <w:tc>
                <w:tcPr>
                  <w:tcW w:w="1958"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总磷</w:t>
                  </w:r>
                </w:p>
              </w:tc>
              <w:tc>
                <w:tcPr>
                  <w:tcW w:w="1960"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≤0.</w:t>
                  </w:r>
                  <w:r>
                    <w:rPr>
                      <w:rFonts w:hint="eastAsia"/>
                      <w:bCs/>
                      <w:caps/>
                      <w:snapToGrid w:val="0"/>
                      <w:color w:val="auto"/>
                      <w:kern w:val="0"/>
                      <w:szCs w:val="21"/>
                    </w:rPr>
                    <w:t>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961"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BOD</w:t>
                  </w:r>
                  <w:r>
                    <w:rPr>
                      <w:bCs/>
                      <w:caps/>
                      <w:snapToGrid w:val="0"/>
                      <w:color w:val="auto"/>
                      <w:kern w:val="0"/>
                      <w:szCs w:val="21"/>
                      <w:vertAlign w:val="subscript"/>
                    </w:rPr>
                    <w:t>5</w:t>
                  </w:r>
                </w:p>
              </w:tc>
              <w:tc>
                <w:tcPr>
                  <w:tcW w:w="1960"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w:t>
                  </w:r>
                  <w:r>
                    <w:rPr>
                      <w:rFonts w:hint="eastAsia"/>
                      <w:bCs/>
                      <w:caps/>
                      <w:snapToGrid w:val="0"/>
                      <w:color w:val="auto"/>
                      <w:kern w:val="0"/>
                      <w:szCs w:val="21"/>
                    </w:rPr>
                    <w:t>6</w:t>
                  </w:r>
                </w:p>
              </w:tc>
              <w:tc>
                <w:tcPr>
                  <w:tcW w:w="1958"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石油类</w:t>
                  </w:r>
                </w:p>
              </w:tc>
              <w:tc>
                <w:tcPr>
                  <w:tcW w:w="1960"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≤0.5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961"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NH</w:t>
                  </w:r>
                  <w:r>
                    <w:rPr>
                      <w:bCs/>
                      <w:caps/>
                      <w:snapToGrid w:val="0"/>
                      <w:color w:val="auto"/>
                      <w:kern w:val="0"/>
                      <w:szCs w:val="21"/>
                      <w:vertAlign w:val="subscript"/>
                    </w:rPr>
                    <w:t>3</w:t>
                  </w:r>
                  <w:r>
                    <w:rPr>
                      <w:bCs/>
                      <w:caps/>
                      <w:snapToGrid w:val="0"/>
                      <w:color w:val="auto"/>
                      <w:kern w:val="0"/>
                      <w:szCs w:val="21"/>
                    </w:rPr>
                    <w:t>-N</w:t>
                  </w:r>
                </w:p>
              </w:tc>
              <w:tc>
                <w:tcPr>
                  <w:tcW w:w="1960"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≤1.</w:t>
                  </w:r>
                  <w:r>
                    <w:rPr>
                      <w:rFonts w:hint="eastAsia"/>
                      <w:bCs/>
                      <w:caps/>
                      <w:snapToGrid w:val="0"/>
                      <w:color w:val="auto"/>
                      <w:kern w:val="0"/>
                      <w:szCs w:val="21"/>
                    </w:rPr>
                    <w:t>5</w:t>
                  </w:r>
                </w:p>
              </w:tc>
              <w:tc>
                <w:tcPr>
                  <w:tcW w:w="1958"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粪大肠菌群</w:t>
                  </w:r>
                </w:p>
              </w:tc>
              <w:tc>
                <w:tcPr>
                  <w:tcW w:w="1960" w:type="dxa"/>
                  <w:vAlign w:val="center"/>
                </w:tcPr>
                <w:p>
                  <w:pPr>
                    <w:tabs>
                      <w:tab w:val="left" w:leader="middleDot" w:pos="8399"/>
                    </w:tabs>
                    <w:snapToGrid w:val="0"/>
                    <w:jc w:val="center"/>
                    <w:rPr>
                      <w:bCs/>
                      <w:caps/>
                      <w:snapToGrid w:val="0"/>
                      <w:color w:val="auto"/>
                      <w:kern w:val="0"/>
                      <w:szCs w:val="21"/>
                    </w:rPr>
                  </w:pPr>
                  <w:r>
                    <w:rPr>
                      <w:bCs/>
                      <w:caps/>
                      <w:snapToGrid w:val="0"/>
                      <w:color w:val="auto"/>
                      <w:kern w:val="0"/>
                      <w:szCs w:val="21"/>
                    </w:rPr>
                    <w:t>≤</w:t>
                  </w:r>
                  <w:r>
                    <w:rPr>
                      <w:rFonts w:hint="eastAsia"/>
                      <w:bCs/>
                      <w:caps/>
                      <w:snapToGrid w:val="0"/>
                      <w:color w:val="auto"/>
                      <w:kern w:val="0"/>
                      <w:szCs w:val="21"/>
                    </w:rPr>
                    <w:t>2</w:t>
                  </w:r>
                  <w:r>
                    <w:rPr>
                      <w:bCs/>
                      <w:caps/>
                      <w:snapToGrid w:val="0"/>
                      <w:color w:val="auto"/>
                      <w:kern w:val="0"/>
                      <w:szCs w:val="21"/>
                    </w:rPr>
                    <w:t>0000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7839" w:type="dxa"/>
                  <w:gridSpan w:val="4"/>
                  <w:vAlign w:val="center"/>
                </w:tcPr>
                <w:p>
                  <w:pPr>
                    <w:tabs>
                      <w:tab w:val="left" w:leader="middleDot" w:pos="8399"/>
                    </w:tabs>
                    <w:snapToGrid w:val="0"/>
                    <w:rPr>
                      <w:bCs/>
                      <w:caps/>
                      <w:snapToGrid w:val="0"/>
                      <w:color w:val="auto"/>
                      <w:kern w:val="0"/>
                      <w:szCs w:val="21"/>
                    </w:rPr>
                  </w:pPr>
                  <w:r>
                    <w:rPr>
                      <w:snapToGrid w:val="0"/>
                      <w:color w:val="auto"/>
                      <w:kern w:val="0"/>
                      <w:szCs w:val="21"/>
                    </w:rPr>
                    <w:t>注：pH无量纲，</w:t>
                  </w:r>
                  <w:r>
                    <w:rPr>
                      <w:bCs/>
                      <w:caps/>
                      <w:snapToGrid w:val="0"/>
                      <w:color w:val="auto"/>
                      <w:kern w:val="0"/>
                      <w:szCs w:val="21"/>
                    </w:rPr>
                    <w:t>粪大肠菌群（个/L）</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auto"/>
                <w:sz w:val="24"/>
                <w:szCs w:val="24"/>
                <w:lang w:val="en-US" w:eastAsia="zh-CN"/>
              </w:rPr>
            </w:pPr>
            <w:r>
              <w:rPr>
                <w:rFonts w:hint="default" w:ascii="Times New Roman" w:hAnsi="Times New Roman" w:cs="Times New Roman"/>
                <w:b w:val="0"/>
                <w:bCs/>
                <w:color w:val="auto"/>
                <w:sz w:val="24"/>
                <w:szCs w:val="24"/>
                <w:lang w:val="en-US" w:eastAsia="zh-CN"/>
              </w:rPr>
              <w:t>2.2地下水</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lang w:val="en-US" w:eastAsia="zh-CN"/>
              </w:rPr>
            </w:pPr>
            <w:r>
              <w:rPr>
                <w:rFonts w:hint="eastAsia" w:ascii="Times New Roman" w:hAnsi="Times New Roman" w:cs="Times New Roman"/>
                <w:b w:val="0"/>
                <w:bCs/>
                <w:color w:val="auto"/>
                <w:sz w:val="24"/>
                <w:szCs w:val="24"/>
                <w:lang w:val="en-US" w:eastAsia="zh-CN"/>
              </w:rPr>
              <w:t>该项目为混凝土加工以及少量钢筋加工，属于非金属矿物制品业中50砼结构构件制造、商品混凝土加工，</w:t>
            </w:r>
            <w:r>
              <w:rPr>
                <w:rFonts w:hint="eastAsia" w:ascii="Times New Roman" w:hAnsi="Times New Roman" w:cs="Times New Roman"/>
                <w:b w:val="0"/>
                <w:bCs/>
                <w:color w:val="auto"/>
                <w:sz w:val="24"/>
                <w:szCs w:val="24"/>
                <w:lang w:val="en-US" w:eastAsia="zh-CN"/>
              </w:rPr>
              <w:t>以及二十二、金属制品业中67金属制品加工制造中的其他类，</w:t>
            </w:r>
            <w:r>
              <w:rPr>
                <w:rFonts w:hint="eastAsia" w:ascii="Times New Roman" w:hAnsi="Times New Roman" w:cs="Times New Roman"/>
                <w:b w:val="0"/>
                <w:bCs/>
                <w:color w:val="auto"/>
                <w:sz w:val="24"/>
                <w:szCs w:val="24"/>
                <w:lang w:val="en-US" w:eastAsia="zh-CN"/>
              </w:rPr>
              <w:t>编制环境影响报告表。根据《环境影响评价技术导则 地下水环境》（HJ610-2016）可知，砼结构构件制造、商品混凝土加工以及金属制品加工制造中的其他类地下水评价等级为</w:t>
            </w:r>
            <w:r>
              <w:rPr>
                <w:rFonts w:hint="eastAsia" w:ascii="宋体" w:hAnsi="宋体" w:eastAsia="宋体" w:cs="宋体"/>
                <w:b w:val="0"/>
                <w:bCs/>
                <w:color w:val="auto"/>
                <w:sz w:val="24"/>
                <w:szCs w:val="24"/>
                <w:lang w:val="en-US" w:eastAsia="zh-CN"/>
              </w:rPr>
              <w:t>Ⅳ</w:t>
            </w:r>
            <w:r>
              <w:rPr>
                <w:rFonts w:hint="eastAsia" w:ascii="Times New Roman" w:hAnsi="Times New Roman" w:cs="Times New Roman"/>
                <w:b w:val="0"/>
                <w:bCs/>
                <w:color w:val="auto"/>
                <w:sz w:val="24"/>
                <w:szCs w:val="24"/>
                <w:lang w:val="en-US" w:eastAsia="zh-CN"/>
              </w:rPr>
              <w:t>级，因此不做地下水评价。</w:t>
            </w:r>
          </w:p>
          <w:p>
            <w:pPr>
              <w:spacing w:line="360" w:lineRule="auto"/>
              <w:rPr>
                <w:b/>
                <w:color w:val="auto"/>
                <w:sz w:val="28"/>
                <w:szCs w:val="28"/>
              </w:rPr>
            </w:pPr>
            <w:r>
              <w:rPr>
                <w:b/>
                <w:color w:val="auto"/>
                <w:sz w:val="24"/>
                <w:szCs w:val="24"/>
              </w:rPr>
              <w:t>3.声环境</w:t>
            </w:r>
          </w:p>
          <w:p>
            <w:pPr>
              <w:spacing w:line="360" w:lineRule="auto"/>
              <w:ind w:firstLine="480" w:firstLineChars="200"/>
              <w:rPr>
                <w:color w:val="auto"/>
                <w:sz w:val="24"/>
              </w:rPr>
            </w:pPr>
            <w:r>
              <w:rPr>
                <w:color w:val="auto"/>
                <w:sz w:val="24"/>
              </w:rPr>
              <w:t>项目区位于</w:t>
            </w:r>
            <w:r>
              <w:rPr>
                <w:rFonts w:hint="eastAsia"/>
                <w:color w:val="auto"/>
                <w:sz w:val="24"/>
              </w:rPr>
              <w:t>富明县东村镇西村村</w:t>
            </w:r>
            <w:r>
              <w:rPr>
                <w:color w:val="auto"/>
                <w:sz w:val="24"/>
              </w:rPr>
              <w:t>，声环境执行《声环境质量标准》（GB3096－2008）的</w:t>
            </w:r>
            <w:r>
              <w:rPr>
                <w:rFonts w:hint="eastAsia"/>
                <w:color w:val="auto"/>
                <w:sz w:val="24"/>
              </w:rPr>
              <w:t>2</w:t>
            </w:r>
            <w:r>
              <w:rPr>
                <w:color w:val="auto"/>
                <w:sz w:val="24"/>
              </w:rPr>
              <w:t>类标准。标准值见表4-</w:t>
            </w:r>
            <w:r>
              <w:rPr>
                <w:rFonts w:hint="eastAsia"/>
                <w:color w:val="auto"/>
                <w:sz w:val="24"/>
                <w:lang w:val="en-US" w:eastAsia="zh-CN"/>
              </w:rPr>
              <w:t>3</w:t>
            </w:r>
            <w:r>
              <w:rPr>
                <w:color w:val="auto"/>
                <w:sz w:val="24"/>
              </w:rPr>
              <w:t>。</w:t>
            </w:r>
          </w:p>
          <w:p>
            <w:pPr>
              <w:ind w:firstLine="422"/>
              <w:jc w:val="center"/>
              <w:rPr>
                <w:b/>
                <w:color w:val="auto"/>
                <w:sz w:val="24"/>
              </w:rPr>
            </w:pPr>
            <w:r>
              <w:rPr>
                <w:b/>
                <w:color w:val="auto"/>
                <w:sz w:val="24"/>
              </w:rPr>
              <w:t>表4-</w:t>
            </w:r>
            <w:r>
              <w:rPr>
                <w:rFonts w:hint="eastAsia"/>
                <w:b/>
                <w:color w:val="auto"/>
                <w:sz w:val="24"/>
                <w:lang w:val="en-US" w:eastAsia="zh-CN"/>
              </w:rPr>
              <w:t>3</w:t>
            </w:r>
            <w:r>
              <w:rPr>
                <w:b/>
                <w:color w:val="auto"/>
                <w:sz w:val="24"/>
              </w:rPr>
              <w:t xml:space="preserve">  声环境质量标准     单位：Leq【dB(A)】</w:t>
            </w:r>
          </w:p>
          <w:tbl>
            <w:tblPr>
              <w:tblStyle w:val="43"/>
              <w:tblW w:w="7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1"/>
              <w:gridCol w:w="2909"/>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2021" w:type="dxa"/>
                  <w:vAlign w:val="center"/>
                </w:tcPr>
                <w:p>
                  <w:pPr>
                    <w:jc w:val="center"/>
                    <w:rPr>
                      <w:color w:val="auto"/>
                      <w:szCs w:val="21"/>
                    </w:rPr>
                  </w:pPr>
                  <w:r>
                    <w:rPr>
                      <w:color w:val="auto"/>
                      <w:szCs w:val="21"/>
                    </w:rPr>
                    <w:t>类别</w:t>
                  </w:r>
                </w:p>
              </w:tc>
              <w:tc>
                <w:tcPr>
                  <w:tcW w:w="2909" w:type="dxa"/>
                  <w:vAlign w:val="center"/>
                </w:tcPr>
                <w:p>
                  <w:pPr>
                    <w:ind w:firstLine="945" w:firstLineChars="450"/>
                    <w:rPr>
                      <w:color w:val="auto"/>
                      <w:szCs w:val="21"/>
                    </w:rPr>
                  </w:pPr>
                  <w:r>
                    <w:rPr>
                      <w:color w:val="auto"/>
                      <w:szCs w:val="21"/>
                    </w:rPr>
                    <w:t>昼间</w:t>
                  </w:r>
                </w:p>
              </w:tc>
              <w:tc>
                <w:tcPr>
                  <w:tcW w:w="2909" w:type="dxa"/>
                  <w:vAlign w:val="center"/>
                </w:tcPr>
                <w:p>
                  <w:pPr>
                    <w:jc w:val="center"/>
                    <w:rPr>
                      <w:color w:val="auto"/>
                      <w:szCs w:val="21"/>
                    </w:rPr>
                  </w:pPr>
                  <w:r>
                    <w:rPr>
                      <w:color w:val="auto"/>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021" w:type="dxa"/>
                  <w:vAlign w:val="center"/>
                </w:tcPr>
                <w:p>
                  <w:pPr>
                    <w:ind w:firstLine="735" w:firstLineChars="350"/>
                    <w:rPr>
                      <w:color w:val="auto"/>
                      <w:szCs w:val="21"/>
                    </w:rPr>
                  </w:pPr>
                  <w:r>
                    <w:rPr>
                      <w:rFonts w:hint="eastAsia"/>
                      <w:color w:val="auto"/>
                      <w:szCs w:val="21"/>
                    </w:rPr>
                    <w:t>2</w:t>
                  </w:r>
                  <w:r>
                    <w:rPr>
                      <w:color w:val="auto"/>
                      <w:szCs w:val="21"/>
                    </w:rPr>
                    <w:t>类</w:t>
                  </w:r>
                </w:p>
              </w:tc>
              <w:tc>
                <w:tcPr>
                  <w:tcW w:w="2909" w:type="dxa"/>
                  <w:vAlign w:val="center"/>
                </w:tcPr>
                <w:p>
                  <w:pPr>
                    <w:ind w:firstLine="1050" w:firstLineChars="500"/>
                    <w:rPr>
                      <w:rFonts w:eastAsia="Calibri"/>
                      <w:color w:val="auto"/>
                      <w:szCs w:val="21"/>
                    </w:rPr>
                  </w:pPr>
                  <w:r>
                    <w:rPr>
                      <w:color w:val="auto"/>
                      <w:szCs w:val="21"/>
                    </w:rPr>
                    <w:t>6</w:t>
                  </w:r>
                  <w:r>
                    <w:rPr>
                      <w:rFonts w:hint="eastAsia"/>
                      <w:color w:val="auto"/>
                      <w:szCs w:val="21"/>
                    </w:rPr>
                    <w:t>0</w:t>
                  </w:r>
                </w:p>
              </w:tc>
              <w:tc>
                <w:tcPr>
                  <w:tcW w:w="2909" w:type="dxa"/>
                  <w:vAlign w:val="center"/>
                </w:tcPr>
                <w:p>
                  <w:pPr>
                    <w:jc w:val="center"/>
                    <w:rPr>
                      <w:rFonts w:eastAsia="Calibri"/>
                      <w:color w:val="auto"/>
                      <w:szCs w:val="21"/>
                    </w:rPr>
                  </w:pPr>
                  <w:r>
                    <w:rPr>
                      <w:color w:val="auto"/>
                      <w:szCs w:val="21"/>
                    </w:rPr>
                    <w:t>5</w:t>
                  </w:r>
                  <w:r>
                    <w:rPr>
                      <w:rFonts w:hint="eastAsia"/>
                      <w:color w:val="auto"/>
                      <w:szCs w:val="21"/>
                    </w:rPr>
                    <w:t>0</w:t>
                  </w:r>
                </w:p>
              </w:tc>
            </w:tr>
          </w:tbl>
          <w:p>
            <w:pPr>
              <w:pStyle w:val="2"/>
              <w:spacing w:line="240" w:lineRule="auto"/>
              <w:ind w:firstLine="480" w:firstLineChars="200"/>
              <w:rPr>
                <w:color w:val="auto"/>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3" w:hRule="atLeast"/>
        </w:trPr>
        <w:tc>
          <w:tcPr>
            <w:tcW w:w="503" w:type="dxa"/>
            <w:vAlign w:val="center"/>
          </w:tcPr>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污</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染</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物</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排</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放</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标</w:t>
            </w:r>
          </w:p>
          <w:p>
            <w:pPr>
              <w:spacing w:line="360" w:lineRule="auto"/>
              <w:jc w:val="center"/>
              <w:rPr>
                <w:rFonts w:ascii="Times New Roman" w:hAnsi="Times New Roman"/>
                <w:color w:val="auto"/>
              </w:rPr>
            </w:pPr>
            <w:r>
              <w:rPr>
                <w:rFonts w:ascii="Times New Roman" w:hAnsi="Times New Roman"/>
                <w:color w:val="auto"/>
                <w:kern w:val="0"/>
                <w:sz w:val="24"/>
                <w:szCs w:val="21"/>
              </w:rPr>
              <w:t>准</w:t>
            </w:r>
          </w:p>
        </w:tc>
        <w:tc>
          <w:tcPr>
            <w:tcW w:w="8065" w:type="dxa"/>
          </w:tcPr>
          <w:p>
            <w:pPr>
              <w:tabs>
                <w:tab w:val="left" w:pos="2395"/>
              </w:tabs>
              <w:spacing w:line="360" w:lineRule="auto"/>
              <w:jc w:val="left"/>
              <w:rPr>
                <w:rFonts w:ascii="Times New Roman" w:hAnsi="Times New Roman"/>
                <w:b/>
                <w:bCs/>
                <w:color w:val="auto"/>
                <w:spacing w:val="2"/>
                <w:kern w:val="0"/>
                <w:sz w:val="24"/>
                <w:szCs w:val="24"/>
              </w:rPr>
            </w:pPr>
            <w:r>
              <w:rPr>
                <w:rFonts w:ascii="Times New Roman" w:hAnsi="Times New Roman"/>
                <w:b/>
                <w:bCs/>
                <w:color w:val="auto"/>
                <w:spacing w:val="2"/>
                <w:kern w:val="0"/>
                <w:sz w:val="24"/>
                <w:szCs w:val="24"/>
              </w:rPr>
              <w:t>1、废气排放标准</w:t>
            </w:r>
          </w:p>
          <w:p>
            <w:pPr>
              <w:spacing w:line="360" w:lineRule="auto"/>
              <w:rPr>
                <w:b/>
                <w:color w:val="auto"/>
                <w:sz w:val="24"/>
                <w:szCs w:val="24"/>
              </w:rPr>
            </w:pPr>
            <w:r>
              <w:rPr>
                <w:b/>
                <w:color w:val="auto"/>
                <w:sz w:val="24"/>
                <w:szCs w:val="24"/>
              </w:rPr>
              <w:t>1.废气</w:t>
            </w:r>
          </w:p>
          <w:p>
            <w:pPr>
              <w:spacing w:line="360" w:lineRule="auto"/>
              <w:ind w:firstLine="480" w:firstLineChars="200"/>
              <w:rPr>
                <w:b/>
                <w:color w:val="auto"/>
                <w:sz w:val="24"/>
              </w:rPr>
            </w:pPr>
            <w:r>
              <w:rPr>
                <w:color w:val="auto"/>
                <w:sz w:val="24"/>
              </w:rPr>
              <w:t>（1）</w:t>
            </w:r>
            <w:r>
              <w:rPr>
                <w:b/>
                <w:color w:val="auto"/>
                <w:sz w:val="24"/>
              </w:rPr>
              <w:t>施工期：</w:t>
            </w:r>
          </w:p>
          <w:p>
            <w:pPr>
              <w:spacing w:line="360" w:lineRule="auto"/>
              <w:ind w:firstLine="480" w:firstLineChars="200"/>
              <w:contextualSpacing/>
              <w:rPr>
                <w:color w:val="auto"/>
                <w:sz w:val="24"/>
              </w:rPr>
            </w:pPr>
            <w:r>
              <w:rPr>
                <w:color w:val="auto"/>
                <w:sz w:val="24"/>
              </w:rPr>
              <w:t>施工期执行《大气污染物综合排放标准》（GB16297-1996）表2新污染源大气污染物排放限值中无组织排放浓度监控限值。</w:t>
            </w:r>
          </w:p>
          <w:p>
            <w:pPr>
              <w:ind w:firstLine="422"/>
              <w:jc w:val="center"/>
              <w:rPr>
                <w:b/>
                <w:color w:val="auto"/>
                <w:sz w:val="24"/>
              </w:rPr>
            </w:pPr>
            <w:r>
              <w:rPr>
                <w:b/>
                <w:color w:val="auto"/>
                <w:sz w:val="24"/>
              </w:rPr>
              <w:t>表4-</w:t>
            </w:r>
            <w:r>
              <w:rPr>
                <w:rFonts w:hint="eastAsia"/>
                <w:b/>
                <w:color w:val="auto"/>
                <w:sz w:val="24"/>
                <w:lang w:val="en-US" w:eastAsia="zh-CN"/>
              </w:rPr>
              <w:t>4</w:t>
            </w:r>
            <w:r>
              <w:rPr>
                <w:b/>
                <w:color w:val="auto"/>
                <w:sz w:val="24"/>
              </w:rPr>
              <w:t xml:space="preserve">  大气污染物无组织排放标准限值一览表  单位：mg/m</w:t>
            </w:r>
            <w:r>
              <w:rPr>
                <w:b/>
                <w:color w:val="auto"/>
                <w:sz w:val="24"/>
                <w:vertAlign w:val="superscript"/>
              </w:rPr>
              <w:t>3</w:t>
            </w:r>
          </w:p>
          <w:tbl>
            <w:tblPr>
              <w:tblStyle w:val="43"/>
              <w:tblW w:w="783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837"/>
              <w:gridCol w:w="50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37" w:type="dxa"/>
                  <w:tcBorders>
                    <w:top w:val="single" w:color="auto" w:sz="4" w:space="0"/>
                    <w:bottom w:val="single" w:color="auto" w:sz="4" w:space="0"/>
                  </w:tcBorders>
                  <w:vAlign w:val="center"/>
                </w:tcPr>
                <w:p>
                  <w:pPr>
                    <w:contextualSpacing/>
                    <w:jc w:val="center"/>
                    <w:rPr>
                      <w:color w:val="auto"/>
                    </w:rPr>
                  </w:pPr>
                  <w:r>
                    <w:rPr>
                      <w:color w:val="auto"/>
                    </w:rPr>
                    <w:t>污染物名称</w:t>
                  </w:r>
                </w:p>
              </w:tc>
              <w:tc>
                <w:tcPr>
                  <w:tcW w:w="5000" w:type="dxa"/>
                  <w:tcBorders>
                    <w:right w:val="single" w:color="auto" w:sz="4" w:space="0"/>
                  </w:tcBorders>
                  <w:vAlign w:val="center"/>
                </w:tcPr>
                <w:p>
                  <w:pPr>
                    <w:pStyle w:val="271"/>
                    <w:adjustRightInd/>
                    <w:snapToGrid/>
                    <w:contextualSpacing/>
                    <w:rPr>
                      <w:color w:val="auto"/>
                    </w:rPr>
                  </w:pPr>
                  <w:r>
                    <w:rPr>
                      <w:color w:val="auto"/>
                    </w:rPr>
                    <w:t>周界外浓度最高点 无组织排放标准限值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837" w:type="dxa"/>
                  <w:tcBorders>
                    <w:top w:val="single" w:color="auto" w:sz="4" w:space="0"/>
                    <w:bottom w:val="single" w:color="auto" w:sz="4" w:space="0"/>
                  </w:tcBorders>
                  <w:vAlign w:val="center"/>
                </w:tcPr>
                <w:p>
                  <w:pPr>
                    <w:contextualSpacing/>
                    <w:jc w:val="center"/>
                    <w:rPr>
                      <w:color w:val="auto"/>
                    </w:rPr>
                  </w:pPr>
                  <w:r>
                    <w:rPr>
                      <w:color w:val="auto"/>
                    </w:rPr>
                    <w:t>颗粒物</w:t>
                  </w:r>
                </w:p>
              </w:tc>
              <w:tc>
                <w:tcPr>
                  <w:tcW w:w="5000" w:type="dxa"/>
                  <w:tcBorders>
                    <w:right w:val="single" w:color="auto" w:sz="4" w:space="0"/>
                  </w:tcBorders>
                  <w:vAlign w:val="center"/>
                </w:tcPr>
                <w:p>
                  <w:pPr>
                    <w:pStyle w:val="271"/>
                    <w:adjustRightInd/>
                    <w:snapToGrid/>
                    <w:contextualSpacing/>
                    <w:rPr>
                      <w:color w:val="auto"/>
                    </w:rPr>
                  </w:pPr>
                  <w:r>
                    <w:rPr>
                      <w:color w:val="auto"/>
                    </w:rPr>
                    <w:t>≤1.0</w:t>
                  </w:r>
                </w:p>
              </w:tc>
            </w:tr>
          </w:tbl>
          <w:p>
            <w:pPr>
              <w:spacing w:line="360" w:lineRule="auto"/>
              <w:ind w:firstLine="470" w:firstLineChars="196"/>
              <w:rPr>
                <w:b/>
                <w:bCs/>
                <w:color w:val="auto"/>
                <w:sz w:val="24"/>
              </w:rPr>
            </w:pPr>
            <w:r>
              <w:rPr>
                <w:color w:val="auto"/>
                <w:sz w:val="24"/>
              </w:rPr>
              <w:t>（</w:t>
            </w:r>
            <w:r>
              <w:rPr>
                <w:rFonts w:hint="eastAsia"/>
                <w:color w:val="auto"/>
                <w:sz w:val="24"/>
              </w:rPr>
              <w:t>2</w:t>
            </w:r>
            <w:r>
              <w:rPr>
                <w:color w:val="auto"/>
                <w:sz w:val="24"/>
              </w:rPr>
              <w:t>）</w:t>
            </w:r>
            <w:r>
              <w:rPr>
                <w:b/>
                <w:bCs/>
                <w:color w:val="auto"/>
                <w:sz w:val="24"/>
              </w:rPr>
              <w:t>运营期：</w:t>
            </w:r>
          </w:p>
          <w:p>
            <w:pPr>
              <w:spacing w:line="440" w:lineRule="exact"/>
              <w:ind w:firstLine="480" w:firstLineChars="200"/>
              <w:rPr>
                <w:color w:val="auto"/>
                <w:sz w:val="24"/>
              </w:rPr>
            </w:pPr>
            <w:r>
              <w:rPr>
                <w:color w:val="auto"/>
                <w:sz w:val="24"/>
              </w:rPr>
              <w:t>项目</w:t>
            </w:r>
            <w:r>
              <w:rPr>
                <w:rFonts w:hint="eastAsia"/>
                <w:color w:val="auto"/>
                <w:sz w:val="24"/>
              </w:rPr>
              <w:t>运营期</w:t>
            </w:r>
            <w:r>
              <w:rPr>
                <w:color w:val="auto"/>
                <w:sz w:val="24"/>
              </w:rPr>
              <w:t>颗粒物执行《</w:t>
            </w:r>
            <w:r>
              <w:rPr>
                <w:rFonts w:hint="eastAsia"/>
                <w:color w:val="auto"/>
                <w:sz w:val="24"/>
              </w:rPr>
              <w:t>水泥工业</w:t>
            </w:r>
            <w:r>
              <w:rPr>
                <w:color w:val="auto"/>
                <w:sz w:val="24"/>
              </w:rPr>
              <w:t>大气污染物排放标准》（GB</w:t>
            </w:r>
            <w:r>
              <w:rPr>
                <w:rFonts w:hint="eastAsia"/>
                <w:color w:val="auto"/>
                <w:sz w:val="24"/>
              </w:rPr>
              <w:t>4915-2013</w:t>
            </w:r>
            <w:r>
              <w:rPr>
                <w:color w:val="auto"/>
                <w:sz w:val="24"/>
              </w:rPr>
              <w:t>）表</w:t>
            </w:r>
            <w:r>
              <w:rPr>
                <w:rFonts w:hint="eastAsia"/>
                <w:color w:val="auto"/>
                <w:sz w:val="24"/>
              </w:rPr>
              <w:t>1标准水泥制品生产相关标准限值</w:t>
            </w:r>
            <w:r>
              <w:rPr>
                <w:color w:val="auto"/>
                <w:sz w:val="24"/>
              </w:rPr>
              <w:t>。具体标准限值见</w:t>
            </w:r>
            <w:r>
              <w:rPr>
                <w:rFonts w:hint="eastAsia"/>
                <w:color w:val="auto"/>
                <w:sz w:val="24"/>
              </w:rPr>
              <w:t>表4-</w:t>
            </w:r>
            <w:r>
              <w:rPr>
                <w:rFonts w:hint="eastAsia"/>
                <w:color w:val="auto"/>
                <w:sz w:val="24"/>
                <w:lang w:val="en-US" w:eastAsia="zh-CN"/>
              </w:rPr>
              <w:t>5</w:t>
            </w:r>
            <w:r>
              <w:rPr>
                <w:color w:val="auto"/>
                <w:sz w:val="24"/>
              </w:rPr>
              <w:t>：</w:t>
            </w:r>
          </w:p>
          <w:p>
            <w:pPr>
              <w:spacing w:line="360" w:lineRule="auto"/>
              <w:jc w:val="center"/>
              <w:rPr>
                <w:b/>
                <w:color w:val="auto"/>
                <w:sz w:val="24"/>
              </w:rPr>
            </w:pPr>
            <w:r>
              <w:rPr>
                <w:rFonts w:hint="eastAsia"/>
                <w:b/>
                <w:color w:val="auto"/>
                <w:sz w:val="24"/>
              </w:rPr>
              <w:t>表4-</w:t>
            </w:r>
            <w:r>
              <w:rPr>
                <w:rFonts w:hint="eastAsia"/>
                <w:b/>
                <w:color w:val="auto"/>
                <w:sz w:val="24"/>
                <w:lang w:val="en-US" w:eastAsia="zh-CN"/>
              </w:rPr>
              <w:t>5</w:t>
            </w:r>
            <w:r>
              <w:rPr>
                <w:rFonts w:hint="eastAsia"/>
                <w:b/>
                <w:color w:val="auto"/>
                <w:sz w:val="24"/>
              </w:rPr>
              <w:t xml:space="preserve"> 水泥工业大气污染物排放限值</w:t>
            </w:r>
          </w:p>
          <w:tbl>
            <w:tblPr>
              <w:tblStyle w:val="43"/>
              <w:tblW w:w="7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3"/>
              <w:gridCol w:w="1805"/>
              <w:gridCol w:w="3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8" w:type="dxa"/>
                  <w:gridSpan w:val="2"/>
                  <w:tcBorders>
                    <w:top w:val="single" w:color="auto" w:sz="4" w:space="0"/>
                    <w:left w:val="single" w:color="auto" w:sz="4" w:space="0"/>
                    <w:bottom w:val="single" w:color="auto" w:sz="4" w:space="0"/>
                    <w:right w:val="single" w:color="auto" w:sz="4" w:space="0"/>
                  </w:tcBorders>
                  <w:vAlign w:val="center"/>
                </w:tcPr>
                <w:p>
                  <w:pPr>
                    <w:tabs>
                      <w:tab w:val="left" w:pos="2395"/>
                    </w:tabs>
                    <w:spacing w:line="360" w:lineRule="auto"/>
                    <w:jc w:val="center"/>
                    <w:rPr>
                      <w:bCs/>
                      <w:color w:val="auto"/>
                      <w:szCs w:val="21"/>
                    </w:rPr>
                  </w:pPr>
                  <w:r>
                    <w:rPr>
                      <w:rFonts w:hint="eastAsia" w:cs="宋体"/>
                      <w:bCs/>
                      <w:color w:val="auto"/>
                      <w:szCs w:val="21"/>
                    </w:rPr>
                    <w:t>污染物</w:t>
                  </w:r>
                </w:p>
              </w:tc>
              <w:tc>
                <w:tcPr>
                  <w:tcW w:w="3931" w:type="dxa"/>
                  <w:tcBorders>
                    <w:top w:val="single" w:color="auto" w:sz="4" w:space="0"/>
                    <w:left w:val="single" w:color="auto" w:sz="4" w:space="0"/>
                    <w:bottom w:val="single" w:color="auto" w:sz="4" w:space="0"/>
                    <w:right w:val="single" w:color="auto" w:sz="4" w:space="0"/>
                  </w:tcBorders>
                  <w:vAlign w:val="center"/>
                </w:tcPr>
                <w:p>
                  <w:pPr>
                    <w:tabs>
                      <w:tab w:val="left" w:pos="2395"/>
                    </w:tabs>
                    <w:spacing w:line="360" w:lineRule="auto"/>
                    <w:jc w:val="center"/>
                    <w:rPr>
                      <w:bCs/>
                      <w:color w:val="auto"/>
                      <w:szCs w:val="21"/>
                    </w:rPr>
                  </w:pPr>
                  <w:r>
                    <w:rPr>
                      <w:rFonts w:hint="eastAsia" w:cs="宋体"/>
                      <w:bCs/>
                      <w:color w:val="auto"/>
                      <w:szCs w:val="21"/>
                    </w:rPr>
                    <w:t>最高允许排放浓度</w:t>
                  </w:r>
                  <w:r>
                    <w:rPr>
                      <w:rFonts w:hint="eastAsia" w:cs="宋体"/>
                      <w:bCs/>
                      <w:color w:val="auto"/>
                      <w:szCs w:val="21"/>
                      <w:lang w:eastAsia="zh-CN"/>
                    </w:rPr>
                    <w:t>（</w:t>
                  </w:r>
                  <w:r>
                    <w:rPr>
                      <w:bCs/>
                      <w:color w:val="auto"/>
                      <w:szCs w:val="21"/>
                    </w:rPr>
                    <w:t xml:space="preserve"> mg/Nm</w:t>
                  </w:r>
                  <w:r>
                    <w:rPr>
                      <w:bCs/>
                      <w:color w:val="auto"/>
                      <w:szCs w:val="21"/>
                      <w:vertAlign w:val="superscript"/>
                    </w:rPr>
                    <w:t>3</w:t>
                  </w:r>
                  <w:r>
                    <w:rPr>
                      <w:rFonts w:hint="eastAsia" w:cs="宋体"/>
                      <w:bCs/>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2103" w:type="dxa"/>
                  <w:vMerge w:val="restart"/>
                  <w:tcBorders>
                    <w:top w:val="single" w:color="auto" w:sz="4" w:space="0"/>
                    <w:left w:val="single" w:color="auto" w:sz="4" w:space="0"/>
                    <w:bottom w:val="single" w:color="auto" w:sz="4" w:space="0"/>
                    <w:right w:val="single" w:color="auto" w:sz="4" w:space="0"/>
                  </w:tcBorders>
                  <w:vAlign w:val="center"/>
                </w:tcPr>
                <w:p>
                  <w:pPr>
                    <w:tabs>
                      <w:tab w:val="left" w:pos="2395"/>
                    </w:tabs>
                    <w:spacing w:line="360" w:lineRule="auto"/>
                    <w:jc w:val="center"/>
                    <w:rPr>
                      <w:bCs/>
                      <w:color w:val="auto"/>
                      <w:szCs w:val="21"/>
                    </w:rPr>
                  </w:pPr>
                  <w:r>
                    <w:rPr>
                      <w:rFonts w:hint="eastAsia" w:cs="宋体"/>
                      <w:bCs/>
                      <w:color w:val="auto"/>
                      <w:szCs w:val="21"/>
                    </w:rPr>
                    <w:t>颗粒物</w:t>
                  </w:r>
                </w:p>
              </w:tc>
              <w:tc>
                <w:tcPr>
                  <w:tcW w:w="1805" w:type="dxa"/>
                  <w:tcBorders>
                    <w:top w:val="single" w:color="auto" w:sz="4" w:space="0"/>
                    <w:left w:val="single" w:color="auto" w:sz="4" w:space="0"/>
                    <w:bottom w:val="single" w:color="auto" w:sz="4" w:space="0"/>
                    <w:right w:val="single" w:color="auto" w:sz="4" w:space="0"/>
                  </w:tcBorders>
                  <w:vAlign w:val="center"/>
                </w:tcPr>
                <w:p>
                  <w:pPr>
                    <w:tabs>
                      <w:tab w:val="left" w:pos="2395"/>
                    </w:tabs>
                    <w:spacing w:line="360" w:lineRule="auto"/>
                    <w:jc w:val="center"/>
                    <w:rPr>
                      <w:bCs/>
                      <w:color w:val="auto"/>
                      <w:szCs w:val="21"/>
                    </w:rPr>
                  </w:pPr>
                  <w:r>
                    <w:rPr>
                      <w:rFonts w:hint="eastAsia" w:cs="宋体"/>
                      <w:bCs/>
                      <w:color w:val="auto"/>
                      <w:szCs w:val="21"/>
                    </w:rPr>
                    <w:t>有组织排放</w:t>
                  </w:r>
                </w:p>
              </w:tc>
              <w:tc>
                <w:tcPr>
                  <w:tcW w:w="3931" w:type="dxa"/>
                  <w:tcBorders>
                    <w:top w:val="single" w:color="auto" w:sz="4" w:space="0"/>
                    <w:left w:val="single" w:color="auto" w:sz="4" w:space="0"/>
                    <w:bottom w:val="single" w:color="auto" w:sz="4" w:space="0"/>
                    <w:right w:val="single" w:color="auto" w:sz="4" w:space="0"/>
                  </w:tcBorders>
                  <w:vAlign w:val="center"/>
                </w:tcPr>
                <w:p>
                  <w:pPr>
                    <w:tabs>
                      <w:tab w:val="left" w:pos="2395"/>
                    </w:tabs>
                    <w:spacing w:line="360" w:lineRule="auto"/>
                    <w:jc w:val="center"/>
                    <w:rPr>
                      <w:bCs/>
                      <w:color w:val="auto"/>
                      <w:szCs w:val="21"/>
                    </w:rPr>
                  </w:pPr>
                  <w:r>
                    <w:rPr>
                      <w:bCs/>
                      <w:color w:val="auto"/>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103" w:type="dxa"/>
                  <w:vMerge w:val="continue"/>
                  <w:tcBorders>
                    <w:top w:val="single" w:color="auto" w:sz="4" w:space="0"/>
                    <w:left w:val="single" w:color="auto" w:sz="4" w:space="0"/>
                    <w:bottom w:val="single" w:color="auto" w:sz="4" w:space="0"/>
                    <w:right w:val="single" w:color="auto" w:sz="4" w:space="0"/>
                  </w:tcBorders>
                  <w:vAlign w:val="center"/>
                </w:tcPr>
                <w:p>
                  <w:pPr>
                    <w:rPr>
                      <w:color w:val="auto"/>
                      <w:sz w:val="20"/>
                      <w:szCs w:val="20"/>
                    </w:rPr>
                  </w:pPr>
                </w:p>
              </w:tc>
              <w:tc>
                <w:tcPr>
                  <w:tcW w:w="1805" w:type="dxa"/>
                  <w:tcBorders>
                    <w:top w:val="single" w:color="auto" w:sz="4" w:space="0"/>
                    <w:left w:val="single" w:color="auto" w:sz="4" w:space="0"/>
                    <w:bottom w:val="single" w:color="auto" w:sz="4" w:space="0"/>
                    <w:right w:val="single" w:color="auto" w:sz="4" w:space="0"/>
                  </w:tcBorders>
                  <w:vAlign w:val="center"/>
                </w:tcPr>
                <w:p>
                  <w:pPr>
                    <w:tabs>
                      <w:tab w:val="left" w:pos="2395"/>
                    </w:tabs>
                    <w:spacing w:line="360" w:lineRule="auto"/>
                    <w:jc w:val="center"/>
                    <w:rPr>
                      <w:bCs/>
                      <w:color w:val="auto"/>
                      <w:szCs w:val="21"/>
                    </w:rPr>
                  </w:pPr>
                  <w:r>
                    <w:rPr>
                      <w:rFonts w:hint="eastAsia" w:cs="宋体"/>
                      <w:bCs/>
                      <w:color w:val="auto"/>
                      <w:szCs w:val="21"/>
                    </w:rPr>
                    <w:t>无组织排放</w:t>
                  </w:r>
                </w:p>
              </w:tc>
              <w:tc>
                <w:tcPr>
                  <w:tcW w:w="3931" w:type="dxa"/>
                  <w:tcBorders>
                    <w:top w:val="single" w:color="auto" w:sz="4" w:space="0"/>
                    <w:left w:val="single" w:color="auto" w:sz="4" w:space="0"/>
                    <w:bottom w:val="single" w:color="auto" w:sz="4" w:space="0"/>
                    <w:right w:val="single" w:color="auto" w:sz="4" w:space="0"/>
                  </w:tcBorders>
                  <w:vAlign w:val="center"/>
                </w:tcPr>
                <w:p>
                  <w:pPr>
                    <w:tabs>
                      <w:tab w:val="left" w:pos="2395"/>
                    </w:tabs>
                    <w:spacing w:line="360" w:lineRule="auto"/>
                    <w:jc w:val="center"/>
                    <w:rPr>
                      <w:bCs/>
                      <w:color w:val="auto"/>
                      <w:szCs w:val="21"/>
                    </w:rPr>
                  </w:pPr>
                  <w:r>
                    <w:rPr>
                      <w:bCs/>
                      <w:color w:val="auto"/>
                      <w:szCs w:val="21"/>
                    </w:rPr>
                    <w:t>0.5</w:t>
                  </w:r>
                  <w:r>
                    <w:rPr>
                      <w:rFonts w:hint="eastAsia" w:cs="宋体"/>
                      <w:bCs/>
                      <w:color w:val="auto"/>
                      <w:szCs w:val="21"/>
                    </w:rPr>
                    <w:t>（监控点位于场界外</w:t>
                  </w:r>
                  <w:r>
                    <w:rPr>
                      <w:bCs/>
                      <w:color w:val="auto"/>
                      <w:szCs w:val="21"/>
                    </w:rPr>
                    <w:t>20m</w:t>
                  </w:r>
                  <w:r>
                    <w:rPr>
                      <w:rFonts w:hint="eastAsia" w:cs="宋体"/>
                      <w:bCs/>
                      <w:color w:val="auto"/>
                      <w:szCs w:val="21"/>
                    </w:rPr>
                    <w:t>处）</w:t>
                  </w:r>
                </w:p>
              </w:tc>
            </w:tr>
          </w:tbl>
          <w:p>
            <w:pPr>
              <w:spacing w:line="360" w:lineRule="auto"/>
              <w:ind w:firstLine="480"/>
              <w:rPr>
                <w:bCs/>
                <w:color w:val="auto"/>
                <w:sz w:val="24"/>
                <w:szCs w:val="24"/>
              </w:rPr>
            </w:pPr>
            <w:r>
              <w:rPr>
                <w:rFonts w:hint="eastAsia"/>
                <w:bCs/>
                <w:color w:val="auto"/>
                <w:sz w:val="24"/>
                <w:szCs w:val="24"/>
              </w:rPr>
              <w:t>项目运营期焊接</w:t>
            </w:r>
            <w:r>
              <w:rPr>
                <w:rFonts w:hint="eastAsia"/>
                <w:bCs/>
                <w:color w:val="auto"/>
                <w:sz w:val="24"/>
                <w:szCs w:val="24"/>
                <w:lang w:eastAsia="zh-CN"/>
              </w:rPr>
              <w:t>、切割</w:t>
            </w:r>
            <w:r>
              <w:rPr>
                <w:rFonts w:hint="eastAsia"/>
                <w:bCs/>
                <w:color w:val="auto"/>
                <w:sz w:val="24"/>
                <w:szCs w:val="24"/>
              </w:rPr>
              <w:t>废气</w:t>
            </w:r>
            <w:r>
              <w:rPr>
                <w:bCs/>
                <w:color w:val="auto"/>
                <w:sz w:val="24"/>
                <w:szCs w:val="24"/>
              </w:rPr>
              <w:t>执行《大气污染物综合排放标准》</w:t>
            </w:r>
            <w:r>
              <w:rPr>
                <w:rFonts w:hint="eastAsia"/>
                <w:bCs/>
                <w:color w:val="auto"/>
                <w:sz w:val="24"/>
                <w:szCs w:val="24"/>
              </w:rPr>
              <w:t>（</w:t>
            </w:r>
            <w:r>
              <w:rPr>
                <w:bCs/>
                <w:color w:val="auto"/>
                <w:sz w:val="24"/>
                <w:szCs w:val="24"/>
              </w:rPr>
              <w:t>GB16297-1996</w:t>
            </w:r>
            <w:r>
              <w:rPr>
                <w:rFonts w:hint="eastAsia"/>
                <w:bCs/>
                <w:color w:val="auto"/>
                <w:sz w:val="24"/>
                <w:szCs w:val="24"/>
              </w:rPr>
              <w:t>）</w:t>
            </w:r>
            <w:r>
              <w:rPr>
                <w:bCs/>
                <w:color w:val="auto"/>
                <w:sz w:val="24"/>
                <w:szCs w:val="24"/>
              </w:rPr>
              <w:t>无组织排放监控浓度限值。</w:t>
            </w:r>
          </w:p>
          <w:p>
            <w:pPr>
              <w:spacing w:line="360" w:lineRule="auto"/>
              <w:ind w:left="1205" w:hanging="1205" w:hangingChars="500"/>
              <w:jc w:val="center"/>
              <w:rPr>
                <w:b/>
                <w:bCs/>
                <w:color w:val="auto"/>
                <w:szCs w:val="21"/>
              </w:rPr>
            </w:pPr>
            <w:r>
              <w:rPr>
                <w:b/>
                <w:color w:val="auto"/>
                <w:sz w:val="24"/>
                <w:szCs w:val="24"/>
              </w:rPr>
              <w:t>表4-</w:t>
            </w:r>
            <w:r>
              <w:rPr>
                <w:rFonts w:hint="eastAsia"/>
                <w:b/>
                <w:color w:val="auto"/>
                <w:sz w:val="24"/>
                <w:szCs w:val="24"/>
                <w:lang w:val="en-US" w:eastAsia="zh-CN"/>
              </w:rPr>
              <w:t>6</w:t>
            </w:r>
            <w:r>
              <w:rPr>
                <w:b/>
                <w:color w:val="auto"/>
                <w:sz w:val="24"/>
                <w:szCs w:val="24"/>
              </w:rPr>
              <w:t xml:space="preserve">     大气污染物综合排放标准</w:t>
            </w:r>
          </w:p>
          <w:tbl>
            <w:tblPr>
              <w:tblStyle w:val="43"/>
              <w:tblW w:w="7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3314"/>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2130" w:type="dxa"/>
                  <w:vMerge w:val="restart"/>
                  <w:vAlign w:val="center"/>
                </w:tcPr>
                <w:p>
                  <w:pPr>
                    <w:pStyle w:val="70"/>
                    <w:rPr>
                      <w:color w:val="auto"/>
                      <w:sz w:val="21"/>
                      <w:szCs w:val="21"/>
                    </w:rPr>
                  </w:pPr>
                  <w:r>
                    <w:rPr>
                      <w:color w:val="auto"/>
                      <w:sz w:val="21"/>
                      <w:szCs w:val="21"/>
                    </w:rPr>
                    <w:t>污染物</w:t>
                  </w:r>
                </w:p>
              </w:tc>
              <w:tc>
                <w:tcPr>
                  <w:tcW w:w="5698" w:type="dxa"/>
                  <w:gridSpan w:val="2"/>
                  <w:vAlign w:val="center"/>
                </w:tcPr>
                <w:p>
                  <w:pPr>
                    <w:pStyle w:val="70"/>
                    <w:rPr>
                      <w:color w:val="auto"/>
                      <w:sz w:val="21"/>
                      <w:szCs w:val="21"/>
                    </w:rPr>
                  </w:pPr>
                  <w:r>
                    <w:rPr>
                      <w:color w:val="auto"/>
                      <w:sz w:val="21"/>
                      <w:szCs w:val="21"/>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130" w:type="dxa"/>
                  <w:vMerge w:val="continue"/>
                  <w:vAlign w:val="center"/>
                </w:tcPr>
                <w:p>
                  <w:pPr>
                    <w:pStyle w:val="70"/>
                    <w:ind w:firstLine="420"/>
                    <w:rPr>
                      <w:color w:val="auto"/>
                      <w:sz w:val="21"/>
                      <w:szCs w:val="21"/>
                    </w:rPr>
                  </w:pPr>
                </w:p>
              </w:tc>
              <w:tc>
                <w:tcPr>
                  <w:tcW w:w="3314" w:type="dxa"/>
                  <w:vAlign w:val="center"/>
                </w:tcPr>
                <w:p>
                  <w:pPr>
                    <w:pStyle w:val="70"/>
                    <w:rPr>
                      <w:color w:val="auto"/>
                      <w:sz w:val="21"/>
                      <w:szCs w:val="21"/>
                    </w:rPr>
                  </w:pPr>
                  <w:r>
                    <w:rPr>
                      <w:color w:val="auto"/>
                      <w:sz w:val="21"/>
                      <w:szCs w:val="21"/>
                    </w:rPr>
                    <w:t>监控点</w:t>
                  </w:r>
                </w:p>
              </w:tc>
              <w:tc>
                <w:tcPr>
                  <w:tcW w:w="2384" w:type="dxa"/>
                  <w:vAlign w:val="center"/>
                </w:tcPr>
                <w:p>
                  <w:pPr>
                    <w:pStyle w:val="70"/>
                    <w:rPr>
                      <w:color w:val="auto"/>
                      <w:sz w:val="21"/>
                      <w:szCs w:val="21"/>
                    </w:rPr>
                  </w:pPr>
                  <w:r>
                    <w:rPr>
                      <w:color w:val="auto"/>
                      <w:sz w:val="21"/>
                      <w:szCs w:val="21"/>
                    </w:rPr>
                    <w:t>浓度</w:t>
                  </w:r>
                  <w:r>
                    <w:rPr>
                      <w:rFonts w:hint="eastAsia"/>
                      <w:color w:val="auto"/>
                      <w:sz w:val="21"/>
                      <w:szCs w:val="21"/>
                      <w:lang w:eastAsia="zh-CN"/>
                    </w:rPr>
                    <w:t>（</w:t>
                  </w:r>
                  <w:r>
                    <w:rPr>
                      <w:color w:val="auto"/>
                      <w:sz w:val="21"/>
                      <w:szCs w:val="21"/>
                    </w:rPr>
                    <w:t>mg/m</w:t>
                  </w:r>
                  <w:r>
                    <w:rPr>
                      <w:color w:val="auto"/>
                      <w:sz w:val="21"/>
                      <w:szCs w:val="21"/>
                      <w:vertAlign w:val="superscript"/>
                    </w:rPr>
                    <w:t>3</w:t>
                  </w:r>
                  <w:r>
                    <w:rPr>
                      <w:rFonts w:hint="eastAsia"/>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exact"/>
                <w:jc w:val="center"/>
              </w:trPr>
              <w:tc>
                <w:tcPr>
                  <w:tcW w:w="2130" w:type="dxa"/>
                  <w:vAlign w:val="center"/>
                </w:tcPr>
                <w:p>
                  <w:pPr>
                    <w:pStyle w:val="70"/>
                    <w:rPr>
                      <w:color w:val="auto"/>
                      <w:sz w:val="21"/>
                      <w:szCs w:val="21"/>
                    </w:rPr>
                  </w:pPr>
                  <w:r>
                    <w:rPr>
                      <w:color w:val="auto"/>
                      <w:sz w:val="21"/>
                      <w:szCs w:val="21"/>
                    </w:rPr>
                    <w:t>颗粒物</w:t>
                  </w:r>
                </w:p>
              </w:tc>
              <w:tc>
                <w:tcPr>
                  <w:tcW w:w="3314" w:type="dxa"/>
                  <w:vAlign w:val="center"/>
                </w:tcPr>
                <w:p>
                  <w:pPr>
                    <w:pStyle w:val="70"/>
                    <w:rPr>
                      <w:color w:val="auto"/>
                      <w:sz w:val="21"/>
                      <w:szCs w:val="21"/>
                    </w:rPr>
                  </w:pPr>
                  <w:r>
                    <w:rPr>
                      <w:color w:val="auto"/>
                      <w:sz w:val="21"/>
                      <w:szCs w:val="21"/>
                    </w:rPr>
                    <w:t>周界外浓度最高点</w:t>
                  </w:r>
                </w:p>
              </w:tc>
              <w:tc>
                <w:tcPr>
                  <w:tcW w:w="2384" w:type="dxa"/>
                  <w:vAlign w:val="center"/>
                </w:tcPr>
                <w:p>
                  <w:pPr>
                    <w:pStyle w:val="70"/>
                    <w:rPr>
                      <w:color w:val="auto"/>
                      <w:sz w:val="21"/>
                      <w:szCs w:val="21"/>
                    </w:rPr>
                  </w:pPr>
                  <w:r>
                    <w:rPr>
                      <w:color w:val="auto"/>
                      <w:sz w:val="21"/>
                      <w:szCs w:val="21"/>
                    </w:rPr>
                    <w:t>1.0</w:t>
                  </w:r>
                </w:p>
              </w:tc>
            </w:tr>
          </w:tbl>
          <w:p>
            <w:pPr>
              <w:spacing w:line="360" w:lineRule="auto"/>
              <w:ind w:firstLine="480" w:firstLineChars="200"/>
              <w:rPr>
                <w:color w:val="auto"/>
                <w:sz w:val="24"/>
                <w:szCs w:val="24"/>
              </w:rPr>
            </w:pPr>
            <w:r>
              <w:rPr>
                <w:rFonts w:hint="eastAsia"/>
                <w:color w:val="auto"/>
                <w:sz w:val="24"/>
                <w:szCs w:val="24"/>
              </w:rPr>
              <w:t>厨房油烟排放参照《饮食业油烟排放标准（试行）》（GB18483-2001）标准要求。</w:t>
            </w:r>
          </w:p>
          <w:p>
            <w:pPr>
              <w:pStyle w:val="2"/>
              <w:jc w:val="center"/>
              <w:rPr>
                <w:b/>
                <w:bCs/>
                <w:color w:val="auto"/>
              </w:rPr>
            </w:pPr>
            <w:r>
              <w:rPr>
                <w:rFonts w:hint="eastAsia"/>
                <w:b/>
                <w:bCs/>
                <w:color w:val="auto"/>
                <w:sz w:val="24"/>
                <w:szCs w:val="24"/>
              </w:rPr>
              <w:t>表4-</w:t>
            </w:r>
            <w:r>
              <w:rPr>
                <w:rFonts w:hint="eastAsia"/>
                <w:b/>
                <w:bCs/>
                <w:color w:val="auto"/>
                <w:sz w:val="24"/>
                <w:szCs w:val="24"/>
                <w:lang w:val="en-US" w:eastAsia="zh-CN"/>
              </w:rPr>
              <w:t>7</w:t>
            </w:r>
            <w:r>
              <w:rPr>
                <w:rFonts w:hint="eastAsia"/>
                <w:b/>
                <w:bCs/>
                <w:color w:val="auto"/>
                <w:sz w:val="24"/>
                <w:szCs w:val="24"/>
              </w:rPr>
              <w:t xml:space="preserve"> 饮食业油烟排放标准</w:t>
            </w:r>
          </w:p>
          <w:tbl>
            <w:tblPr>
              <w:tblStyle w:val="44"/>
              <w:tblW w:w="7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2"/>
              <w:gridCol w:w="1708"/>
              <w:gridCol w:w="1748"/>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2"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规模</w:t>
                  </w:r>
                </w:p>
              </w:tc>
              <w:tc>
                <w:tcPr>
                  <w:tcW w:w="170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小型</w:t>
                  </w:r>
                </w:p>
              </w:tc>
              <w:tc>
                <w:tcPr>
                  <w:tcW w:w="17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中型</w:t>
                  </w:r>
                </w:p>
              </w:tc>
              <w:tc>
                <w:tcPr>
                  <w:tcW w:w="1661"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大型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2722" w:type="dxa"/>
                  <w:vAlign w:val="center"/>
                </w:tcPr>
                <w:p>
                  <w:pPr>
                    <w:pStyle w:val="5"/>
                    <w:ind w:firstLine="0" w:firstLineChars="0"/>
                    <w:rPr>
                      <w:rFonts w:ascii="Times New Roman" w:hAnsi="Times New Roman"/>
                      <w:color w:val="auto"/>
                      <w:sz w:val="21"/>
                      <w:szCs w:val="21"/>
                    </w:rPr>
                  </w:pPr>
                  <w:r>
                    <w:rPr>
                      <w:rFonts w:ascii="Times New Roman" w:hAnsi="Times New Roman"/>
                      <w:color w:val="auto"/>
                      <w:sz w:val="21"/>
                      <w:szCs w:val="21"/>
                    </w:rPr>
                    <w:t>最高允许排放浓度（mg/m</w:t>
                  </w:r>
                  <w:r>
                    <w:rPr>
                      <w:rFonts w:ascii="Times New Roman" w:hAnsi="Times New Roman"/>
                      <w:color w:val="auto"/>
                      <w:sz w:val="21"/>
                      <w:szCs w:val="21"/>
                      <w:vertAlign w:val="superscript"/>
                    </w:rPr>
                    <w:t>3</w:t>
                  </w:r>
                  <w:r>
                    <w:rPr>
                      <w:rFonts w:ascii="Times New Roman" w:hAnsi="Times New Roman"/>
                      <w:color w:val="auto"/>
                      <w:sz w:val="21"/>
                      <w:szCs w:val="21"/>
                    </w:rPr>
                    <w:t>）</w:t>
                  </w:r>
                </w:p>
              </w:tc>
              <w:tc>
                <w:tcPr>
                  <w:tcW w:w="5117" w:type="dxa"/>
                  <w:gridSpan w:val="3"/>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2" w:type="dxa"/>
                  <w:vAlign w:val="center"/>
                </w:tcPr>
                <w:p>
                  <w:pPr>
                    <w:pStyle w:val="5"/>
                    <w:ind w:firstLine="0" w:firstLineChars="0"/>
                    <w:rPr>
                      <w:rFonts w:ascii="Times New Roman" w:hAnsi="Times New Roman"/>
                      <w:color w:val="auto"/>
                      <w:sz w:val="21"/>
                      <w:szCs w:val="21"/>
                    </w:rPr>
                  </w:pPr>
                  <w:r>
                    <w:rPr>
                      <w:rFonts w:ascii="Times New Roman" w:hAnsi="Times New Roman"/>
                      <w:color w:val="auto"/>
                      <w:sz w:val="21"/>
                      <w:szCs w:val="21"/>
                    </w:rPr>
                    <w:t>净化设施最低去除效率（%）</w:t>
                  </w:r>
                </w:p>
              </w:tc>
              <w:tc>
                <w:tcPr>
                  <w:tcW w:w="170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60</w:t>
                  </w:r>
                </w:p>
              </w:tc>
              <w:tc>
                <w:tcPr>
                  <w:tcW w:w="1748"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75</w:t>
                  </w:r>
                </w:p>
              </w:tc>
              <w:tc>
                <w:tcPr>
                  <w:tcW w:w="1661" w:type="dxa"/>
                  <w:vAlign w:val="center"/>
                </w:tcPr>
                <w:p>
                  <w:pPr>
                    <w:pStyle w:val="5"/>
                    <w:ind w:firstLine="210"/>
                    <w:jc w:val="center"/>
                    <w:rPr>
                      <w:rFonts w:ascii="Times New Roman" w:hAnsi="Times New Roman"/>
                      <w:color w:val="auto"/>
                      <w:sz w:val="21"/>
                      <w:szCs w:val="21"/>
                    </w:rPr>
                  </w:pPr>
                  <w:r>
                    <w:rPr>
                      <w:rFonts w:ascii="Times New Roman" w:hAnsi="Times New Roman"/>
                      <w:color w:val="auto"/>
                      <w:sz w:val="21"/>
                      <w:szCs w:val="21"/>
                    </w:rPr>
                    <w:t>85</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备用柴油发电机：根据原国家环保局</w:t>
            </w:r>
            <w:r>
              <w:rPr>
                <w:rFonts w:hint="default" w:ascii="Times New Roman" w:hAnsi="Times New Roman" w:cs="Times New Roman"/>
                <w:color w:val="auto"/>
                <w:lang w:val="en-US" w:eastAsia="zh-CN"/>
              </w:rPr>
              <w:t>2007年4月28日发布的《关于柴油发电机排气执行标准的复函》（环函[2005]350号），项目备用柴油发电机烟气污染物排放参照执行《大气污染物综合排放标准》（GB16297-1996）表2二级标准，具体指标见表4-8。</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表4-8新污染源大气污染物排放限值</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4"/>
              <w:gridCol w:w="2614"/>
              <w:gridCol w:w="2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4" w:type="dxa"/>
                  <w:vMerge w:val="restart"/>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污染物</w:t>
                  </w:r>
                </w:p>
              </w:tc>
              <w:tc>
                <w:tcPr>
                  <w:tcW w:w="5228"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4"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p>
              </w:tc>
              <w:tc>
                <w:tcPr>
                  <w:tcW w:w="261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监控点</w:t>
                  </w:r>
                </w:p>
              </w:tc>
              <w:tc>
                <w:tcPr>
                  <w:tcW w:w="261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浓度（mg/m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颗粒物</w:t>
                  </w:r>
                </w:p>
              </w:tc>
              <w:tc>
                <w:tcPr>
                  <w:tcW w:w="2614" w:type="dxa"/>
                  <w:vMerge w:val="restart"/>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厂界外浓度最高点</w:t>
                  </w:r>
                </w:p>
              </w:tc>
              <w:tc>
                <w:tcPr>
                  <w:tcW w:w="261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二氧化硫</w:t>
                  </w:r>
                </w:p>
              </w:tc>
              <w:tc>
                <w:tcPr>
                  <w:tcW w:w="2614"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p>
              </w:tc>
              <w:tc>
                <w:tcPr>
                  <w:tcW w:w="261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氮氧化物</w:t>
                  </w:r>
                </w:p>
              </w:tc>
              <w:tc>
                <w:tcPr>
                  <w:tcW w:w="2614"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p>
              </w:tc>
              <w:tc>
                <w:tcPr>
                  <w:tcW w:w="261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非甲烷总烃</w:t>
                  </w:r>
                </w:p>
              </w:tc>
              <w:tc>
                <w:tcPr>
                  <w:tcW w:w="2614" w:type="dxa"/>
                  <w:vMerge w:val="continue"/>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p>
              </w:tc>
              <w:tc>
                <w:tcPr>
                  <w:tcW w:w="2614"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4.0</w:t>
                  </w:r>
                </w:p>
              </w:tc>
            </w:tr>
          </w:tbl>
          <w:p>
            <w:pPr>
              <w:numPr>
                <w:ilvl w:val="0"/>
                <w:numId w:val="0"/>
              </w:numPr>
              <w:spacing w:line="360" w:lineRule="auto"/>
              <w:rPr>
                <w:rFonts w:hint="default" w:ascii="Times New Roman" w:hAnsi="Times New Roman" w:cs="Times New Roman"/>
                <w:b/>
                <w:bCs/>
                <w:color w:val="auto"/>
              </w:rPr>
            </w:pP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rPr>
              <w:t>水污染物</w:t>
            </w:r>
          </w:p>
          <w:p>
            <w:pPr>
              <w:spacing w:line="360" w:lineRule="auto"/>
              <w:ind w:firstLine="482" w:firstLineChars="200"/>
              <w:rPr>
                <w:rFonts w:hint="eastAsia"/>
                <w:color w:val="auto"/>
                <w:sz w:val="24"/>
                <w:lang w:val="en-US" w:eastAsia="zh-CN"/>
              </w:rPr>
            </w:pPr>
            <w:r>
              <w:rPr>
                <w:rFonts w:hint="eastAsia"/>
                <w:b/>
                <w:bCs/>
                <w:color w:val="auto"/>
                <w:sz w:val="24"/>
              </w:rPr>
              <w:t>运营期</w:t>
            </w:r>
            <w:r>
              <w:rPr>
                <w:rFonts w:hint="eastAsia"/>
                <w:color w:val="auto"/>
                <w:sz w:val="24"/>
              </w:rPr>
              <w:t>：</w:t>
            </w:r>
            <w:r>
              <w:rPr>
                <w:color w:val="auto"/>
                <w:sz w:val="24"/>
              </w:rPr>
              <w:t>项目运营期</w:t>
            </w:r>
            <w:r>
              <w:rPr>
                <w:rFonts w:hint="eastAsia"/>
                <w:color w:val="auto"/>
                <w:sz w:val="24"/>
              </w:rPr>
              <w:t>车辆清洗</w:t>
            </w:r>
            <w:r>
              <w:rPr>
                <w:color w:val="auto"/>
                <w:sz w:val="24"/>
              </w:rPr>
              <w:t>废水经处理后回用，不外排；雨季</w:t>
            </w:r>
            <w:r>
              <w:rPr>
                <w:rFonts w:hint="eastAsia"/>
                <w:color w:val="auto"/>
                <w:sz w:val="24"/>
              </w:rPr>
              <w:t>初期雨水</w:t>
            </w:r>
            <w:r>
              <w:rPr>
                <w:color w:val="auto"/>
                <w:sz w:val="24"/>
              </w:rPr>
              <w:t>收集于</w:t>
            </w:r>
            <w:r>
              <w:rPr>
                <w:rFonts w:hint="eastAsia"/>
                <w:color w:val="auto"/>
                <w:sz w:val="24"/>
              </w:rPr>
              <w:t>初期雨水池，沉淀后补充生产用水</w:t>
            </w:r>
            <w:r>
              <w:rPr>
                <w:color w:val="auto"/>
                <w:sz w:val="24"/>
              </w:rPr>
              <w:t>。生活污水进行清污分流，其中</w:t>
            </w:r>
            <w:r>
              <w:rPr>
                <w:rFonts w:hint="eastAsia"/>
                <w:color w:val="auto"/>
                <w:sz w:val="24"/>
              </w:rPr>
              <w:t>食堂废水</w:t>
            </w:r>
            <w:r>
              <w:rPr>
                <w:color w:val="auto"/>
                <w:sz w:val="24"/>
              </w:rPr>
              <w:t>经隔油池处理后</w:t>
            </w:r>
            <w:r>
              <w:rPr>
                <w:rFonts w:hint="eastAsia"/>
                <w:color w:val="auto"/>
                <w:sz w:val="24"/>
                <w:lang w:eastAsia="zh-CN"/>
              </w:rPr>
              <w:t>其他生活污水</w:t>
            </w:r>
            <w:r>
              <w:rPr>
                <w:color w:val="auto"/>
                <w:sz w:val="24"/>
              </w:rPr>
              <w:t>进入化粪池</w:t>
            </w:r>
            <w:r>
              <w:rPr>
                <w:rFonts w:hint="eastAsia"/>
                <w:color w:val="auto"/>
                <w:sz w:val="24"/>
                <w:lang w:eastAsia="zh-CN"/>
              </w:rPr>
              <w:t>预</w:t>
            </w:r>
            <w:r>
              <w:rPr>
                <w:color w:val="auto"/>
                <w:sz w:val="24"/>
              </w:rPr>
              <w:t>处理，</w:t>
            </w:r>
            <w:r>
              <w:rPr>
                <w:rFonts w:hint="eastAsia"/>
                <w:color w:val="auto"/>
                <w:sz w:val="24"/>
                <w:lang w:eastAsia="zh-CN"/>
              </w:rPr>
              <w:t>进入中水处理站</w:t>
            </w:r>
            <w:r>
              <w:rPr>
                <w:rFonts w:hint="eastAsia"/>
                <w:color w:val="auto"/>
                <w:sz w:val="24"/>
              </w:rPr>
              <w:t>处理</w:t>
            </w:r>
            <w:r>
              <w:rPr>
                <w:color w:val="auto"/>
                <w:sz w:val="24"/>
              </w:rPr>
              <w:t>后用于</w:t>
            </w:r>
            <w:r>
              <w:rPr>
                <w:rFonts w:hint="eastAsia"/>
                <w:color w:val="auto"/>
                <w:sz w:val="24"/>
              </w:rPr>
              <w:t>厂区</w:t>
            </w:r>
            <w:r>
              <w:rPr>
                <w:color w:val="auto"/>
                <w:sz w:val="24"/>
              </w:rPr>
              <w:t>洒水降尘</w:t>
            </w:r>
            <w:r>
              <w:rPr>
                <w:rFonts w:hint="eastAsia"/>
                <w:color w:val="auto"/>
                <w:sz w:val="24"/>
                <w:lang w:eastAsia="zh-CN"/>
              </w:rPr>
              <w:t>，回用水</w:t>
            </w:r>
            <w:r>
              <w:rPr>
                <w:rFonts w:hint="eastAsia"/>
                <w:color w:val="auto"/>
                <w:sz w:val="24"/>
                <w:lang w:val="en-US" w:eastAsia="zh-CN"/>
              </w:rPr>
              <w:t>执行《城市污水再生利用 城市杂用水水质》（GB/T18920-2002）中的道路清扫、消防用水标准，标准值见表4-8。</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4"/>
                <w:lang w:val="en-US" w:eastAsia="zh-CN"/>
              </w:rPr>
            </w:pPr>
            <w:r>
              <w:rPr>
                <w:rFonts w:hint="eastAsia"/>
                <w:b/>
                <w:bCs/>
                <w:color w:val="auto"/>
                <w:sz w:val="24"/>
                <w:lang w:val="en-US" w:eastAsia="zh-CN"/>
              </w:rPr>
              <w:t>表4-8《城市污水再生利用 城市杂用水水质》单位：mg/L</w:t>
            </w:r>
          </w:p>
          <w:tbl>
            <w:tblPr>
              <w:tblStyle w:val="43"/>
              <w:tblW w:w="7842" w:type="dxa"/>
              <w:tblInd w:w="0" w:type="dxa"/>
              <w:tblLayout w:type="autofit"/>
              <w:tblCellMar>
                <w:top w:w="0" w:type="dxa"/>
                <w:left w:w="108" w:type="dxa"/>
                <w:bottom w:w="0" w:type="dxa"/>
                <w:right w:w="108" w:type="dxa"/>
              </w:tblCellMar>
            </w:tblPr>
            <w:tblGrid>
              <w:gridCol w:w="982"/>
              <w:gridCol w:w="2804"/>
              <w:gridCol w:w="854"/>
              <w:gridCol w:w="3202"/>
            </w:tblGrid>
            <w:tr>
              <w:tblPrEx>
                <w:tblCellMar>
                  <w:top w:w="0" w:type="dxa"/>
                  <w:left w:w="108" w:type="dxa"/>
                  <w:bottom w:w="0" w:type="dxa"/>
                  <w:right w:w="108" w:type="dxa"/>
                </w:tblCellMar>
              </w:tblPrEx>
              <w:trPr>
                <w:trHeight w:val="223" w:hRule="atLeast"/>
              </w:trPr>
              <w:tc>
                <w:tcPr>
                  <w:tcW w:w="98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序号</w:t>
                  </w:r>
                </w:p>
              </w:tc>
              <w:tc>
                <w:tcPr>
                  <w:tcW w:w="3658" w:type="dxa"/>
                  <w:gridSpan w:val="2"/>
                  <w:tcBorders>
                    <w:top w:val="single" w:color="auto" w:sz="8" w:space="0"/>
                    <w:left w:val="nil"/>
                    <w:bottom w:val="single" w:color="auto" w:sz="8" w:space="0"/>
                    <w:right w:val="single" w:color="000000"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项目指标</w:t>
                  </w:r>
                </w:p>
              </w:tc>
              <w:tc>
                <w:tcPr>
                  <w:tcW w:w="3202" w:type="dxa"/>
                  <w:tcBorders>
                    <w:top w:val="single" w:color="auto" w:sz="8" w:space="0"/>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道路清扫、消防用水</w:t>
                  </w:r>
                </w:p>
              </w:tc>
            </w:tr>
            <w:tr>
              <w:tblPrEx>
                <w:tblCellMar>
                  <w:top w:w="0" w:type="dxa"/>
                  <w:left w:w="108" w:type="dxa"/>
                  <w:bottom w:w="0" w:type="dxa"/>
                  <w:right w:w="108" w:type="dxa"/>
                </w:tblCellMar>
              </w:tblPrEx>
              <w:trPr>
                <w:trHeight w:val="272"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pH</w:t>
                  </w:r>
                </w:p>
              </w:tc>
              <w:tc>
                <w:tcPr>
                  <w:tcW w:w="85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　</w:t>
                  </w:r>
                </w:p>
              </w:tc>
              <w:tc>
                <w:tcPr>
                  <w:tcW w:w="3202"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6.0-9.0</w:t>
                  </w:r>
                </w:p>
              </w:tc>
            </w:tr>
            <w:tr>
              <w:tblPrEx>
                <w:tblCellMar>
                  <w:top w:w="0" w:type="dxa"/>
                  <w:left w:w="108" w:type="dxa"/>
                  <w:bottom w:w="0" w:type="dxa"/>
                  <w:right w:w="108" w:type="dxa"/>
                </w:tblCellMar>
              </w:tblPrEx>
              <w:trPr>
                <w:trHeight w:val="278" w:hRule="atLeast"/>
              </w:trPr>
              <w:tc>
                <w:tcPr>
                  <w:tcW w:w="982" w:type="dxa"/>
                  <w:tcBorders>
                    <w:top w:val="nil"/>
                    <w:left w:val="single" w:color="auto" w:sz="8" w:space="0"/>
                    <w:bottom w:val="single" w:color="000000"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2</w:t>
                  </w:r>
                </w:p>
              </w:tc>
              <w:tc>
                <w:tcPr>
                  <w:tcW w:w="2804" w:type="dxa"/>
                  <w:tcBorders>
                    <w:top w:val="nil"/>
                    <w:left w:val="single" w:color="auto" w:sz="8" w:space="0"/>
                    <w:bottom w:val="single" w:color="000000"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色（度）</w:t>
                  </w:r>
                </w:p>
              </w:tc>
              <w:tc>
                <w:tcPr>
                  <w:tcW w:w="854" w:type="dxa"/>
                  <w:tcBorders>
                    <w:top w:val="nil"/>
                    <w:left w:val="single" w:color="auto" w:sz="8" w:space="0"/>
                    <w:bottom w:val="single" w:color="000000"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w:t>
                  </w:r>
                </w:p>
              </w:tc>
              <w:tc>
                <w:tcPr>
                  <w:tcW w:w="3202" w:type="dxa"/>
                  <w:tcBorders>
                    <w:top w:val="nil"/>
                    <w:left w:val="single" w:color="auto" w:sz="8" w:space="0"/>
                    <w:bottom w:val="single" w:color="000000"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rPr>
                    <w:t>30</w:t>
                  </w:r>
                </w:p>
              </w:tc>
            </w:tr>
            <w:tr>
              <w:tblPrEx>
                <w:tblCellMar>
                  <w:top w:w="0" w:type="dxa"/>
                  <w:left w:w="108" w:type="dxa"/>
                  <w:bottom w:w="0" w:type="dxa"/>
                  <w:right w:w="108" w:type="dxa"/>
                </w:tblCellMar>
              </w:tblPrEx>
              <w:trPr>
                <w:trHeight w:val="313"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3</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嗅</w:t>
                  </w:r>
                </w:p>
              </w:tc>
              <w:tc>
                <w:tcPr>
                  <w:tcW w:w="85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　</w:t>
                  </w:r>
                </w:p>
              </w:tc>
              <w:tc>
                <w:tcPr>
                  <w:tcW w:w="3202"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无不快感</w:t>
                  </w:r>
                </w:p>
              </w:tc>
            </w:tr>
            <w:tr>
              <w:tblPrEx>
                <w:tblCellMar>
                  <w:top w:w="0" w:type="dxa"/>
                  <w:left w:w="108" w:type="dxa"/>
                  <w:bottom w:w="0" w:type="dxa"/>
                  <w:right w:w="108" w:type="dxa"/>
                </w:tblCellMar>
              </w:tblPrEx>
              <w:trPr>
                <w:trHeight w:val="280"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4</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浊度（NTU）</w:t>
                  </w:r>
                </w:p>
              </w:tc>
              <w:tc>
                <w:tcPr>
                  <w:tcW w:w="85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3202"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w:t>
                  </w:r>
                </w:p>
              </w:tc>
            </w:tr>
            <w:tr>
              <w:tblPrEx>
                <w:tblCellMar>
                  <w:top w:w="0" w:type="dxa"/>
                  <w:left w:w="108" w:type="dxa"/>
                  <w:bottom w:w="0" w:type="dxa"/>
                  <w:right w:w="108" w:type="dxa"/>
                </w:tblCellMar>
              </w:tblPrEx>
              <w:trPr>
                <w:trHeight w:val="340"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5</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溶解性总固体（mg/L）</w:t>
                  </w:r>
                </w:p>
              </w:tc>
              <w:tc>
                <w:tcPr>
                  <w:tcW w:w="85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3202"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w:t>
                  </w:r>
                  <w:r>
                    <w:rPr>
                      <w:rFonts w:hint="eastAsia" w:ascii="Times New Roman" w:hAnsi="Times New Roman" w:cs="Times New Roman"/>
                      <w:color w:val="auto"/>
                      <w:kern w:val="0"/>
                      <w:sz w:val="21"/>
                      <w:szCs w:val="21"/>
                      <w:lang w:val="en-US" w:eastAsia="zh-CN"/>
                    </w:rPr>
                    <w:t>5</w:t>
                  </w:r>
                  <w:r>
                    <w:rPr>
                      <w:rFonts w:hint="default" w:ascii="Times New Roman" w:hAnsi="Times New Roman" w:cs="Times New Roman"/>
                      <w:color w:val="auto"/>
                      <w:kern w:val="0"/>
                      <w:sz w:val="21"/>
                      <w:szCs w:val="21"/>
                    </w:rPr>
                    <w:t>00</w:t>
                  </w:r>
                </w:p>
              </w:tc>
            </w:tr>
            <w:tr>
              <w:tblPrEx>
                <w:tblCellMar>
                  <w:top w:w="0" w:type="dxa"/>
                  <w:left w:w="108" w:type="dxa"/>
                  <w:bottom w:w="0" w:type="dxa"/>
                  <w:right w:w="108" w:type="dxa"/>
                </w:tblCellMar>
              </w:tblPrEx>
              <w:trPr>
                <w:trHeight w:val="289"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6</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BOD</w:t>
                  </w:r>
                  <w:r>
                    <w:rPr>
                      <w:rFonts w:hint="default" w:ascii="Times New Roman" w:hAnsi="Times New Roman" w:cs="Times New Roman"/>
                      <w:color w:val="auto"/>
                      <w:kern w:val="0"/>
                      <w:sz w:val="21"/>
                      <w:szCs w:val="21"/>
                      <w:vertAlign w:val="subscript"/>
                    </w:rPr>
                    <w:t>5</w:t>
                  </w:r>
                  <w:r>
                    <w:rPr>
                      <w:rFonts w:hint="default" w:ascii="Times New Roman" w:hAnsi="Times New Roman" w:cs="Times New Roman"/>
                      <w:color w:val="auto"/>
                      <w:kern w:val="0"/>
                      <w:sz w:val="21"/>
                      <w:szCs w:val="21"/>
                    </w:rPr>
                    <w:t>（mg/L）</w:t>
                  </w:r>
                </w:p>
              </w:tc>
              <w:tc>
                <w:tcPr>
                  <w:tcW w:w="85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3202"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15</w:t>
                  </w:r>
                </w:p>
              </w:tc>
            </w:tr>
            <w:tr>
              <w:tblPrEx>
                <w:tblCellMar>
                  <w:top w:w="0" w:type="dxa"/>
                  <w:left w:w="108" w:type="dxa"/>
                  <w:bottom w:w="0" w:type="dxa"/>
                  <w:right w:w="108" w:type="dxa"/>
                </w:tblCellMar>
              </w:tblPrEx>
              <w:trPr>
                <w:trHeight w:val="233"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7</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氨氮（mg/L）</w:t>
                  </w:r>
                </w:p>
              </w:tc>
              <w:tc>
                <w:tcPr>
                  <w:tcW w:w="85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3202"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10</w:t>
                  </w:r>
                </w:p>
              </w:tc>
            </w:tr>
            <w:tr>
              <w:tblPrEx>
                <w:tblCellMar>
                  <w:top w:w="0" w:type="dxa"/>
                  <w:left w:w="108" w:type="dxa"/>
                  <w:bottom w:w="0" w:type="dxa"/>
                  <w:right w:w="108" w:type="dxa"/>
                </w:tblCellMar>
              </w:tblPrEx>
              <w:trPr>
                <w:trHeight w:val="369"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8</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阴离子表面活性剂（mg/L）</w:t>
                  </w:r>
                </w:p>
              </w:tc>
              <w:tc>
                <w:tcPr>
                  <w:tcW w:w="85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3202"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1</w:t>
                  </w:r>
                  <w:r>
                    <w:rPr>
                      <w:rFonts w:hint="eastAsia" w:ascii="Times New Roman" w:hAnsi="Times New Roman" w:cs="Times New Roman"/>
                      <w:color w:val="auto"/>
                      <w:kern w:val="0"/>
                      <w:sz w:val="21"/>
                      <w:szCs w:val="21"/>
                      <w:lang w:val="en-US" w:eastAsia="zh-CN"/>
                    </w:rPr>
                    <w:t>.0</w:t>
                  </w:r>
                </w:p>
              </w:tc>
            </w:tr>
            <w:tr>
              <w:tblPrEx>
                <w:tblCellMar>
                  <w:top w:w="0" w:type="dxa"/>
                  <w:left w:w="108" w:type="dxa"/>
                  <w:bottom w:w="0" w:type="dxa"/>
                  <w:right w:w="108" w:type="dxa"/>
                </w:tblCellMar>
              </w:tblPrEx>
              <w:trPr>
                <w:trHeight w:val="247"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9</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铁（mg/L）</w:t>
                  </w:r>
                </w:p>
              </w:tc>
              <w:tc>
                <w:tcPr>
                  <w:tcW w:w="85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3202"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r>
            <w:tr>
              <w:tblPrEx>
                <w:tblCellMar>
                  <w:top w:w="0" w:type="dxa"/>
                  <w:left w:w="108" w:type="dxa"/>
                  <w:bottom w:w="0" w:type="dxa"/>
                  <w:right w:w="108" w:type="dxa"/>
                </w:tblCellMar>
              </w:tblPrEx>
              <w:trPr>
                <w:trHeight w:val="227"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锰（mg/L）</w:t>
                  </w:r>
                </w:p>
              </w:tc>
              <w:tc>
                <w:tcPr>
                  <w:tcW w:w="85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3202"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r>
            <w:tr>
              <w:tblPrEx>
                <w:tblCellMar>
                  <w:top w:w="0" w:type="dxa"/>
                  <w:left w:w="108" w:type="dxa"/>
                  <w:bottom w:w="0" w:type="dxa"/>
                  <w:right w:w="108" w:type="dxa"/>
                </w:tblCellMar>
              </w:tblPrEx>
              <w:trPr>
                <w:trHeight w:val="254"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11</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溶解氧（mg/L）</w:t>
                  </w:r>
                </w:p>
              </w:tc>
              <w:tc>
                <w:tcPr>
                  <w:tcW w:w="85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3202"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rPr>
                    <w:t>1</w:t>
                  </w:r>
                  <w:r>
                    <w:rPr>
                      <w:rFonts w:hint="eastAsia" w:ascii="Times New Roman" w:hAnsi="Times New Roman" w:cs="Times New Roman"/>
                      <w:color w:val="auto"/>
                      <w:kern w:val="0"/>
                      <w:sz w:val="21"/>
                      <w:szCs w:val="21"/>
                      <w:lang w:val="en-US" w:eastAsia="zh-CN"/>
                    </w:rPr>
                    <w:t>.0</w:t>
                  </w:r>
                </w:p>
              </w:tc>
            </w:tr>
            <w:tr>
              <w:tblPrEx>
                <w:tblCellMar>
                  <w:top w:w="0" w:type="dxa"/>
                  <w:left w:w="108" w:type="dxa"/>
                  <w:bottom w:w="0" w:type="dxa"/>
                  <w:right w:w="108" w:type="dxa"/>
                </w:tblCellMar>
              </w:tblPrEx>
              <w:trPr>
                <w:trHeight w:val="288" w:hRule="atLeast"/>
              </w:trPr>
              <w:tc>
                <w:tcPr>
                  <w:tcW w:w="982" w:type="dxa"/>
                  <w:tcBorders>
                    <w:top w:val="nil"/>
                    <w:left w:val="single" w:color="auto" w:sz="8" w:space="0"/>
                    <w:bottom w:val="single" w:color="000000"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12</w:t>
                  </w:r>
                </w:p>
              </w:tc>
              <w:tc>
                <w:tcPr>
                  <w:tcW w:w="2804" w:type="dxa"/>
                  <w:tcBorders>
                    <w:top w:val="nil"/>
                    <w:left w:val="single" w:color="auto" w:sz="8" w:space="0"/>
                    <w:bottom w:val="single" w:color="000000"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总余氯（mg/L）</w:t>
                  </w:r>
                </w:p>
              </w:tc>
              <w:tc>
                <w:tcPr>
                  <w:tcW w:w="854" w:type="dxa"/>
                  <w:tcBorders>
                    <w:top w:val="nil"/>
                    <w:left w:val="single" w:color="auto" w:sz="8" w:space="0"/>
                    <w:bottom w:val="single" w:color="auto" w:sz="4"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3202" w:type="dxa"/>
                  <w:tcBorders>
                    <w:top w:val="nil"/>
                    <w:left w:val="nil"/>
                    <w:bottom w:val="single" w:color="auto" w:sz="4"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接触30min后≥1.0，管网末端0.2</w:t>
                  </w:r>
                </w:p>
              </w:tc>
            </w:tr>
            <w:tr>
              <w:tblPrEx>
                <w:tblCellMar>
                  <w:top w:w="0" w:type="dxa"/>
                  <w:left w:w="108" w:type="dxa"/>
                  <w:bottom w:w="0" w:type="dxa"/>
                  <w:right w:w="108" w:type="dxa"/>
                </w:tblCellMar>
              </w:tblPrEx>
              <w:trPr>
                <w:trHeight w:val="321" w:hRule="atLeast"/>
              </w:trPr>
              <w:tc>
                <w:tcPr>
                  <w:tcW w:w="982" w:type="dxa"/>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13</w:t>
                  </w:r>
                </w:p>
              </w:tc>
              <w:tc>
                <w:tcPr>
                  <w:tcW w:w="2804" w:type="dxa"/>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总大肠菌群（个/L）</w:t>
                  </w:r>
                </w:p>
              </w:tc>
              <w:tc>
                <w:tcPr>
                  <w:tcW w:w="854" w:type="dxa"/>
                  <w:tcBorders>
                    <w:top w:val="single" w:color="auto" w:sz="4" w:space="0"/>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w:t>
                  </w:r>
                </w:p>
              </w:tc>
              <w:tc>
                <w:tcPr>
                  <w:tcW w:w="3202" w:type="dxa"/>
                  <w:tcBorders>
                    <w:top w:val="single" w:color="auto" w:sz="4" w:space="0"/>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3.0</w:t>
                  </w:r>
                </w:p>
              </w:tc>
            </w:tr>
          </w:tbl>
          <w:p>
            <w:pPr>
              <w:spacing w:line="360" w:lineRule="auto"/>
              <w:rPr>
                <w:color w:val="auto"/>
                <w:sz w:val="24"/>
                <w:szCs w:val="24"/>
              </w:rPr>
            </w:pPr>
            <w:r>
              <w:rPr>
                <w:b/>
                <w:color w:val="auto"/>
                <w:sz w:val="24"/>
                <w:szCs w:val="24"/>
              </w:rPr>
              <w:t>3.噪声</w:t>
            </w:r>
          </w:p>
          <w:p>
            <w:pPr>
              <w:pStyle w:val="272"/>
              <w:spacing w:line="360" w:lineRule="auto"/>
              <w:ind w:firstLine="482" w:firstLineChars="200"/>
              <w:rPr>
                <w:rFonts w:ascii="Times New Roman" w:hAnsi="Times New Roman" w:cs="Times New Roman"/>
                <w:b w:val="0"/>
                <w:bCs w:val="0"/>
                <w:color w:val="auto"/>
                <w:sz w:val="24"/>
              </w:rPr>
            </w:pPr>
            <w:r>
              <w:rPr>
                <w:rFonts w:ascii="Times New Roman" w:hAnsi="Times New Roman" w:cs="Times New Roman"/>
                <w:color w:val="auto"/>
                <w:sz w:val="24"/>
              </w:rPr>
              <w:t>施工期：</w:t>
            </w:r>
            <w:r>
              <w:rPr>
                <w:rFonts w:ascii="Times New Roman" w:hAnsi="Times New Roman" w:cs="Times New Roman"/>
                <w:b w:val="0"/>
                <w:color w:val="auto"/>
                <w:sz w:val="24"/>
              </w:rPr>
              <w:t>施工噪声排放执行《建筑施工场界环境噪声排放标准》（GB12523-2011），标准限值见表4-</w:t>
            </w:r>
            <w:r>
              <w:rPr>
                <w:rFonts w:hint="eastAsia" w:ascii="Times New Roman" w:hAnsi="Times New Roman" w:cs="Times New Roman"/>
                <w:b w:val="0"/>
                <w:color w:val="auto"/>
                <w:sz w:val="24"/>
                <w:lang w:val="en-US" w:eastAsia="zh-CN"/>
              </w:rPr>
              <w:t>9</w:t>
            </w:r>
            <w:r>
              <w:rPr>
                <w:rFonts w:ascii="Times New Roman" w:hAnsi="Times New Roman" w:cs="Times New Roman"/>
                <w:b w:val="0"/>
                <w:color w:val="auto"/>
                <w:sz w:val="24"/>
              </w:rPr>
              <w:t>。</w:t>
            </w:r>
          </w:p>
          <w:p>
            <w:pPr>
              <w:ind w:firstLine="463" w:firstLineChars="192"/>
              <w:jc w:val="center"/>
              <w:rPr>
                <w:b/>
                <w:color w:val="auto"/>
                <w:sz w:val="24"/>
              </w:rPr>
            </w:pPr>
            <w:r>
              <w:rPr>
                <w:b/>
                <w:color w:val="auto"/>
                <w:sz w:val="24"/>
              </w:rPr>
              <w:t>表4-</w:t>
            </w:r>
            <w:r>
              <w:rPr>
                <w:rFonts w:hint="eastAsia"/>
                <w:b/>
                <w:color w:val="auto"/>
                <w:sz w:val="24"/>
                <w:lang w:val="en-US" w:eastAsia="zh-CN"/>
              </w:rPr>
              <w:t>9</w:t>
            </w:r>
            <w:r>
              <w:rPr>
                <w:b/>
                <w:color w:val="auto"/>
                <w:sz w:val="24"/>
              </w:rPr>
              <w:t xml:space="preserve">   建筑施工场界环境噪声排放限值单位：dB（A）</w:t>
            </w:r>
          </w:p>
          <w:tbl>
            <w:tblPr>
              <w:tblStyle w:val="43"/>
              <w:tblW w:w="7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451"/>
              <w:gridCol w:w="3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4" w:hRule="exact"/>
                <w:jc w:val="center"/>
              </w:trPr>
              <w:tc>
                <w:tcPr>
                  <w:tcW w:w="4451" w:type="dxa"/>
                  <w:vAlign w:val="center"/>
                </w:tcPr>
                <w:p>
                  <w:pPr>
                    <w:jc w:val="center"/>
                    <w:rPr>
                      <w:color w:val="auto"/>
                      <w:szCs w:val="21"/>
                    </w:rPr>
                  </w:pPr>
                  <w:r>
                    <w:rPr>
                      <w:color w:val="auto"/>
                      <w:szCs w:val="21"/>
                    </w:rPr>
                    <w:t>昼间</w:t>
                  </w:r>
                </w:p>
              </w:tc>
              <w:tc>
                <w:tcPr>
                  <w:tcW w:w="3388" w:type="dxa"/>
                  <w:vAlign w:val="center"/>
                </w:tcPr>
                <w:p>
                  <w:pPr>
                    <w:jc w:val="center"/>
                    <w:rPr>
                      <w:color w:val="auto"/>
                      <w:szCs w:val="21"/>
                    </w:rPr>
                  </w:pPr>
                  <w:r>
                    <w:rPr>
                      <w:color w:val="auto"/>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6" w:hRule="exact"/>
                <w:jc w:val="center"/>
              </w:trPr>
              <w:tc>
                <w:tcPr>
                  <w:tcW w:w="4451" w:type="dxa"/>
                  <w:vAlign w:val="center"/>
                </w:tcPr>
                <w:p>
                  <w:pPr>
                    <w:jc w:val="center"/>
                    <w:rPr>
                      <w:color w:val="auto"/>
                      <w:szCs w:val="21"/>
                    </w:rPr>
                  </w:pPr>
                  <w:r>
                    <w:rPr>
                      <w:color w:val="auto"/>
                      <w:szCs w:val="21"/>
                    </w:rPr>
                    <w:t>70</w:t>
                  </w:r>
                </w:p>
              </w:tc>
              <w:tc>
                <w:tcPr>
                  <w:tcW w:w="3388" w:type="dxa"/>
                  <w:vAlign w:val="center"/>
                </w:tcPr>
                <w:p>
                  <w:pPr>
                    <w:jc w:val="center"/>
                    <w:rPr>
                      <w:color w:val="auto"/>
                      <w:szCs w:val="21"/>
                    </w:rPr>
                  </w:pPr>
                  <w:r>
                    <w:rPr>
                      <w:color w:val="auto"/>
                      <w:szCs w:val="21"/>
                    </w:rPr>
                    <w:t>55</w:t>
                  </w:r>
                </w:p>
              </w:tc>
            </w:tr>
          </w:tbl>
          <w:p>
            <w:pPr>
              <w:spacing w:line="360" w:lineRule="auto"/>
              <w:ind w:firstLine="482" w:firstLineChars="200"/>
              <w:rPr>
                <w:b/>
                <w:color w:val="auto"/>
                <w:szCs w:val="21"/>
              </w:rPr>
            </w:pPr>
            <w:r>
              <w:rPr>
                <w:b/>
                <w:color w:val="auto"/>
                <w:sz w:val="24"/>
              </w:rPr>
              <w:t>运营期：</w:t>
            </w:r>
            <w:r>
              <w:rPr>
                <w:color w:val="auto"/>
                <w:sz w:val="24"/>
              </w:rPr>
              <w:t>项目位于</w:t>
            </w:r>
            <w:r>
              <w:rPr>
                <w:rFonts w:hint="eastAsia"/>
                <w:color w:val="auto"/>
                <w:sz w:val="24"/>
              </w:rPr>
              <w:t>富明县东村镇西村村</w:t>
            </w:r>
            <w:r>
              <w:rPr>
                <w:color w:val="auto"/>
                <w:sz w:val="24"/>
              </w:rPr>
              <w:t>，项目区噪声排放执行《工业企业厂界环境噪声排放标准》（GB12348-2008）</w:t>
            </w:r>
            <w:r>
              <w:rPr>
                <w:rFonts w:hint="eastAsia"/>
                <w:color w:val="auto"/>
                <w:sz w:val="24"/>
              </w:rPr>
              <w:t>2</w:t>
            </w:r>
            <w:r>
              <w:rPr>
                <w:color w:val="auto"/>
                <w:sz w:val="24"/>
              </w:rPr>
              <w:t>类标准，标准值见表4-</w:t>
            </w:r>
            <w:r>
              <w:rPr>
                <w:rFonts w:hint="eastAsia"/>
                <w:color w:val="auto"/>
                <w:sz w:val="24"/>
                <w:lang w:val="en-US" w:eastAsia="zh-CN"/>
              </w:rPr>
              <w:t>10</w:t>
            </w:r>
            <w:r>
              <w:rPr>
                <w:color w:val="auto"/>
                <w:sz w:val="24"/>
              </w:rPr>
              <w:t>。</w:t>
            </w:r>
          </w:p>
          <w:p>
            <w:pPr>
              <w:ind w:firstLine="463" w:firstLineChars="192"/>
              <w:jc w:val="center"/>
              <w:rPr>
                <w:b/>
                <w:color w:val="auto"/>
                <w:sz w:val="24"/>
              </w:rPr>
            </w:pPr>
            <w:r>
              <w:rPr>
                <w:b/>
                <w:color w:val="auto"/>
                <w:sz w:val="24"/>
              </w:rPr>
              <w:t>表4-</w:t>
            </w:r>
            <w:r>
              <w:rPr>
                <w:rFonts w:hint="eastAsia"/>
                <w:b/>
                <w:color w:val="auto"/>
                <w:sz w:val="24"/>
                <w:lang w:val="en-US" w:eastAsia="zh-CN"/>
              </w:rPr>
              <w:t>10</w:t>
            </w:r>
            <w:r>
              <w:rPr>
                <w:b/>
                <w:color w:val="auto"/>
                <w:sz w:val="24"/>
              </w:rPr>
              <w:t xml:space="preserve">  工业企业厂界环境噪声排放标准</w:t>
            </w:r>
          </w:p>
          <w:tbl>
            <w:tblPr>
              <w:tblStyle w:val="43"/>
              <w:tblW w:w="7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2832"/>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 w:hRule="atLeast"/>
                <w:jc w:val="center"/>
              </w:trPr>
              <w:tc>
                <w:tcPr>
                  <w:tcW w:w="2304" w:type="dxa"/>
                  <w:vMerge w:val="restart"/>
                  <w:vAlign w:val="center"/>
                </w:tcPr>
                <w:p>
                  <w:pPr>
                    <w:jc w:val="center"/>
                    <w:rPr>
                      <w:color w:val="auto"/>
                      <w:szCs w:val="21"/>
                    </w:rPr>
                  </w:pPr>
                  <w:r>
                    <w:rPr>
                      <w:color w:val="auto"/>
                      <w:szCs w:val="21"/>
                    </w:rPr>
                    <w:t>类别</w:t>
                  </w:r>
                </w:p>
              </w:tc>
              <w:tc>
                <w:tcPr>
                  <w:tcW w:w="5535" w:type="dxa"/>
                  <w:gridSpan w:val="2"/>
                  <w:vAlign w:val="center"/>
                </w:tcPr>
                <w:p>
                  <w:pPr>
                    <w:jc w:val="center"/>
                    <w:rPr>
                      <w:color w:val="auto"/>
                      <w:szCs w:val="21"/>
                    </w:rPr>
                  </w:pPr>
                  <w:r>
                    <w:rPr>
                      <w:color w:val="auto"/>
                      <w:szCs w:val="21"/>
                    </w:rPr>
                    <w:t>等效声级[dB(A)]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 w:hRule="atLeast"/>
                <w:jc w:val="center"/>
              </w:trPr>
              <w:tc>
                <w:tcPr>
                  <w:tcW w:w="2304" w:type="dxa"/>
                  <w:vMerge w:val="continue"/>
                  <w:vAlign w:val="center"/>
                </w:tcPr>
                <w:p>
                  <w:pPr>
                    <w:jc w:val="center"/>
                    <w:rPr>
                      <w:color w:val="auto"/>
                      <w:szCs w:val="21"/>
                    </w:rPr>
                  </w:pPr>
                </w:p>
              </w:tc>
              <w:tc>
                <w:tcPr>
                  <w:tcW w:w="2832" w:type="dxa"/>
                  <w:vAlign w:val="center"/>
                </w:tcPr>
                <w:p>
                  <w:pPr>
                    <w:jc w:val="center"/>
                    <w:rPr>
                      <w:color w:val="auto"/>
                      <w:szCs w:val="21"/>
                    </w:rPr>
                  </w:pPr>
                  <w:r>
                    <w:rPr>
                      <w:color w:val="auto"/>
                      <w:szCs w:val="21"/>
                    </w:rPr>
                    <w:t>昼间</w:t>
                  </w:r>
                </w:p>
              </w:tc>
              <w:tc>
                <w:tcPr>
                  <w:tcW w:w="2703" w:type="dxa"/>
                  <w:vAlign w:val="center"/>
                </w:tcPr>
                <w:p>
                  <w:pPr>
                    <w:jc w:val="center"/>
                    <w:rPr>
                      <w:color w:val="auto"/>
                      <w:szCs w:val="21"/>
                    </w:rPr>
                  </w:pPr>
                  <w:r>
                    <w:rPr>
                      <w:color w:val="auto"/>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304" w:type="dxa"/>
                  <w:vAlign w:val="center"/>
                </w:tcPr>
                <w:p>
                  <w:pPr>
                    <w:jc w:val="center"/>
                    <w:rPr>
                      <w:color w:val="auto"/>
                      <w:szCs w:val="21"/>
                    </w:rPr>
                  </w:pPr>
                  <w:r>
                    <w:rPr>
                      <w:rFonts w:hint="eastAsia"/>
                      <w:color w:val="auto"/>
                      <w:szCs w:val="21"/>
                    </w:rPr>
                    <w:t>2</w:t>
                  </w:r>
                  <w:r>
                    <w:rPr>
                      <w:color w:val="auto"/>
                      <w:szCs w:val="21"/>
                    </w:rPr>
                    <w:t>类</w:t>
                  </w:r>
                </w:p>
              </w:tc>
              <w:tc>
                <w:tcPr>
                  <w:tcW w:w="2832" w:type="dxa"/>
                  <w:vAlign w:val="center"/>
                </w:tcPr>
                <w:p>
                  <w:pPr>
                    <w:jc w:val="center"/>
                    <w:rPr>
                      <w:rFonts w:eastAsia="Calibri"/>
                      <w:color w:val="auto"/>
                      <w:szCs w:val="21"/>
                    </w:rPr>
                  </w:pPr>
                  <w:r>
                    <w:rPr>
                      <w:rFonts w:hint="eastAsia"/>
                      <w:color w:val="auto"/>
                      <w:szCs w:val="21"/>
                    </w:rPr>
                    <w:t>60</w:t>
                  </w:r>
                </w:p>
              </w:tc>
              <w:tc>
                <w:tcPr>
                  <w:tcW w:w="2703" w:type="dxa"/>
                  <w:vAlign w:val="center"/>
                </w:tcPr>
                <w:p>
                  <w:pPr>
                    <w:jc w:val="center"/>
                    <w:rPr>
                      <w:rFonts w:eastAsia="Calibri"/>
                      <w:color w:val="auto"/>
                      <w:szCs w:val="21"/>
                    </w:rPr>
                  </w:pPr>
                  <w:r>
                    <w:rPr>
                      <w:rFonts w:hint="eastAsia"/>
                      <w:color w:val="auto"/>
                      <w:szCs w:val="21"/>
                    </w:rPr>
                    <w:t>50</w:t>
                  </w:r>
                </w:p>
              </w:tc>
            </w:tr>
          </w:tbl>
          <w:p>
            <w:pPr>
              <w:spacing w:line="360" w:lineRule="auto"/>
              <w:rPr>
                <w:b/>
                <w:bCs/>
                <w:color w:val="auto"/>
                <w:sz w:val="24"/>
                <w:szCs w:val="24"/>
              </w:rPr>
            </w:pPr>
            <w:r>
              <w:rPr>
                <w:b/>
                <w:bCs/>
                <w:color w:val="auto"/>
                <w:sz w:val="24"/>
                <w:szCs w:val="24"/>
              </w:rPr>
              <w:t>4、固体废物控制标准</w:t>
            </w:r>
          </w:p>
          <w:p>
            <w:pPr>
              <w:spacing w:line="360" w:lineRule="auto"/>
              <w:ind w:firstLine="480" w:firstLineChars="200"/>
              <w:rPr>
                <w:bCs/>
                <w:color w:val="auto"/>
                <w:sz w:val="24"/>
              </w:rPr>
            </w:pPr>
            <w:r>
              <w:rPr>
                <w:color w:val="auto"/>
                <w:sz w:val="24"/>
              </w:rPr>
              <w:t>项目区生产产生的固体废物，</w:t>
            </w:r>
            <w:r>
              <w:rPr>
                <w:bCs/>
                <w:color w:val="auto"/>
                <w:sz w:val="24"/>
              </w:rPr>
              <w:t>一般工业固废执行《一般工业固体废物贮存、处置场污染控制标准》</w:t>
            </w:r>
            <w:r>
              <w:rPr>
                <w:rFonts w:hint="eastAsia"/>
                <w:bCs/>
                <w:color w:val="auto"/>
                <w:sz w:val="24"/>
              </w:rPr>
              <w:t>（</w:t>
            </w:r>
            <w:r>
              <w:rPr>
                <w:bCs/>
                <w:color w:val="auto"/>
                <w:sz w:val="24"/>
              </w:rPr>
              <w:t>GB18599-2001</w:t>
            </w:r>
            <w:r>
              <w:rPr>
                <w:rFonts w:hint="eastAsia"/>
                <w:bCs/>
                <w:color w:val="auto"/>
                <w:sz w:val="24"/>
              </w:rPr>
              <w:t>）</w:t>
            </w:r>
            <w:r>
              <w:rPr>
                <w:bCs/>
                <w:color w:val="auto"/>
                <w:sz w:val="24"/>
              </w:rPr>
              <w:t>及2013年修改单要求。</w:t>
            </w:r>
          </w:p>
          <w:p>
            <w:pPr>
              <w:spacing w:line="360" w:lineRule="auto"/>
              <w:ind w:firstLine="480" w:firstLineChars="200"/>
              <w:rPr>
                <w:rFonts w:ascii="Times New Roman" w:hAnsi="Times New Roman"/>
                <w:color w:val="auto"/>
                <w:kern w:val="0"/>
                <w:sz w:val="24"/>
                <w:szCs w:val="21"/>
              </w:rPr>
            </w:pPr>
            <w:r>
              <w:rPr>
                <w:bCs/>
                <w:color w:val="auto"/>
                <w:sz w:val="24"/>
              </w:rPr>
              <w:t>危险废物</w:t>
            </w:r>
            <w:r>
              <w:rPr>
                <w:color w:val="auto"/>
                <w:sz w:val="24"/>
              </w:rPr>
              <w:t>执行《危险废物贮存污染控制标准》（GB18597-2001）</w:t>
            </w:r>
            <w:r>
              <w:rPr>
                <w:bCs/>
                <w:color w:val="auto"/>
                <w:sz w:val="24"/>
              </w:rPr>
              <w:t>及2013年修改单要求。</w:t>
            </w:r>
          </w:p>
          <w:p>
            <w:pPr>
              <w:spacing w:line="360" w:lineRule="auto"/>
              <w:ind w:firstLine="480" w:firstLineChars="200"/>
              <w:rPr>
                <w:rFonts w:ascii="Times New Roman" w:hAnsi="Times New Roman"/>
                <w:color w:val="auto"/>
                <w:kern w:val="0"/>
                <w:sz w:val="24"/>
                <w:szCs w:val="21"/>
              </w:rPr>
            </w:pPr>
          </w:p>
          <w:p>
            <w:pPr>
              <w:spacing w:line="360" w:lineRule="auto"/>
              <w:rPr>
                <w:rFonts w:ascii="Times New Roman" w:hAnsi="Times New Roman"/>
                <w:color w:val="auto"/>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vAlign w:val="center"/>
          </w:tcPr>
          <w:p>
            <w:pPr>
              <w:spacing w:line="360" w:lineRule="auto"/>
              <w:rPr>
                <w:rFonts w:ascii="Times New Roman" w:hAnsi="Times New Roman"/>
                <w:color w:val="auto"/>
                <w:kern w:val="0"/>
                <w:sz w:val="24"/>
                <w:szCs w:val="21"/>
              </w:rPr>
            </w:pPr>
            <w:r>
              <w:rPr>
                <w:rFonts w:ascii="Times New Roman" w:hAnsi="Times New Roman"/>
                <w:color w:val="auto"/>
                <w:kern w:val="0"/>
                <w:sz w:val="24"/>
                <w:szCs w:val="21"/>
              </w:rPr>
              <w:t>总</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量</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控</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制</w:t>
            </w:r>
          </w:p>
          <w:p>
            <w:pPr>
              <w:spacing w:line="360" w:lineRule="auto"/>
              <w:jc w:val="center"/>
              <w:rPr>
                <w:rFonts w:ascii="Times New Roman" w:hAnsi="Times New Roman"/>
                <w:color w:val="auto"/>
                <w:kern w:val="0"/>
                <w:sz w:val="24"/>
                <w:szCs w:val="21"/>
              </w:rPr>
            </w:pPr>
            <w:r>
              <w:rPr>
                <w:rFonts w:ascii="Times New Roman" w:hAnsi="Times New Roman"/>
                <w:color w:val="auto"/>
                <w:kern w:val="0"/>
                <w:sz w:val="24"/>
                <w:szCs w:val="21"/>
              </w:rPr>
              <w:t>指</w:t>
            </w:r>
          </w:p>
          <w:p>
            <w:pPr>
              <w:spacing w:line="360" w:lineRule="auto"/>
              <w:jc w:val="center"/>
              <w:rPr>
                <w:rFonts w:ascii="Times New Roman" w:hAnsi="Times New Roman"/>
                <w:color w:val="auto"/>
              </w:rPr>
            </w:pPr>
            <w:r>
              <w:rPr>
                <w:rFonts w:ascii="Times New Roman" w:hAnsi="Times New Roman"/>
                <w:color w:val="auto"/>
                <w:kern w:val="0"/>
                <w:sz w:val="24"/>
                <w:szCs w:val="21"/>
              </w:rPr>
              <w:t>标</w:t>
            </w:r>
          </w:p>
        </w:tc>
        <w:tc>
          <w:tcPr>
            <w:tcW w:w="8065" w:type="dxa"/>
          </w:tcPr>
          <w:p>
            <w:pPr>
              <w:spacing w:line="360" w:lineRule="auto"/>
              <w:rPr>
                <w:rFonts w:ascii="Times New Roman" w:hAnsi="Times New Roman"/>
                <w:color w:val="auto"/>
                <w:sz w:val="24"/>
                <w:szCs w:val="24"/>
              </w:rPr>
            </w:pPr>
            <w:r>
              <w:rPr>
                <w:rFonts w:ascii="Times New Roman" w:hAnsi="Times New Roman"/>
                <w:color w:val="auto"/>
                <w:sz w:val="24"/>
                <w:szCs w:val="24"/>
              </w:rPr>
              <w:t>建议的总量控制指标：</w:t>
            </w:r>
          </w:p>
          <w:p>
            <w:pPr>
              <w:adjustRightInd w:val="0"/>
              <w:snapToGrid w:val="0"/>
              <w:spacing w:line="360" w:lineRule="auto"/>
              <w:rPr>
                <w:rFonts w:ascii="Times New Roman" w:hAnsi="Times New Roman"/>
                <w:color w:val="auto"/>
                <w:sz w:val="24"/>
              </w:rPr>
            </w:pPr>
            <w:r>
              <w:rPr>
                <w:rFonts w:ascii="Times New Roman" w:hAnsi="Times New Roman"/>
                <w:color w:val="auto"/>
                <w:sz w:val="24"/>
              </w:rPr>
              <w:t>（1）废水</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本项目生活污水</w:t>
            </w:r>
            <w:r>
              <w:rPr>
                <w:rFonts w:hint="eastAsia" w:ascii="Times New Roman" w:hAnsi="Times New Roman"/>
                <w:color w:val="auto"/>
                <w:sz w:val="24"/>
                <w:szCs w:val="24"/>
              </w:rPr>
              <w:t>中食堂废水经隔油池处理后与</w:t>
            </w:r>
            <w:r>
              <w:rPr>
                <w:rFonts w:hint="eastAsia" w:ascii="Times New Roman" w:hAnsi="Times New Roman"/>
                <w:color w:val="auto"/>
                <w:sz w:val="24"/>
                <w:szCs w:val="24"/>
                <w:lang w:eastAsia="zh-CN"/>
              </w:rPr>
              <w:t>其他生活污水</w:t>
            </w:r>
            <w:r>
              <w:rPr>
                <w:rFonts w:hint="eastAsia" w:ascii="Times New Roman" w:hAnsi="Times New Roman"/>
                <w:color w:val="auto"/>
                <w:sz w:val="24"/>
                <w:szCs w:val="24"/>
              </w:rPr>
              <w:t>进入化粪池</w:t>
            </w:r>
            <w:r>
              <w:rPr>
                <w:rFonts w:hint="eastAsia" w:ascii="Times New Roman" w:hAnsi="Times New Roman"/>
                <w:color w:val="auto"/>
                <w:sz w:val="24"/>
                <w:szCs w:val="24"/>
                <w:lang w:eastAsia="zh-CN"/>
              </w:rPr>
              <w:t>预处理，后进入中水处理站处理后用于厂区洒水降尘，</w:t>
            </w:r>
            <w:r>
              <w:rPr>
                <w:rFonts w:hint="eastAsia" w:ascii="Times New Roman" w:hAnsi="Times New Roman"/>
                <w:color w:val="auto"/>
                <w:sz w:val="24"/>
                <w:szCs w:val="24"/>
              </w:rPr>
              <w:t>因此项目区不存在废水外排。</w:t>
            </w:r>
          </w:p>
          <w:p>
            <w:pPr>
              <w:adjustRightInd w:val="0"/>
              <w:snapToGrid w:val="0"/>
              <w:spacing w:line="360" w:lineRule="auto"/>
              <w:rPr>
                <w:rFonts w:ascii="Times New Roman" w:hAnsi="Times New Roman"/>
                <w:color w:val="auto"/>
                <w:sz w:val="24"/>
              </w:rPr>
            </w:pPr>
            <w:r>
              <w:rPr>
                <w:rFonts w:ascii="Times New Roman" w:hAnsi="Times New Roman"/>
                <w:color w:val="auto"/>
                <w:sz w:val="24"/>
              </w:rPr>
              <w:t>（2）废气</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有组织</w:t>
            </w:r>
            <w:r>
              <w:rPr>
                <w:rFonts w:hint="eastAsia" w:ascii="Times New Roman" w:hAnsi="Times New Roman"/>
                <w:color w:val="auto"/>
                <w:sz w:val="24"/>
              </w:rPr>
              <w:t>废气产生量为</w:t>
            </w:r>
            <w:r>
              <w:rPr>
                <w:rFonts w:hint="eastAsia" w:ascii="Times New Roman" w:hAnsi="Times New Roman"/>
                <w:color w:val="auto"/>
                <w:sz w:val="24"/>
                <w:highlight w:val="none"/>
                <w:lang w:val="en-US" w:eastAsia="zh-CN"/>
              </w:rPr>
              <w:t>1959.6</w:t>
            </w:r>
            <w:r>
              <w:rPr>
                <w:rFonts w:hint="eastAsia" w:ascii="Times New Roman" w:hAnsi="Times New Roman"/>
                <w:color w:val="auto"/>
                <w:sz w:val="24"/>
                <w:highlight w:val="none"/>
              </w:rPr>
              <w:t>万m</w:t>
            </w:r>
            <w:r>
              <w:rPr>
                <w:rFonts w:hint="eastAsia" w:ascii="Times New Roman" w:hAnsi="Times New Roman"/>
                <w:color w:val="auto"/>
                <w:sz w:val="24"/>
                <w:highlight w:val="none"/>
                <w:vertAlign w:val="superscript"/>
              </w:rPr>
              <w:t>3</w:t>
            </w:r>
            <w:r>
              <w:rPr>
                <w:rFonts w:hint="eastAsia" w:ascii="Times New Roman" w:hAnsi="Times New Roman"/>
                <w:color w:val="auto"/>
                <w:sz w:val="24"/>
                <w:highlight w:val="none"/>
              </w:rPr>
              <w:t>/a，</w:t>
            </w:r>
            <w:r>
              <w:rPr>
                <w:rFonts w:hint="eastAsia" w:ascii="Times New Roman" w:hAnsi="Times New Roman"/>
                <w:color w:val="auto"/>
                <w:sz w:val="24"/>
                <w:lang w:eastAsia="zh-CN"/>
              </w:rPr>
              <w:t>颗粒物</w:t>
            </w:r>
            <w:r>
              <w:rPr>
                <w:rFonts w:ascii="Times New Roman" w:hAnsi="Times New Roman"/>
                <w:color w:val="auto"/>
                <w:sz w:val="24"/>
              </w:rPr>
              <w:t>外排量为</w:t>
            </w:r>
            <w:r>
              <w:rPr>
                <w:rFonts w:hint="eastAsia" w:ascii="Times New Roman" w:hAnsi="Times New Roman"/>
                <w:color w:val="auto"/>
                <w:sz w:val="24"/>
                <w:lang w:val="en-US" w:eastAsia="zh-CN"/>
              </w:rPr>
              <w:t>0.178</w:t>
            </w:r>
            <w:r>
              <w:rPr>
                <w:rFonts w:ascii="Times New Roman" w:hAnsi="Times New Roman"/>
                <w:color w:val="auto"/>
                <w:sz w:val="24"/>
              </w:rPr>
              <w:t>t/a。</w:t>
            </w:r>
          </w:p>
          <w:p>
            <w:pPr>
              <w:adjustRightInd w:val="0"/>
              <w:snapToGrid w:val="0"/>
              <w:spacing w:line="360" w:lineRule="auto"/>
              <w:rPr>
                <w:rFonts w:ascii="Times New Roman" w:hAnsi="Times New Roman"/>
                <w:color w:val="auto"/>
                <w:sz w:val="24"/>
              </w:rPr>
            </w:pPr>
            <w:r>
              <w:rPr>
                <w:rFonts w:ascii="Times New Roman" w:hAnsi="Times New Roman"/>
                <w:color w:val="auto"/>
                <w:sz w:val="24"/>
              </w:rPr>
              <w:t>（3）固体废物</w:t>
            </w:r>
          </w:p>
          <w:p>
            <w:pPr>
              <w:adjustRightInd w:val="0"/>
              <w:snapToGrid w:val="0"/>
              <w:spacing w:line="360" w:lineRule="auto"/>
              <w:ind w:firstLine="480" w:firstLineChars="200"/>
              <w:rPr>
                <w:rFonts w:ascii="Times New Roman" w:hAnsi="Times New Roman"/>
                <w:color w:val="auto"/>
                <w:sz w:val="24"/>
              </w:rPr>
            </w:pPr>
            <w:r>
              <w:rPr>
                <w:rFonts w:hint="eastAsia" w:ascii="Times New Roman" w:hAnsi="Times New Roman"/>
                <w:color w:val="auto"/>
                <w:sz w:val="24"/>
              </w:rPr>
              <w:t>布袋除尘器装置收集粉尘经收集后，作为原料返回生产线；废弃混凝土作为原料返回生产线；废钢筋外卖到当地废品站；</w:t>
            </w:r>
            <w:r>
              <w:rPr>
                <w:rFonts w:hint="eastAsia" w:ascii="Times New Roman" w:hAnsi="Times New Roman"/>
                <w:color w:val="auto"/>
                <w:sz w:val="24"/>
                <w:lang w:eastAsia="zh-CN"/>
              </w:rPr>
              <w:t>实验室固废返回各自生产工序再生产利用；</w:t>
            </w:r>
            <w:r>
              <w:rPr>
                <w:rFonts w:hint="eastAsia" w:ascii="Times New Roman" w:hAnsi="Times New Roman"/>
                <w:color w:val="auto"/>
                <w:sz w:val="24"/>
              </w:rPr>
              <w:t>生活垃圾</w:t>
            </w:r>
            <w:r>
              <w:rPr>
                <w:rFonts w:hint="eastAsia" w:ascii="Times New Roman" w:hAnsi="Times New Roman"/>
                <w:color w:val="auto"/>
                <w:sz w:val="24"/>
                <w:lang w:eastAsia="zh-CN"/>
              </w:rPr>
              <w:t>与污泥</w:t>
            </w:r>
            <w:r>
              <w:rPr>
                <w:rFonts w:hint="eastAsia" w:ascii="Times New Roman" w:hAnsi="Times New Roman"/>
                <w:color w:val="auto"/>
                <w:sz w:val="24"/>
              </w:rPr>
              <w:t>统一收集后按环卫部门要求处置；废机油</w:t>
            </w:r>
            <w:r>
              <w:rPr>
                <w:rFonts w:hint="eastAsia" w:ascii="Times New Roman" w:hAnsi="Times New Roman"/>
                <w:color w:val="auto"/>
                <w:sz w:val="24"/>
                <w:lang w:eastAsia="zh-CN"/>
              </w:rPr>
              <w:t>、隔油池油脂</w:t>
            </w:r>
            <w:r>
              <w:rPr>
                <w:rFonts w:hint="eastAsia" w:ascii="Times New Roman" w:hAnsi="Times New Roman"/>
                <w:color w:val="auto"/>
                <w:sz w:val="24"/>
              </w:rPr>
              <w:t>委托有资质单位处置。运行期间所有固废均能全部得到妥善处置。</w:t>
            </w:r>
          </w:p>
          <w:p>
            <w:pPr>
              <w:ind w:firstLine="480" w:firstLineChars="200"/>
              <w:rPr>
                <w:rFonts w:ascii="Times New Roman" w:hAnsi="Times New Roman"/>
                <w:color w:val="auto"/>
              </w:rPr>
            </w:pPr>
            <w:r>
              <w:rPr>
                <w:rFonts w:ascii="Times New Roman" w:hAnsi="Times New Roman"/>
                <w:color w:val="auto"/>
                <w:sz w:val="24"/>
              </w:rPr>
              <w:t>本项目污染物不涉及总量控制指标，故本项目无总量控制指标。</w:t>
            </w: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rPr>
                <w:rFonts w:ascii="Times New Roman" w:hAnsi="Times New Roman"/>
                <w:color w:val="auto"/>
              </w:rPr>
            </w:pPr>
          </w:p>
          <w:p>
            <w:pPr>
              <w:pStyle w:val="2"/>
              <w:rPr>
                <w:rFonts w:ascii="Times New Roman" w:hAnsi="Times New Roman"/>
                <w:color w:val="auto"/>
              </w:rPr>
            </w:pPr>
          </w:p>
        </w:tc>
      </w:tr>
    </w:tbl>
    <w:p>
      <w:pPr>
        <w:pStyle w:val="3"/>
        <w:pageBreakBefore/>
        <w:spacing w:before="0" w:after="0" w:line="240" w:lineRule="auto"/>
        <w:rPr>
          <w:rFonts w:ascii="Times New Roman" w:hAnsi="Times New Roman"/>
          <w:color w:val="auto"/>
          <w:spacing w:val="2"/>
          <w:sz w:val="28"/>
          <w:szCs w:val="28"/>
        </w:rPr>
      </w:pPr>
      <w:bookmarkStart w:id="8" w:name="_Toc513627178"/>
      <w:r>
        <w:rPr>
          <w:rFonts w:ascii="Times New Roman" w:hAnsi="Times New Roman"/>
          <w:color w:val="auto"/>
          <w:spacing w:val="2"/>
          <w:sz w:val="28"/>
          <w:szCs w:val="28"/>
        </w:rPr>
        <w:t>表五、建设项目工程分析</w:t>
      </w:r>
      <w:bookmarkEnd w:id="8"/>
      <w:bookmarkStart w:id="67" w:name="_GoBack"/>
      <w:bookmarkEnd w:id="67"/>
    </w:p>
    <w:tbl>
      <w:tblPr>
        <w:tblStyle w:val="43"/>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621" w:hRule="atLeast"/>
        </w:trPr>
        <w:tc>
          <w:tcPr>
            <w:tcW w:w="8528" w:type="dxa"/>
          </w:tcPr>
          <w:p>
            <w:pPr>
              <w:tabs>
                <w:tab w:val="left" w:pos="4065"/>
                <w:tab w:val="center" w:pos="5719"/>
              </w:tabs>
              <w:spacing w:line="360" w:lineRule="auto"/>
              <w:rPr>
                <w:rFonts w:ascii="Times New Roman" w:hAnsi="Times New Roman"/>
                <w:b/>
                <w:color w:val="auto"/>
                <w:sz w:val="28"/>
                <w:szCs w:val="28"/>
              </w:rPr>
            </w:pPr>
            <w:r>
              <w:rPr>
                <w:rFonts w:ascii="Times New Roman" w:hAnsi="Times New Roman"/>
                <w:b/>
                <w:color w:val="auto"/>
                <w:sz w:val="28"/>
                <w:szCs w:val="28"/>
              </w:rPr>
              <w:t>一、施工期工程分析</w:t>
            </w:r>
          </w:p>
          <w:p>
            <w:pPr>
              <w:spacing w:line="360" w:lineRule="auto"/>
              <w:ind w:firstLine="480"/>
              <w:rPr>
                <w:rFonts w:ascii="Times New Roman" w:hAnsi="Times New Roman"/>
                <w:color w:val="auto"/>
                <w:sz w:val="24"/>
              </w:rPr>
            </w:pPr>
            <w:r>
              <w:rPr>
                <w:rFonts w:ascii="Times New Roman" w:hAnsi="Times New Roman"/>
                <w:color w:val="auto"/>
                <w:sz w:val="24"/>
              </w:rPr>
              <w:t>本项目为新建项目，根据对项目现场的踏勘，拟建</w:t>
            </w:r>
            <w:r>
              <w:rPr>
                <w:rFonts w:hint="eastAsia" w:ascii="Times New Roman" w:hAnsi="Times New Roman"/>
                <w:color w:val="auto"/>
                <w:sz w:val="24"/>
              </w:rPr>
              <w:t>项目</w:t>
            </w:r>
            <w:r>
              <w:rPr>
                <w:rFonts w:ascii="Times New Roman" w:hAnsi="Times New Roman"/>
                <w:color w:val="auto"/>
                <w:sz w:val="24"/>
              </w:rPr>
              <w:t>场地为</w:t>
            </w:r>
            <w:r>
              <w:rPr>
                <w:rFonts w:hint="eastAsia" w:ascii="Times New Roman" w:hAnsi="Times New Roman"/>
                <w:color w:val="auto"/>
                <w:sz w:val="24"/>
                <w:lang w:eastAsia="zh-CN"/>
              </w:rPr>
              <w:t>旱地</w:t>
            </w:r>
            <w:r>
              <w:rPr>
                <w:rFonts w:ascii="Times New Roman" w:hAnsi="Times New Roman"/>
                <w:color w:val="auto"/>
                <w:sz w:val="24"/>
              </w:rPr>
              <w:t>，施工期主要厂房建设、生产设备安装等，施工阶段除有一定量的施工机械进驻现场外，还伴有一定量建筑材料的运输作业，从而产生施工噪声、施工废气污染、固体废弃物（施工人员生活垃圾）及施工人员产生的生活污水和施工废水。</w:t>
            </w:r>
          </w:p>
          <w:p>
            <w:pPr>
              <w:spacing w:line="360" w:lineRule="auto"/>
              <w:jc w:val="center"/>
              <w:rPr>
                <w:rFonts w:ascii="Times New Roman" w:hAnsi="Times New Roman"/>
                <w:color w:val="auto"/>
              </w:rPr>
            </w:pPr>
            <w:r>
              <w:rPr>
                <w:rFonts w:ascii="Times New Roman" w:hAnsi="Times New Roman"/>
                <w:color w:val="auto"/>
              </w:rPr>
              <w:object>
                <v:shape id="_x0000_i1025" o:spt="75" type="#_x0000_t75" style="height:110.7pt;width:379pt;" o:ole="t" filled="f" o:preferrelative="t" stroked="f" coordsize="21600,21600">
                  <v:path/>
                  <v:fill on="f" focussize="0,0"/>
                  <v:stroke on="f" joinstyle="miter"/>
                  <v:imagedata r:id="rId10" o:title=""/>
                  <o:lock v:ext="edit" aspectratio="t"/>
                  <w10:wrap type="none"/>
                  <w10:anchorlock/>
                </v:shape>
                <o:OLEObject Type="Embed" ProgID="Visio.Drawing.11" ShapeID="_x0000_i1025" DrawAspect="Content" ObjectID="_1468075725" r:id="rId9">
                  <o:LockedField>false</o:LockedField>
                </o:OLEObject>
              </w:object>
            </w:r>
          </w:p>
          <w:p>
            <w:pPr>
              <w:spacing w:line="360" w:lineRule="auto"/>
              <w:jc w:val="center"/>
              <w:rPr>
                <w:rFonts w:ascii="Times New Roman" w:hAnsi="Times New Roman"/>
                <w:b/>
                <w:bCs/>
                <w:color w:val="auto"/>
                <w:sz w:val="24"/>
              </w:rPr>
            </w:pPr>
            <w:r>
              <w:rPr>
                <w:rFonts w:ascii="Times New Roman" w:hAnsi="Times New Roman"/>
                <w:b/>
                <w:bCs/>
                <w:color w:val="auto"/>
                <w:kern w:val="0"/>
                <w:sz w:val="24"/>
                <w:lang w:val="zh-CN"/>
              </w:rPr>
              <w:t>图5-1 施工期流程及产污环节图</w:t>
            </w:r>
          </w:p>
          <w:p>
            <w:pPr>
              <w:autoSpaceDE w:val="0"/>
              <w:autoSpaceDN w:val="0"/>
              <w:adjustRightInd w:val="0"/>
              <w:spacing w:line="287" w:lineRule="auto"/>
              <w:rPr>
                <w:rFonts w:ascii="Times New Roman" w:hAnsi="Times New Roman"/>
                <w:b/>
                <w:bCs/>
                <w:color w:val="auto"/>
                <w:kern w:val="0"/>
                <w:sz w:val="24"/>
                <w:lang w:val="zh-CN"/>
              </w:rPr>
            </w:pPr>
          </w:p>
          <w:p>
            <w:pPr>
              <w:spacing w:line="360" w:lineRule="auto"/>
              <w:rPr>
                <w:rFonts w:ascii="Times New Roman" w:hAnsi="Times New Roman"/>
                <w:b/>
                <w:bCs/>
                <w:color w:val="auto"/>
                <w:sz w:val="24"/>
              </w:rPr>
            </w:pPr>
            <w:r>
              <w:rPr>
                <w:rFonts w:hint="eastAsia" w:ascii="Times New Roman" w:hAnsi="Times New Roman"/>
                <w:b/>
                <w:color w:val="auto"/>
                <w:sz w:val="24"/>
                <w:lang w:val="en-US" w:eastAsia="zh-CN"/>
              </w:rPr>
              <w:t>1.1</w:t>
            </w:r>
            <w:r>
              <w:rPr>
                <w:rFonts w:ascii="Times New Roman" w:hAnsi="Times New Roman"/>
                <w:b/>
                <w:bCs/>
                <w:color w:val="auto"/>
                <w:sz w:val="24"/>
              </w:rPr>
              <w:t>施工期流程简述：</w:t>
            </w:r>
          </w:p>
          <w:p>
            <w:pPr>
              <w:spacing w:line="360" w:lineRule="auto"/>
              <w:ind w:firstLine="360" w:firstLineChars="150"/>
              <w:rPr>
                <w:rFonts w:ascii="Times New Roman" w:hAnsi="Times New Roman"/>
                <w:bCs/>
                <w:color w:val="auto"/>
                <w:sz w:val="24"/>
              </w:rPr>
            </w:pPr>
            <w:r>
              <w:rPr>
                <w:rFonts w:ascii="Times New Roman" w:hAnsi="Times New Roman"/>
                <w:bCs/>
                <w:color w:val="auto"/>
                <w:sz w:val="24"/>
              </w:rPr>
              <w:t>（1）地面清理：建设前先将项目场地的植被、杂物清理，然后进行下一步施工建设。</w:t>
            </w:r>
          </w:p>
          <w:p>
            <w:pPr>
              <w:spacing w:line="360" w:lineRule="auto"/>
              <w:ind w:firstLine="360" w:firstLineChars="150"/>
              <w:rPr>
                <w:rFonts w:ascii="Times New Roman" w:hAnsi="Times New Roman"/>
                <w:bCs/>
                <w:color w:val="auto"/>
                <w:sz w:val="24"/>
              </w:rPr>
            </w:pPr>
            <w:r>
              <w:rPr>
                <w:rFonts w:ascii="Times New Roman" w:hAnsi="Times New Roman"/>
                <w:bCs/>
                <w:color w:val="auto"/>
                <w:sz w:val="24"/>
              </w:rPr>
              <w:t>（2）厂房建设：将进行生产区厂房、生活区及其附属设施等的建设。</w:t>
            </w:r>
          </w:p>
          <w:p>
            <w:pPr>
              <w:spacing w:line="360" w:lineRule="auto"/>
              <w:ind w:firstLine="360" w:firstLineChars="150"/>
              <w:rPr>
                <w:rFonts w:ascii="Times New Roman" w:hAnsi="Times New Roman"/>
                <w:bCs/>
                <w:color w:val="auto"/>
                <w:sz w:val="24"/>
              </w:rPr>
            </w:pPr>
            <w:r>
              <w:rPr>
                <w:rFonts w:ascii="Times New Roman" w:hAnsi="Times New Roman"/>
                <w:bCs/>
                <w:color w:val="auto"/>
                <w:sz w:val="24"/>
              </w:rPr>
              <w:t>（3）设备安装：项目生产区基本厂房建设完成后，对所需要的设备进行采购、安装及调试。</w:t>
            </w:r>
          </w:p>
          <w:p>
            <w:pPr>
              <w:spacing w:line="360" w:lineRule="auto"/>
              <w:ind w:firstLine="360" w:firstLineChars="150"/>
              <w:rPr>
                <w:rFonts w:ascii="Times New Roman" w:hAnsi="Times New Roman"/>
                <w:bCs/>
                <w:color w:val="auto"/>
                <w:sz w:val="24"/>
              </w:rPr>
            </w:pPr>
            <w:r>
              <w:rPr>
                <w:rFonts w:ascii="Times New Roman" w:hAnsi="Times New Roman"/>
                <w:bCs/>
                <w:color w:val="auto"/>
                <w:sz w:val="24"/>
              </w:rPr>
              <w:t>项目施工期产生的污染物主要为施工工地扬尘、少量施工车辆尾气、施工设备冲洗废水、施工人员生活污水、施工场地废弃土石方、各种废弃建筑材料、施工人员生活垃圾、各类机械设备和物料运输的交通噪声。</w:t>
            </w:r>
          </w:p>
          <w:p>
            <w:pPr>
              <w:pStyle w:val="2"/>
              <w:rPr>
                <w:rFonts w:hint="eastAsia" w:ascii="Times New Roman" w:hAnsi="Times New Roman"/>
                <w:bCs/>
                <w:color w:val="auto"/>
                <w:sz w:val="24"/>
                <w:lang w:val="en-US" w:eastAsia="zh-CN"/>
              </w:rPr>
            </w:pPr>
            <w:r>
              <w:rPr>
                <w:rFonts w:hint="eastAsia" w:ascii="Times New Roman" w:hAnsi="Times New Roman"/>
                <w:bCs/>
                <w:color w:val="auto"/>
                <w:sz w:val="24"/>
                <w:lang w:val="en-US" w:eastAsia="zh-CN"/>
              </w:rPr>
              <w:t>1.2施工进度</w:t>
            </w:r>
          </w:p>
          <w:p>
            <w:pPr>
              <w:pStyle w:val="2"/>
              <w:ind w:firstLine="480" w:firstLineChars="200"/>
              <w:rPr>
                <w:rFonts w:hint="eastAsia" w:ascii="Times New Roman" w:hAnsi="Times New Roman"/>
                <w:bCs/>
                <w:color w:val="auto"/>
                <w:sz w:val="24"/>
                <w:lang w:val="en-US" w:eastAsia="zh-CN"/>
              </w:rPr>
            </w:pPr>
            <w:r>
              <w:rPr>
                <w:rFonts w:hint="eastAsia" w:ascii="Times New Roman" w:hAnsi="Times New Roman"/>
                <w:bCs/>
                <w:color w:val="auto"/>
                <w:sz w:val="24"/>
                <w:lang w:val="en-US" w:eastAsia="zh-CN"/>
              </w:rPr>
              <w:t>本项目由项目法人进行筹措资金，组织项目的招、投标工作，执行国内合同法有关要求，并组织施工及生产，本项目的实施进度计划如下。</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b/>
                <w:bCs w:val="0"/>
                <w:color w:val="auto"/>
                <w:sz w:val="24"/>
                <w:lang w:val="en-US" w:eastAsia="zh-CN"/>
              </w:rPr>
            </w:pPr>
            <w:r>
              <w:rPr>
                <w:rFonts w:hint="eastAsia" w:ascii="Times New Roman" w:hAnsi="Times New Roman"/>
                <w:b/>
                <w:bCs w:val="0"/>
                <w:color w:val="auto"/>
                <w:sz w:val="24"/>
                <w:lang w:val="en-US" w:eastAsia="zh-CN"/>
              </w:rPr>
              <w:t>表5-1  项目施工进度见下表</w:t>
            </w:r>
          </w:p>
          <w:tbl>
            <w:tblPr>
              <w:tblStyle w:val="43"/>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8"/>
              <w:gridCol w:w="1570"/>
              <w:gridCol w:w="853"/>
              <w:gridCol w:w="851"/>
              <w:gridCol w:w="853"/>
              <w:gridCol w:w="848"/>
              <w:gridCol w:w="20"/>
              <w:gridCol w:w="833"/>
              <w:gridCol w:w="865"/>
              <w:gridCol w:w="7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jc w:val="center"/>
              </w:trPr>
              <w:tc>
                <w:tcPr>
                  <w:tcW w:w="517" w:type="pct"/>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序号</w:t>
                  </w:r>
                </w:p>
              </w:tc>
              <w:tc>
                <w:tcPr>
                  <w:tcW w:w="946" w:type="pct"/>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mc:AlternateContent>
                      <mc:Choice Requires="wps">
                        <w:drawing>
                          <wp:anchor distT="0" distB="0" distL="114300" distR="114300" simplePos="0" relativeHeight="251668480" behindDoc="0" locked="0" layoutInCell="1" allowOverlap="1">
                            <wp:simplePos x="0" y="0"/>
                            <wp:positionH relativeFrom="column">
                              <wp:posOffset>3032760</wp:posOffset>
                            </wp:positionH>
                            <wp:positionV relativeFrom="paragraph">
                              <wp:posOffset>1228725</wp:posOffset>
                            </wp:positionV>
                            <wp:extent cx="635" cy="0"/>
                            <wp:effectExtent l="0" t="0" r="0" b="0"/>
                            <wp:wrapNone/>
                            <wp:docPr id="12" name="直线 1217"/>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17" o:spid="_x0000_s1026" o:spt="20" style="position:absolute;left:0pt;margin-left:238.8pt;margin-top:96.75pt;height:0pt;width:0.05pt;z-index:251668480;mso-width-relative:page;mso-height-relative:page;" filled="f" stroked="t" coordsize="21600,21600" o:gfxdata="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pz4RotYAAAALAQAADwAAAAAAAAABACAAAAAiAAAAZHJz&#10;L2Rvd25yZXYueG1sUEsBAhQAFAAAAAgAh07iQIPYUgHNAQAAjQMAAA4AAAAAAAAAAQAgAAAAJQEA&#10;AGRycy9lMm9Eb2MueG1sUEsFBgAAAAAGAAYAWQEAAGQFAAAAAA==&#10;">
                            <v:fill on="f" focussize="0,0"/>
                            <v:stroke color="#000000" joinstyle="round"/>
                            <v:imagedata o:title=""/>
                            <o:lock v:ext="edit" aspectratio="f"/>
                          </v:line>
                        </w:pict>
                      </mc:Fallback>
                    </mc:AlternateContent>
                  </w:r>
                  <w:r>
                    <w:rPr>
                      <w:rFonts w:hint="default" w:ascii="Times New Roman" w:hAnsi="Times New Roman" w:cs="Times New Roman"/>
                      <w:bCs/>
                      <w:color w:val="auto"/>
                      <w:sz w:val="21"/>
                      <w:szCs w:val="21"/>
                      <w:lang w:val="en-US" w:eastAsia="zh-CN"/>
                    </w:rPr>
                    <w:t>月份</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工程项目</w:t>
                  </w:r>
                </w:p>
              </w:tc>
              <w:tc>
                <w:tcPr>
                  <w:tcW w:w="2064" w:type="pct"/>
                  <w:gridSpan w:val="5"/>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2019年</w:t>
                  </w:r>
                </w:p>
              </w:tc>
              <w:tc>
                <w:tcPr>
                  <w:tcW w:w="1471" w:type="pct"/>
                  <w:gridSpan w:val="3"/>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2020年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jc w:val="center"/>
              </w:trPr>
              <w:tc>
                <w:tcPr>
                  <w:tcW w:w="517" w:type="pct"/>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946" w:type="pct"/>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9</w:t>
                  </w:r>
                </w:p>
              </w:tc>
              <w:tc>
                <w:tcPr>
                  <w:tcW w:w="51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10</w:t>
                  </w:r>
                </w:p>
              </w:tc>
              <w:tc>
                <w:tcPr>
                  <w:tcW w:w="51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11</w:t>
                  </w:r>
                </w:p>
              </w:tc>
              <w:tc>
                <w:tcPr>
                  <w:tcW w:w="511"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12</w:t>
                  </w:r>
                </w:p>
              </w:tc>
              <w:tc>
                <w:tcPr>
                  <w:tcW w:w="514" w:type="pct"/>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1</w:t>
                  </w:r>
                </w:p>
              </w:tc>
              <w:tc>
                <w:tcPr>
                  <w:tcW w:w="521"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2</w:t>
                  </w:r>
                </w:p>
              </w:tc>
              <w:tc>
                <w:tcPr>
                  <w:tcW w:w="447"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17"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1</w:t>
                  </w:r>
                </w:p>
              </w:tc>
              <w:tc>
                <w:tcPr>
                  <w:tcW w:w="946"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可研设计</w:t>
                  </w:r>
                </w:p>
              </w:tc>
              <w:tc>
                <w:tcPr>
                  <w:tcW w:w="51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mc:AlternateContent>
                      <mc:Choice Requires="wps">
                        <w:drawing>
                          <wp:anchor distT="0" distB="0" distL="114300" distR="114300" simplePos="0" relativeHeight="251664384" behindDoc="0" locked="0" layoutInCell="1" allowOverlap="1">
                            <wp:simplePos x="0" y="0"/>
                            <wp:positionH relativeFrom="column">
                              <wp:posOffset>322580</wp:posOffset>
                            </wp:positionH>
                            <wp:positionV relativeFrom="paragraph">
                              <wp:posOffset>98425</wp:posOffset>
                            </wp:positionV>
                            <wp:extent cx="278130" cy="0"/>
                            <wp:effectExtent l="0" t="0" r="0" b="0"/>
                            <wp:wrapNone/>
                            <wp:docPr id="7" name="直线 1218"/>
                            <wp:cNvGraphicFramePr/>
                            <a:graphic xmlns:a="http://schemas.openxmlformats.org/drawingml/2006/main">
                              <a:graphicData uri="http://schemas.microsoft.com/office/word/2010/wordprocessingShape">
                                <wps:wsp>
                                  <wps:cNvCnPr/>
                                  <wps:spPr>
                                    <a:xfrm>
                                      <a:off x="0" y="0"/>
                                      <a:ext cx="278130" cy="0"/>
                                    </a:xfrm>
                                    <a:prstGeom prst="line">
                                      <a:avLst/>
                                    </a:prstGeom>
                                    <a:ln w="38100" cap="flat" cmpd="sng">
                                      <a:solidFill>
                                        <a:srgbClr val="000000"/>
                                      </a:solidFill>
                                      <a:prstDash val="solid"/>
                                      <a:headEnd type="none" w="med" len="med"/>
                                      <a:tailEnd type="none" w="med" len="med"/>
                                    </a:ln>
                                  </wps:spPr>
                                  <wps:bodyPr upright="1"/>
                                </wps:wsp>
                              </a:graphicData>
                            </a:graphic>
                          </wp:anchor>
                        </w:drawing>
                      </mc:Choice>
                      <mc:Fallback>
                        <w:pict>
                          <v:line id="直线 1218" o:spid="_x0000_s1026" o:spt="20" style="position:absolute;left:0pt;margin-left:25.4pt;margin-top:7.75pt;height:0pt;width:21.9pt;z-index:251664384;mso-width-relative:page;mso-height-relative:page;" filled="f" stroked="t" coordsize="21600,21600" o:gfxdata="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2I1Nh0AAAAAcBAAAPAAAAAAAAAAEAIAAAACIAAABkcnMvZG93&#10;bnJldi54bWxQSwECFAAUAAAACACHTuJAgSjhZs8BAACQAwAADgAAAAAAAAABACAAAAAfAQAAZHJz&#10;L2Uyb0RvYy54bWxQSwUGAAAAAAYABgBZAQAAYAUAAAAA&#10;">
                            <v:fill on="f" focussize="0,0"/>
                            <v:stroke weight="3pt" color="#000000" joinstyle="round"/>
                            <v:imagedata o:title=""/>
                            <o:lock v:ext="edit" aspectratio="f"/>
                          </v:line>
                        </w:pict>
                      </mc:Fallback>
                    </mc:AlternateContent>
                  </w:r>
                </w:p>
              </w:tc>
              <w:tc>
                <w:tcPr>
                  <w:tcW w:w="51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1"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4" w:type="pct"/>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21"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447"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17"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3</w:t>
                  </w:r>
                </w:p>
              </w:tc>
              <w:tc>
                <w:tcPr>
                  <w:tcW w:w="946"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施工图设计</w:t>
                  </w:r>
                </w:p>
              </w:tc>
              <w:tc>
                <w:tcPr>
                  <w:tcW w:w="51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mc:AlternateContent>
                      <mc:Choice Requires="wps">
                        <w:drawing>
                          <wp:anchor distT="0" distB="0" distL="114300" distR="114300" simplePos="0" relativeHeight="251665408" behindDoc="0" locked="0" layoutInCell="1" allowOverlap="1">
                            <wp:simplePos x="0" y="0"/>
                            <wp:positionH relativeFrom="column">
                              <wp:posOffset>255905</wp:posOffset>
                            </wp:positionH>
                            <wp:positionV relativeFrom="paragraph">
                              <wp:posOffset>117475</wp:posOffset>
                            </wp:positionV>
                            <wp:extent cx="274955" cy="0"/>
                            <wp:effectExtent l="0" t="19050" r="10795" b="19050"/>
                            <wp:wrapNone/>
                            <wp:docPr id="8" name="直线 1219"/>
                            <wp:cNvGraphicFramePr/>
                            <a:graphic xmlns:a="http://schemas.openxmlformats.org/drawingml/2006/main">
                              <a:graphicData uri="http://schemas.microsoft.com/office/word/2010/wordprocessingShape">
                                <wps:wsp>
                                  <wps:cNvCnPr/>
                                  <wps:spPr>
                                    <a:xfrm>
                                      <a:off x="0" y="0"/>
                                      <a:ext cx="274955" cy="0"/>
                                    </a:xfrm>
                                    <a:prstGeom prst="line">
                                      <a:avLst/>
                                    </a:prstGeom>
                                    <a:ln w="38100" cap="flat" cmpd="sng">
                                      <a:solidFill>
                                        <a:srgbClr val="000000"/>
                                      </a:solidFill>
                                      <a:prstDash val="solid"/>
                                      <a:headEnd type="none" w="med" len="med"/>
                                      <a:tailEnd type="none" w="med" len="med"/>
                                    </a:ln>
                                  </wps:spPr>
                                  <wps:bodyPr upright="1"/>
                                </wps:wsp>
                              </a:graphicData>
                            </a:graphic>
                          </wp:anchor>
                        </w:drawing>
                      </mc:Choice>
                      <mc:Fallback>
                        <w:pict>
                          <v:line id="直线 1219" o:spid="_x0000_s1026" o:spt="20" style="position:absolute;left:0pt;margin-left:20.15pt;margin-top:9.25pt;height:0pt;width:21.65pt;z-index:251665408;mso-width-relative:page;mso-height-relative:page;" filled="f" stroked="t" coordsize="21600,21600" o:gfxdata="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q8IlLQAAAABwEAAA8AAAAAAAAAAQAgAAAAIgAAAGRycy9k&#10;b3ducmV2LnhtbFBLAQIUABQAAAAIAIdO4kAfOJFX0QEAAJADAAAOAAAAAAAAAAEAIAAAAB8BAABk&#10;cnMvZTJvRG9jLnhtbFBLBQYAAAAABgAGAFkBAABiBQAAAAA=&#10;">
                            <v:fill on="f" focussize="0,0"/>
                            <v:stroke weight="3pt" color="#000000" joinstyle="round"/>
                            <v:imagedata o:title=""/>
                            <o:lock v:ext="edit" aspectratio="f"/>
                          </v:line>
                        </w:pict>
                      </mc:Fallback>
                    </mc:AlternateContent>
                  </w:r>
                </w:p>
              </w:tc>
              <w:tc>
                <w:tcPr>
                  <w:tcW w:w="511"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4" w:type="pct"/>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21"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447"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17"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4</w:t>
                  </w:r>
                </w:p>
              </w:tc>
              <w:tc>
                <w:tcPr>
                  <w:tcW w:w="946"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项目施工</w:t>
                  </w:r>
                </w:p>
              </w:tc>
              <w:tc>
                <w:tcPr>
                  <w:tcW w:w="51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1"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4" w:type="pct"/>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mc:AlternateContent>
                      <mc:Choice Requires="wps">
                        <w:drawing>
                          <wp:anchor distT="0" distB="0" distL="114300" distR="114300" simplePos="0" relativeHeight="251666432" behindDoc="0" locked="0" layoutInCell="1" allowOverlap="1">
                            <wp:simplePos x="0" y="0"/>
                            <wp:positionH relativeFrom="column">
                              <wp:posOffset>-38735</wp:posOffset>
                            </wp:positionH>
                            <wp:positionV relativeFrom="paragraph">
                              <wp:posOffset>117475</wp:posOffset>
                            </wp:positionV>
                            <wp:extent cx="909955" cy="4445"/>
                            <wp:effectExtent l="0" t="0" r="0" b="0"/>
                            <wp:wrapNone/>
                            <wp:docPr id="10" name="直线 1220"/>
                            <wp:cNvGraphicFramePr/>
                            <a:graphic xmlns:a="http://schemas.openxmlformats.org/drawingml/2006/main">
                              <a:graphicData uri="http://schemas.microsoft.com/office/word/2010/wordprocessingShape">
                                <wps:wsp>
                                  <wps:cNvCnPr/>
                                  <wps:spPr>
                                    <a:xfrm flipV="1">
                                      <a:off x="0" y="0"/>
                                      <a:ext cx="909955" cy="4445"/>
                                    </a:xfrm>
                                    <a:prstGeom prst="line">
                                      <a:avLst/>
                                    </a:prstGeom>
                                    <a:ln w="38100" cap="flat" cmpd="sng">
                                      <a:solidFill>
                                        <a:srgbClr val="000000"/>
                                      </a:solidFill>
                                      <a:prstDash val="solid"/>
                                      <a:headEnd type="none" w="med" len="med"/>
                                      <a:tailEnd type="none" w="med" len="med"/>
                                    </a:ln>
                                  </wps:spPr>
                                  <wps:bodyPr upright="1"/>
                                </wps:wsp>
                              </a:graphicData>
                            </a:graphic>
                          </wp:anchor>
                        </w:drawing>
                      </mc:Choice>
                      <mc:Fallback>
                        <w:pict>
                          <v:line id="直线 1220" o:spid="_x0000_s1026" o:spt="20" style="position:absolute;left:0pt;flip:y;margin-left:-3.05pt;margin-top:9.25pt;height:0.35pt;width:71.65pt;z-index:251666432;mso-width-relative:page;mso-height-relative:page;" filled="f" stroked="t" coordsize="21600,21600" o:gfxdata="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MGteJ1QAAAAgBAAAPAAAAAAAAAAEA&#10;IAAAACIAAABkcnMvZG93bnJldi54bWxQSwECFAAUAAAACACHTuJABjHv7dkBAACeAwAADgAAAAAA&#10;AAABACAAAAAkAQAAZHJzL2Uyb0RvYy54bWxQSwUGAAAAAAYABgBZAQAAbwUAAAAA&#10;">
                            <v:fill on="f" focussize="0,0"/>
                            <v:stroke weight="3pt" color="#000000" joinstyle="round"/>
                            <v:imagedata o:title=""/>
                            <o:lock v:ext="edit" aspectratio="f"/>
                          </v:line>
                        </w:pict>
                      </mc:Fallback>
                    </mc:AlternateContent>
                  </w:r>
                </w:p>
              </w:tc>
              <w:tc>
                <w:tcPr>
                  <w:tcW w:w="521"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447"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517"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5</w:t>
                  </w:r>
                </w:p>
              </w:tc>
              <w:tc>
                <w:tcPr>
                  <w:tcW w:w="946"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项目试运行</w:t>
                  </w:r>
                </w:p>
              </w:tc>
              <w:tc>
                <w:tcPr>
                  <w:tcW w:w="51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3"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4"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1"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14" w:type="pct"/>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521"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p>
              </w:tc>
              <w:tc>
                <w:tcPr>
                  <w:tcW w:w="447"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mc:AlternateContent>
                      <mc:Choice Requires="wps">
                        <w:drawing>
                          <wp:anchor distT="0" distB="0" distL="114300" distR="114300" simplePos="0" relativeHeight="251667456" behindDoc="0" locked="0" layoutInCell="1" allowOverlap="1">
                            <wp:simplePos x="0" y="0"/>
                            <wp:positionH relativeFrom="column">
                              <wp:posOffset>56515</wp:posOffset>
                            </wp:positionH>
                            <wp:positionV relativeFrom="paragraph">
                              <wp:posOffset>98425</wp:posOffset>
                            </wp:positionV>
                            <wp:extent cx="236220" cy="0"/>
                            <wp:effectExtent l="0" t="19050" r="11430" b="19050"/>
                            <wp:wrapNone/>
                            <wp:docPr id="11" name="直线 1221"/>
                            <wp:cNvGraphicFramePr/>
                            <a:graphic xmlns:a="http://schemas.openxmlformats.org/drawingml/2006/main">
                              <a:graphicData uri="http://schemas.microsoft.com/office/word/2010/wordprocessingShape">
                                <wps:wsp>
                                  <wps:cNvCnPr/>
                                  <wps:spPr>
                                    <a:xfrm>
                                      <a:off x="0" y="0"/>
                                      <a:ext cx="236220" cy="0"/>
                                    </a:xfrm>
                                    <a:prstGeom prst="line">
                                      <a:avLst/>
                                    </a:prstGeom>
                                    <a:ln w="38100" cap="flat" cmpd="sng">
                                      <a:solidFill>
                                        <a:srgbClr val="000000"/>
                                      </a:solidFill>
                                      <a:prstDash val="solid"/>
                                      <a:headEnd type="none" w="med" len="med"/>
                                      <a:tailEnd type="none" w="med" len="med"/>
                                    </a:ln>
                                  </wps:spPr>
                                  <wps:bodyPr upright="1"/>
                                </wps:wsp>
                              </a:graphicData>
                            </a:graphic>
                          </wp:anchor>
                        </w:drawing>
                      </mc:Choice>
                      <mc:Fallback>
                        <w:pict>
                          <v:line id="直线 1221" o:spid="_x0000_s1026" o:spt="20" style="position:absolute;left:0pt;margin-left:4.45pt;margin-top:7.75pt;height:0pt;width:18.6pt;z-index:251667456;mso-width-relative:page;mso-height-relative:page;" filled="f" stroked="t" coordsize="21600,21600" o:gfxdata="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bBmafQAAAABgEAAA8AAAAAAAAAAQAgAAAAIgAAAGRycy9kb3du&#10;cmV2LnhtbFBLAQIUABQAAAAIAIdO4kAdJ9+rzgEAAJEDAAAOAAAAAAAAAAEAIAAAAB8BAABkcnMv&#10;ZTJvRG9jLnhtbFBLBQYAAAAABgAGAFkBAABfBQAAAAA=&#10;">
                            <v:fill on="f" focussize="0,0"/>
                            <v:stroke weight="3pt" color="#000000" joinstyle="round"/>
                            <v:imagedata o:title=""/>
                            <o:lock v:ext="edit" aspectratio="f"/>
                          </v:line>
                        </w:pict>
                      </mc:Fallback>
                    </mc:AlternateContent>
                  </w:r>
                </w:p>
              </w:tc>
            </w:tr>
          </w:tbl>
          <w:p>
            <w:pPr>
              <w:numPr>
                <w:ilvl w:val="0"/>
                <w:numId w:val="0"/>
              </w:numPr>
              <w:tabs>
                <w:tab w:val="left" w:pos="4065"/>
                <w:tab w:val="center" w:pos="5719"/>
              </w:tabs>
              <w:adjustRightInd w:val="0"/>
              <w:snapToGrid w:val="0"/>
              <w:spacing w:line="360" w:lineRule="auto"/>
              <w:rPr>
                <w:rFonts w:ascii="Times New Roman" w:hAnsi="Times New Roman"/>
                <w:b/>
                <w:color w:val="auto"/>
                <w:sz w:val="28"/>
                <w:szCs w:val="28"/>
              </w:rPr>
            </w:pPr>
            <w:r>
              <w:rPr>
                <w:rFonts w:hint="eastAsia" w:ascii="Times New Roman" w:hAnsi="Times New Roman"/>
                <w:b/>
                <w:color w:val="auto"/>
                <w:sz w:val="28"/>
                <w:szCs w:val="28"/>
                <w:lang w:eastAsia="zh-CN"/>
              </w:rPr>
              <w:t>二、</w:t>
            </w:r>
            <w:r>
              <w:rPr>
                <w:rFonts w:ascii="Times New Roman" w:hAnsi="Times New Roman"/>
                <w:b/>
                <w:color w:val="auto"/>
                <w:sz w:val="28"/>
                <w:szCs w:val="28"/>
              </w:rPr>
              <w:t>运营期工艺流程</w:t>
            </w:r>
          </w:p>
          <w:p>
            <w:pPr>
              <w:pStyle w:val="2"/>
              <w:rPr>
                <w:color w:val="auto"/>
              </w:rPr>
            </w:pPr>
          </w:p>
          <w:p>
            <w:pPr>
              <w:pStyle w:val="2"/>
              <w:rPr>
                <w:rFonts w:ascii="Times New Roman" w:hAnsi="Times New Roman"/>
                <w:color w:val="auto"/>
              </w:rPr>
            </w:pPr>
            <w:r>
              <w:rPr>
                <w:rFonts w:ascii="Times New Roman" w:hAnsi="Times New Roman"/>
                <w:b/>
                <w:color w:val="auto"/>
                <w:sz w:val="24"/>
              </w:rPr>
              <w:object>
                <v:shape id="_x0000_i1026" o:spt="75" type="#_x0000_t75" style="height:339.65pt;width:415pt;" o:ole="t" filled="f" o:preferrelative="t" stroked="f" coordsize="21600,21600">
                  <v:path/>
                  <v:fill on="f" focussize="0,0"/>
                  <v:stroke on="f"/>
                  <v:imagedata r:id="rId12" o:title=""/>
                  <o:lock v:ext="edit" aspectratio="f"/>
                  <w10:wrap type="none"/>
                  <w10:anchorlock/>
                </v:shape>
                <o:OLEObject Type="Embed" ProgID="Visio.Drawing.11" ShapeID="_x0000_i1026" DrawAspect="Content" ObjectID="_1468075726" r:id="rId11">
                  <o:LockedField>false</o:LockedField>
                </o:OLEObject>
              </w:object>
            </w:r>
          </w:p>
          <w:p>
            <w:pPr>
              <w:rPr>
                <w:color w:val="auto"/>
              </w:rPr>
            </w:pPr>
          </w:p>
          <w:p>
            <w:pPr>
              <w:pStyle w:val="2"/>
              <w:rPr>
                <w:color w:val="auto"/>
              </w:rPr>
            </w:pPr>
          </w:p>
          <w:p>
            <w:pPr>
              <w:jc w:val="center"/>
              <w:rPr>
                <w:rFonts w:ascii="Times New Roman" w:hAnsi="Times New Roman"/>
                <w:b/>
                <w:color w:val="auto"/>
                <w:sz w:val="28"/>
                <w:szCs w:val="28"/>
              </w:rPr>
            </w:pPr>
            <w:r>
              <w:rPr>
                <w:rFonts w:ascii="Times New Roman" w:hAnsi="Times New Roman"/>
                <w:b/>
                <w:bCs/>
                <w:color w:val="auto"/>
                <w:spacing w:val="2"/>
                <w:kern w:val="0"/>
                <w:sz w:val="24"/>
                <w:szCs w:val="24"/>
              </w:rPr>
              <w:t>图5-2  项目混凝土生产工艺流程图</w:t>
            </w:r>
          </w:p>
          <w:p>
            <w:pPr>
              <w:rPr>
                <w:rFonts w:ascii="Times New Roman" w:hAnsi="Times New Roman"/>
                <w:b/>
                <w:color w:val="auto"/>
                <w:sz w:val="28"/>
                <w:szCs w:val="28"/>
              </w:rPr>
            </w:pPr>
            <w:r>
              <w:rPr>
                <w:rFonts w:hint="eastAsia" w:ascii="Times New Roman" w:hAnsi="Times New Roman"/>
                <w:b/>
                <w:color w:val="auto"/>
                <w:sz w:val="28"/>
                <w:szCs w:val="28"/>
              </w:rPr>
              <w:t>混凝土</w:t>
            </w:r>
            <w:r>
              <w:rPr>
                <w:rFonts w:ascii="Times New Roman" w:hAnsi="Times New Roman"/>
                <w:b/>
                <w:color w:val="auto"/>
                <w:sz w:val="28"/>
                <w:szCs w:val="28"/>
              </w:rPr>
              <w:t>工艺流程简述</w:t>
            </w:r>
          </w:p>
          <w:p>
            <w:pPr>
              <w:adjustRightInd w:val="0"/>
              <w:spacing w:line="360" w:lineRule="auto"/>
              <w:ind w:firstLine="480" w:firstLineChars="200"/>
              <w:rPr>
                <w:rFonts w:ascii="Times New Roman" w:hAnsi="Times New Roman"/>
                <w:color w:val="auto"/>
                <w:kern w:val="0"/>
                <w:sz w:val="24"/>
                <w:szCs w:val="21"/>
              </w:rPr>
            </w:pPr>
            <w:r>
              <w:rPr>
                <w:rFonts w:ascii="Times New Roman" w:hAnsi="Times New Roman"/>
                <w:color w:val="auto"/>
                <w:kern w:val="0"/>
                <w:sz w:val="24"/>
                <w:szCs w:val="21"/>
              </w:rPr>
              <w:t>①原料进场</w:t>
            </w:r>
          </w:p>
          <w:p>
            <w:pPr>
              <w:adjustRightInd w:val="0"/>
              <w:spacing w:line="360" w:lineRule="auto"/>
              <w:ind w:firstLine="480" w:firstLineChars="200"/>
              <w:rPr>
                <w:rFonts w:ascii="Times New Roman" w:hAnsi="Times New Roman"/>
                <w:color w:val="auto"/>
                <w:kern w:val="0"/>
                <w:sz w:val="24"/>
                <w:szCs w:val="21"/>
              </w:rPr>
            </w:pPr>
            <w:r>
              <w:rPr>
                <w:rFonts w:ascii="Times New Roman" w:hAnsi="Times New Roman"/>
                <w:color w:val="auto"/>
                <w:kern w:val="0"/>
                <w:sz w:val="24"/>
                <w:szCs w:val="21"/>
              </w:rPr>
              <w:t>本项目物料主要有水泥、碎石、河砂、</w:t>
            </w:r>
            <w:r>
              <w:rPr>
                <w:rFonts w:hint="eastAsia" w:ascii="Times New Roman" w:hAnsi="Times New Roman"/>
                <w:color w:val="auto"/>
                <w:kern w:val="0"/>
                <w:sz w:val="24"/>
                <w:szCs w:val="21"/>
              </w:rPr>
              <w:t>机制砂</w:t>
            </w:r>
            <w:r>
              <w:rPr>
                <w:rFonts w:ascii="Times New Roman" w:hAnsi="Times New Roman"/>
                <w:color w:val="auto"/>
                <w:kern w:val="0"/>
                <w:sz w:val="24"/>
                <w:szCs w:val="21"/>
              </w:rPr>
              <w:t>、</w:t>
            </w:r>
            <w:r>
              <w:rPr>
                <w:rFonts w:hint="eastAsia" w:ascii="Times New Roman" w:hAnsi="Times New Roman"/>
                <w:color w:val="auto"/>
                <w:kern w:val="0"/>
                <w:sz w:val="24"/>
                <w:szCs w:val="21"/>
              </w:rPr>
              <w:t>粉煤灰</w:t>
            </w:r>
            <w:r>
              <w:rPr>
                <w:rFonts w:ascii="Times New Roman" w:hAnsi="Times New Roman"/>
                <w:color w:val="auto"/>
                <w:kern w:val="0"/>
                <w:sz w:val="24"/>
                <w:szCs w:val="21"/>
              </w:rPr>
              <w:t>。</w:t>
            </w:r>
          </w:p>
          <w:p>
            <w:pPr>
              <w:adjustRightInd w:val="0"/>
              <w:spacing w:line="360" w:lineRule="auto"/>
              <w:ind w:firstLine="480" w:firstLineChars="200"/>
              <w:rPr>
                <w:rFonts w:ascii="Times New Roman" w:hAnsi="Times New Roman"/>
                <w:color w:val="auto"/>
                <w:kern w:val="0"/>
                <w:sz w:val="24"/>
                <w:szCs w:val="21"/>
              </w:rPr>
            </w:pPr>
            <w:r>
              <w:rPr>
                <w:rFonts w:ascii="Times New Roman" w:hAnsi="Times New Roman"/>
                <w:color w:val="auto"/>
                <w:kern w:val="0"/>
                <w:sz w:val="24"/>
                <w:szCs w:val="21"/>
              </w:rPr>
              <w:t>外购水泥、</w:t>
            </w:r>
            <w:r>
              <w:rPr>
                <w:rFonts w:hint="eastAsia" w:ascii="Times New Roman" w:hAnsi="Times New Roman"/>
                <w:color w:val="auto"/>
                <w:kern w:val="0"/>
                <w:sz w:val="24"/>
                <w:szCs w:val="21"/>
              </w:rPr>
              <w:t>粉煤灰</w:t>
            </w:r>
            <w:r>
              <w:rPr>
                <w:rFonts w:ascii="Times New Roman" w:hAnsi="Times New Roman"/>
                <w:color w:val="auto"/>
                <w:kern w:val="0"/>
                <w:sz w:val="24"/>
                <w:szCs w:val="21"/>
              </w:rPr>
              <w:t>由密封罐车运输进厂后到料仓旁，通过管道气力输送进入配料矿仓，本项目共设置</w:t>
            </w:r>
            <w:r>
              <w:rPr>
                <w:rFonts w:hint="eastAsia" w:ascii="Times New Roman" w:hAnsi="Times New Roman"/>
                <w:color w:val="auto"/>
                <w:kern w:val="0"/>
                <w:sz w:val="24"/>
                <w:szCs w:val="21"/>
              </w:rPr>
              <w:t>8</w:t>
            </w:r>
            <w:r>
              <w:rPr>
                <w:rFonts w:ascii="Times New Roman" w:hAnsi="Times New Roman"/>
                <w:color w:val="auto"/>
                <w:kern w:val="0"/>
                <w:sz w:val="24"/>
                <w:szCs w:val="21"/>
              </w:rPr>
              <w:t>个水泥仓和</w:t>
            </w:r>
            <w:r>
              <w:rPr>
                <w:rFonts w:hint="eastAsia" w:ascii="Times New Roman" w:hAnsi="Times New Roman"/>
                <w:color w:val="auto"/>
                <w:kern w:val="0"/>
                <w:sz w:val="24"/>
                <w:szCs w:val="21"/>
              </w:rPr>
              <w:t>4</w:t>
            </w:r>
            <w:r>
              <w:rPr>
                <w:rFonts w:ascii="Times New Roman" w:hAnsi="Times New Roman"/>
                <w:color w:val="auto"/>
                <w:kern w:val="0"/>
                <w:sz w:val="24"/>
                <w:szCs w:val="21"/>
              </w:rPr>
              <w:t>个</w:t>
            </w:r>
            <w:r>
              <w:rPr>
                <w:rFonts w:hint="eastAsia" w:ascii="Times New Roman" w:hAnsi="Times New Roman"/>
                <w:color w:val="auto"/>
                <w:kern w:val="0"/>
                <w:sz w:val="24"/>
                <w:szCs w:val="21"/>
              </w:rPr>
              <w:t>粉煤灰</w:t>
            </w:r>
            <w:r>
              <w:rPr>
                <w:rFonts w:ascii="Times New Roman" w:hAnsi="Times New Roman"/>
                <w:color w:val="auto"/>
                <w:kern w:val="0"/>
                <w:sz w:val="24"/>
                <w:szCs w:val="21"/>
              </w:rPr>
              <w:t>仓；每个仓顶配置1套SV-Z1型布袋除尘器（效率99.</w:t>
            </w:r>
            <w:r>
              <w:rPr>
                <w:rFonts w:hint="eastAsia" w:ascii="Times New Roman" w:hAnsi="Times New Roman"/>
                <w:color w:val="auto"/>
                <w:kern w:val="0"/>
                <w:sz w:val="24"/>
                <w:szCs w:val="21"/>
              </w:rPr>
              <w:t>8</w:t>
            </w:r>
            <w:r>
              <w:rPr>
                <w:rFonts w:ascii="Times New Roman" w:hAnsi="Times New Roman"/>
                <w:color w:val="auto"/>
                <w:kern w:val="0"/>
                <w:sz w:val="24"/>
                <w:szCs w:val="21"/>
              </w:rPr>
              <w:t>%布袋除尘，</w:t>
            </w:r>
            <w:r>
              <w:rPr>
                <w:rFonts w:hint="eastAsia" w:ascii="Times New Roman" w:hAnsi="Times New Roman"/>
                <w:color w:val="auto"/>
                <w:kern w:val="0"/>
                <w:sz w:val="24"/>
                <w:szCs w:val="21"/>
                <w:lang w:eastAsia="zh-CN"/>
              </w:rPr>
              <w:t>最大</w:t>
            </w:r>
            <w:r>
              <w:rPr>
                <w:rFonts w:ascii="Times New Roman" w:hAnsi="Times New Roman"/>
                <w:color w:val="auto"/>
                <w:kern w:val="0"/>
                <w:sz w:val="24"/>
                <w:szCs w:val="21"/>
              </w:rPr>
              <w:t>风量</w:t>
            </w:r>
            <w:r>
              <w:rPr>
                <w:rFonts w:hint="eastAsia" w:ascii="Times New Roman" w:hAnsi="Times New Roman"/>
                <w:color w:val="auto"/>
                <w:kern w:val="0"/>
                <w:sz w:val="24"/>
                <w:szCs w:val="21"/>
                <w:lang w:val="en-US" w:eastAsia="zh-CN"/>
              </w:rPr>
              <w:t>2</w:t>
            </w:r>
            <w:r>
              <w:rPr>
                <w:rFonts w:ascii="Times New Roman" w:hAnsi="Times New Roman"/>
                <w:color w:val="auto"/>
                <w:kern w:val="0"/>
                <w:sz w:val="24"/>
                <w:szCs w:val="21"/>
              </w:rPr>
              <w:t>000Nm</w:t>
            </w:r>
            <w:r>
              <w:rPr>
                <w:rFonts w:ascii="Times New Roman" w:hAnsi="Times New Roman"/>
                <w:color w:val="auto"/>
                <w:kern w:val="0"/>
                <w:sz w:val="24"/>
                <w:szCs w:val="21"/>
                <w:vertAlign w:val="superscript"/>
              </w:rPr>
              <w:t>3</w:t>
            </w:r>
            <w:r>
              <w:rPr>
                <w:rFonts w:ascii="Times New Roman" w:hAnsi="Times New Roman"/>
                <w:color w:val="auto"/>
                <w:kern w:val="0"/>
                <w:sz w:val="24"/>
                <w:szCs w:val="21"/>
              </w:rPr>
              <w:t>/h），在装料时，仓内含尘废气经过布袋除尘器处理后，由仓顶排放，排放高度为15m（水泥仓高13.5m+排气筒1.5m∮=0.3m）。</w:t>
            </w:r>
          </w:p>
          <w:p>
            <w:pPr>
              <w:adjustRightInd w:val="0"/>
              <w:spacing w:line="360" w:lineRule="auto"/>
              <w:ind w:firstLine="480" w:firstLineChars="200"/>
              <w:rPr>
                <w:rFonts w:ascii="Times New Roman" w:hAnsi="Times New Roman"/>
                <w:color w:val="auto"/>
                <w:kern w:val="0"/>
                <w:sz w:val="24"/>
                <w:szCs w:val="21"/>
              </w:rPr>
            </w:pPr>
            <w:r>
              <w:rPr>
                <w:rFonts w:ascii="Times New Roman" w:hAnsi="Times New Roman"/>
                <w:color w:val="auto"/>
                <w:kern w:val="0"/>
                <w:sz w:val="24"/>
                <w:szCs w:val="21"/>
              </w:rPr>
              <w:t>外购合格的碎石、河砂、</w:t>
            </w:r>
            <w:r>
              <w:rPr>
                <w:rFonts w:hint="eastAsia" w:ascii="Times New Roman" w:hAnsi="Times New Roman"/>
                <w:color w:val="auto"/>
                <w:kern w:val="0"/>
                <w:sz w:val="24"/>
                <w:szCs w:val="21"/>
              </w:rPr>
              <w:t>机制砂</w:t>
            </w:r>
            <w:r>
              <w:rPr>
                <w:rFonts w:ascii="Times New Roman" w:hAnsi="Times New Roman"/>
                <w:color w:val="auto"/>
                <w:kern w:val="0"/>
                <w:sz w:val="24"/>
                <w:szCs w:val="21"/>
              </w:rPr>
              <w:t>经自卸汽车运进厂区后，进入</w:t>
            </w:r>
            <w:r>
              <w:rPr>
                <w:rFonts w:hint="eastAsia" w:ascii="Times New Roman" w:hAnsi="Times New Roman"/>
                <w:color w:val="auto"/>
                <w:kern w:val="0"/>
                <w:sz w:val="24"/>
                <w:szCs w:val="21"/>
              </w:rPr>
              <w:t>砂石料堆棚。</w:t>
            </w:r>
            <w:r>
              <w:rPr>
                <w:rFonts w:hint="eastAsia" w:ascii="Times New Roman" w:hAnsi="Times New Roman"/>
                <w:color w:val="auto"/>
                <w:kern w:val="0"/>
                <w:sz w:val="24"/>
                <w:szCs w:val="21"/>
                <w:lang w:eastAsia="zh-CN"/>
              </w:rPr>
              <w:t>运输车辆需加盖篷布。</w:t>
            </w:r>
            <w:r>
              <w:rPr>
                <w:rFonts w:hint="eastAsia" w:ascii="Times New Roman" w:hAnsi="Times New Roman"/>
                <w:color w:val="auto"/>
                <w:kern w:val="0"/>
                <w:sz w:val="24"/>
                <w:szCs w:val="21"/>
              </w:rPr>
              <w:t>分别有4个碎石堆棚、2个河沙堆棚、2个机制砂堆棚</w:t>
            </w:r>
            <w:r>
              <w:rPr>
                <w:rFonts w:ascii="Times New Roman" w:hAnsi="Times New Roman"/>
                <w:color w:val="auto"/>
                <w:kern w:val="0"/>
                <w:sz w:val="24"/>
                <w:szCs w:val="21"/>
              </w:rPr>
              <w:t>，</w:t>
            </w:r>
            <w:r>
              <w:rPr>
                <w:rFonts w:hint="eastAsia" w:ascii="Times New Roman" w:hAnsi="Times New Roman"/>
                <w:color w:val="auto"/>
                <w:kern w:val="0"/>
                <w:sz w:val="24"/>
                <w:szCs w:val="21"/>
              </w:rPr>
              <w:t>每个占地面积18</w:t>
            </w:r>
            <w:r>
              <w:rPr>
                <w:rFonts w:ascii="Times New Roman" w:hAnsi="Times New Roman"/>
                <w:color w:val="auto"/>
                <w:kern w:val="0"/>
                <w:sz w:val="24"/>
                <w:szCs w:val="21"/>
              </w:rPr>
              <w:t>0m</w:t>
            </w:r>
            <w:r>
              <w:rPr>
                <w:rFonts w:ascii="Times New Roman" w:hAnsi="Times New Roman"/>
                <w:color w:val="auto"/>
                <w:kern w:val="0"/>
                <w:sz w:val="24"/>
                <w:szCs w:val="21"/>
                <w:vertAlign w:val="superscript"/>
              </w:rPr>
              <w:t>2</w:t>
            </w:r>
            <w:r>
              <w:rPr>
                <w:rFonts w:ascii="Times New Roman" w:hAnsi="Times New Roman"/>
                <w:color w:val="auto"/>
                <w:kern w:val="0"/>
                <w:sz w:val="24"/>
                <w:szCs w:val="21"/>
              </w:rPr>
              <w:t>，设置洒水降尘装置，用于晴天时，</w:t>
            </w:r>
            <w:r>
              <w:rPr>
                <w:rFonts w:hint="eastAsia" w:ascii="Times New Roman" w:hAnsi="Times New Roman"/>
                <w:color w:val="auto"/>
                <w:kern w:val="0"/>
                <w:sz w:val="24"/>
                <w:szCs w:val="21"/>
              </w:rPr>
              <w:t>砂石料堆棚</w:t>
            </w:r>
            <w:r>
              <w:rPr>
                <w:rFonts w:ascii="Times New Roman" w:hAnsi="Times New Roman"/>
                <w:color w:val="auto"/>
                <w:kern w:val="0"/>
                <w:sz w:val="24"/>
                <w:szCs w:val="21"/>
              </w:rPr>
              <w:t>的洒水降尘。</w:t>
            </w:r>
          </w:p>
          <w:p>
            <w:pPr>
              <w:adjustRightInd w:val="0"/>
              <w:spacing w:line="360" w:lineRule="auto"/>
              <w:ind w:firstLine="480" w:firstLineChars="200"/>
              <w:rPr>
                <w:rFonts w:ascii="Times New Roman" w:hAnsi="Times New Roman"/>
                <w:color w:val="auto"/>
                <w:kern w:val="0"/>
                <w:sz w:val="24"/>
                <w:szCs w:val="21"/>
              </w:rPr>
            </w:pPr>
            <w:r>
              <w:rPr>
                <w:rFonts w:ascii="Times New Roman" w:hAnsi="Times New Roman"/>
                <w:color w:val="auto"/>
                <w:kern w:val="0"/>
                <w:sz w:val="24"/>
                <w:szCs w:val="21"/>
              </w:rPr>
              <w:t>②配料</w:t>
            </w:r>
          </w:p>
          <w:p>
            <w:pPr>
              <w:adjustRightInd w:val="0"/>
              <w:spacing w:line="360" w:lineRule="auto"/>
              <w:ind w:firstLine="480" w:firstLineChars="200"/>
              <w:rPr>
                <w:rFonts w:ascii="Times New Roman" w:hAnsi="Times New Roman"/>
                <w:color w:val="auto"/>
                <w:kern w:val="0"/>
                <w:sz w:val="24"/>
                <w:szCs w:val="21"/>
              </w:rPr>
            </w:pPr>
            <w:r>
              <w:rPr>
                <w:rFonts w:ascii="Times New Roman" w:hAnsi="Times New Roman"/>
                <w:color w:val="auto"/>
                <w:kern w:val="0"/>
                <w:sz w:val="24"/>
                <w:szCs w:val="21"/>
              </w:rPr>
              <w:t>外购合格进入</w:t>
            </w:r>
            <w:r>
              <w:rPr>
                <w:rFonts w:hint="eastAsia" w:ascii="Times New Roman" w:hAnsi="Times New Roman"/>
                <w:color w:val="auto"/>
                <w:kern w:val="0"/>
                <w:sz w:val="24"/>
                <w:szCs w:val="21"/>
                <w:lang w:val="en-US" w:eastAsia="zh-CN"/>
              </w:rPr>
              <w:t>堆棚</w:t>
            </w:r>
            <w:r>
              <w:rPr>
                <w:rFonts w:ascii="Times New Roman" w:hAnsi="Times New Roman"/>
                <w:color w:val="auto"/>
                <w:kern w:val="0"/>
                <w:sz w:val="24"/>
                <w:szCs w:val="21"/>
              </w:rPr>
              <w:t>的物料通过装载机分别机内各配料斗，配料斗采用电子皮带秤和圆盘给料机联合配料后经皮带进入搅拌工序。配料采用自动重量配料。</w:t>
            </w:r>
          </w:p>
          <w:p>
            <w:pPr>
              <w:adjustRightInd w:val="0"/>
              <w:spacing w:line="360" w:lineRule="auto"/>
              <w:ind w:firstLine="480" w:firstLineChars="200"/>
              <w:rPr>
                <w:rFonts w:ascii="Times New Roman" w:hAnsi="Times New Roman"/>
                <w:color w:val="auto"/>
                <w:kern w:val="0"/>
                <w:sz w:val="24"/>
                <w:szCs w:val="21"/>
              </w:rPr>
            </w:pPr>
            <w:r>
              <w:rPr>
                <w:rFonts w:ascii="Times New Roman" w:hAnsi="Times New Roman"/>
                <w:color w:val="auto"/>
                <w:kern w:val="0"/>
                <w:sz w:val="24"/>
                <w:szCs w:val="21"/>
              </w:rPr>
              <w:t>为了减小配料过程中产生的无组织粉尘，本次环评提出，在配料站下料口设置喷雾洒水装置。</w:t>
            </w:r>
          </w:p>
          <w:p>
            <w:pPr>
              <w:adjustRightInd w:val="0"/>
              <w:spacing w:line="360" w:lineRule="auto"/>
              <w:ind w:firstLine="480" w:firstLineChars="200"/>
              <w:rPr>
                <w:rFonts w:ascii="Times New Roman" w:hAnsi="Times New Roman"/>
                <w:color w:val="auto"/>
                <w:kern w:val="0"/>
                <w:sz w:val="24"/>
                <w:szCs w:val="21"/>
              </w:rPr>
            </w:pPr>
            <w:r>
              <w:rPr>
                <w:rFonts w:ascii="Times New Roman" w:hAnsi="Times New Roman"/>
                <w:color w:val="auto"/>
                <w:kern w:val="0"/>
                <w:sz w:val="24"/>
                <w:szCs w:val="21"/>
              </w:rPr>
              <w:t>③搅拌</w:t>
            </w:r>
          </w:p>
          <w:p>
            <w:pPr>
              <w:adjustRightInd w:val="0"/>
              <w:spacing w:line="360" w:lineRule="auto"/>
              <w:ind w:firstLine="480" w:firstLineChars="200"/>
              <w:rPr>
                <w:color w:val="auto"/>
              </w:rPr>
            </w:pPr>
            <w:r>
              <w:rPr>
                <w:rFonts w:ascii="Times New Roman" w:hAnsi="Times New Roman"/>
                <w:color w:val="auto"/>
                <w:kern w:val="0"/>
                <w:sz w:val="24"/>
                <w:szCs w:val="21"/>
              </w:rPr>
              <w:t>进入搅拌缸的各物料按</w:t>
            </w:r>
            <w:r>
              <w:rPr>
                <w:rFonts w:hint="eastAsia" w:ascii="Times New Roman" w:hAnsi="Times New Roman"/>
                <w:color w:val="auto"/>
                <w:kern w:val="0"/>
                <w:sz w:val="24"/>
                <w:szCs w:val="21"/>
              </w:rPr>
              <w:t>170L/m</w:t>
            </w:r>
            <w:r>
              <w:rPr>
                <w:rFonts w:hint="eastAsia" w:ascii="Times New Roman" w:hAnsi="Times New Roman"/>
                <w:color w:val="auto"/>
                <w:kern w:val="0"/>
                <w:sz w:val="24"/>
                <w:szCs w:val="21"/>
                <w:vertAlign w:val="superscript"/>
              </w:rPr>
              <w:t>3</w:t>
            </w:r>
            <w:r>
              <w:rPr>
                <w:rFonts w:hint="eastAsia" w:ascii="Times New Roman" w:hAnsi="Times New Roman"/>
                <w:color w:val="auto"/>
                <w:kern w:val="0"/>
                <w:sz w:val="24"/>
                <w:szCs w:val="21"/>
              </w:rPr>
              <w:t>混凝土</w:t>
            </w:r>
            <w:r>
              <w:rPr>
                <w:rFonts w:ascii="Times New Roman" w:hAnsi="Times New Roman"/>
                <w:color w:val="auto"/>
                <w:kern w:val="0"/>
                <w:sz w:val="24"/>
                <w:szCs w:val="21"/>
              </w:rPr>
              <w:t>加入水后在密闭需要中进行搅拌，搅拌15分钟后出料，</w:t>
            </w:r>
            <w:r>
              <w:rPr>
                <w:rFonts w:hint="eastAsia" w:ascii="Times New Roman" w:hAnsi="Times New Roman"/>
                <w:color w:val="auto"/>
                <w:kern w:val="0"/>
                <w:sz w:val="24"/>
                <w:szCs w:val="21"/>
                <w:lang w:eastAsia="zh-CN"/>
              </w:rPr>
              <w:t>选取部分混凝土进行强度试验，检验合格后</w:t>
            </w:r>
            <w:r>
              <w:rPr>
                <w:rFonts w:ascii="Times New Roman" w:hAnsi="Times New Roman"/>
                <w:color w:val="auto"/>
                <w:kern w:val="0"/>
                <w:sz w:val="24"/>
                <w:szCs w:val="21"/>
              </w:rPr>
              <w:t>由装载车直接外运至</w:t>
            </w:r>
            <w:r>
              <w:rPr>
                <w:rFonts w:hint="eastAsia" w:ascii="Times New Roman" w:hAnsi="Times New Roman"/>
                <w:color w:val="auto"/>
                <w:kern w:val="0"/>
                <w:sz w:val="24"/>
                <w:szCs w:val="21"/>
              </w:rPr>
              <w:t>高速公路使用</w:t>
            </w:r>
            <w:r>
              <w:rPr>
                <w:rFonts w:ascii="Times New Roman" w:hAnsi="Times New Roman"/>
                <w:color w:val="auto"/>
                <w:kern w:val="0"/>
                <w:sz w:val="24"/>
                <w:szCs w:val="21"/>
              </w:rPr>
              <w:t>，项目区不设置成品仓。</w:t>
            </w:r>
          </w:p>
          <w:p>
            <w:pPr>
              <w:adjustRightInd w:val="0"/>
              <w:spacing w:line="360" w:lineRule="auto"/>
              <w:rPr>
                <w:rFonts w:hint="eastAsia" w:ascii="Times New Roman" w:hAnsi="Times New Roman" w:eastAsia="宋体"/>
                <w:color w:val="auto"/>
                <w:sz w:val="24"/>
                <w:lang w:eastAsia="zh-CN"/>
              </w:rPr>
            </w:pPr>
            <w:r>
              <w:rPr>
                <w:rFonts w:hint="eastAsia" w:ascii="Times New Roman" w:hAnsi="Times New Roman" w:eastAsia="宋体"/>
                <w:color w:val="auto"/>
                <w:sz w:val="24"/>
                <w:lang w:eastAsia="zh-CN"/>
              </w:rPr>
              <w:drawing>
                <wp:inline distT="0" distB="0" distL="114300" distR="114300">
                  <wp:extent cx="5288915" cy="3600450"/>
                  <wp:effectExtent l="0" t="0" r="0" b="0"/>
                  <wp:docPr id="5" name="ECB019B1-382A-4266-B25C-5B523AA43C14-1" descr="qt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B019B1-382A-4266-B25C-5B523AA43C14-1" descr="qt_temp"/>
                          <pic:cNvPicPr>
                            <a:picLocks noChangeAspect="1"/>
                          </pic:cNvPicPr>
                        </pic:nvPicPr>
                        <pic:blipFill>
                          <a:blip r:embed="rId13"/>
                          <a:stretch>
                            <a:fillRect/>
                          </a:stretch>
                        </pic:blipFill>
                        <pic:spPr>
                          <a:xfrm>
                            <a:off x="0" y="0"/>
                            <a:ext cx="5288915" cy="3600450"/>
                          </a:xfrm>
                          <a:prstGeom prst="rect">
                            <a:avLst/>
                          </a:prstGeom>
                        </pic:spPr>
                      </pic:pic>
                    </a:graphicData>
                  </a:graphic>
                </wp:inline>
              </w:drawing>
            </w:r>
          </w:p>
          <w:p>
            <w:pPr>
              <w:jc w:val="center"/>
              <w:rPr>
                <w:rFonts w:ascii="Times New Roman" w:hAnsi="Times New Roman"/>
                <w:b/>
                <w:color w:val="auto"/>
                <w:sz w:val="28"/>
                <w:szCs w:val="28"/>
              </w:rPr>
            </w:pPr>
            <w:r>
              <w:rPr>
                <w:rFonts w:ascii="Times New Roman" w:hAnsi="Times New Roman"/>
                <w:b/>
                <w:bCs/>
                <w:color w:val="auto"/>
                <w:spacing w:val="2"/>
                <w:kern w:val="0"/>
                <w:sz w:val="24"/>
                <w:szCs w:val="24"/>
              </w:rPr>
              <w:t>图5-</w:t>
            </w:r>
            <w:r>
              <w:rPr>
                <w:rFonts w:hint="eastAsia" w:ascii="Times New Roman" w:hAnsi="Times New Roman"/>
                <w:b/>
                <w:bCs/>
                <w:color w:val="auto"/>
                <w:spacing w:val="2"/>
                <w:kern w:val="0"/>
                <w:sz w:val="24"/>
                <w:szCs w:val="24"/>
              </w:rPr>
              <w:t>3</w:t>
            </w:r>
            <w:r>
              <w:rPr>
                <w:rFonts w:ascii="Times New Roman" w:hAnsi="Times New Roman"/>
                <w:b/>
                <w:bCs/>
                <w:color w:val="auto"/>
                <w:spacing w:val="2"/>
                <w:kern w:val="0"/>
                <w:sz w:val="24"/>
                <w:szCs w:val="24"/>
              </w:rPr>
              <w:t xml:space="preserve">  项目</w:t>
            </w:r>
            <w:r>
              <w:rPr>
                <w:rFonts w:hint="eastAsia" w:ascii="Times New Roman" w:hAnsi="Times New Roman"/>
                <w:b/>
                <w:bCs/>
                <w:color w:val="auto"/>
                <w:spacing w:val="2"/>
                <w:kern w:val="0"/>
                <w:sz w:val="24"/>
                <w:szCs w:val="24"/>
              </w:rPr>
              <w:t>项目钢筋加工</w:t>
            </w:r>
            <w:r>
              <w:rPr>
                <w:rFonts w:ascii="Times New Roman" w:hAnsi="Times New Roman"/>
                <w:b/>
                <w:bCs/>
                <w:color w:val="auto"/>
                <w:spacing w:val="2"/>
                <w:kern w:val="0"/>
                <w:sz w:val="24"/>
                <w:szCs w:val="24"/>
              </w:rPr>
              <w:t>工艺流程图</w:t>
            </w:r>
          </w:p>
          <w:p>
            <w:pPr>
              <w:rPr>
                <w:rFonts w:ascii="Times New Roman" w:hAnsi="Times New Roman"/>
                <w:b/>
                <w:color w:val="auto"/>
                <w:sz w:val="28"/>
                <w:szCs w:val="28"/>
              </w:rPr>
            </w:pPr>
            <w:r>
              <w:rPr>
                <w:rFonts w:hint="eastAsia" w:ascii="Times New Roman" w:hAnsi="Times New Roman"/>
                <w:b/>
                <w:color w:val="auto"/>
                <w:sz w:val="28"/>
                <w:szCs w:val="28"/>
              </w:rPr>
              <w:t>钢筋加工</w:t>
            </w:r>
            <w:r>
              <w:rPr>
                <w:rFonts w:ascii="Times New Roman" w:hAnsi="Times New Roman"/>
                <w:b/>
                <w:color w:val="auto"/>
                <w:sz w:val="28"/>
                <w:szCs w:val="28"/>
              </w:rPr>
              <w:t>工艺流程简述</w:t>
            </w:r>
          </w:p>
          <w:p>
            <w:pPr>
              <w:pStyle w:val="2"/>
              <w:ind w:firstLine="480" w:firstLineChars="200"/>
              <w:rPr>
                <w:color w:val="auto"/>
                <w:sz w:val="24"/>
                <w:szCs w:val="24"/>
              </w:rPr>
            </w:pPr>
            <w:r>
              <w:rPr>
                <w:rFonts w:hint="eastAsia"/>
                <w:color w:val="auto"/>
                <w:sz w:val="24"/>
                <w:szCs w:val="24"/>
              </w:rPr>
              <w:t>从昆明购买的钢筋成品经汽车运输到项目区内的钢筋原料堆放区，根据钢筋使用部位、接头形式、接头比例，进行分类加工。</w:t>
            </w:r>
          </w:p>
          <w:p>
            <w:pPr>
              <w:pStyle w:val="2"/>
              <w:numPr>
                <w:ilvl w:val="0"/>
                <w:numId w:val="4"/>
              </w:numPr>
              <w:rPr>
                <w:rFonts w:ascii="Calibri" w:hAnsi="Calibri" w:cs="Calibri"/>
                <w:color w:val="auto"/>
                <w:sz w:val="24"/>
                <w:szCs w:val="24"/>
              </w:rPr>
            </w:pPr>
            <w:r>
              <w:rPr>
                <w:rFonts w:hint="eastAsia" w:ascii="Calibri" w:hAnsi="Calibri" w:cs="Calibri"/>
                <w:color w:val="auto"/>
                <w:sz w:val="24"/>
                <w:szCs w:val="24"/>
              </w:rPr>
              <w:t>切割</w:t>
            </w:r>
          </w:p>
          <w:p>
            <w:pPr>
              <w:pStyle w:val="2"/>
              <w:ind w:firstLine="480" w:firstLineChars="200"/>
              <w:rPr>
                <w:color w:val="auto"/>
                <w:sz w:val="24"/>
                <w:szCs w:val="24"/>
              </w:rPr>
            </w:pPr>
            <w:r>
              <w:rPr>
                <w:rFonts w:hint="eastAsia" w:ascii="Calibri" w:hAnsi="Calibri" w:cs="Calibri"/>
                <w:color w:val="auto"/>
                <w:sz w:val="24"/>
                <w:szCs w:val="24"/>
              </w:rPr>
              <w:t>根据需要对存于原料堆场的钢筋进行切割，切割过程中使用</w:t>
            </w:r>
            <w:r>
              <w:rPr>
                <w:rFonts w:hint="eastAsia"/>
                <w:color w:val="auto"/>
                <w:sz w:val="24"/>
                <w:szCs w:val="24"/>
              </w:rPr>
              <w:t>氧气作为助燃剂，燃烧乙炔形成高温对钢筋进行切割。</w:t>
            </w:r>
          </w:p>
          <w:p>
            <w:pPr>
              <w:pStyle w:val="2"/>
              <w:ind w:firstLine="480" w:firstLineChars="200"/>
              <w:rPr>
                <w:color w:val="auto"/>
                <w:sz w:val="24"/>
                <w:szCs w:val="24"/>
              </w:rPr>
            </w:pPr>
            <w:r>
              <w:rPr>
                <w:rFonts w:ascii="Calibri" w:hAnsi="Calibri" w:cs="Calibri"/>
                <w:color w:val="auto"/>
                <w:sz w:val="24"/>
                <w:szCs w:val="24"/>
              </w:rPr>
              <w:t>②</w:t>
            </w:r>
            <w:r>
              <w:rPr>
                <w:rFonts w:hint="eastAsia"/>
                <w:color w:val="auto"/>
                <w:sz w:val="24"/>
                <w:szCs w:val="24"/>
              </w:rPr>
              <w:t>焊接</w:t>
            </w:r>
          </w:p>
          <w:p>
            <w:pPr>
              <w:spacing w:line="360" w:lineRule="auto"/>
              <w:ind w:firstLine="480" w:firstLineChars="200"/>
              <w:rPr>
                <w:color w:val="auto"/>
                <w:sz w:val="24"/>
              </w:rPr>
            </w:pPr>
            <w:r>
              <w:rPr>
                <w:rFonts w:hint="eastAsia"/>
                <w:color w:val="auto"/>
                <w:sz w:val="24"/>
              </w:rPr>
              <w:t>根据需要采用四台二氧化碳气体保护焊机对切割后的钢筋进行焊接，使其达到工程需要的形状和尺寸。</w:t>
            </w:r>
          </w:p>
          <w:p>
            <w:pPr>
              <w:pStyle w:val="2"/>
              <w:ind w:firstLine="480" w:firstLineChars="200"/>
              <w:rPr>
                <w:color w:val="auto"/>
                <w:sz w:val="24"/>
              </w:rPr>
            </w:pPr>
            <w:r>
              <w:rPr>
                <w:rFonts w:ascii="Calibri" w:hAnsi="Calibri" w:cs="Calibri"/>
                <w:color w:val="auto"/>
                <w:sz w:val="24"/>
              </w:rPr>
              <w:t>③</w:t>
            </w:r>
            <w:r>
              <w:rPr>
                <w:rFonts w:hint="eastAsia"/>
                <w:color w:val="auto"/>
                <w:sz w:val="24"/>
              </w:rPr>
              <w:t>弯曲</w:t>
            </w:r>
          </w:p>
          <w:p>
            <w:pPr>
              <w:spacing w:line="360" w:lineRule="auto"/>
              <w:ind w:firstLine="480" w:firstLineChars="200"/>
              <w:rPr>
                <w:color w:val="auto"/>
                <w:sz w:val="24"/>
              </w:rPr>
            </w:pPr>
            <w:r>
              <w:rPr>
                <w:rFonts w:hint="eastAsia"/>
                <w:color w:val="auto"/>
                <w:sz w:val="24"/>
              </w:rPr>
              <w:t>根据需要采用一台LTWG-12型数控弯曲机对切割后的钢筋进行弯曲，使其达到工程需要的形状和尺寸。</w:t>
            </w:r>
          </w:p>
          <w:p>
            <w:pPr>
              <w:pStyle w:val="2"/>
              <w:ind w:firstLine="480" w:firstLineChars="200"/>
              <w:rPr>
                <w:color w:val="auto"/>
                <w:sz w:val="24"/>
              </w:rPr>
            </w:pPr>
            <w:r>
              <w:rPr>
                <w:rFonts w:ascii="Calibri" w:hAnsi="Calibri" w:cs="Calibri"/>
                <w:color w:val="auto"/>
                <w:sz w:val="24"/>
              </w:rPr>
              <w:t>④</w:t>
            </w:r>
            <w:r>
              <w:rPr>
                <w:rFonts w:hint="eastAsia"/>
                <w:color w:val="auto"/>
                <w:sz w:val="24"/>
              </w:rPr>
              <w:t>车丝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eastAsia"/>
                <w:color w:val="auto"/>
                <w:sz w:val="24"/>
                <w:lang w:eastAsia="zh-CN"/>
              </w:rPr>
              <w:t>根据</w:t>
            </w:r>
            <w:r>
              <w:rPr>
                <w:rFonts w:hint="eastAsia"/>
                <w:color w:val="auto"/>
                <w:sz w:val="24"/>
              </w:rPr>
              <w:t>需要采用两台HG40型套丝机，对钢筋进行套丝，使其能采用套筒进行连接。</w:t>
            </w:r>
          </w:p>
          <w:p>
            <w:pPr>
              <w:adjustRightInd w:val="0"/>
              <w:snapToGrid w:val="0"/>
              <w:spacing w:line="360" w:lineRule="auto"/>
              <w:rPr>
                <w:rFonts w:ascii="Times New Roman" w:hAnsi="Times New Roman"/>
                <w:b/>
                <w:color w:val="auto"/>
                <w:sz w:val="28"/>
                <w:szCs w:val="28"/>
              </w:rPr>
            </w:pPr>
            <w:r>
              <w:rPr>
                <w:rFonts w:ascii="Times New Roman" w:hAnsi="Times New Roman"/>
                <w:b/>
                <w:color w:val="auto"/>
                <w:sz w:val="28"/>
                <w:szCs w:val="28"/>
              </w:rPr>
              <w:t>三、污染工序及源强核算</w:t>
            </w:r>
          </w:p>
          <w:p>
            <w:pPr>
              <w:adjustRightInd w:val="0"/>
              <w:snapToGrid w:val="0"/>
              <w:spacing w:line="360" w:lineRule="auto"/>
              <w:rPr>
                <w:rFonts w:ascii="Times New Roman" w:hAnsi="Times New Roman"/>
                <w:b/>
                <w:bCs/>
                <w:color w:val="auto"/>
                <w:sz w:val="24"/>
              </w:rPr>
            </w:pPr>
            <w:r>
              <w:rPr>
                <w:rFonts w:ascii="Times New Roman" w:hAnsi="Times New Roman"/>
                <w:b/>
                <w:bCs/>
                <w:color w:val="auto"/>
                <w:sz w:val="24"/>
              </w:rPr>
              <w:t>1、施工期污染源</w:t>
            </w:r>
          </w:p>
          <w:p>
            <w:pPr>
              <w:adjustRightInd w:val="0"/>
              <w:snapToGrid w:val="0"/>
              <w:spacing w:line="360" w:lineRule="auto"/>
              <w:rPr>
                <w:rFonts w:ascii="Times New Roman" w:hAnsi="Times New Roman"/>
                <w:b/>
                <w:color w:val="auto"/>
                <w:sz w:val="24"/>
              </w:rPr>
            </w:pPr>
            <w:r>
              <w:rPr>
                <w:rFonts w:ascii="Times New Roman" w:hAnsi="Times New Roman"/>
                <w:b/>
                <w:color w:val="auto"/>
                <w:sz w:val="24"/>
              </w:rPr>
              <w:t xml:space="preserve">1.1废气 </w:t>
            </w:r>
          </w:p>
          <w:p>
            <w:pPr>
              <w:adjustRightInd w:val="0"/>
              <w:snapToGrid w:val="0"/>
              <w:spacing w:line="360" w:lineRule="auto"/>
              <w:ind w:firstLine="480"/>
              <w:rPr>
                <w:rFonts w:ascii="Times New Roman" w:hAnsi="Times New Roman"/>
                <w:color w:val="auto"/>
                <w:sz w:val="24"/>
              </w:rPr>
            </w:pPr>
            <w:r>
              <w:rPr>
                <w:rFonts w:ascii="Times New Roman" w:hAnsi="Times New Roman"/>
                <w:color w:val="auto"/>
                <w:sz w:val="24"/>
              </w:rPr>
              <w:t>在施工阶段对环境空气的污染主要来自施工工地扬尘，另有少量施工车辆尾气。施工期的扬尘主要来源于厂房建设土方开挖、土石方填埋形成的裸露土面产生的扬尘及施工作业、混凝土搅拌等产生的粉尘。另外，施工运输车辆运送水泥、沙石等材料也可能引起较大的扬尘。扬尘中的TSP和PM</w:t>
            </w:r>
            <w:r>
              <w:rPr>
                <w:rFonts w:ascii="Times New Roman" w:hAnsi="Times New Roman"/>
                <w:color w:val="auto"/>
                <w:sz w:val="24"/>
                <w:vertAlign w:val="subscript"/>
              </w:rPr>
              <w:t>10</w:t>
            </w:r>
            <w:r>
              <w:rPr>
                <w:rFonts w:ascii="Times New Roman" w:hAnsi="Times New Roman"/>
                <w:color w:val="auto"/>
                <w:sz w:val="24"/>
              </w:rPr>
              <w:t>对环境影响较大，但其中不含有毒有害的特殊污染物。建设单位应在施工期通过加强监督管理、强调文明施工。在运输或作业中扬尘大时要洒水降尘，运输车辆必须采取封闭措施，物料堆放要规整并适当遮蔽和覆盖，使施工期扬尘污染降低到最低限度，并满足《大气污染物综合排放标准》</w:t>
            </w:r>
            <w:r>
              <w:rPr>
                <w:rFonts w:hint="eastAsia" w:ascii="Times New Roman" w:hAnsi="Times New Roman"/>
                <w:color w:val="auto"/>
                <w:sz w:val="24"/>
              </w:rPr>
              <w:t>（</w:t>
            </w:r>
            <w:r>
              <w:rPr>
                <w:rFonts w:ascii="Times New Roman" w:hAnsi="Times New Roman"/>
                <w:color w:val="auto"/>
                <w:sz w:val="24"/>
              </w:rPr>
              <w:t>GB16297-1996</w:t>
            </w:r>
            <w:r>
              <w:rPr>
                <w:rFonts w:hint="eastAsia" w:ascii="Times New Roman" w:hAnsi="Times New Roman"/>
                <w:color w:val="auto"/>
                <w:sz w:val="24"/>
              </w:rPr>
              <w:t>）</w:t>
            </w:r>
            <w:r>
              <w:rPr>
                <w:rFonts w:ascii="Times New Roman" w:hAnsi="Times New Roman"/>
                <w:color w:val="auto"/>
                <w:sz w:val="24"/>
              </w:rPr>
              <w:t>中的无组织排放要求。</w:t>
            </w:r>
          </w:p>
          <w:p>
            <w:pPr>
              <w:adjustRightInd w:val="0"/>
              <w:snapToGrid w:val="0"/>
              <w:spacing w:line="360" w:lineRule="auto"/>
              <w:ind w:firstLine="480"/>
              <w:rPr>
                <w:rFonts w:ascii="Times New Roman" w:hAnsi="Times New Roman"/>
                <w:color w:val="auto"/>
                <w:kern w:val="0"/>
                <w:sz w:val="24"/>
                <w:szCs w:val="24"/>
              </w:rPr>
            </w:pPr>
            <w:r>
              <w:rPr>
                <w:rFonts w:ascii="Times New Roman" w:hAnsi="Times New Roman"/>
                <w:color w:val="auto"/>
                <w:sz w:val="24"/>
                <w:szCs w:val="24"/>
              </w:rPr>
              <w:t>施工期燃油设备产生的燃油废气，产生量小，进入大气中</w:t>
            </w:r>
            <w:r>
              <w:rPr>
                <w:rFonts w:ascii="Times New Roman" w:hAnsi="Times New Roman"/>
                <w:color w:val="auto"/>
                <w:kern w:val="0"/>
                <w:sz w:val="24"/>
                <w:szCs w:val="24"/>
              </w:rPr>
              <w:t>自然稀释扩散。</w:t>
            </w:r>
          </w:p>
          <w:p>
            <w:pPr>
              <w:adjustRightInd w:val="0"/>
              <w:snapToGrid w:val="0"/>
              <w:spacing w:line="360" w:lineRule="auto"/>
              <w:rPr>
                <w:rFonts w:ascii="Times New Roman" w:hAnsi="Times New Roman"/>
                <w:b/>
                <w:color w:val="auto"/>
                <w:sz w:val="24"/>
              </w:rPr>
            </w:pPr>
            <w:r>
              <w:rPr>
                <w:rFonts w:ascii="Times New Roman" w:hAnsi="Times New Roman"/>
                <w:b/>
                <w:color w:val="auto"/>
                <w:sz w:val="24"/>
              </w:rPr>
              <w:t>1.2废水</w:t>
            </w:r>
          </w:p>
          <w:p>
            <w:pPr>
              <w:adjustRightInd w:val="0"/>
              <w:snapToGrid w:val="0"/>
              <w:spacing w:line="360" w:lineRule="auto"/>
              <w:ind w:firstLine="480"/>
              <w:rPr>
                <w:rFonts w:ascii="Times New Roman" w:hAnsi="Times New Roman"/>
                <w:color w:val="auto"/>
                <w:sz w:val="24"/>
              </w:rPr>
            </w:pPr>
            <w:r>
              <w:rPr>
                <w:rFonts w:ascii="Times New Roman" w:hAnsi="Times New Roman"/>
                <w:color w:val="auto"/>
                <w:sz w:val="24"/>
              </w:rPr>
              <w:t>施工期废水主要为混凝土拌合、施工设备冲洗废水以及施工人员生活污水。</w:t>
            </w:r>
          </w:p>
          <w:p>
            <w:pPr>
              <w:adjustRightInd w:val="0"/>
              <w:snapToGrid w:val="0"/>
              <w:spacing w:line="360" w:lineRule="auto"/>
              <w:ind w:firstLine="480"/>
              <w:rPr>
                <w:rFonts w:ascii="Times New Roman" w:hAnsi="Times New Roman"/>
                <w:color w:val="auto"/>
                <w:sz w:val="24"/>
              </w:rPr>
            </w:pPr>
            <w:r>
              <w:rPr>
                <w:rFonts w:ascii="Times New Roman" w:hAnsi="Times New Roman"/>
                <w:color w:val="auto"/>
                <w:sz w:val="24"/>
              </w:rPr>
              <w:t>施工期采用商品混凝土，用水量很少，经自然蒸发后基本不产生废水。故施工废水主要为施工场内混凝土养护废水和工具冲洗废水。类比同类项目，本次评价取施工期用水量为</w:t>
            </w:r>
            <w:r>
              <w:rPr>
                <w:rFonts w:hint="eastAsia" w:ascii="Times New Roman" w:hAnsi="Times New Roman"/>
                <w:color w:val="auto"/>
                <w:sz w:val="24"/>
              </w:rPr>
              <w:t>3</w:t>
            </w:r>
            <w:r>
              <w:rPr>
                <w:rFonts w:ascii="Times New Roman" w:hAnsi="Times New Roman"/>
                <w:color w:val="auto"/>
                <w:sz w:val="24"/>
              </w:rPr>
              <w:t>m</w:t>
            </w:r>
            <w:r>
              <w:rPr>
                <w:rFonts w:ascii="Times New Roman" w:hAnsi="Times New Roman"/>
                <w:color w:val="auto"/>
                <w:sz w:val="24"/>
                <w:vertAlign w:val="superscript"/>
              </w:rPr>
              <w:t>3</w:t>
            </w:r>
            <w:r>
              <w:rPr>
                <w:rFonts w:ascii="Times New Roman" w:hAnsi="Times New Roman"/>
                <w:color w:val="auto"/>
                <w:sz w:val="24"/>
              </w:rPr>
              <w:t>/d，主要污染物为SS，浓度为200-2000mg/L，pH值6-8。为避免施工废水对周围地表水环境的影响，施工现场需设立一个</w:t>
            </w:r>
            <w:r>
              <w:rPr>
                <w:rFonts w:hint="eastAsia" w:ascii="Times New Roman" w:hAnsi="Times New Roman"/>
                <w:color w:val="auto"/>
                <w:sz w:val="24"/>
              </w:rPr>
              <w:t>2</w:t>
            </w:r>
            <w:r>
              <w:rPr>
                <w:rFonts w:ascii="Times New Roman" w:hAnsi="Times New Roman"/>
                <w:color w:val="auto"/>
                <w:sz w:val="24"/>
              </w:rPr>
              <w:t>m</w:t>
            </w:r>
            <w:r>
              <w:rPr>
                <w:rFonts w:ascii="Times New Roman" w:hAnsi="Times New Roman"/>
                <w:color w:val="auto"/>
                <w:sz w:val="24"/>
                <w:vertAlign w:val="superscript"/>
              </w:rPr>
              <w:t>3</w:t>
            </w:r>
            <w:r>
              <w:rPr>
                <w:rFonts w:ascii="Times New Roman" w:hAnsi="Times New Roman"/>
                <w:color w:val="auto"/>
                <w:sz w:val="24"/>
              </w:rPr>
              <w:t>污水收集沉淀池，项目产生的施工废水经污水收集沉淀池处理后，用于场地洒水降尘</w:t>
            </w:r>
            <w:r>
              <w:rPr>
                <w:rFonts w:hint="eastAsia" w:ascii="Times New Roman" w:hAnsi="Times New Roman"/>
                <w:color w:val="auto"/>
                <w:sz w:val="24"/>
              </w:rPr>
              <w:t>，不外排</w:t>
            </w:r>
            <w:r>
              <w:rPr>
                <w:rFonts w:ascii="Times New Roman" w:hAnsi="Times New Roman"/>
                <w:color w:val="auto"/>
                <w:sz w:val="24"/>
              </w:rPr>
              <w:t>。</w:t>
            </w:r>
          </w:p>
          <w:p>
            <w:pPr>
              <w:adjustRightInd w:val="0"/>
              <w:snapToGrid w:val="0"/>
              <w:spacing w:line="360" w:lineRule="auto"/>
              <w:ind w:firstLine="480"/>
              <w:rPr>
                <w:rFonts w:ascii="Times New Roman" w:hAnsi="Times New Roman"/>
                <w:color w:val="auto"/>
                <w:sz w:val="24"/>
                <w:szCs w:val="24"/>
              </w:rPr>
            </w:pPr>
            <w:r>
              <w:rPr>
                <w:rFonts w:ascii="Times New Roman" w:hAnsi="Times New Roman"/>
                <w:color w:val="auto"/>
                <w:sz w:val="24"/>
                <w:szCs w:val="24"/>
              </w:rPr>
              <w:t>施工设备冲洗废水也就地到混凝土拌合站进行冲洗，经类比同类规模施工场地，施工设备冲洗废水量约0.2 m</w:t>
            </w:r>
            <w:r>
              <w:rPr>
                <w:rFonts w:ascii="Times New Roman" w:hAnsi="Times New Roman"/>
                <w:color w:val="auto"/>
                <w:sz w:val="24"/>
                <w:szCs w:val="24"/>
                <w:vertAlign w:val="superscript"/>
              </w:rPr>
              <w:t>3</w:t>
            </w:r>
            <w:r>
              <w:rPr>
                <w:rFonts w:ascii="Times New Roman" w:hAnsi="Times New Roman"/>
                <w:color w:val="auto"/>
                <w:sz w:val="24"/>
                <w:szCs w:val="24"/>
              </w:rPr>
              <w:t>/d</w:t>
            </w:r>
            <w:r>
              <w:rPr>
                <w:rFonts w:ascii="Times New Roman" w:hAnsi="Times New Roman"/>
                <w:color w:val="auto"/>
                <w:kern w:val="0"/>
                <w:sz w:val="24"/>
                <w:szCs w:val="24"/>
              </w:rPr>
              <w:t>，基建施工期约</w:t>
            </w:r>
            <w:r>
              <w:rPr>
                <w:rFonts w:hint="eastAsia" w:ascii="Times New Roman" w:hAnsi="Times New Roman"/>
                <w:color w:val="auto"/>
                <w:kern w:val="0"/>
                <w:sz w:val="24"/>
                <w:szCs w:val="24"/>
              </w:rPr>
              <w:t>2</w:t>
            </w:r>
            <w:r>
              <w:rPr>
                <w:rFonts w:ascii="Times New Roman" w:hAnsi="Times New Roman"/>
                <w:color w:val="auto"/>
                <w:kern w:val="0"/>
                <w:sz w:val="24"/>
                <w:szCs w:val="24"/>
              </w:rPr>
              <w:t>个月，每个月施工</w:t>
            </w:r>
            <w:r>
              <w:rPr>
                <w:rFonts w:hint="eastAsia" w:ascii="Times New Roman" w:hAnsi="Times New Roman"/>
                <w:color w:val="auto"/>
                <w:kern w:val="0"/>
                <w:sz w:val="24"/>
                <w:szCs w:val="24"/>
              </w:rPr>
              <w:t>30</w:t>
            </w:r>
            <w:r>
              <w:rPr>
                <w:rFonts w:ascii="Times New Roman" w:hAnsi="Times New Roman"/>
                <w:color w:val="auto"/>
                <w:kern w:val="0"/>
                <w:sz w:val="24"/>
                <w:szCs w:val="24"/>
              </w:rPr>
              <w:t>天计</w:t>
            </w:r>
            <w:r>
              <w:rPr>
                <w:rFonts w:hint="eastAsia" w:ascii="Times New Roman" w:hAnsi="Times New Roman"/>
                <w:color w:val="auto"/>
                <w:kern w:val="0"/>
                <w:sz w:val="24"/>
                <w:szCs w:val="24"/>
              </w:rPr>
              <w:t>，</w:t>
            </w:r>
            <w:r>
              <w:rPr>
                <w:rFonts w:ascii="Times New Roman" w:hAnsi="Times New Roman"/>
                <w:color w:val="auto"/>
                <w:kern w:val="0"/>
                <w:sz w:val="24"/>
                <w:szCs w:val="24"/>
              </w:rPr>
              <w:t>施工期设备冲洗废水总量</w:t>
            </w:r>
            <w:r>
              <w:rPr>
                <w:rFonts w:hint="eastAsia" w:ascii="Times New Roman" w:hAnsi="Times New Roman"/>
                <w:color w:val="auto"/>
                <w:kern w:val="0"/>
                <w:sz w:val="24"/>
                <w:szCs w:val="24"/>
              </w:rPr>
              <w:t>12</w:t>
            </w:r>
            <w:r>
              <w:rPr>
                <w:rFonts w:ascii="Times New Roman" w:hAnsi="Times New Roman"/>
                <w:color w:val="auto"/>
                <w:sz w:val="24"/>
                <w:szCs w:val="24"/>
              </w:rPr>
              <w:t>m</w:t>
            </w:r>
            <w:r>
              <w:rPr>
                <w:rFonts w:ascii="Times New Roman" w:hAnsi="Times New Roman"/>
                <w:color w:val="auto"/>
                <w:sz w:val="24"/>
                <w:szCs w:val="24"/>
                <w:vertAlign w:val="superscript"/>
              </w:rPr>
              <w:t>3</w:t>
            </w:r>
            <w:r>
              <w:rPr>
                <w:rFonts w:ascii="Times New Roman" w:hAnsi="Times New Roman"/>
                <w:color w:val="auto"/>
                <w:sz w:val="24"/>
                <w:szCs w:val="24"/>
              </w:rPr>
              <w:t>，相应的冲洗废水进混凝土拌合站临时收集池沉淀后回用于混凝土拌合中，不外排。</w:t>
            </w:r>
          </w:p>
          <w:p>
            <w:pPr>
              <w:adjustRightInd w:val="0"/>
              <w:snapToGrid w:val="0"/>
              <w:spacing w:line="360" w:lineRule="auto"/>
              <w:ind w:firstLine="480"/>
              <w:rPr>
                <w:rFonts w:ascii="Times New Roman" w:hAnsi="Times New Roman"/>
                <w:color w:val="auto"/>
                <w:sz w:val="24"/>
                <w:szCs w:val="24"/>
              </w:rPr>
            </w:pPr>
            <w:r>
              <w:rPr>
                <w:rFonts w:ascii="Times New Roman" w:hAnsi="Times New Roman"/>
                <w:color w:val="auto"/>
                <w:sz w:val="24"/>
                <w:szCs w:val="24"/>
              </w:rPr>
              <w:t>施工人员平均每天约</w:t>
            </w:r>
            <w:r>
              <w:rPr>
                <w:rFonts w:hint="eastAsia" w:ascii="Times New Roman" w:hAnsi="Times New Roman"/>
                <w:color w:val="auto"/>
                <w:sz w:val="24"/>
                <w:szCs w:val="24"/>
              </w:rPr>
              <w:t>18</w:t>
            </w:r>
            <w:r>
              <w:rPr>
                <w:rFonts w:ascii="Times New Roman" w:hAnsi="Times New Roman"/>
                <w:color w:val="auto"/>
                <w:sz w:val="24"/>
                <w:szCs w:val="24"/>
              </w:rPr>
              <w:t>人，施工人员主要来自于周边村民，不设置食宿。项目施工期为旱厕，用水量按每人15L/d，则施工期用水量为0.</w:t>
            </w:r>
            <w:r>
              <w:rPr>
                <w:rFonts w:hint="eastAsia" w:ascii="Times New Roman" w:hAnsi="Times New Roman"/>
                <w:color w:val="auto"/>
                <w:sz w:val="24"/>
                <w:szCs w:val="24"/>
              </w:rPr>
              <w:t>27</w:t>
            </w:r>
            <w:r>
              <w:rPr>
                <w:rFonts w:ascii="Times New Roman" w:hAnsi="Times New Roman"/>
                <w:color w:val="auto"/>
                <w:sz w:val="24"/>
                <w:szCs w:val="24"/>
              </w:rPr>
              <w:t>m</w:t>
            </w:r>
            <w:r>
              <w:rPr>
                <w:rFonts w:ascii="Times New Roman" w:hAnsi="Times New Roman"/>
                <w:color w:val="auto"/>
                <w:sz w:val="24"/>
                <w:szCs w:val="24"/>
                <w:vertAlign w:val="superscript"/>
              </w:rPr>
              <w:t>3</w:t>
            </w:r>
            <w:r>
              <w:rPr>
                <w:rFonts w:ascii="Times New Roman" w:hAnsi="Times New Roman"/>
                <w:color w:val="auto"/>
                <w:sz w:val="24"/>
                <w:szCs w:val="24"/>
              </w:rPr>
              <w:t>/d，生活污水量按0.9的产污系数计算，则生活污水产生量为0.</w:t>
            </w:r>
            <w:r>
              <w:rPr>
                <w:rFonts w:hint="eastAsia" w:ascii="Times New Roman" w:hAnsi="Times New Roman"/>
                <w:color w:val="auto"/>
                <w:sz w:val="24"/>
                <w:szCs w:val="24"/>
              </w:rPr>
              <w:t>243</w:t>
            </w:r>
            <w:r>
              <w:rPr>
                <w:rFonts w:ascii="Times New Roman" w:hAnsi="Times New Roman"/>
                <w:color w:val="auto"/>
                <w:sz w:val="24"/>
                <w:szCs w:val="24"/>
              </w:rPr>
              <w:t>m</w:t>
            </w:r>
            <w:r>
              <w:rPr>
                <w:rFonts w:ascii="Times New Roman" w:hAnsi="Times New Roman"/>
                <w:color w:val="auto"/>
                <w:sz w:val="24"/>
                <w:szCs w:val="24"/>
                <w:vertAlign w:val="superscript"/>
              </w:rPr>
              <w:t>3</w:t>
            </w:r>
            <w:r>
              <w:rPr>
                <w:rFonts w:ascii="Times New Roman" w:hAnsi="Times New Roman"/>
                <w:color w:val="auto"/>
                <w:sz w:val="24"/>
                <w:szCs w:val="24"/>
              </w:rPr>
              <w:t>/d，施工期产生的生活污水经2m</w:t>
            </w:r>
            <w:r>
              <w:rPr>
                <w:rFonts w:ascii="Times New Roman" w:hAnsi="Times New Roman"/>
                <w:color w:val="auto"/>
                <w:sz w:val="24"/>
                <w:szCs w:val="24"/>
                <w:vertAlign w:val="superscript"/>
              </w:rPr>
              <w:t>3</w:t>
            </w:r>
            <w:r>
              <w:rPr>
                <w:rFonts w:ascii="Times New Roman" w:hAnsi="Times New Roman"/>
                <w:color w:val="auto"/>
                <w:sz w:val="24"/>
                <w:szCs w:val="24"/>
              </w:rPr>
              <w:t>的收集池简单沉淀处理后，用于施工场地的降尘洒水，不外排。</w:t>
            </w:r>
          </w:p>
          <w:p>
            <w:pPr>
              <w:adjustRightInd w:val="0"/>
              <w:snapToGrid w:val="0"/>
              <w:spacing w:line="360" w:lineRule="auto"/>
              <w:rPr>
                <w:rFonts w:ascii="Times New Roman" w:hAnsi="Times New Roman"/>
                <w:b/>
                <w:color w:val="auto"/>
                <w:sz w:val="24"/>
              </w:rPr>
            </w:pPr>
            <w:r>
              <w:rPr>
                <w:rFonts w:ascii="Times New Roman" w:hAnsi="Times New Roman"/>
                <w:b/>
                <w:color w:val="auto"/>
                <w:sz w:val="24"/>
              </w:rPr>
              <w:t>1.3固体废物</w:t>
            </w:r>
          </w:p>
          <w:p>
            <w:pPr>
              <w:adjustRightInd w:val="0"/>
              <w:snapToGrid w:val="0"/>
              <w:spacing w:line="360" w:lineRule="auto"/>
              <w:ind w:firstLine="480"/>
              <w:rPr>
                <w:rFonts w:ascii="Times New Roman" w:hAnsi="Times New Roman"/>
                <w:color w:val="auto"/>
                <w:sz w:val="24"/>
              </w:rPr>
            </w:pPr>
            <w:r>
              <w:rPr>
                <w:rFonts w:ascii="Times New Roman" w:hAnsi="Times New Roman"/>
                <w:color w:val="auto"/>
                <w:sz w:val="24"/>
              </w:rPr>
              <w:t>项目的建设施工期固废主要来源于建筑垃圾、施工人员生活垃圾</w:t>
            </w:r>
            <w:r>
              <w:rPr>
                <w:rFonts w:hint="eastAsia" w:ascii="Times New Roman" w:hAnsi="Times New Roman"/>
                <w:color w:val="auto"/>
                <w:sz w:val="24"/>
              </w:rPr>
              <w:t>、</w:t>
            </w:r>
            <w:r>
              <w:rPr>
                <w:rFonts w:hint="eastAsia" w:ascii="Times New Roman" w:hAnsi="Times New Roman"/>
                <w:color w:val="auto"/>
                <w:sz w:val="24"/>
                <w:lang w:eastAsia="zh-CN"/>
              </w:rPr>
              <w:t>剥离表土</w:t>
            </w:r>
            <w:r>
              <w:rPr>
                <w:rFonts w:ascii="Times New Roman" w:hAnsi="Times New Roman"/>
                <w:color w:val="auto"/>
                <w:sz w:val="24"/>
              </w:rPr>
              <w:t>。</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①建筑垃圾</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施工期产生的建筑垃圾主要来源于建筑废弃材料等。建筑垃圾产生量的核算，参照昆政办〔2011〕88号《昆明市人民政府办公厅关于转发&lt;昆明市城市建筑垃圾管理实施办法实施细则&gt;的通知》的计算方法：房屋主体施工：砖混结构按0.04m</w:t>
            </w:r>
            <w:r>
              <w:rPr>
                <w:rFonts w:ascii="Times New Roman" w:hAnsi="Times New Roman"/>
                <w:color w:val="auto"/>
                <w:sz w:val="24"/>
                <w:vertAlign w:val="superscript"/>
              </w:rPr>
              <w:t>3</w:t>
            </w:r>
            <w:r>
              <w:rPr>
                <w:rFonts w:ascii="Times New Roman" w:hAnsi="Times New Roman"/>
                <w:color w:val="auto"/>
                <w:sz w:val="24"/>
              </w:rPr>
              <w:t>/m</w:t>
            </w:r>
            <w:r>
              <w:rPr>
                <w:rFonts w:ascii="Times New Roman" w:hAnsi="Times New Roman"/>
                <w:color w:val="auto"/>
                <w:sz w:val="24"/>
                <w:vertAlign w:val="superscript"/>
              </w:rPr>
              <w:t>2</w:t>
            </w:r>
            <w:r>
              <w:rPr>
                <w:rFonts w:ascii="Times New Roman" w:hAnsi="Times New Roman"/>
                <w:color w:val="auto"/>
                <w:sz w:val="24"/>
              </w:rPr>
              <w:t>、钢筋混凝土结构0.02m</w:t>
            </w:r>
            <w:r>
              <w:rPr>
                <w:rFonts w:ascii="Times New Roman" w:hAnsi="Times New Roman"/>
                <w:color w:val="auto"/>
                <w:sz w:val="24"/>
                <w:vertAlign w:val="superscript"/>
              </w:rPr>
              <w:t>3</w:t>
            </w:r>
            <w:r>
              <w:rPr>
                <w:rFonts w:ascii="Times New Roman" w:hAnsi="Times New Roman"/>
                <w:color w:val="auto"/>
                <w:sz w:val="24"/>
              </w:rPr>
              <w:t>/m</w:t>
            </w:r>
            <w:r>
              <w:rPr>
                <w:rFonts w:ascii="Times New Roman" w:hAnsi="Times New Roman"/>
                <w:color w:val="auto"/>
                <w:sz w:val="24"/>
                <w:vertAlign w:val="superscript"/>
              </w:rPr>
              <w:t>2</w:t>
            </w:r>
            <w:r>
              <w:rPr>
                <w:rFonts w:ascii="Times New Roman" w:hAnsi="Times New Roman"/>
                <w:color w:val="auto"/>
                <w:sz w:val="24"/>
              </w:rPr>
              <w:t>，砖混结构面积约</w:t>
            </w:r>
            <w:r>
              <w:rPr>
                <w:rFonts w:hint="eastAsia" w:ascii="Times New Roman" w:hAnsi="Times New Roman"/>
                <w:color w:val="auto"/>
                <w:sz w:val="24"/>
              </w:rPr>
              <w:t>2600</w:t>
            </w:r>
            <w:r>
              <w:rPr>
                <w:rFonts w:ascii="Times New Roman" w:hAnsi="Times New Roman"/>
                <w:color w:val="auto"/>
                <w:sz w:val="24"/>
              </w:rPr>
              <w:t>m</w:t>
            </w:r>
            <w:r>
              <w:rPr>
                <w:rFonts w:ascii="Times New Roman" w:hAnsi="Times New Roman"/>
                <w:color w:val="auto"/>
                <w:sz w:val="24"/>
                <w:vertAlign w:val="superscript"/>
              </w:rPr>
              <w:t>2</w:t>
            </w:r>
            <w:r>
              <w:rPr>
                <w:rFonts w:ascii="Times New Roman" w:hAnsi="Times New Roman"/>
                <w:color w:val="auto"/>
                <w:sz w:val="24"/>
              </w:rPr>
              <w:t>，根据计算项目产生建筑垃圾量为</w:t>
            </w:r>
            <w:r>
              <w:rPr>
                <w:rFonts w:hint="eastAsia" w:ascii="Times New Roman" w:hAnsi="Times New Roman"/>
                <w:color w:val="auto"/>
                <w:sz w:val="24"/>
              </w:rPr>
              <w:t>104</w:t>
            </w:r>
            <w:r>
              <w:rPr>
                <w:rFonts w:ascii="Times New Roman" w:hAnsi="Times New Roman"/>
                <w:color w:val="auto"/>
                <w:sz w:val="24"/>
              </w:rPr>
              <w:t>m</w:t>
            </w:r>
            <w:r>
              <w:rPr>
                <w:rFonts w:ascii="Times New Roman" w:hAnsi="Times New Roman"/>
                <w:color w:val="auto"/>
                <w:sz w:val="24"/>
                <w:vertAlign w:val="superscript"/>
              </w:rPr>
              <w:t>3</w:t>
            </w:r>
            <w:r>
              <w:rPr>
                <w:rFonts w:ascii="Times New Roman" w:hAnsi="Times New Roman"/>
                <w:color w:val="auto"/>
                <w:sz w:val="24"/>
              </w:rPr>
              <w:t>，建筑垃圾中部分可回收综合利用，不可回收部分按当地建设主管部门要求处置，禁止随意倾倒。</w:t>
            </w:r>
          </w:p>
          <w:p>
            <w:pPr>
              <w:pStyle w:val="2"/>
              <w:ind w:firstLine="480" w:firstLineChars="200"/>
              <w:rPr>
                <w:rFonts w:ascii="Times New Roman" w:hAnsi="Times New Roman"/>
                <w:color w:val="auto"/>
                <w:sz w:val="24"/>
                <w:szCs w:val="24"/>
              </w:rPr>
            </w:pPr>
            <w:r>
              <w:rPr>
                <w:rFonts w:ascii="Times New Roman" w:hAnsi="Times New Roman"/>
                <w:color w:val="auto"/>
                <w:sz w:val="24"/>
                <w:szCs w:val="24"/>
              </w:rPr>
              <w:t>②生活垃圾</w:t>
            </w:r>
          </w:p>
          <w:p>
            <w:pPr>
              <w:adjustRightInd w:val="0"/>
              <w:snapToGrid w:val="0"/>
              <w:spacing w:line="360" w:lineRule="auto"/>
              <w:ind w:firstLine="480"/>
              <w:rPr>
                <w:rFonts w:ascii="Times New Roman" w:hAnsi="Times New Roman"/>
                <w:color w:val="auto"/>
                <w:sz w:val="24"/>
              </w:rPr>
            </w:pPr>
            <w:r>
              <w:rPr>
                <w:rFonts w:ascii="Times New Roman" w:hAnsi="Times New Roman"/>
                <w:color w:val="auto"/>
                <w:kern w:val="0"/>
                <w:sz w:val="24"/>
                <w:szCs w:val="24"/>
              </w:rPr>
              <w:t>项目施工期平均每</w:t>
            </w:r>
            <w:r>
              <w:rPr>
                <w:rFonts w:ascii="Times New Roman" w:hAnsi="Times New Roman"/>
                <w:color w:val="auto"/>
                <w:kern w:val="0"/>
                <w:sz w:val="24"/>
              </w:rPr>
              <w:t>天施工人员</w:t>
            </w:r>
            <w:r>
              <w:rPr>
                <w:rFonts w:hint="eastAsia" w:ascii="Times New Roman" w:hAnsi="Times New Roman"/>
                <w:color w:val="auto"/>
                <w:sz w:val="24"/>
              </w:rPr>
              <w:t>18</w:t>
            </w:r>
            <w:r>
              <w:rPr>
                <w:rFonts w:ascii="Times New Roman" w:hAnsi="Times New Roman"/>
                <w:color w:val="auto"/>
                <w:sz w:val="24"/>
              </w:rPr>
              <w:t>名，整个施工期约</w:t>
            </w:r>
            <w:r>
              <w:rPr>
                <w:rFonts w:hint="eastAsia" w:ascii="Times New Roman" w:hAnsi="Times New Roman"/>
                <w:color w:val="auto"/>
                <w:sz w:val="24"/>
              </w:rPr>
              <w:t>2</w:t>
            </w:r>
            <w:r>
              <w:rPr>
                <w:rFonts w:ascii="Times New Roman" w:hAnsi="Times New Roman"/>
                <w:color w:val="auto"/>
                <w:sz w:val="24"/>
              </w:rPr>
              <w:t>个月，施工人员生活垃圾按每人每天产生0.5kg，施工期每天生活垃圾产生量</w:t>
            </w:r>
            <w:r>
              <w:rPr>
                <w:rFonts w:hint="eastAsia" w:ascii="Times New Roman" w:hAnsi="Times New Roman"/>
                <w:color w:val="auto"/>
                <w:sz w:val="24"/>
              </w:rPr>
              <w:t>9</w:t>
            </w:r>
            <w:r>
              <w:rPr>
                <w:rFonts w:ascii="Times New Roman" w:hAnsi="Times New Roman"/>
                <w:color w:val="auto"/>
                <w:sz w:val="24"/>
              </w:rPr>
              <w:t>kg，整个施工期（</w:t>
            </w:r>
            <w:r>
              <w:rPr>
                <w:rFonts w:ascii="Times New Roman" w:hAnsi="Times New Roman"/>
                <w:color w:val="auto"/>
                <w:kern w:val="0"/>
                <w:sz w:val="24"/>
              </w:rPr>
              <w:t>每个月施工</w:t>
            </w:r>
            <w:r>
              <w:rPr>
                <w:rFonts w:hint="eastAsia" w:ascii="Times New Roman" w:hAnsi="Times New Roman"/>
                <w:color w:val="auto"/>
                <w:kern w:val="0"/>
                <w:sz w:val="24"/>
              </w:rPr>
              <w:t>30</w:t>
            </w:r>
            <w:r>
              <w:rPr>
                <w:rFonts w:ascii="Times New Roman" w:hAnsi="Times New Roman"/>
                <w:color w:val="auto"/>
                <w:kern w:val="0"/>
                <w:sz w:val="24"/>
              </w:rPr>
              <w:t>天计</w:t>
            </w:r>
            <w:r>
              <w:rPr>
                <w:rFonts w:ascii="Times New Roman" w:hAnsi="Times New Roman"/>
                <w:color w:val="auto"/>
                <w:sz w:val="24"/>
              </w:rPr>
              <w:t>）共产生生活垃圾</w:t>
            </w:r>
            <w:r>
              <w:rPr>
                <w:rFonts w:hint="eastAsia" w:ascii="Times New Roman" w:hAnsi="Times New Roman"/>
                <w:color w:val="auto"/>
                <w:sz w:val="24"/>
              </w:rPr>
              <w:t>0.54</w:t>
            </w:r>
            <w:r>
              <w:rPr>
                <w:rFonts w:ascii="Times New Roman" w:hAnsi="Times New Roman"/>
                <w:color w:val="auto"/>
                <w:sz w:val="24"/>
              </w:rPr>
              <w:t>t。生活垃圾统一收集后送环卫部门指定地点</w:t>
            </w:r>
            <w:r>
              <w:rPr>
                <w:rFonts w:hint="eastAsia" w:ascii="Times New Roman" w:hAnsi="Times New Roman"/>
                <w:color w:val="auto"/>
                <w:sz w:val="24"/>
              </w:rPr>
              <w:t>妥善处置</w:t>
            </w:r>
            <w:r>
              <w:rPr>
                <w:rFonts w:ascii="Times New Roman" w:hAnsi="Times New Roman"/>
                <w:color w:val="auto"/>
                <w:sz w:val="24"/>
              </w:rPr>
              <w:t>。</w:t>
            </w:r>
          </w:p>
          <w:p>
            <w:pPr>
              <w:adjustRightInd w:val="0"/>
              <w:snapToGrid w:val="0"/>
              <w:spacing w:line="360" w:lineRule="auto"/>
              <w:ind w:firstLine="480"/>
              <w:rPr>
                <w:rFonts w:hint="eastAsia" w:ascii="Times New Roman" w:hAnsi="Times New Roman" w:eastAsia="宋体" w:cs="Times New Roman"/>
                <w:color w:val="auto"/>
                <w:lang w:eastAsia="zh-CN"/>
              </w:rPr>
            </w:pPr>
            <w:r>
              <w:rPr>
                <w:rFonts w:hint="default" w:ascii="Times New Roman" w:hAnsi="Times New Roman" w:cs="Times New Roman"/>
                <w:bCs/>
                <w:color w:val="auto"/>
                <w:sz w:val="24"/>
              </w:rPr>
              <w:t>③</w:t>
            </w:r>
            <w:r>
              <w:rPr>
                <w:rFonts w:hint="eastAsia" w:ascii="Times New Roman" w:hAnsi="Times New Roman" w:cs="Times New Roman"/>
                <w:bCs/>
                <w:color w:val="auto"/>
                <w:sz w:val="24"/>
                <w:lang w:eastAsia="zh-CN"/>
              </w:rPr>
              <w:t>剥离表土</w:t>
            </w:r>
          </w:p>
          <w:p>
            <w:pPr>
              <w:adjustRightInd w:val="0"/>
              <w:snapToGrid w:val="0"/>
              <w:spacing w:line="360" w:lineRule="auto"/>
              <w:ind w:firstLine="480"/>
              <w:rPr>
                <w:rFonts w:ascii="Times New Roman" w:hAnsi="Times New Roman"/>
                <w:bCs/>
                <w:color w:val="auto"/>
                <w:sz w:val="24"/>
              </w:rPr>
            </w:pPr>
            <w:r>
              <w:rPr>
                <w:rFonts w:hint="eastAsia" w:ascii="Times New Roman" w:hAnsi="Times New Roman"/>
                <w:bCs/>
                <w:color w:val="auto"/>
                <w:sz w:val="24"/>
              </w:rPr>
              <w:t>根据对项目现场的踏勘，本项目占地面积为55.35亩</w:t>
            </w:r>
            <w:r>
              <w:rPr>
                <w:rFonts w:hint="eastAsia" w:ascii="Times New Roman" w:hAnsi="Times New Roman"/>
                <w:bCs/>
                <w:color w:val="auto"/>
                <w:sz w:val="24"/>
                <w:lang w:eastAsia="zh-CN"/>
              </w:rPr>
              <w:t>（35566.667</w:t>
            </w:r>
            <w:r>
              <w:rPr>
                <w:rFonts w:hint="eastAsia" w:ascii="Times New Roman" w:hAnsi="Times New Roman"/>
                <w:bCs/>
                <w:color w:val="auto"/>
                <w:sz w:val="24"/>
                <w:lang w:val="en-US" w:eastAsia="zh-CN"/>
              </w:rPr>
              <w:t>m</w:t>
            </w:r>
            <w:r>
              <w:rPr>
                <w:rFonts w:hint="eastAsia" w:ascii="Times New Roman" w:hAnsi="Times New Roman"/>
                <w:bCs/>
                <w:color w:val="auto"/>
                <w:sz w:val="24"/>
                <w:vertAlign w:val="superscript"/>
                <w:lang w:val="en-US" w:eastAsia="zh-CN"/>
              </w:rPr>
              <w:t>2</w:t>
            </w:r>
            <w:r>
              <w:rPr>
                <w:rFonts w:hint="eastAsia" w:ascii="Times New Roman" w:hAnsi="Times New Roman"/>
                <w:bCs/>
                <w:color w:val="auto"/>
                <w:sz w:val="24"/>
                <w:lang w:eastAsia="zh-CN"/>
              </w:rPr>
              <w:t>）</w:t>
            </w:r>
            <w:r>
              <w:rPr>
                <w:rFonts w:hint="eastAsia" w:ascii="Times New Roman" w:hAnsi="Times New Roman"/>
                <w:bCs/>
                <w:color w:val="auto"/>
                <w:sz w:val="24"/>
              </w:rPr>
              <w:t>，项目区</w:t>
            </w:r>
            <w:r>
              <w:rPr>
                <w:rFonts w:hint="eastAsia" w:ascii="Times New Roman" w:hAnsi="Times New Roman"/>
                <w:bCs/>
                <w:color w:val="auto"/>
                <w:sz w:val="24"/>
                <w:lang w:eastAsia="zh-CN"/>
              </w:rPr>
              <w:t>为旱地</w:t>
            </w:r>
            <w:r>
              <w:rPr>
                <w:rFonts w:hint="eastAsia" w:ascii="Times New Roman" w:hAnsi="Times New Roman"/>
                <w:bCs/>
                <w:color w:val="auto"/>
                <w:sz w:val="24"/>
              </w:rPr>
              <w:t>，高差较小，</w:t>
            </w:r>
            <w:r>
              <w:rPr>
                <w:rFonts w:hint="eastAsia" w:ascii="Times New Roman" w:hAnsi="Times New Roman"/>
                <w:bCs/>
                <w:color w:val="auto"/>
                <w:sz w:val="24"/>
                <w:lang w:eastAsia="zh-CN"/>
              </w:rPr>
              <w:t>表土剥离深</w:t>
            </w:r>
            <w:r>
              <w:rPr>
                <w:rFonts w:hint="eastAsia" w:ascii="Times New Roman" w:hAnsi="Times New Roman"/>
                <w:bCs/>
                <w:color w:val="auto"/>
                <w:sz w:val="24"/>
                <w:lang w:val="en-US" w:eastAsia="zh-CN"/>
              </w:rPr>
              <w:t>0.1m，无废弃土方产生</w:t>
            </w:r>
            <w:r>
              <w:rPr>
                <w:rFonts w:hint="eastAsia" w:ascii="Times New Roman" w:hAnsi="Times New Roman"/>
                <w:bCs/>
                <w:color w:val="auto"/>
                <w:sz w:val="24"/>
                <w:lang w:eastAsia="zh-CN"/>
              </w:rPr>
              <w:t>。</w:t>
            </w:r>
            <w:r>
              <w:rPr>
                <w:rFonts w:hint="eastAsia" w:ascii="Times New Roman" w:hAnsi="Times New Roman"/>
                <w:bCs/>
                <w:color w:val="auto"/>
                <w:sz w:val="24"/>
              </w:rPr>
              <w:t>项目施工期</w:t>
            </w:r>
            <w:r>
              <w:rPr>
                <w:rFonts w:hint="eastAsia" w:ascii="Times New Roman" w:hAnsi="Times New Roman"/>
                <w:bCs/>
                <w:color w:val="auto"/>
                <w:sz w:val="24"/>
                <w:lang w:eastAsia="zh-CN"/>
              </w:rPr>
              <w:t>剥离表土</w:t>
            </w:r>
            <w:r>
              <w:rPr>
                <w:rFonts w:hint="eastAsia" w:ascii="Times New Roman" w:hAnsi="Times New Roman"/>
                <w:bCs/>
                <w:color w:val="auto"/>
                <w:sz w:val="24"/>
              </w:rPr>
              <w:t>量为</w:t>
            </w:r>
            <w:r>
              <w:rPr>
                <w:rFonts w:hint="eastAsia" w:ascii="Times New Roman" w:hAnsi="Times New Roman"/>
                <w:bCs/>
                <w:color w:val="auto"/>
                <w:sz w:val="24"/>
                <w:lang w:val="en-US" w:eastAsia="zh-CN"/>
              </w:rPr>
              <w:t>3556.667</w:t>
            </w:r>
            <w:r>
              <w:rPr>
                <w:rFonts w:hint="eastAsia" w:ascii="Times New Roman" w:hAnsi="Times New Roman"/>
                <w:bCs/>
                <w:color w:val="auto"/>
                <w:sz w:val="24"/>
              </w:rPr>
              <w:t>m</w:t>
            </w:r>
            <w:r>
              <w:rPr>
                <w:rFonts w:hint="eastAsia" w:ascii="Times New Roman" w:hAnsi="Times New Roman"/>
                <w:bCs/>
                <w:color w:val="auto"/>
                <w:sz w:val="24"/>
                <w:vertAlign w:val="superscript"/>
              </w:rPr>
              <w:t>3</w:t>
            </w:r>
            <w:r>
              <w:rPr>
                <w:rFonts w:hint="eastAsia" w:ascii="Times New Roman" w:hAnsi="Times New Roman"/>
                <w:bCs/>
                <w:color w:val="auto"/>
                <w:sz w:val="24"/>
              </w:rPr>
              <w:t>，</w:t>
            </w:r>
            <w:r>
              <w:rPr>
                <w:rFonts w:hint="eastAsia" w:ascii="Times New Roman" w:hAnsi="Times New Roman"/>
                <w:bCs/>
                <w:color w:val="auto"/>
                <w:sz w:val="24"/>
              </w:rPr>
              <w:t>施工期将在项目</w:t>
            </w:r>
            <w:r>
              <w:rPr>
                <w:rFonts w:hint="eastAsia" w:ascii="Times New Roman" w:hAnsi="Times New Roman"/>
                <w:bCs/>
                <w:color w:val="auto"/>
                <w:sz w:val="24"/>
                <w:lang w:eastAsia="zh-CN"/>
              </w:rPr>
              <w:t>区内南</w:t>
            </w:r>
            <w:r>
              <w:rPr>
                <w:rFonts w:hint="eastAsia" w:ascii="Times New Roman" w:hAnsi="Times New Roman"/>
                <w:bCs/>
                <w:color w:val="auto"/>
                <w:sz w:val="24"/>
              </w:rPr>
              <w:t>侧设置一个临时堆场，施工期产生的</w:t>
            </w:r>
            <w:r>
              <w:rPr>
                <w:rFonts w:hint="eastAsia" w:ascii="Times New Roman" w:hAnsi="Times New Roman"/>
                <w:bCs/>
                <w:color w:val="auto"/>
                <w:sz w:val="24"/>
                <w:lang w:eastAsia="zh-CN"/>
              </w:rPr>
              <w:t>表土</w:t>
            </w:r>
            <w:r>
              <w:rPr>
                <w:rFonts w:hint="eastAsia" w:ascii="Times New Roman" w:hAnsi="Times New Roman"/>
                <w:bCs/>
                <w:color w:val="auto"/>
                <w:sz w:val="24"/>
              </w:rPr>
              <w:t>暂存在临时堆场内，最终</w:t>
            </w:r>
            <w:r>
              <w:rPr>
                <w:rFonts w:hint="eastAsia" w:ascii="Times New Roman" w:hAnsi="Times New Roman"/>
                <w:bCs/>
                <w:color w:val="auto"/>
                <w:sz w:val="24"/>
                <w:lang w:eastAsia="zh-CN"/>
              </w:rPr>
              <w:t>项目拆除后用于场地覆土</w:t>
            </w:r>
            <w:r>
              <w:rPr>
                <w:rFonts w:hint="eastAsia" w:ascii="Times New Roman" w:hAnsi="Times New Roman"/>
                <w:bCs/>
                <w:color w:val="auto"/>
                <w:sz w:val="24"/>
              </w:rPr>
              <w:t>。</w:t>
            </w:r>
          </w:p>
          <w:p>
            <w:pPr>
              <w:adjustRightInd w:val="0"/>
              <w:snapToGrid w:val="0"/>
              <w:spacing w:line="360" w:lineRule="auto"/>
              <w:ind w:firstLine="480"/>
              <w:rPr>
                <w:rFonts w:ascii="Times New Roman" w:hAnsi="Times New Roman"/>
                <w:bCs/>
                <w:color w:val="auto"/>
                <w:sz w:val="24"/>
              </w:rPr>
            </w:pPr>
            <w:r>
              <w:rPr>
                <w:rFonts w:hint="eastAsia" w:ascii="Times New Roman" w:hAnsi="Times New Roman"/>
                <w:bCs/>
                <w:color w:val="auto"/>
                <w:sz w:val="24"/>
              </w:rPr>
              <w:t>项目规划在项目区南侧设置一个临时堆场，表土最大堆高2.5m</w:t>
            </w:r>
            <w:r>
              <w:rPr>
                <w:rFonts w:hint="eastAsia" w:ascii="Times New Roman" w:hAnsi="Times New Roman"/>
                <w:bCs/>
                <w:color w:val="auto"/>
                <w:sz w:val="24"/>
                <w:lang w:eastAsia="zh-CN"/>
              </w:rPr>
              <w:t>，</w:t>
            </w:r>
            <w:r>
              <w:rPr>
                <w:rFonts w:hint="eastAsia" w:ascii="Times New Roman" w:hAnsi="Times New Roman"/>
                <w:bCs/>
                <w:color w:val="auto"/>
                <w:sz w:val="24"/>
              </w:rPr>
              <w:t>平均堆高</w:t>
            </w:r>
            <w:r>
              <w:rPr>
                <w:rFonts w:hint="eastAsia" w:ascii="Times New Roman" w:hAnsi="Times New Roman"/>
                <w:bCs/>
                <w:color w:val="auto"/>
                <w:sz w:val="24"/>
                <w:lang w:val="en-US" w:eastAsia="zh-CN"/>
              </w:rPr>
              <w:t>2</w:t>
            </w:r>
            <w:r>
              <w:rPr>
                <w:rFonts w:hint="eastAsia" w:ascii="Times New Roman" w:hAnsi="Times New Roman"/>
                <w:bCs/>
                <w:color w:val="auto"/>
                <w:sz w:val="24"/>
              </w:rPr>
              <w:t>m，占地面积</w:t>
            </w:r>
            <w:r>
              <w:rPr>
                <w:rFonts w:hint="eastAsia" w:ascii="Times New Roman" w:hAnsi="Times New Roman"/>
                <w:bCs/>
                <w:color w:val="auto"/>
                <w:sz w:val="24"/>
                <w:lang w:val="en-US" w:eastAsia="zh-CN"/>
              </w:rPr>
              <w:t>1800</w:t>
            </w:r>
            <w:r>
              <w:rPr>
                <w:rFonts w:hint="eastAsia" w:ascii="Times New Roman" w:hAnsi="Times New Roman"/>
                <w:bCs/>
                <w:color w:val="auto"/>
                <w:sz w:val="24"/>
              </w:rPr>
              <w:t>m</w:t>
            </w:r>
            <w:r>
              <w:rPr>
                <w:rFonts w:hint="eastAsia" w:ascii="Times New Roman" w:hAnsi="Times New Roman"/>
                <w:bCs/>
                <w:color w:val="auto"/>
                <w:sz w:val="24"/>
                <w:vertAlign w:val="superscript"/>
              </w:rPr>
              <w:t>2</w:t>
            </w:r>
            <w:r>
              <w:rPr>
                <w:rFonts w:hint="eastAsia" w:ascii="Times New Roman" w:hAnsi="Times New Roman"/>
                <w:bCs/>
                <w:color w:val="auto"/>
                <w:sz w:val="24"/>
              </w:rPr>
              <w:t>，容量为3</w:t>
            </w:r>
            <w:r>
              <w:rPr>
                <w:rFonts w:hint="eastAsia" w:ascii="Times New Roman" w:hAnsi="Times New Roman"/>
                <w:bCs/>
                <w:color w:val="auto"/>
                <w:sz w:val="24"/>
                <w:lang w:val="en-US" w:eastAsia="zh-CN"/>
              </w:rPr>
              <w:t>6</w:t>
            </w:r>
            <w:r>
              <w:rPr>
                <w:rFonts w:hint="eastAsia" w:ascii="Times New Roman" w:hAnsi="Times New Roman"/>
                <w:bCs/>
                <w:color w:val="auto"/>
                <w:sz w:val="24"/>
              </w:rPr>
              <w:t>00m</w:t>
            </w:r>
            <w:r>
              <w:rPr>
                <w:rFonts w:hint="eastAsia" w:ascii="Times New Roman" w:hAnsi="Times New Roman"/>
                <w:bCs/>
                <w:color w:val="auto"/>
                <w:sz w:val="24"/>
                <w:vertAlign w:val="superscript"/>
              </w:rPr>
              <w:t>3</w:t>
            </w:r>
            <w:r>
              <w:rPr>
                <w:rFonts w:hint="eastAsia" w:ascii="Times New Roman" w:hAnsi="Times New Roman"/>
                <w:bCs/>
                <w:color w:val="auto"/>
                <w:sz w:val="24"/>
              </w:rPr>
              <w:t>；表土临时堆场的特性详见下表</w:t>
            </w:r>
            <w:r>
              <w:rPr>
                <w:rFonts w:hint="eastAsia" w:ascii="Times New Roman" w:hAnsi="Times New Roman"/>
                <w:bCs/>
                <w:color w:val="auto"/>
                <w:sz w:val="24"/>
                <w:lang w:val="en-US" w:eastAsia="zh-CN"/>
              </w:rPr>
              <w:t>5-2</w:t>
            </w:r>
            <w:r>
              <w:rPr>
                <w:rFonts w:hint="eastAsia" w:ascii="Times New Roman" w:hAnsi="Times New Roman"/>
                <w:bCs/>
                <w:color w:val="auto"/>
                <w:sz w:val="24"/>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82"/>
              <w:jc w:val="center"/>
              <w:textAlignment w:val="auto"/>
              <w:rPr>
                <w:rFonts w:ascii="Times New Roman" w:hAnsi="Times New Roman"/>
                <w:b/>
                <w:color w:val="auto"/>
                <w:sz w:val="24"/>
              </w:rPr>
            </w:pPr>
            <w:r>
              <w:rPr>
                <w:rFonts w:hint="eastAsia" w:ascii="Times New Roman" w:hAnsi="Times New Roman"/>
                <w:b/>
                <w:color w:val="auto"/>
                <w:sz w:val="24"/>
              </w:rPr>
              <w:t>表5-</w:t>
            </w:r>
            <w:r>
              <w:rPr>
                <w:rFonts w:hint="eastAsia" w:ascii="Times New Roman" w:hAnsi="Times New Roman"/>
                <w:b/>
                <w:color w:val="auto"/>
                <w:sz w:val="24"/>
                <w:lang w:val="en-US" w:eastAsia="zh-CN"/>
              </w:rPr>
              <w:t>2</w:t>
            </w:r>
            <w:r>
              <w:rPr>
                <w:rFonts w:hint="eastAsia" w:ascii="Times New Roman" w:hAnsi="Times New Roman"/>
                <w:b/>
                <w:color w:val="auto"/>
                <w:sz w:val="24"/>
              </w:rPr>
              <w:t xml:space="preserve">  临时堆场特性一览表</w:t>
            </w:r>
          </w:p>
          <w:tbl>
            <w:tblPr>
              <w:tblStyle w:val="4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1075"/>
              <w:gridCol w:w="1581"/>
              <w:gridCol w:w="1173"/>
              <w:gridCol w:w="982"/>
              <w:gridCol w:w="955"/>
              <w:gridCol w:w="896"/>
              <w:gridCol w:w="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8" w:type="dxa"/>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工程名称</w:t>
                  </w:r>
                </w:p>
              </w:tc>
              <w:tc>
                <w:tcPr>
                  <w:tcW w:w="1075" w:type="dxa"/>
                  <w:vAlign w:val="center"/>
                </w:tcPr>
                <w:p>
                  <w:pPr>
                    <w:adjustRightInd w:val="0"/>
                    <w:snapToGrid w:val="0"/>
                    <w:ind w:firstLine="210" w:firstLineChars="100"/>
                    <w:jc w:val="center"/>
                    <w:rPr>
                      <w:rFonts w:ascii="Times New Roman" w:hAnsi="Times New Roman"/>
                      <w:bCs/>
                      <w:color w:val="auto"/>
                      <w:szCs w:val="21"/>
                    </w:rPr>
                  </w:pPr>
                  <w:r>
                    <w:rPr>
                      <w:rFonts w:ascii="Times New Roman" w:hAnsi="Times New Roman"/>
                      <w:bCs/>
                      <w:color w:val="auto"/>
                      <w:szCs w:val="21"/>
                    </w:rPr>
                    <w:t>位置</w:t>
                  </w:r>
                </w:p>
              </w:tc>
              <w:tc>
                <w:tcPr>
                  <w:tcW w:w="1581" w:type="dxa"/>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实际堆土量（m</w:t>
                  </w:r>
                  <w:r>
                    <w:rPr>
                      <w:rFonts w:ascii="Times New Roman" w:hAnsi="Times New Roman"/>
                      <w:bCs/>
                      <w:color w:val="auto"/>
                      <w:szCs w:val="21"/>
                      <w:vertAlign w:val="superscript"/>
                    </w:rPr>
                    <w:t>3</w:t>
                  </w:r>
                  <w:r>
                    <w:rPr>
                      <w:rFonts w:ascii="Times New Roman" w:hAnsi="Times New Roman"/>
                      <w:bCs/>
                      <w:color w:val="auto"/>
                      <w:szCs w:val="21"/>
                    </w:rPr>
                    <w:t>）</w:t>
                  </w:r>
                </w:p>
              </w:tc>
              <w:tc>
                <w:tcPr>
                  <w:tcW w:w="1173" w:type="dxa"/>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容量（m</w:t>
                  </w:r>
                  <w:r>
                    <w:rPr>
                      <w:rFonts w:ascii="Times New Roman" w:hAnsi="Times New Roman"/>
                      <w:bCs/>
                      <w:color w:val="auto"/>
                      <w:szCs w:val="21"/>
                      <w:vertAlign w:val="superscript"/>
                    </w:rPr>
                    <w:t>3</w:t>
                  </w:r>
                  <w:r>
                    <w:rPr>
                      <w:rFonts w:ascii="Times New Roman" w:hAnsi="Times New Roman"/>
                      <w:bCs/>
                      <w:color w:val="auto"/>
                      <w:szCs w:val="21"/>
                    </w:rPr>
                    <w:t>）</w:t>
                  </w:r>
                </w:p>
              </w:tc>
              <w:tc>
                <w:tcPr>
                  <w:tcW w:w="982" w:type="dxa"/>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占地面积（m</w:t>
                  </w:r>
                  <w:r>
                    <w:rPr>
                      <w:rFonts w:ascii="Times New Roman" w:hAnsi="Times New Roman"/>
                      <w:bCs/>
                      <w:color w:val="auto"/>
                      <w:szCs w:val="21"/>
                      <w:vertAlign w:val="superscript"/>
                    </w:rPr>
                    <w:t>2</w:t>
                  </w:r>
                  <w:r>
                    <w:rPr>
                      <w:rFonts w:ascii="Times New Roman" w:hAnsi="Times New Roman"/>
                      <w:bCs/>
                      <w:color w:val="auto"/>
                      <w:szCs w:val="21"/>
                    </w:rPr>
                    <w:t>）</w:t>
                  </w:r>
                </w:p>
              </w:tc>
              <w:tc>
                <w:tcPr>
                  <w:tcW w:w="955" w:type="dxa"/>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平均堆高（m）</w:t>
                  </w:r>
                </w:p>
              </w:tc>
              <w:tc>
                <w:tcPr>
                  <w:tcW w:w="896" w:type="dxa"/>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堆放时间（月）</w:t>
                  </w:r>
                </w:p>
              </w:tc>
              <w:tc>
                <w:tcPr>
                  <w:tcW w:w="752" w:type="dxa"/>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堆渣边坡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临时堆场</w:t>
                  </w:r>
                </w:p>
              </w:tc>
              <w:tc>
                <w:tcPr>
                  <w:tcW w:w="1075" w:type="dxa"/>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项目东侧</w:t>
                  </w:r>
                </w:p>
              </w:tc>
              <w:tc>
                <w:tcPr>
                  <w:tcW w:w="1581" w:type="dxa"/>
                  <w:vAlign w:val="center"/>
                </w:tcPr>
                <w:p>
                  <w:pPr>
                    <w:adjustRightInd w:val="0"/>
                    <w:snapToGrid w:val="0"/>
                    <w:ind w:firstLine="480"/>
                    <w:jc w:val="center"/>
                    <w:rPr>
                      <w:rFonts w:ascii="Times New Roman" w:hAnsi="Times New Roman"/>
                      <w:bCs/>
                      <w:color w:val="auto"/>
                      <w:szCs w:val="21"/>
                    </w:rPr>
                  </w:pPr>
                  <w:r>
                    <w:rPr>
                      <w:rFonts w:hint="eastAsia" w:ascii="Times New Roman" w:hAnsi="Times New Roman"/>
                      <w:bCs/>
                      <w:color w:val="auto"/>
                      <w:szCs w:val="21"/>
                      <w:lang w:val="en-US" w:eastAsia="zh-CN"/>
                    </w:rPr>
                    <w:t>3556.667</w:t>
                  </w:r>
                </w:p>
              </w:tc>
              <w:tc>
                <w:tcPr>
                  <w:tcW w:w="1173" w:type="dxa"/>
                  <w:vAlign w:val="center"/>
                </w:tcPr>
                <w:p>
                  <w:pPr>
                    <w:adjustRightInd w:val="0"/>
                    <w:snapToGrid w:val="0"/>
                    <w:jc w:val="center"/>
                    <w:rPr>
                      <w:rFonts w:hint="default" w:ascii="Times New Roman" w:hAnsi="Times New Roman" w:eastAsia="宋体"/>
                      <w:bCs/>
                      <w:color w:val="auto"/>
                      <w:szCs w:val="21"/>
                      <w:lang w:val="en-US" w:eastAsia="zh-CN"/>
                    </w:rPr>
                  </w:pPr>
                  <w:r>
                    <w:rPr>
                      <w:rFonts w:hint="eastAsia" w:ascii="Times New Roman" w:hAnsi="Times New Roman"/>
                      <w:bCs/>
                      <w:color w:val="auto"/>
                      <w:szCs w:val="21"/>
                      <w:lang w:val="en-US" w:eastAsia="zh-CN"/>
                    </w:rPr>
                    <w:t>3600</w:t>
                  </w:r>
                </w:p>
              </w:tc>
              <w:tc>
                <w:tcPr>
                  <w:tcW w:w="982" w:type="dxa"/>
                  <w:vAlign w:val="center"/>
                </w:tcPr>
                <w:p>
                  <w:pPr>
                    <w:adjustRightInd w:val="0"/>
                    <w:snapToGrid w:val="0"/>
                    <w:jc w:val="center"/>
                    <w:rPr>
                      <w:rFonts w:hint="default" w:ascii="Times New Roman" w:hAnsi="Times New Roman" w:eastAsia="宋体"/>
                      <w:bCs/>
                      <w:color w:val="auto"/>
                      <w:szCs w:val="21"/>
                      <w:lang w:val="en-US" w:eastAsia="zh-CN"/>
                    </w:rPr>
                  </w:pPr>
                  <w:r>
                    <w:rPr>
                      <w:rFonts w:hint="eastAsia" w:ascii="Times New Roman" w:hAnsi="Times New Roman"/>
                      <w:bCs/>
                      <w:color w:val="auto"/>
                      <w:szCs w:val="21"/>
                      <w:lang w:val="en-US" w:eastAsia="zh-CN"/>
                    </w:rPr>
                    <w:t>1800</w:t>
                  </w:r>
                </w:p>
              </w:tc>
              <w:tc>
                <w:tcPr>
                  <w:tcW w:w="955" w:type="dxa"/>
                  <w:vAlign w:val="center"/>
                </w:tcPr>
                <w:p>
                  <w:pPr>
                    <w:adjustRightInd w:val="0"/>
                    <w:snapToGrid w:val="0"/>
                    <w:jc w:val="center"/>
                    <w:rPr>
                      <w:rFonts w:hint="eastAsia" w:ascii="Times New Roman" w:hAnsi="Times New Roman" w:eastAsia="宋体"/>
                      <w:bCs/>
                      <w:color w:val="auto"/>
                      <w:szCs w:val="21"/>
                      <w:lang w:eastAsia="zh-CN"/>
                    </w:rPr>
                  </w:pPr>
                  <w:r>
                    <w:rPr>
                      <w:rFonts w:hint="eastAsia" w:ascii="Times New Roman" w:hAnsi="Times New Roman"/>
                      <w:bCs/>
                      <w:color w:val="auto"/>
                      <w:szCs w:val="21"/>
                      <w:lang w:val="en-US" w:eastAsia="zh-CN"/>
                    </w:rPr>
                    <w:t>2</w:t>
                  </w:r>
                </w:p>
              </w:tc>
              <w:tc>
                <w:tcPr>
                  <w:tcW w:w="896" w:type="dxa"/>
                  <w:vAlign w:val="center"/>
                </w:tcPr>
                <w:p>
                  <w:pPr>
                    <w:adjustRightInd w:val="0"/>
                    <w:snapToGrid w:val="0"/>
                    <w:jc w:val="center"/>
                    <w:rPr>
                      <w:rFonts w:hint="default" w:ascii="Times New Roman" w:hAnsi="Times New Roman" w:eastAsia="宋体"/>
                      <w:bCs/>
                      <w:color w:val="auto"/>
                      <w:szCs w:val="21"/>
                      <w:lang w:val="en-US" w:eastAsia="zh-CN"/>
                    </w:rPr>
                  </w:pPr>
                  <w:r>
                    <w:rPr>
                      <w:rFonts w:hint="eastAsia" w:ascii="Times New Roman" w:hAnsi="Times New Roman"/>
                      <w:bCs/>
                      <w:color w:val="auto"/>
                      <w:szCs w:val="21"/>
                      <w:lang w:val="en-US" w:eastAsia="zh-CN"/>
                    </w:rPr>
                    <w:t>29</w:t>
                  </w:r>
                </w:p>
              </w:tc>
              <w:tc>
                <w:tcPr>
                  <w:tcW w:w="752" w:type="dxa"/>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1:1.8</w:t>
                  </w:r>
                </w:p>
              </w:tc>
            </w:tr>
          </w:tbl>
          <w:p>
            <w:pPr>
              <w:adjustRightInd w:val="0"/>
              <w:snapToGrid w:val="0"/>
              <w:spacing w:line="360" w:lineRule="auto"/>
              <w:ind w:firstLine="480"/>
              <w:rPr>
                <w:rFonts w:ascii="Times New Roman" w:hAnsi="Times New Roman"/>
                <w:bCs/>
                <w:color w:val="auto"/>
                <w:sz w:val="24"/>
              </w:rPr>
            </w:pPr>
            <w:r>
              <w:rPr>
                <w:rFonts w:hint="eastAsia" w:ascii="Times New Roman" w:hAnsi="Times New Roman"/>
                <w:bCs/>
                <w:color w:val="auto"/>
                <w:sz w:val="24"/>
              </w:rPr>
              <w:t>项目施工期将产生</w:t>
            </w:r>
            <w:r>
              <w:rPr>
                <w:rFonts w:hint="eastAsia" w:ascii="Times New Roman" w:hAnsi="Times New Roman"/>
                <w:bCs/>
                <w:color w:val="auto"/>
                <w:sz w:val="24"/>
                <w:lang w:val="en-US" w:eastAsia="zh-CN"/>
              </w:rPr>
              <w:t>3556.667</w:t>
            </w:r>
            <w:r>
              <w:rPr>
                <w:rFonts w:hint="eastAsia" w:ascii="Times New Roman" w:hAnsi="Times New Roman"/>
                <w:bCs/>
                <w:color w:val="auto"/>
                <w:sz w:val="24"/>
              </w:rPr>
              <w:t>m</w:t>
            </w:r>
            <w:r>
              <w:rPr>
                <w:rFonts w:hint="eastAsia" w:ascii="Times New Roman" w:hAnsi="Times New Roman"/>
                <w:bCs/>
                <w:color w:val="auto"/>
                <w:sz w:val="24"/>
                <w:vertAlign w:val="superscript"/>
              </w:rPr>
              <w:t>3</w:t>
            </w:r>
            <w:r>
              <w:rPr>
                <w:rFonts w:hint="eastAsia" w:ascii="Times New Roman" w:hAnsi="Times New Roman"/>
                <w:bCs/>
                <w:color w:val="auto"/>
                <w:sz w:val="24"/>
                <w:lang w:eastAsia="zh-CN"/>
              </w:rPr>
              <w:t>表土</w:t>
            </w:r>
            <w:r>
              <w:rPr>
                <w:rFonts w:hint="eastAsia" w:ascii="Times New Roman" w:hAnsi="Times New Roman"/>
                <w:bCs/>
                <w:color w:val="auto"/>
                <w:sz w:val="24"/>
              </w:rPr>
              <w:t>，施工期的</w:t>
            </w:r>
            <w:r>
              <w:rPr>
                <w:rFonts w:hint="eastAsia" w:ascii="Times New Roman" w:hAnsi="Times New Roman"/>
                <w:bCs/>
                <w:color w:val="auto"/>
                <w:sz w:val="24"/>
                <w:lang w:eastAsia="zh-CN"/>
              </w:rPr>
              <w:t>表土</w:t>
            </w:r>
            <w:r>
              <w:rPr>
                <w:rFonts w:hint="eastAsia" w:ascii="Times New Roman" w:hAnsi="Times New Roman"/>
                <w:bCs/>
                <w:color w:val="auto"/>
                <w:sz w:val="24"/>
              </w:rPr>
              <w:t>转运到临时堆场暂存，暂存周期为</w:t>
            </w:r>
            <w:r>
              <w:rPr>
                <w:rFonts w:hint="eastAsia" w:ascii="Times New Roman" w:hAnsi="Times New Roman"/>
                <w:bCs/>
                <w:color w:val="auto"/>
                <w:sz w:val="24"/>
                <w:lang w:val="en-US" w:eastAsia="zh-CN"/>
              </w:rPr>
              <w:t>29个月</w:t>
            </w:r>
            <w:r>
              <w:rPr>
                <w:rFonts w:hint="eastAsia" w:ascii="Times New Roman" w:hAnsi="Times New Roman"/>
                <w:bCs/>
                <w:color w:val="auto"/>
                <w:sz w:val="24"/>
              </w:rPr>
              <w:t>，</w:t>
            </w:r>
            <w:r>
              <w:rPr>
                <w:rFonts w:hint="eastAsia" w:ascii="Times New Roman" w:hAnsi="Times New Roman"/>
                <w:bCs/>
                <w:color w:val="auto"/>
                <w:sz w:val="24"/>
                <w:lang w:eastAsia="zh-CN"/>
              </w:rPr>
              <w:t>项目区占地面积较大，</w:t>
            </w:r>
            <w:r>
              <w:rPr>
                <w:rFonts w:hint="eastAsia" w:ascii="Times New Roman" w:hAnsi="Times New Roman"/>
                <w:bCs/>
                <w:color w:val="auto"/>
                <w:sz w:val="24"/>
              </w:rPr>
              <w:t>规划临时堆场可满足项目施工期</w:t>
            </w:r>
            <w:r>
              <w:rPr>
                <w:rFonts w:hint="eastAsia" w:ascii="Times New Roman" w:hAnsi="Times New Roman"/>
                <w:bCs/>
                <w:color w:val="auto"/>
                <w:sz w:val="24"/>
                <w:lang w:eastAsia="zh-CN"/>
              </w:rPr>
              <w:t>剥离表土</w:t>
            </w:r>
            <w:r>
              <w:rPr>
                <w:rFonts w:hint="eastAsia" w:ascii="Times New Roman" w:hAnsi="Times New Roman"/>
                <w:bCs/>
                <w:color w:val="auto"/>
                <w:sz w:val="24"/>
              </w:rPr>
              <w:t>的堆放要求。表土堆场环保措施：设计采用梯形结构土料袋堆筑，底宽1.0m，顶宽0.6m，码砌高1.5m，土袋拦护长度约120m，周边设简易排水沟，排水沟断面尺寸为0.5×0.5m（底宽×深），边坡系数为1:1.8；采用素土夯实</w:t>
            </w:r>
            <w:r>
              <w:rPr>
                <w:rFonts w:hint="eastAsia" w:ascii="Times New Roman" w:hAnsi="Times New Roman"/>
                <w:bCs/>
                <w:color w:val="auto"/>
                <w:sz w:val="24"/>
                <w:lang w:eastAsia="zh-CN"/>
              </w:rPr>
              <w:t>，用土工膜遮盖</w:t>
            </w:r>
            <w:r>
              <w:rPr>
                <w:rFonts w:hint="eastAsia" w:ascii="Times New Roman" w:hAnsi="Times New Roman"/>
                <w:bCs/>
                <w:color w:val="auto"/>
                <w:sz w:val="24"/>
              </w:rPr>
              <w:t>。</w:t>
            </w:r>
          </w:p>
          <w:p>
            <w:pPr>
              <w:adjustRightInd w:val="0"/>
              <w:snapToGrid w:val="0"/>
              <w:spacing w:line="360" w:lineRule="auto"/>
              <w:ind w:firstLine="480"/>
              <w:rPr>
                <w:rFonts w:ascii="Times New Roman" w:hAnsi="Times New Roman"/>
                <w:bCs/>
                <w:color w:val="auto"/>
                <w:sz w:val="24"/>
              </w:rPr>
            </w:pPr>
            <w:r>
              <w:rPr>
                <w:rFonts w:hint="eastAsia" w:ascii="Times New Roman" w:hAnsi="Times New Roman"/>
                <w:bCs/>
                <w:color w:val="auto"/>
                <w:sz w:val="24"/>
              </w:rPr>
              <w:t>综上所述，项目产生的临时表土可以得到合理堆存。</w:t>
            </w:r>
          </w:p>
          <w:p>
            <w:pPr>
              <w:adjustRightInd w:val="0"/>
              <w:snapToGrid w:val="0"/>
              <w:spacing w:line="360" w:lineRule="auto"/>
              <w:rPr>
                <w:rFonts w:ascii="Times New Roman" w:hAnsi="Times New Roman"/>
                <w:b/>
                <w:color w:val="auto"/>
                <w:sz w:val="24"/>
              </w:rPr>
            </w:pPr>
            <w:r>
              <w:rPr>
                <w:rFonts w:ascii="Times New Roman" w:hAnsi="Times New Roman"/>
                <w:b/>
                <w:color w:val="auto"/>
                <w:sz w:val="24"/>
              </w:rPr>
              <w:t>1.4噪声</w:t>
            </w:r>
          </w:p>
          <w:p>
            <w:pPr>
              <w:adjustRightInd w:val="0"/>
              <w:snapToGrid w:val="0"/>
              <w:spacing w:line="360" w:lineRule="auto"/>
              <w:ind w:firstLine="480"/>
              <w:rPr>
                <w:color w:val="auto"/>
                <w:sz w:val="24"/>
                <w:szCs w:val="24"/>
              </w:rPr>
            </w:pPr>
            <w:r>
              <w:rPr>
                <w:color w:val="auto"/>
                <w:sz w:val="24"/>
                <w:szCs w:val="24"/>
              </w:rPr>
              <w:t>施工期的噪声主要来源施工现场的各类机械设备和物料运输的交通噪声。施工场地噪声主要是施工机械设备噪声，物料装卸碰撞噪声及施工人员的活动噪声，物料运输的交通噪声主要是各施工阶段物料运输车辆引起的噪声。施工期对环境影响较大的主要有钻桩机、混凝土搅拌机、振捣棒噪声及汽车运输噪声等，其声源值见表5-</w:t>
            </w:r>
            <w:r>
              <w:rPr>
                <w:rFonts w:hint="eastAsia"/>
                <w:color w:val="auto"/>
                <w:sz w:val="24"/>
                <w:szCs w:val="24"/>
                <w:lang w:val="en-US" w:eastAsia="zh-CN"/>
              </w:rPr>
              <w:t>3</w:t>
            </w:r>
            <w:r>
              <w:rPr>
                <w:color w:val="auto"/>
                <w:sz w:val="24"/>
                <w:szCs w:val="24"/>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1889" w:firstLineChars="784"/>
              <w:textAlignment w:val="auto"/>
              <w:rPr>
                <w:rFonts w:ascii="Times New Roman" w:hAnsi="Times New Roman"/>
                <w:b/>
                <w:color w:val="auto"/>
                <w:sz w:val="24"/>
                <w:szCs w:val="24"/>
              </w:rPr>
            </w:pPr>
            <w:r>
              <w:rPr>
                <w:rFonts w:ascii="Times New Roman" w:hAnsi="Times New Roman"/>
                <w:b/>
                <w:color w:val="auto"/>
                <w:sz w:val="24"/>
                <w:szCs w:val="24"/>
              </w:rPr>
              <w:t>表5-</w:t>
            </w:r>
            <w:r>
              <w:rPr>
                <w:rFonts w:hint="eastAsia" w:ascii="Times New Roman" w:hAnsi="Times New Roman"/>
                <w:b/>
                <w:color w:val="auto"/>
                <w:sz w:val="24"/>
                <w:szCs w:val="24"/>
                <w:lang w:val="en-US" w:eastAsia="zh-CN"/>
              </w:rPr>
              <w:t>3</w:t>
            </w:r>
            <w:r>
              <w:rPr>
                <w:rFonts w:ascii="Times New Roman" w:hAnsi="Times New Roman"/>
                <w:b/>
                <w:color w:val="auto"/>
                <w:sz w:val="24"/>
                <w:szCs w:val="24"/>
              </w:rPr>
              <w:t xml:space="preserve"> 主要施工机械设备的噪声声级</w:t>
            </w:r>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3180"/>
              <w:gridCol w:w="2190"/>
              <w:gridCol w:w="1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86" w:type="pct"/>
                  <w:vAlign w:val="center"/>
                </w:tcPr>
                <w:p>
                  <w:pPr>
                    <w:pStyle w:val="178"/>
                    <w:rPr>
                      <w:rFonts w:ascii="Times New Roman" w:hAnsi="Times New Roman"/>
                      <w:color w:val="auto"/>
                      <w:szCs w:val="21"/>
                    </w:rPr>
                  </w:pPr>
                  <w:r>
                    <w:rPr>
                      <w:rFonts w:ascii="Times New Roman" w:hAnsi="Times New Roman"/>
                      <w:color w:val="auto"/>
                      <w:szCs w:val="21"/>
                    </w:rPr>
                    <w:t>序号</w:t>
                  </w:r>
                </w:p>
              </w:tc>
              <w:tc>
                <w:tcPr>
                  <w:tcW w:w="1915" w:type="pct"/>
                  <w:vAlign w:val="center"/>
                </w:tcPr>
                <w:p>
                  <w:pPr>
                    <w:pStyle w:val="178"/>
                    <w:rPr>
                      <w:rFonts w:ascii="Times New Roman" w:hAnsi="Times New Roman"/>
                      <w:color w:val="auto"/>
                      <w:szCs w:val="21"/>
                    </w:rPr>
                  </w:pPr>
                  <w:r>
                    <w:rPr>
                      <w:rFonts w:ascii="Times New Roman" w:hAnsi="Times New Roman"/>
                      <w:color w:val="auto"/>
                      <w:szCs w:val="21"/>
                    </w:rPr>
                    <w:t>施工机械</w:t>
                  </w:r>
                </w:p>
              </w:tc>
              <w:tc>
                <w:tcPr>
                  <w:tcW w:w="1319" w:type="pct"/>
                  <w:vAlign w:val="center"/>
                </w:tcPr>
                <w:p>
                  <w:pPr>
                    <w:pStyle w:val="178"/>
                    <w:rPr>
                      <w:rFonts w:ascii="Times New Roman" w:hAnsi="Times New Roman"/>
                      <w:color w:val="auto"/>
                      <w:szCs w:val="21"/>
                    </w:rPr>
                  </w:pPr>
                  <w:r>
                    <w:rPr>
                      <w:rFonts w:ascii="Times New Roman" w:hAnsi="Times New Roman"/>
                      <w:color w:val="auto"/>
                      <w:szCs w:val="21"/>
                    </w:rPr>
                    <w:t>测量声级dB</w:t>
                  </w:r>
                </w:p>
              </w:tc>
              <w:tc>
                <w:tcPr>
                  <w:tcW w:w="1178" w:type="pct"/>
                  <w:vAlign w:val="center"/>
                </w:tcPr>
                <w:p>
                  <w:pPr>
                    <w:pStyle w:val="178"/>
                    <w:rPr>
                      <w:rFonts w:ascii="Times New Roman" w:hAnsi="Times New Roman"/>
                      <w:color w:val="auto"/>
                      <w:szCs w:val="21"/>
                    </w:rPr>
                  </w:pPr>
                  <w:r>
                    <w:rPr>
                      <w:rFonts w:ascii="Times New Roman" w:hAnsi="Times New Roman"/>
                      <w:color w:val="auto"/>
                      <w:szCs w:val="21"/>
                    </w:rPr>
                    <w:t>测量距离(m)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86" w:type="pct"/>
                  <w:vAlign w:val="center"/>
                </w:tcPr>
                <w:p>
                  <w:pPr>
                    <w:pStyle w:val="178"/>
                    <w:rPr>
                      <w:rFonts w:ascii="Times New Roman" w:hAnsi="Times New Roman"/>
                      <w:color w:val="auto"/>
                      <w:szCs w:val="21"/>
                    </w:rPr>
                  </w:pPr>
                  <w:r>
                    <w:rPr>
                      <w:rFonts w:ascii="Times New Roman" w:hAnsi="Times New Roman"/>
                      <w:color w:val="auto"/>
                      <w:szCs w:val="21"/>
                    </w:rPr>
                    <w:t>1</w:t>
                  </w:r>
                </w:p>
              </w:tc>
              <w:tc>
                <w:tcPr>
                  <w:tcW w:w="1915" w:type="pct"/>
                  <w:vAlign w:val="center"/>
                </w:tcPr>
                <w:p>
                  <w:pPr>
                    <w:pStyle w:val="178"/>
                    <w:rPr>
                      <w:rFonts w:ascii="Times New Roman" w:hAnsi="Times New Roman"/>
                      <w:color w:val="auto"/>
                      <w:szCs w:val="21"/>
                    </w:rPr>
                  </w:pPr>
                  <w:r>
                    <w:rPr>
                      <w:rFonts w:ascii="Times New Roman" w:hAnsi="Times New Roman"/>
                      <w:color w:val="auto"/>
                      <w:szCs w:val="21"/>
                    </w:rPr>
                    <w:t>挖掘机</w:t>
                  </w:r>
                </w:p>
              </w:tc>
              <w:tc>
                <w:tcPr>
                  <w:tcW w:w="1319" w:type="pct"/>
                  <w:vAlign w:val="center"/>
                </w:tcPr>
                <w:p>
                  <w:pPr>
                    <w:pStyle w:val="178"/>
                    <w:rPr>
                      <w:rFonts w:ascii="Times New Roman" w:hAnsi="Times New Roman"/>
                      <w:color w:val="auto"/>
                      <w:szCs w:val="21"/>
                    </w:rPr>
                  </w:pPr>
                  <w:r>
                    <w:rPr>
                      <w:rFonts w:ascii="Times New Roman" w:hAnsi="Times New Roman"/>
                      <w:color w:val="auto"/>
                      <w:szCs w:val="21"/>
                    </w:rPr>
                    <w:t>79</w:t>
                  </w:r>
                </w:p>
              </w:tc>
              <w:tc>
                <w:tcPr>
                  <w:tcW w:w="1178" w:type="pct"/>
                  <w:vAlign w:val="center"/>
                </w:tcPr>
                <w:p>
                  <w:pPr>
                    <w:pStyle w:val="178"/>
                    <w:rPr>
                      <w:rFonts w:ascii="Times New Roman" w:hAnsi="Times New Roman"/>
                      <w:color w:val="auto"/>
                      <w:szCs w:val="21"/>
                    </w:rPr>
                  </w:pPr>
                  <w:r>
                    <w:rPr>
                      <w:rFonts w:ascii="Times New Roman" w:hAnsi="Times New Roman"/>
                      <w:color w:val="auto"/>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86" w:type="pct"/>
                  <w:vAlign w:val="center"/>
                </w:tcPr>
                <w:p>
                  <w:pPr>
                    <w:pStyle w:val="178"/>
                    <w:rPr>
                      <w:rFonts w:ascii="Times New Roman" w:hAnsi="Times New Roman"/>
                      <w:color w:val="auto"/>
                      <w:szCs w:val="21"/>
                    </w:rPr>
                  </w:pPr>
                  <w:r>
                    <w:rPr>
                      <w:rFonts w:ascii="Times New Roman" w:hAnsi="Times New Roman"/>
                      <w:color w:val="auto"/>
                      <w:szCs w:val="21"/>
                    </w:rPr>
                    <w:t>2</w:t>
                  </w:r>
                </w:p>
              </w:tc>
              <w:tc>
                <w:tcPr>
                  <w:tcW w:w="1915" w:type="pct"/>
                  <w:vAlign w:val="center"/>
                </w:tcPr>
                <w:p>
                  <w:pPr>
                    <w:pStyle w:val="178"/>
                    <w:rPr>
                      <w:rFonts w:ascii="Times New Roman" w:hAnsi="Times New Roman"/>
                      <w:color w:val="auto"/>
                      <w:szCs w:val="21"/>
                    </w:rPr>
                  </w:pPr>
                  <w:r>
                    <w:rPr>
                      <w:rFonts w:ascii="Times New Roman" w:hAnsi="Times New Roman"/>
                      <w:color w:val="auto"/>
                      <w:szCs w:val="21"/>
                    </w:rPr>
                    <w:t>压路机</w:t>
                  </w:r>
                </w:p>
              </w:tc>
              <w:tc>
                <w:tcPr>
                  <w:tcW w:w="1319" w:type="pct"/>
                  <w:vAlign w:val="center"/>
                </w:tcPr>
                <w:p>
                  <w:pPr>
                    <w:pStyle w:val="178"/>
                    <w:rPr>
                      <w:rFonts w:ascii="Times New Roman" w:hAnsi="Times New Roman"/>
                      <w:color w:val="auto"/>
                      <w:szCs w:val="21"/>
                    </w:rPr>
                  </w:pPr>
                  <w:r>
                    <w:rPr>
                      <w:rFonts w:ascii="Times New Roman" w:hAnsi="Times New Roman"/>
                      <w:color w:val="auto"/>
                      <w:szCs w:val="21"/>
                    </w:rPr>
                    <w:t>73</w:t>
                  </w:r>
                </w:p>
              </w:tc>
              <w:tc>
                <w:tcPr>
                  <w:tcW w:w="1178" w:type="pct"/>
                  <w:vAlign w:val="center"/>
                </w:tcPr>
                <w:p>
                  <w:pPr>
                    <w:pStyle w:val="178"/>
                    <w:rPr>
                      <w:rFonts w:ascii="Times New Roman" w:hAnsi="Times New Roman"/>
                      <w:color w:val="auto"/>
                      <w:szCs w:val="21"/>
                    </w:rPr>
                  </w:pPr>
                  <w:r>
                    <w:rPr>
                      <w:rFonts w:ascii="Times New Roman" w:hAnsi="Times New Roman"/>
                      <w:color w:val="auto"/>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86" w:type="pct"/>
                  <w:vAlign w:val="center"/>
                </w:tcPr>
                <w:p>
                  <w:pPr>
                    <w:pStyle w:val="178"/>
                    <w:rPr>
                      <w:rFonts w:ascii="Times New Roman" w:hAnsi="Times New Roman"/>
                      <w:color w:val="auto"/>
                      <w:szCs w:val="21"/>
                    </w:rPr>
                  </w:pPr>
                  <w:r>
                    <w:rPr>
                      <w:rFonts w:ascii="Times New Roman" w:hAnsi="Times New Roman"/>
                      <w:color w:val="auto"/>
                      <w:szCs w:val="21"/>
                    </w:rPr>
                    <w:t>3</w:t>
                  </w:r>
                </w:p>
              </w:tc>
              <w:tc>
                <w:tcPr>
                  <w:tcW w:w="1915" w:type="pct"/>
                  <w:vAlign w:val="center"/>
                </w:tcPr>
                <w:p>
                  <w:pPr>
                    <w:pStyle w:val="178"/>
                    <w:rPr>
                      <w:rFonts w:ascii="Times New Roman" w:hAnsi="Times New Roman"/>
                      <w:color w:val="auto"/>
                      <w:szCs w:val="21"/>
                    </w:rPr>
                  </w:pPr>
                  <w:r>
                    <w:rPr>
                      <w:rFonts w:ascii="Times New Roman" w:hAnsi="Times New Roman"/>
                      <w:color w:val="auto"/>
                      <w:szCs w:val="21"/>
                    </w:rPr>
                    <w:t>铲土机</w:t>
                  </w:r>
                </w:p>
              </w:tc>
              <w:tc>
                <w:tcPr>
                  <w:tcW w:w="1319" w:type="pct"/>
                  <w:vAlign w:val="center"/>
                </w:tcPr>
                <w:p>
                  <w:pPr>
                    <w:pStyle w:val="178"/>
                    <w:rPr>
                      <w:rFonts w:ascii="Times New Roman" w:hAnsi="Times New Roman"/>
                      <w:color w:val="auto"/>
                      <w:szCs w:val="21"/>
                    </w:rPr>
                  </w:pPr>
                  <w:r>
                    <w:rPr>
                      <w:rFonts w:ascii="Times New Roman" w:hAnsi="Times New Roman"/>
                      <w:color w:val="auto"/>
                      <w:szCs w:val="21"/>
                    </w:rPr>
                    <w:t>75</w:t>
                  </w:r>
                </w:p>
              </w:tc>
              <w:tc>
                <w:tcPr>
                  <w:tcW w:w="1178" w:type="pct"/>
                  <w:vAlign w:val="center"/>
                </w:tcPr>
                <w:p>
                  <w:pPr>
                    <w:pStyle w:val="178"/>
                    <w:rPr>
                      <w:rFonts w:ascii="Times New Roman" w:hAnsi="Times New Roman"/>
                      <w:color w:val="auto"/>
                      <w:szCs w:val="21"/>
                    </w:rPr>
                  </w:pPr>
                  <w:r>
                    <w:rPr>
                      <w:rFonts w:ascii="Times New Roman" w:hAnsi="Times New Roman"/>
                      <w:color w:val="auto"/>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86" w:type="pct"/>
                  <w:vAlign w:val="center"/>
                </w:tcPr>
                <w:p>
                  <w:pPr>
                    <w:pStyle w:val="178"/>
                    <w:rPr>
                      <w:rFonts w:ascii="Times New Roman" w:hAnsi="Times New Roman"/>
                      <w:color w:val="auto"/>
                      <w:szCs w:val="21"/>
                    </w:rPr>
                  </w:pPr>
                  <w:r>
                    <w:rPr>
                      <w:rFonts w:ascii="Times New Roman" w:hAnsi="Times New Roman"/>
                      <w:color w:val="auto"/>
                      <w:szCs w:val="21"/>
                    </w:rPr>
                    <w:t>4</w:t>
                  </w:r>
                </w:p>
              </w:tc>
              <w:tc>
                <w:tcPr>
                  <w:tcW w:w="1915" w:type="pct"/>
                  <w:vAlign w:val="center"/>
                </w:tcPr>
                <w:p>
                  <w:pPr>
                    <w:pStyle w:val="178"/>
                    <w:rPr>
                      <w:rFonts w:ascii="Times New Roman" w:hAnsi="Times New Roman"/>
                      <w:color w:val="auto"/>
                      <w:szCs w:val="21"/>
                    </w:rPr>
                  </w:pPr>
                  <w:r>
                    <w:rPr>
                      <w:rFonts w:ascii="Times New Roman" w:hAnsi="Times New Roman"/>
                      <w:color w:val="auto"/>
                      <w:szCs w:val="21"/>
                    </w:rPr>
                    <w:t>自卸卡车</w:t>
                  </w:r>
                </w:p>
              </w:tc>
              <w:tc>
                <w:tcPr>
                  <w:tcW w:w="1319" w:type="pct"/>
                  <w:vAlign w:val="center"/>
                </w:tcPr>
                <w:p>
                  <w:pPr>
                    <w:pStyle w:val="178"/>
                    <w:rPr>
                      <w:rFonts w:ascii="Times New Roman" w:hAnsi="Times New Roman"/>
                      <w:color w:val="auto"/>
                      <w:szCs w:val="21"/>
                    </w:rPr>
                  </w:pPr>
                  <w:r>
                    <w:rPr>
                      <w:rFonts w:ascii="Times New Roman" w:hAnsi="Times New Roman"/>
                      <w:color w:val="auto"/>
                      <w:szCs w:val="21"/>
                    </w:rPr>
                    <w:t>70</w:t>
                  </w:r>
                </w:p>
              </w:tc>
              <w:tc>
                <w:tcPr>
                  <w:tcW w:w="1178" w:type="pct"/>
                  <w:vAlign w:val="center"/>
                </w:tcPr>
                <w:p>
                  <w:pPr>
                    <w:pStyle w:val="178"/>
                    <w:rPr>
                      <w:rFonts w:ascii="Times New Roman" w:hAnsi="Times New Roman"/>
                      <w:color w:val="auto"/>
                      <w:szCs w:val="21"/>
                    </w:rPr>
                  </w:pPr>
                  <w:r>
                    <w:rPr>
                      <w:rFonts w:ascii="Times New Roman" w:hAnsi="Times New Roman"/>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86" w:type="pct"/>
                  <w:vAlign w:val="center"/>
                </w:tcPr>
                <w:p>
                  <w:pPr>
                    <w:pStyle w:val="178"/>
                    <w:rPr>
                      <w:rFonts w:ascii="Times New Roman" w:hAnsi="Times New Roman"/>
                      <w:color w:val="auto"/>
                      <w:szCs w:val="21"/>
                    </w:rPr>
                  </w:pPr>
                  <w:r>
                    <w:rPr>
                      <w:rFonts w:ascii="Times New Roman" w:hAnsi="Times New Roman"/>
                      <w:color w:val="auto"/>
                      <w:szCs w:val="21"/>
                    </w:rPr>
                    <w:t>5</w:t>
                  </w:r>
                </w:p>
              </w:tc>
              <w:tc>
                <w:tcPr>
                  <w:tcW w:w="1915" w:type="pct"/>
                  <w:vAlign w:val="center"/>
                </w:tcPr>
                <w:p>
                  <w:pPr>
                    <w:pStyle w:val="178"/>
                    <w:rPr>
                      <w:rFonts w:ascii="Times New Roman" w:hAnsi="Times New Roman"/>
                      <w:color w:val="auto"/>
                      <w:szCs w:val="21"/>
                    </w:rPr>
                  </w:pPr>
                  <w:r>
                    <w:rPr>
                      <w:rFonts w:ascii="Times New Roman" w:hAnsi="Times New Roman"/>
                      <w:color w:val="auto"/>
                      <w:szCs w:val="21"/>
                    </w:rPr>
                    <w:t>钻孔式灌注桩机</w:t>
                  </w:r>
                </w:p>
              </w:tc>
              <w:tc>
                <w:tcPr>
                  <w:tcW w:w="1319" w:type="pct"/>
                  <w:vAlign w:val="center"/>
                </w:tcPr>
                <w:p>
                  <w:pPr>
                    <w:pStyle w:val="178"/>
                    <w:rPr>
                      <w:rFonts w:ascii="Times New Roman" w:hAnsi="Times New Roman"/>
                      <w:color w:val="auto"/>
                      <w:szCs w:val="21"/>
                    </w:rPr>
                  </w:pPr>
                  <w:r>
                    <w:rPr>
                      <w:rFonts w:ascii="Times New Roman" w:hAnsi="Times New Roman"/>
                      <w:color w:val="auto"/>
                      <w:szCs w:val="21"/>
                    </w:rPr>
                    <w:t>100</w:t>
                  </w:r>
                </w:p>
              </w:tc>
              <w:tc>
                <w:tcPr>
                  <w:tcW w:w="1178" w:type="pct"/>
                  <w:vAlign w:val="center"/>
                </w:tcPr>
                <w:p>
                  <w:pPr>
                    <w:pStyle w:val="178"/>
                    <w:rPr>
                      <w:rFonts w:ascii="Times New Roman" w:hAnsi="Times New Roman"/>
                      <w:color w:val="auto"/>
                      <w:szCs w:val="21"/>
                    </w:rPr>
                  </w:pPr>
                  <w:r>
                    <w:rPr>
                      <w:rFonts w:ascii="Times New Roman" w:hAnsi="Times New Roman"/>
                      <w:color w:val="auto"/>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86" w:type="pct"/>
                  <w:vAlign w:val="center"/>
                </w:tcPr>
                <w:p>
                  <w:pPr>
                    <w:pStyle w:val="178"/>
                    <w:rPr>
                      <w:rFonts w:ascii="Times New Roman" w:hAnsi="Times New Roman"/>
                      <w:color w:val="auto"/>
                      <w:szCs w:val="21"/>
                    </w:rPr>
                  </w:pPr>
                  <w:r>
                    <w:rPr>
                      <w:rFonts w:ascii="Times New Roman" w:hAnsi="Times New Roman"/>
                      <w:color w:val="auto"/>
                      <w:szCs w:val="21"/>
                    </w:rPr>
                    <w:t>6</w:t>
                  </w:r>
                </w:p>
              </w:tc>
              <w:tc>
                <w:tcPr>
                  <w:tcW w:w="1915" w:type="pct"/>
                  <w:vAlign w:val="center"/>
                </w:tcPr>
                <w:p>
                  <w:pPr>
                    <w:pStyle w:val="178"/>
                    <w:rPr>
                      <w:rFonts w:ascii="Times New Roman" w:hAnsi="Times New Roman"/>
                      <w:color w:val="auto"/>
                      <w:szCs w:val="21"/>
                    </w:rPr>
                  </w:pPr>
                  <w:r>
                    <w:rPr>
                      <w:rFonts w:ascii="Times New Roman" w:hAnsi="Times New Roman"/>
                      <w:color w:val="auto"/>
                      <w:szCs w:val="21"/>
                    </w:rPr>
                    <w:t>混凝土振捣器</w:t>
                  </w:r>
                </w:p>
              </w:tc>
              <w:tc>
                <w:tcPr>
                  <w:tcW w:w="1319" w:type="pct"/>
                  <w:vAlign w:val="center"/>
                </w:tcPr>
                <w:p>
                  <w:pPr>
                    <w:pStyle w:val="178"/>
                    <w:rPr>
                      <w:rFonts w:ascii="Times New Roman" w:hAnsi="Times New Roman"/>
                      <w:color w:val="auto"/>
                      <w:szCs w:val="21"/>
                    </w:rPr>
                  </w:pPr>
                  <w:r>
                    <w:rPr>
                      <w:rFonts w:ascii="Times New Roman" w:hAnsi="Times New Roman"/>
                      <w:color w:val="auto"/>
                      <w:szCs w:val="21"/>
                    </w:rPr>
                    <w:t>90</w:t>
                  </w:r>
                </w:p>
              </w:tc>
              <w:tc>
                <w:tcPr>
                  <w:tcW w:w="1178" w:type="pct"/>
                  <w:vAlign w:val="center"/>
                </w:tcPr>
                <w:p>
                  <w:pPr>
                    <w:pStyle w:val="178"/>
                    <w:rPr>
                      <w:rFonts w:ascii="Times New Roman" w:hAnsi="Times New Roman"/>
                      <w:color w:val="auto"/>
                      <w:szCs w:val="21"/>
                    </w:rPr>
                  </w:pPr>
                  <w:r>
                    <w:rPr>
                      <w:rFonts w:ascii="Times New Roman" w:hAnsi="Times New Roman"/>
                      <w:color w:val="auto"/>
                      <w:szCs w:val="21"/>
                    </w:rPr>
                    <w:t>5</w:t>
                  </w:r>
                </w:p>
              </w:tc>
            </w:tr>
          </w:tbl>
          <w:p>
            <w:pPr>
              <w:numPr>
                <w:ilvl w:val="0"/>
                <w:numId w:val="5"/>
              </w:numPr>
              <w:adjustRightInd w:val="0"/>
              <w:snapToGrid w:val="0"/>
              <w:spacing w:line="360" w:lineRule="auto"/>
              <w:rPr>
                <w:rFonts w:ascii="Times New Roman" w:hAnsi="Times New Roman"/>
                <w:b/>
                <w:bCs/>
                <w:color w:val="auto"/>
                <w:sz w:val="24"/>
              </w:rPr>
            </w:pPr>
            <w:r>
              <w:rPr>
                <w:rFonts w:ascii="Times New Roman" w:hAnsi="Times New Roman"/>
                <w:b/>
                <w:bCs/>
                <w:color w:val="auto"/>
                <w:sz w:val="24"/>
              </w:rPr>
              <w:t>运营期污染源</w:t>
            </w:r>
          </w:p>
          <w:p>
            <w:pPr>
              <w:pStyle w:val="2"/>
              <w:numPr>
                <w:ilvl w:val="0"/>
                <w:numId w:val="0"/>
              </w:numPr>
              <w:rPr>
                <w:rFonts w:hint="eastAsia"/>
                <w:color w:val="auto"/>
                <w:lang w:val="en-US" w:eastAsia="zh-CN"/>
              </w:rPr>
            </w:pPr>
            <w:r>
              <w:rPr>
                <w:rFonts w:hint="default" w:ascii="Times New Roman" w:hAnsi="Times New Roman" w:cs="Times New Roman"/>
                <w:b/>
                <w:bCs/>
                <w:color w:val="auto"/>
                <w:sz w:val="24"/>
                <w:szCs w:val="24"/>
                <w:lang w:val="en-US" w:eastAsia="zh-CN"/>
              </w:rPr>
              <w:t>2.1</w:t>
            </w:r>
            <w:r>
              <w:rPr>
                <w:rFonts w:hint="eastAsia"/>
                <w:b/>
                <w:bCs/>
                <w:color w:val="auto"/>
                <w:sz w:val="24"/>
                <w:szCs w:val="24"/>
                <w:lang w:val="en-US" w:eastAsia="zh-CN"/>
              </w:rPr>
              <w:t>实验室</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sz w:val="24"/>
                <w:szCs w:val="24"/>
                <w:lang w:val="en-US" w:eastAsia="zh-CN"/>
              </w:rPr>
            </w:pPr>
            <w:r>
              <w:rPr>
                <w:rFonts w:hint="eastAsia"/>
                <w:color w:val="auto"/>
                <w:sz w:val="24"/>
                <w:szCs w:val="24"/>
                <w:lang w:val="en-US" w:eastAsia="zh-CN"/>
              </w:rPr>
              <w:t>项目区设置实验室用于混凝土钢筋强度测试，均为力学实验，不使用化学试剂，无废水产生。</w:t>
            </w:r>
          </w:p>
          <w:p>
            <w:pPr>
              <w:adjustRightInd w:val="0"/>
              <w:snapToGrid w:val="0"/>
              <w:spacing w:line="360" w:lineRule="auto"/>
              <w:rPr>
                <w:rFonts w:ascii="Times New Roman" w:hAnsi="Times New Roman"/>
                <w:b/>
                <w:color w:val="auto"/>
                <w:sz w:val="24"/>
              </w:rPr>
            </w:pPr>
            <w:r>
              <w:rPr>
                <w:rFonts w:ascii="Times New Roman" w:hAnsi="Times New Roman"/>
                <w:b/>
                <w:color w:val="auto"/>
                <w:sz w:val="24"/>
              </w:rPr>
              <w:t>2.</w:t>
            </w:r>
            <w:r>
              <w:rPr>
                <w:rFonts w:hint="eastAsia" w:ascii="Times New Roman" w:hAnsi="Times New Roman"/>
                <w:b/>
                <w:color w:val="auto"/>
                <w:sz w:val="24"/>
                <w:lang w:val="en-US" w:eastAsia="zh-CN"/>
              </w:rPr>
              <w:t>2</w:t>
            </w:r>
            <w:r>
              <w:rPr>
                <w:rFonts w:ascii="Times New Roman" w:hAnsi="Times New Roman"/>
                <w:b/>
                <w:color w:val="auto"/>
                <w:sz w:val="24"/>
              </w:rPr>
              <w:t>废气</w:t>
            </w:r>
          </w:p>
          <w:p>
            <w:pPr>
              <w:numPr>
                <w:ilvl w:val="0"/>
                <w:numId w:val="6"/>
              </w:numPr>
              <w:adjustRightInd w:val="0"/>
              <w:snapToGrid w:val="0"/>
              <w:spacing w:line="360" w:lineRule="auto"/>
              <w:ind w:firstLine="600" w:firstLineChars="250"/>
              <w:rPr>
                <w:rFonts w:ascii="Times New Roman" w:hAnsi="Times New Roman"/>
                <w:color w:val="auto"/>
                <w:sz w:val="24"/>
              </w:rPr>
            </w:pPr>
            <w:r>
              <w:rPr>
                <w:rFonts w:ascii="Times New Roman" w:hAnsi="Times New Roman"/>
                <w:color w:val="auto"/>
                <w:sz w:val="24"/>
              </w:rPr>
              <w:t>料仓呼吸孔粉尘（G1~G</w:t>
            </w:r>
            <w:r>
              <w:rPr>
                <w:rFonts w:hint="eastAsia" w:ascii="Times New Roman" w:hAnsi="Times New Roman"/>
                <w:color w:val="auto"/>
                <w:sz w:val="24"/>
              </w:rPr>
              <w:t>12</w:t>
            </w:r>
            <w:r>
              <w:rPr>
                <w:rFonts w:ascii="Times New Roman" w:hAnsi="Times New Roman"/>
                <w:color w:val="auto"/>
                <w:sz w:val="24"/>
              </w:rPr>
              <w:t>）</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水泥、粉煤灰筒仓在进料由密封罐车通过压缩空气泵打入料仓，粉料呈流化态，由于受气流冲击，料仓中的粉状物从仓顶呼吸孔排放。项目有组织排放源为</w:t>
            </w:r>
            <w:r>
              <w:rPr>
                <w:rFonts w:hint="default" w:ascii="Times New Roman" w:hAnsi="Times New Roman" w:cs="Times New Roman"/>
                <w:color w:val="auto"/>
                <w:sz w:val="24"/>
                <w:szCs w:val="24"/>
                <w:lang w:val="en-US" w:eastAsia="zh-CN"/>
              </w:rPr>
              <w:t>8</w:t>
            </w:r>
            <w:r>
              <w:rPr>
                <w:rFonts w:hint="default" w:ascii="Times New Roman" w:hAnsi="Times New Roman" w:cs="Times New Roman"/>
                <w:color w:val="auto"/>
                <w:sz w:val="24"/>
                <w:szCs w:val="24"/>
              </w:rPr>
              <w:t>个水泥仓、4个粉煤灰仓，共计</w:t>
            </w:r>
            <w:r>
              <w:rPr>
                <w:rFonts w:hint="default" w:ascii="Times New Roman" w:hAnsi="Times New Roman" w:cs="Times New Roman"/>
                <w:color w:val="auto"/>
                <w:sz w:val="24"/>
                <w:szCs w:val="24"/>
                <w:lang w:val="en-US" w:eastAsia="zh-CN"/>
              </w:rPr>
              <w:t>12</w:t>
            </w:r>
            <w:r>
              <w:rPr>
                <w:rFonts w:hint="default" w:ascii="Times New Roman" w:hAnsi="Times New Roman" w:cs="Times New Roman"/>
                <w:color w:val="auto"/>
                <w:sz w:val="24"/>
                <w:szCs w:val="24"/>
              </w:rPr>
              <w:t>个料仓，每个水筒仓容积为</w:t>
            </w:r>
            <w:r>
              <w:rPr>
                <w:rFonts w:hint="default" w:ascii="Times New Roman" w:hAnsi="Times New Roman" w:cs="Times New Roman"/>
                <w:color w:val="auto"/>
                <w:sz w:val="24"/>
                <w:szCs w:val="24"/>
                <w:lang w:val="en-US" w:eastAsia="zh-CN"/>
              </w:rPr>
              <w:t>200</w:t>
            </w:r>
            <w:r>
              <w:rPr>
                <w:rFonts w:hint="default" w:ascii="Times New Roman" w:hAnsi="Times New Roman" w:cs="Times New Roman"/>
                <w:color w:val="auto"/>
                <w:sz w:val="24"/>
                <w:szCs w:val="24"/>
              </w:rPr>
              <w:t>t，每个仓顶设计一套脉冲布袋除尘器，风量最大设计2000m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/h。</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水泥、粉煤灰均为储罐储藏，储罐顶部设有呼吸孔及布袋除尘器。在灌装过程中，通过管道进入筒库时进料口在简库下方，罐装车通过压力将物料压入简库，会有少量粉尘随简库的空气从简库顶部的呼吸阀排出，每个筒库顶部均自带脉冲布袋除尘设施，除尘效率为99.8%。本项目共有筒仓</w:t>
            </w:r>
            <w:r>
              <w:rPr>
                <w:rFonts w:hint="default" w:ascii="Times New Roman" w:hAnsi="Times New Roman" w:cs="Times New Roman"/>
                <w:color w:val="auto"/>
                <w:sz w:val="24"/>
                <w:szCs w:val="24"/>
                <w:lang w:val="en-US" w:eastAsia="zh-CN"/>
              </w:rPr>
              <w:t>12</w:t>
            </w:r>
            <w:r>
              <w:rPr>
                <w:rFonts w:hint="default" w:ascii="Times New Roman" w:hAnsi="Times New Roman" w:cs="Times New Roman"/>
                <w:color w:val="auto"/>
                <w:sz w:val="24"/>
                <w:szCs w:val="24"/>
              </w:rPr>
              <w:t>座(总库容为</w:t>
            </w:r>
            <w:r>
              <w:rPr>
                <w:rFonts w:hint="default" w:ascii="Times New Roman" w:hAnsi="Times New Roman" w:cs="Times New Roman"/>
                <w:color w:val="auto"/>
                <w:sz w:val="24"/>
                <w:szCs w:val="24"/>
                <w:lang w:val="en-US" w:eastAsia="zh-CN"/>
              </w:rPr>
              <w:t>2400</w:t>
            </w:r>
            <w:r>
              <w:rPr>
                <w:rFonts w:hint="default" w:ascii="Times New Roman" w:hAnsi="Times New Roman" w:cs="Times New Roman"/>
                <w:color w:val="auto"/>
                <w:sz w:val="24"/>
                <w:szCs w:val="24"/>
              </w:rPr>
              <w:t>t) ，项目粉状原料的年消耗总量</w:t>
            </w:r>
            <w:r>
              <w:rPr>
                <w:rFonts w:hint="default" w:ascii="Times New Roman" w:hAnsi="Times New Roman" w:cs="Times New Roman"/>
                <w:color w:val="auto"/>
                <w:sz w:val="24"/>
                <w:szCs w:val="24"/>
                <w:lang w:val="en-US" w:eastAsia="zh-CN"/>
              </w:rPr>
              <w:t>42600</w:t>
            </w:r>
            <w:r>
              <w:rPr>
                <w:rFonts w:hint="default" w:ascii="Times New Roman" w:hAnsi="Times New Roman" w:cs="Times New Roman"/>
                <w:color w:val="auto"/>
                <w:sz w:val="24"/>
                <w:szCs w:val="24"/>
              </w:rPr>
              <w:t>t (水泥</w:t>
            </w:r>
            <w:r>
              <w:rPr>
                <w:rFonts w:hint="default" w:ascii="Times New Roman" w:hAnsi="Times New Roman" w:cs="Times New Roman"/>
                <w:color w:val="auto"/>
                <w:sz w:val="24"/>
                <w:szCs w:val="24"/>
                <w:lang w:val="en-US" w:eastAsia="zh-CN"/>
              </w:rPr>
              <w:t>37600</w:t>
            </w:r>
            <w:r>
              <w:rPr>
                <w:rFonts w:hint="default" w:ascii="Times New Roman" w:hAnsi="Times New Roman" w:cs="Times New Roman"/>
                <w:color w:val="auto"/>
                <w:sz w:val="24"/>
                <w:szCs w:val="24"/>
              </w:rPr>
              <w:t>吨，粉煤灰</w:t>
            </w:r>
            <w:r>
              <w:rPr>
                <w:rFonts w:hint="default" w:ascii="Times New Roman" w:hAnsi="Times New Roman" w:cs="Times New Roman"/>
                <w:color w:val="auto"/>
                <w:sz w:val="24"/>
                <w:szCs w:val="24"/>
                <w:lang w:val="en-US" w:eastAsia="zh-CN"/>
              </w:rPr>
              <w:t>5000</w:t>
            </w:r>
            <w:r>
              <w:rPr>
                <w:rFonts w:hint="default" w:ascii="Times New Roman" w:hAnsi="Times New Roman" w:cs="Times New Roman"/>
                <w:color w:val="auto"/>
                <w:sz w:val="24"/>
                <w:szCs w:val="24"/>
              </w:rPr>
              <w:t>吨)，运输车一车装载粉料量大概20t，装卸过程持续时间约0.5h，</w:t>
            </w:r>
            <w:bookmarkStart w:id="9" w:name="OLE_LINK26"/>
            <w:r>
              <w:rPr>
                <w:rFonts w:hint="default" w:ascii="Times New Roman" w:hAnsi="Times New Roman" w:cs="Times New Roman"/>
                <w:color w:val="auto"/>
                <w:sz w:val="24"/>
                <w:szCs w:val="24"/>
              </w:rPr>
              <w:t>全年总计用时</w:t>
            </w:r>
            <w:r>
              <w:rPr>
                <w:rFonts w:hint="default" w:ascii="Times New Roman" w:hAnsi="Times New Roman" w:cs="Times New Roman"/>
                <w:color w:val="auto"/>
                <w:sz w:val="24"/>
                <w:szCs w:val="24"/>
                <w:lang w:val="en-US" w:eastAsia="zh-CN"/>
              </w:rPr>
              <w:t>1065</w:t>
            </w:r>
            <w:r>
              <w:rPr>
                <w:rFonts w:hint="default" w:ascii="Times New Roman" w:hAnsi="Times New Roman" w:cs="Times New Roman"/>
                <w:color w:val="auto"/>
                <w:sz w:val="24"/>
                <w:szCs w:val="24"/>
              </w:rPr>
              <w:t>h。</w:t>
            </w:r>
            <w:bookmarkEnd w:id="9"/>
            <w:r>
              <w:rPr>
                <w:rFonts w:hint="default" w:ascii="Times New Roman" w:hAnsi="Times New Roman" w:cs="Times New Roman"/>
                <w:color w:val="auto"/>
                <w:sz w:val="24"/>
                <w:szCs w:val="24"/>
              </w:rPr>
              <w:t>根据《第一次全国污染源普查工业污染源产排污系数》(中册3121水泥制品制造业(含3122混凝土结构构件、3129其他水泥制品业)产排污系数表)可知，物料输送、储存工序粉尘产污系数为2.09kg/</w:t>
            </w:r>
            <w:bookmarkStart w:id="10" w:name="OLE_LINK8"/>
            <w:bookmarkStart w:id="11" w:name="OLE_LINK13"/>
            <w:r>
              <w:rPr>
                <w:rFonts w:hint="default" w:ascii="Times New Roman" w:hAnsi="Times New Roman" w:cs="Times New Roman"/>
                <w:color w:val="auto"/>
                <w:sz w:val="24"/>
                <w:szCs w:val="24"/>
              </w:rPr>
              <w:t>t</w:t>
            </w:r>
            <w:bookmarkEnd w:id="10"/>
            <w:bookmarkEnd w:id="11"/>
            <w:r>
              <w:rPr>
                <w:rFonts w:hint="default" w:ascii="Times New Roman" w:hAnsi="Times New Roman" w:cs="Times New Roman"/>
                <w:color w:val="auto"/>
                <w:sz w:val="24"/>
                <w:szCs w:val="24"/>
              </w:rPr>
              <w:t>-水泥，工业废气量为460</w:t>
            </w:r>
            <w:bookmarkStart w:id="12" w:name="OLE_LINK12"/>
            <w:r>
              <w:rPr>
                <w:rFonts w:hint="default" w:ascii="Times New Roman" w:hAnsi="Times New Roman" w:cs="Times New Roman"/>
                <w:color w:val="auto"/>
                <w:sz w:val="24"/>
                <w:szCs w:val="24"/>
              </w:rPr>
              <w:t>Nm</w:t>
            </w:r>
            <w:r>
              <w:rPr>
                <w:rFonts w:hint="default" w:ascii="Times New Roman" w:hAnsi="Times New Roman" w:cs="Times New Roman"/>
                <w:color w:val="auto"/>
                <w:sz w:val="24"/>
                <w:szCs w:val="24"/>
                <w:vertAlign w:val="superscript"/>
              </w:rPr>
              <w:t>3</w:t>
            </w:r>
            <w:bookmarkEnd w:id="12"/>
            <w:r>
              <w:rPr>
                <w:rFonts w:hint="default" w:ascii="Times New Roman" w:hAnsi="Times New Roman" w:cs="Times New Roman"/>
                <w:color w:val="auto"/>
                <w:sz w:val="24"/>
                <w:szCs w:val="24"/>
              </w:rPr>
              <w:t>/t -水泥(粉煤灰储罐粉尘产污系数也参照该产污系数)。则此阶段合计粉尘产生量为</w:t>
            </w:r>
            <w:r>
              <w:rPr>
                <w:rFonts w:hint="default" w:ascii="Times New Roman" w:hAnsi="Times New Roman" w:cs="Times New Roman"/>
                <w:color w:val="auto"/>
                <w:sz w:val="24"/>
                <w:szCs w:val="24"/>
                <w:lang w:val="en-US" w:eastAsia="zh-CN"/>
              </w:rPr>
              <w:t>89.034</w:t>
            </w:r>
            <w:r>
              <w:rPr>
                <w:rFonts w:hint="default" w:ascii="Times New Roman" w:hAnsi="Times New Roman" w:cs="Times New Roman"/>
                <w:color w:val="auto"/>
                <w:sz w:val="24"/>
                <w:szCs w:val="24"/>
              </w:rPr>
              <w:t>t/a，废气量为</w:t>
            </w:r>
            <w:bookmarkStart w:id="13" w:name="OLE_LINK18"/>
            <w:r>
              <w:rPr>
                <w:rFonts w:hint="default" w:ascii="Times New Roman" w:hAnsi="Times New Roman" w:cs="Times New Roman"/>
                <w:color w:val="auto"/>
                <w:sz w:val="24"/>
                <w:szCs w:val="24"/>
                <w:lang w:val="en-US" w:eastAsia="zh-CN"/>
              </w:rPr>
              <w:t>1959.6</w:t>
            </w:r>
            <w:r>
              <w:rPr>
                <w:rFonts w:hint="default" w:ascii="Times New Roman" w:hAnsi="Times New Roman" w:cs="Times New Roman"/>
                <w:color w:val="auto"/>
                <w:sz w:val="24"/>
                <w:szCs w:val="24"/>
              </w:rPr>
              <w:t>万Nm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/a</w:t>
            </w:r>
            <w:bookmarkEnd w:id="13"/>
            <w:r>
              <w:rPr>
                <w:rFonts w:hint="default" w:ascii="Times New Roman" w:hAnsi="Times New Roman" w:cs="Times New Roman"/>
                <w:color w:val="auto"/>
                <w:sz w:val="24"/>
                <w:szCs w:val="24"/>
              </w:rPr>
              <w:t>，每个料仓顶部均设置1套布袋除尘器，除尘效率为99.8%，共计排放速率</w:t>
            </w:r>
            <w:r>
              <w:rPr>
                <w:rFonts w:hint="default" w:ascii="Times New Roman" w:hAnsi="Times New Roman" w:cs="Times New Roman"/>
                <w:color w:val="auto"/>
                <w:sz w:val="24"/>
                <w:szCs w:val="24"/>
                <w:lang w:val="en-US" w:eastAsia="zh-CN"/>
              </w:rPr>
              <w:t>0.1672</w:t>
            </w:r>
            <w:r>
              <w:rPr>
                <w:rFonts w:hint="default" w:ascii="Times New Roman" w:hAnsi="Times New Roman" w:cs="Times New Roman"/>
                <w:color w:val="auto"/>
                <w:sz w:val="24"/>
                <w:szCs w:val="24"/>
              </w:rPr>
              <w:t>kg/h。通过配套的脉冲布袋除尘设施处理后分别通过1</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根15m高、0.3m内径排气筒排放。本项目粉料仓进料过程中呼吸孔粉尘污染物排放情况如下表：</w:t>
            </w:r>
          </w:p>
          <w:p>
            <w:pPr>
              <w:keepNext w:val="0"/>
              <w:keepLines w:val="0"/>
              <w:pageBreakBefore w:val="0"/>
              <w:widowControl w:val="0"/>
              <w:kinsoku/>
              <w:wordWrap/>
              <w:overflowPunct/>
              <w:topLinePunct w:val="0"/>
              <w:autoSpaceDE/>
              <w:autoSpaceDN/>
              <w:bidi w:val="0"/>
              <w:adjustRightInd w:val="0"/>
              <w:snapToGrid w:val="0"/>
              <w:spacing w:line="240" w:lineRule="auto"/>
              <w:ind w:firstLine="602" w:firstLineChars="250"/>
              <w:jc w:val="center"/>
              <w:textAlignment w:val="auto"/>
              <w:rPr>
                <w:rFonts w:ascii="Times New Roman" w:hAnsi="Times New Roman"/>
                <w:b/>
                <w:bCs/>
                <w:color w:val="auto"/>
                <w:sz w:val="24"/>
              </w:rPr>
            </w:pPr>
            <w:bookmarkStart w:id="14" w:name="OLE_LINK30"/>
            <w:bookmarkStart w:id="15" w:name="OLE_LINK31"/>
            <w:r>
              <w:rPr>
                <w:rFonts w:ascii="Times New Roman" w:hAnsi="Times New Roman"/>
                <w:b/>
                <w:bCs/>
                <w:color w:val="auto"/>
                <w:sz w:val="24"/>
              </w:rPr>
              <w:t>表5-</w:t>
            </w:r>
            <w:r>
              <w:rPr>
                <w:rFonts w:hint="eastAsia" w:ascii="Times New Roman" w:hAnsi="Times New Roman"/>
                <w:b/>
                <w:bCs/>
                <w:color w:val="auto"/>
                <w:sz w:val="24"/>
                <w:lang w:val="en-US" w:eastAsia="zh-CN"/>
              </w:rPr>
              <w:t>4</w:t>
            </w:r>
            <w:r>
              <w:rPr>
                <w:rFonts w:ascii="Times New Roman" w:hAnsi="Times New Roman"/>
                <w:b/>
                <w:bCs/>
                <w:color w:val="auto"/>
                <w:sz w:val="24"/>
              </w:rPr>
              <w:t xml:space="preserve"> 搅拌系统水泥仓和粉煤灰仓呼吸孔粉尘污染物产排情况</w:t>
            </w:r>
          </w:p>
          <w:tbl>
            <w:tblPr>
              <w:tblStyle w:val="43"/>
              <w:tblW w:w="4994"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15" w:type="dxa"/>
                <w:left w:w="15" w:type="dxa"/>
                <w:bottom w:w="15" w:type="dxa"/>
                <w:right w:w="15" w:type="dxa"/>
              </w:tblCellMar>
            </w:tblPr>
            <w:tblGrid>
              <w:gridCol w:w="933"/>
              <w:gridCol w:w="937"/>
              <w:gridCol w:w="775"/>
              <w:gridCol w:w="831"/>
              <w:gridCol w:w="658"/>
              <w:gridCol w:w="632"/>
              <w:gridCol w:w="897"/>
              <w:gridCol w:w="740"/>
              <w:gridCol w:w="877"/>
              <w:gridCol w:w="101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315" w:hRule="atLeast"/>
                <w:jc w:val="center"/>
              </w:trPr>
              <w:tc>
                <w:tcPr>
                  <w:tcW w:w="565"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产尘点</w:t>
                  </w:r>
                </w:p>
              </w:tc>
              <w:tc>
                <w:tcPr>
                  <w:tcW w:w="5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除尘设施</w:t>
                  </w:r>
                </w:p>
              </w:tc>
              <w:tc>
                <w:tcPr>
                  <w:tcW w:w="445"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废气量（万Nm</w:t>
                  </w:r>
                  <w:r>
                    <w:rPr>
                      <w:rFonts w:hint="default" w:ascii="Times New Roman" w:hAnsi="Times New Roman" w:cs="Times New Roman"/>
                      <w:b w:val="0"/>
                      <w:bCs w:val="0"/>
                      <w:color w:val="auto"/>
                      <w:sz w:val="21"/>
                      <w:szCs w:val="21"/>
                      <w:vertAlign w:val="superscript"/>
                    </w:rPr>
                    <w:t>3</w:t>
                  </w:r>
                  <w:r>
                    <w:rPr>
                      <w:rFonts w:hint="default" w:ascii="Times New Roman" w:hAnsi="Times New Roman" w:cs="Times New Roman"/>
                      <w:b w:val="0"/>
                      <w:bCs w:val="0"/>
                      <w:color w:val="auto"/>
                      <w:sz w:val="21"/>
                      <w:szCs w:val="21"/>
                    </w:rPr>
                    <w:t>/a）</w:t>
                  </w:r>
                </w:p>
              </w:tc>
              <w:tc>
                <w:tcPr>
                  <w:tcW w:w="503"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产生浓度mg/m</w:t>
                  </w:r>
                  <w:r>
                    <w:rPr>
                      <w:rFonts w:hint="default" w:ascii="Times New Roman" w:hAnsi="Times New Roman" w:cs="Times New Roman"/>
                      <w:b w:val="0"/>
                      <w:bCs w:val="0"/>
                      <w:color w:val="auto"/>
                      <w:sz w:val="21"/>
                      <w:szCs w:val="21"/>
                      <w:vertAlign w:val="superscript"/>
                    </w:rPr>
                    <w:t>3</w:t>
                  </w:r>
                </w:p>
              </w:tc>
              <w:tc>
                <w:tcPr>
                  <w:tcW w:w="399"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产生量t/a</w:t>
                  </w:r>
                </w:p>
              </w:tc>
              <w:tc>
                <w:tcPr>
                  <w:tcW w:w="383"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除尘效率（%）</w:t>
                  </w:r>
                </w:p>
              </w:tc>
              <w:tc>
                <w:tcPr>
                  <w:tcW w:w="1522"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污染物排放量</w:t>
                  </w:r>
                </w:p>
              </w:tc>
              <w:tc>
                <w:tcPr>
                  <w:tcW w:w="612"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排气筒参数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300" w:hRule="atLeast"/>
                <w:jc w:val="center"/>
              </w:trPr>
              <w:tc>
                <w:tcPr>
                  <w:tcW w:w="565"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p>
              </w:tc>
              <w:tc>
                <w:tcPr>
                  <w:tcW w:w="5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p>
              </w:tc>
              <w:tc>
                <w:tcPr>
                  <w:tcW w:w="445"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p>
              </w:tc>
              <w:tc>
                <w:tcPr>
                  <w:tcW w:w="503"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p>
              </w:tc>
              <w:tc>
                <w:tcPr>
                  <w:tcW w:w="399"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p>
              </w:tc>
              <w:tc>
                <w:tcPr>
                  <w:tcW w:w="383"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p>
              </w:tc>
              <w:tc>
                <w:tcPr>
                  <w:tcW w:w="54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排放浓度mg/m</w:t>
                  </w:r>
                  <w:r>
                    <w:rPr>
                      <w:rFonts w:hint="default" w:ascii="Times New Roman" w:hAnsi="Times New Roman" w:cs="Times New Roman"/>
                      <w:b w:val="0"/>
                      <w:bCs w:val="0"/>
                      <w:color w:val="auto"/>
                      <w:sz w:val="21"/>
                      <w:szCs w:val="21"/>
                      <w:vertAlign w:val="superscript"/>
                    </w:rPr>
                    <w:t>3</w:t>
                  </w:r>
                </w:p>
              </w:tc>
              <w:tc>
                <w:tcPr>
                  <w:tcW w:w="448" w:type="pct"/>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eastAsia="zh-CN"/>
                    </w:rPr>
                    <w:t>排放速率</w:t>
                  </w:r>
                  <w:r>
                    <w:rPr>
                      <w:rFonts w:hint="eastAsia" w:ascii="Times New Roman" w:hAnsi="Times New Roman" w:cs="Times New Roman"/>
                      <w:b w:val="0"/>
                      <w:bCs w:val="0"/>
                      <w:color w:val="auto"/>
                      <w:sz w:val="21"/>
                      <w:szCs w:val="21"/>
                      <w:lang w:val="en-US" w:eastAsia="zh-CN"/>
                    </w:rPr>
                    <w:t>k</w:t>
                  </w:r>
                  <w:r>
                    <w:rPr>
                      <w:rFonts w:hint="default" w:ascii="Times New Roman" w:hAnsi="Times New Roman" w:cs="Times New Roman"/>
                      <w:b w:val="0"/>
                      <w:bCs w:val="0"/>
                      <w:color w:val="auto"/>
                      <w:sz w:val="21"/>
                      <w:szCs w:val="21"/>
                      <w:lang w:val="en-US" w:eastAsia="zh-CN"/>
                    </w:rPr>
                    <w:t>g/h</w:t>
                  </w:r>
                </w:p>
              </w:tc>
              <w:tc>
                <w:tcPr>
                  <w:tcW w:w="5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排放量</w:t>
                  </w:r>
                  <w:bookmarkStart w:id="16" w:name="OLE_LINK19"/>
                  <w:r>
                    <w:rPr>
                      <w:rFonts w:hint="default" w:ascii="Times New Roman" w:hAnsi="Times New Roman" w:cs="Times New Roman"/>
                      <w:b w:val="0"/>
                      <w:bCs w:val="0"/>
                      <w:color w:val="auto"/>
                      <w:sz w:val="21"/>
                      <w:szCs w:val="21"/>
                    </w:rPr>
                    <w:t>t/a</w:t>
                  </w:r>
                  <w:bookmarkEnd w:id="16"/>
                </w:p>
              </w:tc>
              <w:tc>
                <w:tcPr>
                  <w:tcW w:w="612"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285" w:hRule="atLeast"/>
                <w:jc w:val="center"/>
              </w:trPr>
              <w:tc>
                <w:tcPr>
                  <w:tcW w:w="56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bookmarkStart w:id="17" w:name="OLE_LINK5" w:colFirst="2" w:colLast="2"/>
                  <w:bookmarkStart w:id="18" w:name="_Hlk26295831"/>
                  <w:r>
                    <w:rPr>
                      <w:rFonts w:hint="default" w:ascii="Times New Roman" w:hAnsi="Times New Roman" w:cs="Times New Roman"/>
                      <w:b w:val="0"/>
                      <w:bCs w:val="0"/>
                      <w:color w:val="auto"/>
                      <w:sz w:val="21"/>
                      <w:szCs w:val="21"/>
                    </w:rPr>
                    <w:t>水泥仓</w:t>
                  </w:r>
                  <w:r>
                    <w:rPr>
                      <w:rFonts w:hint="default" w:ascii="Times New Roman" w:hAnsi="Times New Roman" w:cs="Times New Roman"/>
                      <w:b w:val="0"/>
                      <w:bCs w:val="0"/>
                      <w:color w:val="auto"/>
                      <w:sz w:val="21"/>
                      <w:szCs w:val="21"/>
                      <w:lang w:val="en-US" w:eastAsia="zh-CN"/>
                    </w:rPr>
                    <w:t>8</w:t>
                  </w:r>
                  <w:r>
                    <w:rPr>
                      <w:rFonts w:hint="default" w:ascii="Times New Roman" w:hAnsi="Times New Roman" w:cs="Times New Roman"/>
                      <w:b w:val="0"/>
                      <w:bCs w:val="0"/>
                      <w:color w:val="auto"/>
                      <w:sz w:val="21"/>
                      <w:szCs w:val="21"/>
                    </w:rPr>
                    <w:t>个</w:t>
                  </w:r>
                  <w:r>
                    <w:rPr>
                      <w:rFonts w:hint="default" w:ascii="Times New Roman" w:hAnsi="Times New Roman" w:cs="Times New Roman"/>
                      <w:b w:val="0"/>
                      <w:bCs w:val="0"/>
                      <w:color w:val="auto"/>
                      <w:sz w:val="21"/>
                      <w:szCs w:val="21"/>
                      <w:lang w:val="en-US" w:eastAsia="zh-CN"/>
                    </w:rPr>
                    <w:t>G1-G8</w:t>
                  </w:r>
                </w:p>
              </w:tc>
              <w:tc>
                <w:tcPr>
                  <w:tcW w:w="56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bookmarkStart w:id="19" w:name="OLE_LINK14"/>
                  <w:r>
                    <w:rPr>
                      <w:rFonts w:hint="default" w:ascii="Times New Roman" w:hAnsi="Times New Roman" w:cs="Times New Roman"/>
                      <w:b w:val="0"/>
                      <w:bCs w:val="0"/>
                      <w:color w:val="auto"/>
                      <w:sz w:val="21"/>
                      <w:szCs w:val="21"/>
                      <w:lang w:val="en-US" w:eastAsia="zh-CN"/>
                    </w:rPr>
                    <w:t>8</w:t>
                  </w:r>
                  <w:r>
                    <w:rPr>
                      <w:rFonts w:hint="default" w:ascii="Times New Roman" w:hAnsi="Times New Roman" w:cs="Times New Roman"/>
                      <w:b w:val="0"/>
                      <w:bCs w:val="0"/>
                      <w:color w:val="auto"/>
                      <w:sz w:val="21"/>
                      <w:szCs w:val="21"/>
                    </w:rPr>
                    <w:t>台脉冲布袋除尘</w:t>
                  </w:r>
                  <w:bookmarkEnd w:id="19"/>
                </w:p>
              </w:tc>
              <w:tc>
                <w:tcPr>
                  <w:tcW w:w="44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1729.6</w:t>
                  </w:r>
                </w:p>
              </w:tc>
              <w:tc>
                <w:tcPr>
                  <w:tcW w:w="50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bookmarkStart w:id="20" w:name="OLE_LINK16"/>
                  <w:r>
                    <w:rPr>
                      <w:rFonts w:hint="default" w:ascii="Times New Roman" w:hAnsi="Times New Roman" w:cs="Times New Roman"/>
                      <w:b w:val="0"/>
                      <w:bCs w:val="0"/>
                      <w:color w:val="auto"/>
                      <w:sz w:val="21"/>
                      <w:szCs w:val="21"/>
                    </w:rPr>
                    <w:t>4543.5</w:t>
                  </w:r>
                  <w:bookmarkEnd w:id="20"/>
                </w:p>
              </w:tc>
              <w:tc>
                <w:tcPr>
                  <w:tcW w:w="39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78.584</w:t>
                  </w:r>
                </w:p>
              </w:tc>
              <w:tc>
                <w:tcPr>
                  <w:tcW w:w="38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99.8</w:t>
                  </w:r>
                </w:p>
              </w:tc>
              <w:tc>
                <w:tcPr>
                  <w:tcW w:w="54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bookmarkStart w:id="21" w:name="OLE_LINK17"/>
                  <w:r>
                    <w:rPr>
                      <w:rFonts w:hint="default" w:ascii="Times New Roman" w:hAnsi="Times New Roman" w:cs="Times New Roman"/>
                      <w:b w:val="0"/>
                      <w:bCs w:val="0"/>
                      <w:color w:val="auto"/>
                      <w:sz w:val="21"/>
                      <w:szCs w:val="21"/>
                    </w:rPr>
                    <w:t>9.08</w:t>
                  </w:r>
                  <w:bookmarkEnd w:id="21"/>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0.1672</w:t>
                  </w:r>
                </w:p>
              </w:tc>
              <w:tc>
                <w:tcPr>
                  <w:tcW w:w="5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0.1571</w:t>
                  </w:r>
                </w:p>
              </w:tc>
              <w:tc>
                <w:tcPr>
                  <w:tcW w:w="61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15</w:t>
                  </w:r>
                  <w:r>
                    <w:rPr>
                      <w:rFonts w:hint="eastAsia" w:ascii="Times New Roman" w:hAnsi="Times New Roman" w:cs="Times New Roman"/>
                      <w:b w:val="0"/>
                      <w:bCs w:val="0"/>
                      <w:color w:val="auto"/>
                      <w:sz w:val="21"/>
                      <w:szCs w:val="21"/>
                      <w:lang w:val="en-US" w:eastAsia="zh-CN"/>
                    </w:rPr>
                    <w:t>,</w:t>
                  </w:r>
                  <w:r>
                    <w:rPr>
                      <w:rFonts w:hint="default" w:ascii="Times New Roman" w:hAnsi="Times New Roman" w:cs="Times New Roman"/>
                      <w:b w:val="0"/>
                      <w:bCs w:val="0"/>
                      <w:color w:val="auto"/>
                      <w:sz w:val="21"/>
                      <w:szCs w:val="21"/>
                    </w:rPr>
                    <w:t>Ф=0.3m</w:t>
                  </w:r>
                </w:p>
              </w:tc>
            </w:tr>
            <w:bookmarkEnd w:id="17"/>
            <w:bookmarkEnd w:id="18"/>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285" w:hRule="atLeast"/>
                <w:jc w:val="center"/>
              </w:trPr>
              <w:tc>
                <w:tcPr>
                  <w:tcW w:w="56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rPr>
                    <w:t>粉煤灰4个</w:t>
                  </w:r>
                  <w:r>
                    <w:rPr>
                      <w:rFonts w:hint="default" w:ascii="Times New Roman" w:hAnsi="Times New Roman" w:cs="Times New Roman"/>
                      <w:b w:val="0"/>
                      <w:bCs w:val="0"/>
                      <w:color w:val="auto"/>
                      <w:sz w:val="21"/>
                      <w:szCs w:val="21"/>
                      <w:lang w:val="en-US" w:eastAsia="zh-CN"/>
                    </w:rPr>
                    <w:t>G9-G12</w:t>
                  </w:r>
                </w:p>
              </w:tc>
              <w:tc>
                <w:tcPr>
                  <w:tcW w:w="56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4台脉冲布袋除尘</w:t>
                  </w:r>
                </w:p>
              </w:tc>
              <w:tc>
                <w:tcPr>
                  <w:tcW w:w="44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230</w:t>
                  </w:r>
                </w:p>
              </w:tc>
              <w:tc>
                <w:tcPr>
                  <w:tcW w:w="50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4543.5</w:t>
                  </w:r>
                </w:p>
              </w:tc>
              <w:tc>
                <w:tcPr>
                  <w:tcW w:w="39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10.45</w:t>
                  </w:r>
                </w:p>
              </w:tc>
              <w:tc>
                <w:tcPr>
                  <w:tcW w:w="38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99.8</w:t>
                  </w:r>
                </w:p>
              </w:tc>
              <w:tc>
                <w:tcPr>
                  <w:tcW w:w="54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9.08</w:t>
                  </w:r>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0.1672</w:t>
                  </w:r>
                </w:p>
              </w:tc>
              <w:tc>
                <w:tcPr>
                  <w:tcW w:w="5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0.0209</w:t>
                  </w:r>
                </w:p>
              </w:tc>
              <w:tc>
                <w:tcPr>
                  <w:tcW w:w="61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15</w:t>
                  </w:r>
                  <w:r>
                    <w:rPr>
                      <w:rFonts w:hint="eastAsia" w:ascii="Times New Roman" w:hAnsi="Times New Roman" w:cs="Times New Roman"/>
                      <w:b w:val="0"/>
                      <w:bCs w:val="0"/>
                      <w:color w:val="auto"/>
                      <w:sz w:val="21"/>
                      <w:szCs w:val="21"/>
                      <w:lang w:val="en-US" w:eastAsia="zh-CN"/>
                    </w:rPr>
                    <w:t>,</w:t>
                  </w:r>
                  <w:r>
                    <w:rPr>
                      <w:rFonts w:hint="default" w:ascii="Times New Roman" w:hAnsi="Times New Roman" w:cs="Times New Roman"/>
                      <w:b w:val="0"/>
                      <w:bCs w:val="0"/>
                      <w:color w:val="auto"/>
                      <w:sz w:val="21"/>
                      <w:szCs w:val="21"/>
                    </w:rPr>
                    <w:t>Ф=0.3m</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285" w:hRule="atLeast"/>
                <w:jc w:val="center"/>
              </w:trPr>
              <w:tc>
                <w:tcPr>
                  <w:tcW w:w="56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合计</w:t>
                  </w:r>
                </w:p>
              </w:tc>
              <w:tc>
                <w:tcPr>
                  <w:tcW w:w="56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lang w:val="en-US" w:eastAsia="zh-CN"/>
                    </w:rPr>
                    <w:t>12</w:t>
                  </w:r>
                  <w:r>
                    <w:rPr>
                      <w:rFonts w:hint="default" w:ascii="Times New Roman" w:hAnsi="Times New Roman" w:cs="Times New Roman"/>
                      <w:b w:val="0"/>
                      <w:bCs w:val="0"/>
                      <w:color w:val="auto"/>
                      <w:sz w:val="21"/>
                      <w:szCs w:val="21"/>
                    </w:rPr>
                    <w:t>套</w:t>
                  </w:r>
                </w:p>
              </w:tc>
              <w:tc>
                <w:tcPr>
                  <w:tcW w:w="44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1959.6</w:t>
                  </w:r>
                </w:p>
              </w:tc>
              <w:tc>
                <w:tcPr>
                  <w:tcW w:w="50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w:t>
                  </w:r>
                </w:p>
              </w:tc>
              <w:tc>
                <w:tcPr>
                  <w:tcW w:w="39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89.034</w:t>
                  </w:r>
                </w:p>
              </w:tc>
              <w:tc>
                <w:tcPr>
                  <w:tcW w:w="38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w:t>
                  </w:r>
                </w:p>
              </w:tc>
              <w:tc>
                <w:tcPr>
                  <w:tcW w:w="54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w:t>
                  </w:r>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0.3344</w:t>
                  </w:r>
                </w:p>
              </w:tc>
              <w:tc>
                <w:tcPr>
                  <w:tcW w:w="5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0.178</w:t>
                  </w:r>
                </w:p>
              </w:tc>
              <w:tc>
                <w:tcPr>
                  <w:tcW w:w="61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w:t>
                  </w:r>
                </w:p>
              </w:tc>
            </w:tr>
            <w:bookmarkEnd w:id="14"/>
            <w:bookmarkEnd w:id="15"/>
          </w:tbl>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50"/>
              <w:jc w:val="both"/>
              <w:textAlignment w:val="auto"/>
              <w:rPr>
                <w:rFonts w:ascii="Times New Roman" w:hAnsi="Times New Roman"/>
                <w:b w:val="0"/>
                <w:bCs w:val="0"/>
                <w:color w:val="auto"/>
                <w:sz w:val="24"/>
              </w:rPr>
            </w:pPr>
            <w:r>
              <w:rPr>
                <w:rFonts w:ascii="Times New Roman" w:hAnsi="Times New Roman"/>
                <w:b w:val="0"/>
                <w:bCs w:val="0"/>
                <w:color w:val="auto"/>
                <w:sz w:val="24"/>
              </w:rPr>
              <w:t>由以上分析可知，项目各水泥仓、粉煤灰仓进料过程中产生的粉尘，经过仓顶设置的布袋除尘器处理后，各排放口的粉尘排放浓度为9.08mg/m</w:t>
            </w:r>
            <w:r>
              <w:rPr>
                <w:rFonts w:ascii="Times New Roman" w:hAnsi="Times New Roman"/>
                <w:b w:val="0"/>
                <w:bCs w:val="0"/>
                <w:color w:val="auto"/>
                <w:sz w:val="24"/>
                <w:vertAlign w:val="superscript"/>
              </w:rPr>
              <w:t>3</w:t>
            </w:r>
            <w:r>
              <w:rPr>
                <w:rFonts w:ascii="Times New Roman" w:hAnsi="Times New Roman"/>
                <w:b w:val="0"/>
                <w:bCs w:val="0"/>
                <w:color w:val="auto"/>
                <w:sz w:val="24"/>
              </w:rPr>
              <w:t>，低于《水泥工业大气污染物排放标准》（GB4915-2013）中水泥制品有组织排放限值标准颗粒物≤20mg/m</w:t>
            </w:r>
            <w:r>
              <w:rPr>
                <w:rFonts w:ascii="Times New Roman" w:hAnsi="Times New Roman"/>
                <w:b w:val="0"/>
                <w:bCs w:val="0"/>
                <w:color w:val="auto"/>
                <w:sz w:val="24"/>
                <w:vertAlign w:val="superscript"/>
              </w:rPr>
              <w:t>3</w:t>
            </w:r>
            <w:r>
              <w:rPr>
                <w:rFonts w:ascii="Times New Roman" w:hAnsi="Times New Roman"/>
                <w:b w:val="0"/>
                <w:bCs w:val="0"/>
                <w:color w:val="auto"/>
                <w:sz w:val="24"/>
              </w:rPr>
              <w:t>。</w:t>
            </w:r>
          </w:p>
          <w:p>
            <w:pPr>
              <w:adjustRightInd w:val="0"/>
              <w:snapToGrid w:val="0"/>
              <w:spacing w:line="360" w:lineRule="auto"/>
              <w:ind w:firstLine="602" w:firstLineChars="250"/>
              <w:rPr>
                <w:rFonts w:ascii="Times New Roman" w:hAnsi="Times New Roman"/>
                <w:b/>
                <w:color w:val="auto"/>
                <w:sz w:val="24"/>
              </w:rPr>
            </w:pPr>
            <w:r>
              <w:rPr>
                <w:rFonts w:ascii="Times New Roman" w:hAnsi="Times New Roman"/>
                <w:b/>
                <w:color w:val="auto"/>
                <w:sz w:val="24"/>
              </w:rPr>
              <w:t>（2）无组织粉尘</w:t>
            </w:r>
          </w:p>
          <w:p>
            <w:pPr>
              <w:adjustRightInd w:val="0"/>
              <w:snapToGrid w:val="0"/>
              <w:spacing w:line="360" w:lineRule="auto"/>
              <w:ind w:firstLine="600" w:firstLineChars="250"/>
              <w:rPr>
                <w:rFonts w:ascii="Times New Roman" w:hAnsi="Times New Roman"/>
                <w:color w:val="auto"/>
                <w:sz w:val="24"/>
              </w:rPr>
            </w:pPr>
            <w:r>
              <w:rPr>
                <w:rFonts w:ascii="Times New Roman" w:hAnsi="Times New Roman"/>
                <w:color w:val="auto"/>
                <w:sz w:val="24"/>
              </w:rPr>
              <w:t>①砂石料</w:t>
            </w:r>
            <w:r>
              <w:rPr>
                <w:rFonts w:hint="eastAsia" w:ascii="Times New Roman" w:hAnsi="Times New Roman"/>
                <w:color w:val="auto"/>
                <w:sz w:val="24"/>
              </w:rPr>
              <w:t>堆棚</w:t>
            </w:r>
            <w:r>
              <w:rPr>
                <w:rFonts w:ascii="Times New Roman" w:hAnsi="Times New Roman"/>
                <w:color w:val="auto"/>
                <w:sz w:val="24"/>
              </w:rPr>
              <w:t>无组织粉尘WG1</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本项目外购合格的碎石、</w:t>
            </w:r>
            <w:r>
              <w:rPr>
                <w:rFonts w:hint="eastAsia" w:ascii="Times New Roman" w:hAnsi="Times New Roman"/>
                <w:color w:val="auto"/>
                <w:sz w:val="24"/>
                <w:szCs w:val="24"/>
              </w:rPr>
              <w:t>机制砂、</w:t>
            </w:r>
            <w:r>
              <w:rPr>
                <w:rFonts w:ascii="Times New Roman" w:hAnsi="Times New Roman"/>
                <w:color w:val="auto"/>
                <w:sz w:val="24"/>
                <w:szCs w:val="24"/>
              </w:rPr>
              <w:t>河沙分别堆放于各</w:t>
            </w:r>
            <w:r>
              <w:rPr>
                <w:rFonts w:hint="eastAsia" w:ascii="Times New Roman" w:hAnsi="Times New Roman"/>
                <w:color w:val="auto"/>
                <w:sz w:val="24"/>
                <w:szCs w:val="24"/>
              </w:rPr>
              <w:t>堆棚</w:t>
            </w:r>
            <w:r>
              <w:rPr>
                <w:rFonts w:ascii="Times New Roman" w:hAnsi="Times New Roman"/>
                <w:color w:val="auto"/>
                <w:sz w:val="24"/>
                <w:szCs w:val="24"/>
              </w:rPr>
              <w:t>中，在风力作用下会产生一定的粉尘，属于无组织排放。</w:t>
            </w:r>
            <w:r>
              <w:rPr>
                <w:rFonts w:hint="eastAsia" w:ascii="Times New Roman" w:hAnsi="Times New Roman"/>
                <w:color w:val="auto"/>
                <w:sz w:val="24"/>
                <w:szCs w:val="24"/>
              </w:rPr>
              <w:t>砂石料堆棚</w:t>
            </w:r>
            <w:r>
              <w:rPr>
                <w:rFonts w:ascii="Times New Roman" w:hAnsi="Times New Roman"/>
                <w:color w:val="auto"/>
                <w:sz w:val="24"/>
                <w:szCs w:val="24"/>
              </w:rPr>
              <w:t>的起尘量按西安冶金建筑学院的起尘量推荐公式进行计算：</w:t>
            </w:r>
          </w:p>
          <w:p>
            <w:pPr>
              <w:adjustRightInd w:val="0"/>
              <w:snapToGrid w:val="0"/>
              <w:spacing w:line="360" w:lineRule="auto"/>
              <w:ind w:firstLine="1050" w:firstLineChars="500"/>
              <w:rPr>
                <w:rFonts w:ascii="Times New Roman" w:hAnsi="Times New Roman"/>
                <w:color w:val="auto"/>
                <w:sz w:val="20"/>
              </w:rPr>
            </w:pPr>
            <w:r>
              <w:rPr>
                <w:rFonts w:ascii="Times New Roman" w:hAnsi="Times New Roman"/>
                <w:color w:val="auto"/>
              </w:rPr>
              <w:drawing>
                <wp:inline distT="0" distB="0" distL="114300" distR="114300">
                  <wp:extent cx="1548130" cy="307340"/>
                  <wp:effectExtent l="0" t="0" r="13970" b="16510"/>
                  <wp:docPr id="47" name="图片 3" descr="wps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descr="wps222"/>
                          <pic:cNvPicPr>
                            <a:picLocks noChangeAspect="1"/>
                          </pic:cNvPicPr>
                        </pic:nvPicPr>
                        <pic:blipFill>
                          <a:blip r:embed="rId14" cstate="print"/>
                          <a:stretch>
                            <a:fillRect/>
                          </a:stretch>
                        </pic:blipFill>
                        <pic:spPr>
                          <a:xfrm>
                            <a:off x="0" y="0"/>
                            <a:ext cx="1548130" cy="307340"/>
                          </a:xfrm>
                          <a:prstGeom prst="rect">
                            <a:avLst/>
                          </a:prstGeom>
                          <a:noFill/>
                          <a:ln w="9525">
                            <a:noFill/>
                          </a:ln>
                        </pic:spPr>
                      </pic:pic>
                    </a:graphicData>
                  </a:graphic>
                </wp:inline>
              </w:drawing>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式中：Q——起尘量，mg/s；</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 xml:space="preserve">      S——堆场的起尘面积，</w:t>
            </w:r>
            <w:r>
              <w:rPr>
                <w:rFonts w:hint="eastAsia" w:ascii="Times New Roman" w:hAnsi="Times New Roman"/>
                <w:color w:val="auto"/>
                <w:sz w:val="24"/>
                <w:szCs w:val="24"/>
              </w:rPr>
              <w:t>1260</w:t>
            </w:r>
            <w:r>
              <w:rPr>
                <w:rFonts w:ascii="Times New Roman" w:hAnsi="Times New Roman"/>
                <w:color w:val="auto"/>
                <w:sz w:val="24"/>
                <w:szCs w:val="24"/>
              </w:rPr>
              <w:t>m</w:t>
            </w:r>
            <w:r>
              <w:rPr>
                <w:rFonts w:ascii="Times New Roman" w:hAnsi="Times New Roman"/>
                <w:color w:val="auto"/>
                <w:sz w:val="24"/>
                <w:szCs w:val="24"/>
                <w:vertAlign w:val="superscript"/>
              </w:rPr>
              <w:t>2</w:t>
            </w:r>
            <w:r>
              <w:rPr>
                <w:rFonts w:ascii="Times New Roman" w:hAnsi="Times New Roman"/>
                <w:color w:val="auto"/>
                <w:sz w:val="24"/>
                <w:szCs w:val="24"/>
              </w:rPr>
              <w:t>（各</w:t>
            </w:r>
            <w:r>
              <w:rPr>
                <w:rFonts w:hint="eastAsia" w:ascii="Times New Roman" w:hAnsi="Times New Roman"/>
                <w:color w:val="auto"/>
                <w:sz w:val="24"/>
                <w:szCs w:val="24"/>
              </w:rPr>
              <w:t>砂石</w:t>
            </w:r>
            <w:r>
              <w:rPr>
                <w:rFonts w:ascii="Times New Roman" w:hAnsi="Times New Roman"/>
                <w:color w:val="auto"/>
                <w:sz w:val="24"/>
                <w:szCs w:val="24"/>
              </w:rPr>
              <w:t>料</w:t>
            </w:r>
            <w:r>
              <w:rPr>
                <w:rFonts w:hint="eastAsia" w:ascii="Times New Roman" w:hAnsi="Times New Roman"/>
                <w:color w:val="auto"/>
                <w:sz w:val="24"/>
                <w:szCs w:val="24"/>
              </w:rPr>
              <w:t>堆棚</w:t>
            </w:r>
            <w:r>
              <w:rPr>
                <w:rFonts w:ascii="Times New Roman" w:hAnsi="Times New Roman"/>
                <w:color w:val="auto"/>
                <w:sz w:val="24"/>
                <w:szCs w:val="24"/>
              </w:rPr>
              <w:t>连接，因此本次视为一个堆场计算）</w:t>
            </w:r>
            <w:r>
              <w:rPr>
                <w:rFonts w:hint="eastAsia" w:ascii="Times New Roman" w:hAnsi="Times New Roman"/>
                <w:color w:val="auto"/>
                <w:sz w:val="24"/>
                <w:szCs w:val="24"/>
              </w:rPr>
              <w:t>；</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 xml:space="preserve">      V——平均风速，</w:t>
            </w:r>
            <w:r>
              <w:rPr>
                <w:rFonts w:hint="eastAsia" w:ascii="Times New Roman" w:hAnsi="Times New Roman"/>
                <w:color w:val="auto"/>
                <w:sz w:val="24"/>
                <w:szCs w:val="24"/>
              </w:rPr>
              <w:t>富明</w:t>
            </w:r>
            <w:r>
              <w:rPr>
                <w:rFonts w:ascii="Times New Roman" w:hAnsi="Times New Roman"/>
                <w:color w:val="auto"/>
                <w:sz w:val="24"/>
                <w:szCs w:val="24"/>
              </w:rPr>
              <w:t>多年平均风速</w:t>
            </w:r>
            <w:r>
              <w:rPr>
                <w:rFonts w:hint="eastAsia" w:ascii="Times New Roman" w:hAnsi="Times New Roman"/>
                <w:color w:val="auto"/>
                <w:sz w:val="24"/>
                <w:szCs w:val="24"/>
              </w:rPr>
              <w:t>2.2</w:t>
            </w:r>
            <w:r>
              <w:rPr>
                <w:rFonts w:ascii="Times New Roman" w:hAnsi="Times New Roman"/>
                <w:color w:val="auto"/>
                <w:sz w:val="24"/>
                <w:szCs w:val="24"/>
              </w:rPr>
              <w:t>m/s。</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本项目</w:t>
            </w:r>
            <w:r>
              <w:rPr>
                <w:rFonts w:hint="eastAsia" w:ascii="Times New Roman" w:hAnsi="Times New Roman"/>
                <w:color w:val="auto"/>
                <w:sz w:val="24"/>
                <w:szCs w:val="24"/>
              </w:rPr>
              <w:t>砂石</w:t>
            </w:r>
            <w:r>
              <w:rPr>
                <w:rFonts w:ascii="Times New Roman" w:hAnsi="Times New Roman"/>
                <w:color w:val="auto"/>
                <w:sz w:val="24"/>
                <w:szCs w:val="24"/>
              </w:rPr>
              <w:t>料</w:t>
            </w:r>
            <w:r>
              <w:rPr>
                <w:rFonts w:hint="eastAsia" w:ascii="Times New Roman" w:hAnsi="Times New Roman"/>
                <w:color w:val="auto"/>
                <w:sz w:val="24"/>
                <w:szCs w:val="24"/>
              </w:rPr>
              <w:t>堆棚</w:t>
            </w:r>
            <w:r>
              <w:rPr>
                <w:rFonts w:ascii="Times New Roman" w:hAnsi="Times New Roman"/>
                <w:color w:val="auto"/>
                <w:sz w:val="24"/>
                <w:szCs w:val="24"/>
              </w:rPr>
              <w:t>占地面积为</w:t>
            </w:r>
            <w:r>
              <w:rPr>
                <w:rFonts w:hint="eastAsia" w:ascii="Times New Roman" w:hAnsi="Times New Roman"/>
                <w:color w:val="auto"/>
                <w:sz w:val="24"/>
                <w:szCs w:val="24"/>
              </w:rPr>
              <w:t>1260</w:t>
            </w:r>
            <w:r>
              <w:rPr>
                <w:rFonts w:ascii="Times New Roman" w:hAnsi="Times New Roman"/>
                <w:color w:val="auto"/>
                <w:sz w:val="24"/>
                <w:szCs w:val="24"/>
              </w:rPr>
              <w:t>m</w:t>
            </w:r>
            <w:r>
              <w:rPr>
                <w:rFonts w:ascii="Times New Roman" w:hAnsi="Times New Roman"/>
                <w:color w:val="auto"/>
                <w:sz w:val="24"/>
                <w:szCs w:val="24"/>
                <w:vertAlign w:val="superscript"/>
              </w:rPr>
              <w:t>2</w:t>
            </w:r>
            <w:r>
              <w:rPr>
                <w:rFonts w:ascii="Times New Roman" w:hAnsi="Times New Roman"/>
                <w:color w:val="auto"/>
                <w:sz w:val="24"/>
                <w:szCs w:val="24"/>
              </w:rPr>
              <w:t>，当地平均风速为</w:t>
            </w:r>
            <w:r>
              <w:rPr>
                <w:rFonts w:hint="eastAsia" w:ascii="Times New Roman" w:hAnsi="Times New Roman"/>
                <w:color w:val="auto"/>
                <w:sz w:val="24"/>
                <w:szCs w:val="24"/>
              </w:rPr>
              <w:t>2.2</w:t>
            </w:r>
            <w:r>
              <w:rPr>
                <w:rFonts w:ascii="Times New Roman" w:hAnsi="Times New Roman"/>
                <w:color w:val="auto"/>
                <w:sz w:val="24"/>
                <w:szCs w:val="24"/>
              </w:rPr>
              <w:t>m/s。经公式计算，</w:t>
            </w:r>
            <w:r>
              <w:rPr>
                <w:rFonts w:hint="eastAsia" w:ascii="Times New Roman" w:hAnsi="Times New Roman"/>
                <w:color w:val="auto"/>
                <w:sz w:val="24"/>
                <w:szCs w:val="24"/>
              </w:rPr>
              <w:t>堆棚</w:t>
            </w:r>
            <w:r>
              <w:rPr>
                <w:rFonts w:ascii="Times New Roman" w:hAnsi="Times New Roman"/>
                <w:color w:val="auto"/>
                <w:sz w:val="24"/>
                <w:szCs w:val="24"/>
              </w:rPr>
              <w:t>扬尘年均产生量约</w:t>
            </w:r>
            <w:r>
              <w:rPr>
                <w:rFonts w:hint="eastAsia" w:ascii="Times New Roman" w:hAnsi="Times New Roman"/>
                <w:color w:val="auto"/>
                <w:sz w:val="24"/>
                <w:szCs w:val="24"/>
              </w:rPr>
              <w:t>25.38</w:t>
            </w:r>
            <w:r>
              <w:rPr>
                <w:rFonts w:ascii="Times New Roman" w:hAnsi="Times New Roman"/>
                <w:color w:val="auto"/>
                <w:sz w:val="24"/>
                <w:szCs w:val="24"/>
              </w:rPr>
              <w:t>mg/s；则产生量为</w:t>
            </w:r>
            <w:r>
              <w:rPr>
                <w:rFonts w:hint="eastAsia" w:ascii="Times New Roman" w:hAnsi="Times New Roman"/>
                <w:color w:val="auto"/>
                <w:sz w:val="24"/>
                <w:szCs w:val="24"/>
              </w:rPr>
              <w:t>2.19</w:t>
            </w:r>
            <w:r>
              <w:rPr>
                <w:rFonts w:ascii="Times New Roman" w:hAnsi="Times New Roman"/>
                <w:color w:val="auto"/>
                <w:sz w:val="24"/>
                <w:szCs w:val="24"/>
              </w:rPr>
              <w:t>kg/d，</w:t>
            </w:r>
            <w:r>
              <w:rPr>
                <w:rFonts w:hint="eastAsia" w:ascii="Times New Roman" w:hAnsi="Times New Roman"/>
                <w:color w:val="auto"/>
                <w:sz w:val="24"/>
                <w:szCs w:val="24"/>
              </w:rPr>
              <w:t>0.67</w:t>
            </w:r>
            <w:r>
              <w:rPr>
                <w:rFonts w:ascii="Times New Roman" w:hAnsi="Times New Roman"/>
                <w:color w:val="auto"/>
                <w:sz w:val="24"/>
                <w:szCs w:val="24"/>
              </w:rPr>
              <w:t>t/a，为无组织排放。</w:t>
            </w:r>
          </w:p>
          <w:p>
            <w:pPr>
              <w:adjustRightInd w:val="0"/>
              <w:snapToGrid w:val="0"/>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可研</w:t>
            </w:r>
            <w:r>
              <w:rPr>
                <w:rFonts w:ascii="Times New Roman" w:hAnsi="Times New Roman"/>
                <w:color w:val="auto"/>
                <w:sz w:val="24"/>
                <w:szCs w:val="24"/>
              </w:rPr>
              <w:t>提出</w:t>
            </w:r>
            <w:r>
              <w:rPr>
                <w:rFonts w:ascii="Times New Roman" w:hAnsi="Times New Roman"/>
                <w:color w:val="auto"/>
                <w:kern w:val="0"/>
                <w:sz w:val="24"/>
                <w:szCs w:val="24"/>
              </w:rPr>
              <w:t>针对</w:t>
            </w:r>
            <w:r>
              <w:rPr>
                <w:rFonts w:hint="eastAsia" w:ascii="Times New Roman" w:hAnsi="Times New Roman"/>
                <w:color w:val="auto"/>
                <w:kern w:val="0"/>
                <w:sz w:val="24"/>
                <w:szCs w:val="24"/>
              </w:rPr>
              <w:t>砂石料堆棚</w:t>
            </w:r>
            <w:r>
              <w:rPr>
                <w:rFonts w:ascii="Times New Roman" w:hAnsi="Times New Roman"/>
                <w:color w:val="auto"/>
                <w:sz w:val="24"/>
                <w:szCs w:val="24"/>
              </w:rPr>
              <w:t>设置</w:t>
            </w:r>
            <w:r>
              <w:rPr>
                <w:rFonts w:hint="eastAsia" w:ascii="Times New Roman" w:hAnsi="Times New Roman"/>
                <w:color w:val="auto"/>
                <w:sz w:val="24"/>
                <w:szCs w:val="24"/>
              </w:rPr>
              <w:t>彩钢瓦</w:t>
            </w:r>
            <w:r>
              <w:rPr>
                <w:rFonts w:ascii="Times New Roman" w:hAnsi="Times New Roman"/>
                <w:color w:val="auto"/>
                <w:sz w:val="24"/>
                <w:szCs w:val="24"/>
              </w:rPr>
              <w:t>顶棚及三面挡墙，并定时</w:t>
            </w:r>
            <w:r>
              <w:rPr>
                <w:rFonts w:ascii="Times New Roman" w:hAnsi="Times New Roman"/>
                <w:color w:val="auto"/>
                <w:kern w:val="0"/>
                <w:sz w:val="24"/>
                <w:szCs w:val="24"/>
              </w:rPr>
              <w:t>采取喷雾洒水降尘措</w:t>
            </w:r>
            <w:r>
              <w:rPr>
                <w:rFonts w:ascii="Times New Roman" w:hAnsi="Times New Roman"/>
                <w:color w:val="auto"/>
                <w:sz w:val="24"/>
                <w:szCs w:val="24"/>
              </w:rPr>
              <w:t>施。采取措施后，外排粉尘可降低70%，最终外排粉尘量为</w:t>
            </w:r>
            <w:r>
              <w:rPr>
                <w:rFonts w:hint="eastAsia" w:ascii="Times New Roman" w:hAnsi="Times New Roman"/>
                <w:color w:val="auto"/>
                <w:sz w:val="24"/>
                <w:szCs w:val="24"/>
              </w:rPr>
              <w:t>0.201</w:t>
            </w:r>
            <w:r>
              <w:rPr>
                <w:rFonts w:ascii="Times New Roman" w:hAnsi="Times New Roman"/>
                <w:color w:val="auto"/>
                <w:sz w:val="24"/>
                <w:szCs w:val="24"/>
              </w:rPr>
              <w:t>t/a。</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②输送、计量、投料无组织粉尘WG2</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本项目水泥混凝土生产过程中的碎石和砂提升至骨料仓，利用搅拌楼配套的皮带输送来完成；水泥、</w:t>
            </w:r>
            <w:r>
              <w:rPr>
                <w:rFonts w:hint="eastAsia" w:ascii="Times New Roman" w:hAnsi="Times New Roman"/>
                <w:color w:val="auto"/>
                <w:sz w:val="24"/>
              </w:rPr>
              <w:t>粉煤灰</w:t>
            </w:r>
            <w:r>
              <w:rPr>
                <w:rFonts w:ascii="Times New Roman" w:hAnsi="Times New Roman"/>
                <w:color w:val="auto"/>
                <w:sz w:val="24"/>
              </w:rPr>
              <w:t>均储存在相应的</w:t>
            </w:r>
            <w:r>
              <w:rPr>
                <w:rFonts w:hint="eastAsia" w:ascii="Times New Roman" w:hAnsi="Times New Roman"/>
                <w:color w:val="auto"/>
                <w:sz w:val="24"/>
              </w:rPr>
              <w:t>料仓</w:t>
            </w:r>
            <w:r>
              <w:rPr>
                <w:rFonts w:ascii="Times New Roman" w:hAnsi="Times New Roman"/>
                <w:color w:val="auto"/>
                <w:sz w:val="24"/>
              </w:rPr>
              <w:t>，以压缩空气吸入相应的储仓内。</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粉料运输车辆运进的水泥、</w:t>
            </w:r>
            <w:r>
              <w:rPr>
                <w:rFonts w:hint="eastAsia" w:ascii="Times New Roman" w:hAnsi="Times New Roman"/>
                <w:color w:val="auto"/>
                <w:sz w:val="24"/>
              </w:rPr>
              <w:t>粉煤灰</w:t>
            </w:r>
            <w:r>
              <w:rPr>
                <w:rFonts w:ascii="Times New Roman" w:hAnsi="Times New Roman"/>
                <w:color w:val="auto"/>
                <w:sz w:val="24"/>
              </w:rPr>
              <w:t>需要经负压抽入相应的仓内，</w:t>
            </w:r>
            <w:r>
              <w:rPr>
                <w:rFonts w:hint="eastAsia" w:ascii="Times New Roman" w:hAnsi="Times New Roman"/>
                <w:color w:val="auto"/>
                <w:sz w:val="24"/>
                <w:lang w:eastAsia="zh-CN"/>
              </w:rPr>
              <w:t>运输车辆加盖篷布，</w:t>
            </w:r>
            <w:r>
              <w:rPr>
                <w:rFonts w:ascii="Times New Roman" w:hAnsi="Times New Roman"/>
                <w:color w:val="auto"/>
                <w:sz w:val="24"/>
              </w:rPr>
              <w:t>在抽料过程中如不做好衔接工作，将产生大量的粉尘并进入空气环境中。项目砂石原料采用皮带运输机输送，皮带输送机采用半密闭传送，根据类比同类企业调查，在输送、计量、投料过程中，每次抽料粉尘的产生量约为0.03-0.08kg（本项目取0.06kg）。</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项目水泥、</w:t>
            </w:r>
            <w:r>
              <w:rPr>
                <w:rFonts w:hint="eastAsia" w:ascii="Times New Roman" w:hAnsi="Times New Roman"/>
                <w:color w:val="auto"/>
                <w:sz w:val="24"/>
              </w:rPr>
              <w:t>粉煤灰</w:t>
            </w:r>
            <w:r>
              <w:rPr>
                <w:rFonts w:ascii="Times New Roman" w:hAnsi="Times New Roman"/>
                <w:color w:val="auto"/>
                <w:sz w:val="24"/>
              </w:rPr>
              <w:t>均为</w:t>
            </w:r>
            <w:r>
              <w:rPr>
                <w:rFonts w:hint="eastAsia" w:ascii="Times New Roman" w:hAnsi="Times New Roman"/>
                <w:color w:val="auto"/>
                <w:sz w:val="24"/>
              </w:rPr>
              <w:t>料仓</w:t>
            </w:r>
            <w:r>
              <w:rPr>
                <w:rFonts w:ascii="Times New Roman" w:hAnsi="Times New Roman"/>
                <w:color w:val="auto"/>
                <w:sz w:val="24"/>
              </w:rPr>
              <w:t>贮存，其消耗量</w:t>
            </w:r>
            <w:r>
              <w:rPr>
                <w:rFonts w:hint="eastAsia" w:ascii="Times New Roman" w:hAnsi="Times New Roman"/>
                <w:color w:val="auto"/>
                <w:sz w:val="24"/>
              </w:rPr>
              <w:t>4.26</w:t>
            </w:r>
            <w:r>
              <w:rPr>
                <w:rFonts w:ascii="Times New Roman" w:hAnsi="Times New Roman"/>
                <w:color w:val="auto"/>
                <w:sz w:val="24"/>
              </w:rPr>
              <w:t>万t/a，按10t/a，全年运输车次为</w:t>
            </w:r>
            <w:r>
              <w:rPr>
                <w:rFonts w:hint="eastAsia" w:ascii="Times New Roman" w:hAnsi="Times New Roman"/>
                <w:color w:val="auto"/>
                <w:sz w:val="24"/>
              </w:rPr>
              <w:t>4260</w:t>
            </w:r>
            <w:r>
              <w:rPr>
                <w:rFonts w:ascii="Times New Roman" w:hAnsi="Times New Roman"/>
                <w:color w:val="auto"/>
                <w:sz w:val="24"/>
              </w:rPr>
              <w:t>辆.次，本项目粉尘产生按0.06kg/辆.次计算，合计散装车放空口在水泥、外加剂抽料时的粉尘量</w:t>
            </w:r>
            <w:r>
              <w:rPr>
                <w:rFonts w:hint="eastAsia" w:ascii="Times New Roman" w:hAnsi="Times New Roman"/>
                <w:color w:val="auto"/>
                <w:sz w:val="24"/>
              </w:rPr>
              <w:t>0.2556</w:t>
            </w:r>
            <w:r>
              <w:rPr>
                <w:rFonts w:ascii="Times New Roman" w:hAnsi="Times New Roman"/>
                <w:color w:val="auto"/>
                <w:sz w:val="24"/>
              </w:rPr>
              <w:t>t/a，</w:t>
            </w:r>
            <w:r>
              <w:rPr>
                <w:rFonts w:hint="eastAsia" w:ascii="Times New Roman" w:hAnsi="Times New Roman"/>
                <w:color w:val="auto"/>
                <w:sz w:val="24"/>
              </w:rPr>
              <w:t>0.71</w:t>
            </w:r>
            <w:r>
              <w:rPr>
                <w:rFonts w:ascii="Times New Roman" w:hAnsi="Times New Roman"/>
                <w:color w:val="auto"/>
                <w:sz w:val="24"/>
              </w:rPr>
              <w:t>kg/d，排放方式呈无组织排放。</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宋体"/>
                <w:color w:val="auto"/>
                <w:sz w:val="24"/>
                <w:szCs w:val="24"/>
                <w:lang w:eastAsia="zh-CN"/>
              </w:rPr>
            </w:pPr>
            <w:r>
              <w:rPr>
                <w:rFonts w:hint="eastAsia"/>
                <w:color w:val="auto"/>
                <w:sz w:val="24"/>
                <w:szCs w:val="24"/>
                <w:lang w:eastAsia="zh-CN"/>
              </w:rPr>
              <w:t>搅拌过程在密闭搅拌机内进行，且为湿式作业，不会产生粉尘。</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③运输扬尘WG3</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项目各物料通过汽车运输进场，运输产生运输扬尘，项目区运距较短，同时本次环评提出各物料运输车辆进行篷布遮盖，且对项目区进行定期清扫及洒水降尘，同时定期保养减小路面扬尘产生，采取上述措施运输扬尘产生量较小。</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eastAsia="zh-CN"/>
              </w:rPr>
            </w:pPr>
            <w:r>
              <w:rPr>
                <w:rFonts w:hint="default" w:ascii="Times New Roman" w:hAnsi="Times New Roman" w:cs="Times New Roman"/>
                <w:color w:val="auto"/>
                <w:sz w:val="24"/>
                <w:szCs w:val="24"/>
              </w:rPr>
              <w:t>④</w:t>
            </w:r>
            <w:r>
              <w:rPr>
                <w:rFonts w:hint="eastAsia" w:ascii="Times New Roman" w:hAnsi="Times New Roman" w:cs="Times New Roman"/>
                <w:color w:val="auto"/>
                <w:sz w:val="24"/>
                <w:szCs w:val="24"/>
                <w:lang w:eastAsia="zh-CN"/>
              </w:rPr>
              <w:t>柴油发电机废气WG</w:t>
            </w:r>
            <w:r>
              <w:rPr>
                <w:rFonts w:hint="eastAsia" w:ascii="Times New Roman" w:hAnsi="Times New Roman" w:cs="Times New Roman"/>
                <w:color w:val="auto"/>
                <w:sz w:val="24"/>
                <w:szCs w:val="24"/>
                <w:lang w:val="en-US" w:eastAsia="zh-CN"/>
              </w:rPr>
              <w:t>4</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为保证项目的应急用电，项目配套设置320kW柴油发电机组1台，根据调查，320KW发电机组单位油耗约196~210g/KW∙h，本次评价取上限值作为评价参数。由于备用发电机仅在紧急情况下使用，本次评价按照发电机年使用率5‰（即1年使用1.8次），每次使用时间2h计，则发电机油耗约67.2kg/h，年耗油量0.24t（柴油相对密度（水=1）0.87~0.9，本项目取0.9），选用0#轻质柴油作为发电机燃料，其产污系数见表5-5。</w:t>
            </w:r>
          </w:p>
          <w:p>
            <w:pPr>
              <w:pStyle w:val="2"/>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表5-</w:t>
            </w:r>
            <w:r>
              <w:rPr>
                <w:rFonts w:hint="eastAsia" w:ascii="Times New Roman" w:hAnsi="Times New Roman" w:cs="Times New Roman"/>
                <w:b/>
                <w:bCs/>
                <w:color w:val="auto"/>
                <w:sz w:val="24"/>
                <w:szCs w:val="24"/>
                <w:lang w:val="en-US" w:eastAsia="zh-CN"/>
              </w:rPr>
              <w:t>5</w:t>
            </w:r>
            <w:r>
              <w:rPr>
                <w:rFonts w:hint="default" w:ascii="Times New Roman" w:hAnsi="Times New Roman" w:cs="Times New Roman"/>
                <w:b/>
                <w:bCs/>
                <w:color w:val="auto"/>
                <w:sz w:val="24"/>
                <w:szCs w:val="24"/>
                <w:lang w:val="en-US" w:eastAsia="zh-CN"/>
              </w:rPr>
              <w:t xml:space="preserve">    0#轻质柴油产污系数</w:t>
            </w:r>
          </w:p>
          <w:tbl>
            <w:tblPr>
              <w:tblStyle w:val="4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60"/>
              <w:gridCol w:w="1660"/>
              <w:gridCol w:w="1660"/>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0"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燃料油</w:t>
                  </w:r>
                </w:p>
              </w:tc>
              <w:tc>
                <w:tcPr>
                  <w:tcW w:w="999"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烟尘</w:t>
                  </w:r>
                </w:p>
              </w:tc>
              <w:tc>
                <w:tcPr>
                  <w:tcW w:w="999"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SO</w:t>
                  </w:r>
                  <w:r>
                    <w:rPr>
                      <w:rFonts w:hint="eastAsia" w:ascii="Times New Roman" w:hAnsi="Times New Roman" w:cs="Times New Roman"/>
                      <w:color w:val="auto"/>
                      <w:sz w:val="21"/>
                      <w:szCs w:val="21"/>
                      <w:vertAlign w:val="subscript"/>
                      <w:lang w:val="en-US" w:eastAsia="zh-CN"/>
                    </w:rPr>
                    <w:t>2</w:t>
                  </w:r>
                </w:p>
              </w:tc>
              <w:tc>
                <w:tcPr>
                  <w:tcW w:w="999"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NOx</w:t>
                  </w:r>
                </w:p>
              </w:tc>
              <w:tc>
                <w:tcPr>
                  <w:tcW w:w="999"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0"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0#柴油</w:t>
                  </w:r>
                </w:p>
              </w:tc>
              <w:tc>
                <w:tcPr>
                  <w:tcW w:w="999"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0.714g/L</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油</w:t>
                  </w:r>
                </w:p>
              </w:tc>
              <w:tc>
                <w:tcPr>
                  <w:tcW w:w="999"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4g/L·油</w:t>
                  </w:r>
                </w:p>
              </w:tc>
              <w:tc>
                <w:tcPr>
                  <w:tcW w:w="999"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2.56g/L·油</w:t>
                  </w:r>
                </w:p>
              </w:tc>
              <w:tc>
                <w:tcPr>
                  <w:tcW w:w="999" w:type="pc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830kg/Nm</w:t>
                  </w:r>
                  <w:r>
                    <w:rPr>
                      <w:rFonts w:hint="eastAsia" w:ascii="Times New Roman" w:hAnsi="Times New Roman" w:cs="Times New Roman"/>
                      <w:color w:val="auto"/>
                      <w:sz w:val="21"/>
                      <w:szCs w:val="21"/>
                      <w:vertAlign w:val="superscript"/>
                      <w:lang w:val="en-US" w:eastAsia="zh-CN"/>
                    </w:rPr>
                    <w:t>3</w:t>
                  </w:r>
                </w:p>
              </w:tc>
            </w:tr>
          </w:tbl>
          <w:p>
            <w:pPr>
              <w:pStyle w:val="2"/>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*上述数值摘自环评工程师培训教材《社会区域》中给出的计算参数</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根据计算产生污染物烟尘：0.19kg/a、SO</w:t>
            </w:r>
            <w:r>
              <w:rPr>
                <w:rFonts w:hint="eastAsia" w:ascii="Times New Roman" w:hAnsi="Times New Roman" w:cs="Times New Roman"/>
                <w:color w:val="auto"/>
                <w:sz w:val="24"/>
                <w:szCs w:val="24"/>
                <w:vertAlign w:val="subscript"/>
                <w:lang w:val="en-US" w:eastAsia="zh-CN"/>
              </w:rPr>
              <w:t>2</w:t>
            </w:r>
            <w:r>
              <w:rPr>
                <w:rFonts w:hint="eastAsia" w:ascii="Times New Roman" w:hAnsi="Times New Roman" w:cs="Times New Roman"/>
                <w:color w:val="auto"/>
                <w:sz w:val="24"/>
                <w:szCs w:val="24"/>
                <w:vertAlign w:val="baseline"/>
                <w:lang w:val="en-US" w:eastAsia="zh-CN"/>
              </w:rPr>
              <w:t>：1.066kg/a、NOx：0.682kg/a，</w:t>
            </w:r>
            <w:r>
              <w:rPr>
                <w:rFonts w:hint="eastAsia" w:ascii="Times New Roman" w:hAnsi="Times New Roman" w:cs="Times New Roman"/>
                <w:color w:val="auto"/>
                <w:sz w:val="24"/>
                <w:szCs w:val="24"/>
                <w:lang w:val="en-US" w:eastAsia="zh-CN"/>
              </w:rPr>
              <w:t>属无组织排放。由于使用次数较少，且污染物排放量较小，经自由扩散后对周围大气环境影响较小。</w:t>
            </w:r>
          </w:p>
          <w:p>
            <w:pPr>
              <w:adjustRightInd w:val="0"/>
              <w:snapToGrid w:val="0"/>
              <w:spacing w:line="360" w:lineRule="auto"/>
              <w:ind w:firstLine="482" w:firstLineChars="200"/>
              <w:rPr>
                <w:rFonts w:ascii="Times New Roman" w:hAnsi="Times New Roman"/>
                <w:b/>
                <w:color w:val="auto"/>
                <w:sz w:val="24"/>
                <w:szCs w:val="28"/>
              </w:rPr>
            </w:pPr>
            <w:bookmarkStart w:id="22" w:name="_Toc387248221"/>
            <w:bookmarkStart w:id="23" w:name="_Toc387765202"/>
            <w:bookmarkStart w:id="24" w:name="_Toc387248616"/>
            <w:r>
              <w:rPr>
                <w:rFonts w:ascii="Times New Roman" w:hAnsi="Times New Roman"/>
                <w:b/>
                <w:color w:val="auto"/>
                <w:sz w:val="24"/>
                <w:szCs w:val="28"/>
              </w:rPr>
              <w:t>（3）食堂油烟废气</w:t>
            </w:r>
            <w:bookmarkEnd w:id="22"/>
            <w:bookmarkEnd w:id="23"/>
            <w:bookmarkEnd w:id="24"/>
          </w:p>
          <w:p>
            <w:pPr>
              <w:adjustRightInd w:val="0"/>
              <w:snapToGrid w:val="0"/>
              <w:spacing w:line="360" w:lineRule="auto"/>
              <w:ind w:firstLine="480" w:firstLineChars="200"/>
              <w:rPr>
                <w:rFonts w:ascii="Times New Roman" w:hAnsi="Times New Roman"/>
                <w:color w:val="auto"/>
                <w:sz w:val="24"/>
                <w:szCs w:val="28"/>
              </w:rPr>
            </w:pPr>
            <w:r>
              <w:rPr>
                <w:rFonts w:ascii="Times New Roman" w:hAnsi="Times New Roman"/>
                <w:color w:val="auto"/>
                <w:sz w:val="24"/>
                <w:szCs w:val="28"/>
              </w:rPr>
              <w:t>根据有关资料统计，人均油脂用量为15kg/a，油烟产生量按使用量的2%计算，每天食堂用餐人数为</w:t>
            </w:r>
            <w:r>
              <w:rPr>
                <w:rFonts w:hint="eastAsia" w:ascii="Times New Roman" w:hAnsi="Times New Roman"/>
                <w:color w:val="auto"/>
                <w:sz w:val="24"/>
                <w:szCs w:val="28"/>
              </w:rPr>
              <w:t>52</w:t>
            </w:r>
            <w:r>
              <w:rPr>
                <w:rFonts w:ascii="Times New Roman" w:hAnsi="Times New Roman"/>
                <w:color w:val="auto"/>
                <w:sz w:val="24"/>
                <w:szCs w:val="28"/>
              </w:rPr>
              <w:t>人，则项目油烟产生量为0.0</w:t>
            </w:r>
            <w:r>
              <w:rPr>
                <w:rFonts w:hint="eastAsia" w:ascii="Times New Roman" w:hAnsi="Times New Roman"/>
                <w:color w:val="auto"/>
                <w:sz w:val="24"/>
                <w:szCs w:val="28"/>
              </w:rPr>
              <w:t>156</w:t>
            </w:r>
            <w:r>
              <w:rPr>
                <w:rFonts w:ascii="Times New Roman" w:hAnsi="Times New Roman"/>
                <w:color w:val="auto"/>
                <w:sz w:val="24"/>
                <w:szCs w:val="28"/>
              </w:rPr>
              <w:t>t/a，项目食堂安装油烟净化装置，净化率为60%，油烟排放量为0.00</w:t>
            </w:r>
            <w:r>
              <w:rPr>
                <w:rFonts w:hint="eastAsia" w:ascii="Times New Roman" w:hAnsi="Times New Roman"/>
                <w:color w:val="auto"/>
                <w:sz w:val="24"/>
                <w:szCs w:val="28"/>
              </w:rPr>
              <w:t>624</w:t>
            </w:r>
            <w:r>
              <w:rPr>
                <w:rFonts w:ascii="Times New Roman" w:hAnsi="Times New Roman"/>
                <w:color w:val="auto"/>
                <w:sz w:val="24"/>
                <w:szCs w:val="28"/>
              </w:rPr>
              <w:t>t/a。</w:t>
            </w:r>
          </w:p>
          <w:p>
            <w:pPr>
              <w:pStyle w:val="2"/>
              <w:numPr>
                <w:ilvl w:val="0"/>
                <w:numId w:val="7"/>
              </w:numPr>
              <w:ind w:firstLine="482" w:firstLineChars="200"/>
              <w:rPr>
                <w:rFonts w:ascii="Times New Roman" w:hAnsi="Times New Roman"/>
                <w:b/>
                <w:bCs/>
                <w:color w:val="auto"/>
                <w:sz w:val="24"/>
                <w:szCs w:val="28"/>
              </w:rPr>
            </w:pPr>
            <w:r>
              <w:rPr>
                <w:rFonts w:hint="eastAsia" w:ascii="Times New Roman" w:hAnsi="Times New Roman"/>
                <w:b/>
                <w:bCs/>
                <w:color w:val="auto"/>
                <w:sz w:val="24"/>
                <w:szCs w:val="28"/>
              </w:rPr>
              <w:t>焊接废气</w:t>
            </w:r>
          </w:p>
          <w:p>
            <w:pPr>
              <w:pStyle w:val="2"/>
              <w:ind w:firstLine="480" w:firstLineChars="200"/>
              <w:rPr>
                <w:rFonts w:hint="eastAsia" w:ascii="Times New Roman" w:hAnsi="Times New Roman"/>
                <w:color w:val="auto"/>
                <w:sz w:val="24"/>
                <w:szCs w:val="28"/>
              </w:rPr>
            </w:pPr>
            <w:r>
              <w:rPr>
                <w:rFonts w:hint="eastAsia" w:ascii="Times New Roman" w:hAnsi="Times New Roman"/>
                <w:color w:val="auto"/>
                <w:sz w:val="24"/>
                <w:szCs w:val="28"/>
              </w:rPr>
              <w:t>拟建项目钢筋加工厂在焊接过程中会产生少量焊接烟气，主要污染物为FeO、MnO等颗粒物和少量CO、NO</w:t>
            </w:r>
            <w:r>
              <w:rPr>
                <w:rFonts w:ascii="Times New Roman" w:hAnsi="Times New Roman"/>
                <w:color w:val="auto"/>
                <w:sz w:val="24"/>
                <w:szCs w:val="28"/>
              </w:rPr>
              <w:t>x</w:t>
            </w:r>
            <w:r>
              <w:rPr>
                <w:rFonts w:hint="eastAsia" w:ascii="Times New Roman" w:hAnsi="Times New Roman"/>
                <w:color w:val="auto"/>
                <w:sz w:val="24"/>
                <w:szCs w:val="28"/>
              </w:rPr>
              <w:t>等气体，为无组织排放，主要通过车间通风排放。焊接发尘量为200-280mg/min</w:t>
            </w:r>
            <w:r>
              <w:rPr>
                <w:rFonts w:ascii="Times New Roman" w:hAnsi="Times New Roman"/>
                <w:color w:val="auto"/>
                <w:sz w:val="24"/>
                <w:szCs w:val="28"/>
              </w:rPr>
              <w:t>·</w:t>
            </w:r>
            <w:r>
              <w:rPr>
                <w:rFonts w:hint="eastAsia" w:ascii="Times New Roman" w:hAnsi="Times New Roman"/>
                <w:color w:val="auto"/>
                <w:sz w:val="24"/>
                <w:szCs w:val="28"/>
              </w:rPr>
              <w:t>台，本项目取值240mg/min</w:t>
            </w:r>
            <w:r>
              <w:rPr>
                <w:rFonts w:ascii="Times New Roman" w:hAnsi="Times New Roman"/>
                <w:color w:val="auto"/>
                <w:sz w:val="24"/>
                <w:szCs w:val="28"/>
              </w:rPr>
              <w:t>·</w:t>
            </w:r>
            <w:r>
              <w:rPr>
                <w:rFonts w:hint="eastAsia" w:ascii="Times New Roman" w:hAnsi="Times New Roman"/>
                <w:color w:val="auto"/>
                <w:sz w:val="24"/>
                <w:szCs w:val="28"/>
              </w:rPr>
              <w:t>台。焊机共4台，每天焊接2小时，则焊接废气产生量为0.0143kg/d，即0.0414t/a。车间通风排放速率为0.0575kg/h，则焊接废气的产生和排放浓度为14.93mg/m</w:t>
            </w:r>
            <w:r>
              <w:rPr>
                <w:rFonts w:hint="eastAsia" w:ascii="Times New Roman" w:hAnsi="Times New Roman"/>
                <w:color w:val="auto"/>
                <w:sz w:val="24"/>
                <w:szCs w:val="28"/>
                <w:vertAlign w:val="superscript"/>
              </w:rPr>
              <w:t>3</w:t>
            </w:r>
            <w:r>
              <w:rPr>
                <w:rFonts w:hint="eastAsia" w:ascii="Times New Roman" w:hAnsi="Times New Roman"/>
                <w:color w:val="auto"/>
                <w:sz w:val="24"/>
                <w:szCs w:val="28"/>
              </w:rPr>
              <w:t>。</w:t>
            </w:r>
          </w:p>
          <w:p>
            <w:pPr>
              <w:pStyle w:val="2"/>
              <w:numPr>
                <w:ilvl w:val="0"/>
                <w:numId w:val="7"/>
              </w:numPr>
              <w:ind w:left="0" w:leftChars="0" w:firstLine="482" w:firstLineChars="200"/>
              <w:rPr>
                <w:rFonts w:hint="eastAsia" w:ascii="Times New Roman" w:hAnsi="Times New Roman"/>
                <w:b/>
                <w:bCs/>
                <w:color w:val="auto"/>
                <w:sz w:val="24"/>
                <w:szCs w:val="28"/>
                <w:lang w:eastAsia="zh-CN"/>
              </w:rPr>
            </w:pPr>
            <w:r>
              <w:rPr>
                <w:rFonts w:hint="eastAsia" w:ascii="Times New Roman" w:hAnsi="Times New Roman"/>
                <w:b/>
                <w:bCs/>
                <w:color w:val="auto"/>
                <w:sz w:val="24"/>
                <w:szCs w:val="28"/>
                <w:lang w:eastAsia="zh-CN"/>
              </w:rPr>
              <w:t>切割废气</w:t>
            </w:r>
          </w:p>
          <w:p>
            <w:pPr>
              <w:pStyle w:val="2"/>
              <w:numPr>
                <w:ilvl w:val="0"/>
                <w:numId w:val="0"/>
              </w:numPr>
              <w:ind w:firstLine="480" w:firstLineChars="200"/>
              <w:rPr>
                <w:rFonts w:hint="default" w:ascii="Times New Roman" w:hAnsi="Times New Roman"/>
                <w:color w:val="auto"/>
                <w:sz w:val="24"/>
                <w:szCs w:val="28"/>
                <w:lang w:val="en-US" w:eastAsia="zh-CN"/>
              </w:rPr>
            </w:pPr>
            <w:r>
              <w:rPr>
                <w:rFonts w:hint="default" w:ascii="Times New Roman" w:hAnsi="Times New Roman"/>
                <w:color w:val="auto"/>
                <w:sz w:val="24"/>
                <w:szCs w:val="28"/>
                <w:lang w:val="en-US" w:eastAsia="zh-CN"/>
              </w:rPr>
              <w:t>拟建项目钢筋加工厂在焊接过程中会产生少量</w:t>
            </w:r>
            <w:r>
              <w:rPr>
                <w:rFonts w:hint="eastAsia" w:ascii="Times New Roman" w:hAnsi="Times New Roman"/>
                <w:color w:val="auto"/>
                <w:sz w:val="24"/>
                <w:szCs w:val="28"/>
                <w:lang w:val="en-US" w:eastAsia="zh-CN"/>
              </w:rPr>
              <w:t>切割烟尘，主要污染物为颗粒物，产生量较少，为无组织排放，主要通过车间通风排放。</w:t>
            </w:r>
          </w:p>
          <w:p>
            <w:pPr>
              <w:adjustRightInd w:val="0"/>
              <w:snapToGrid w:val="0"/>
              <w:spacing w:line="360" w:lineRule="auto"/>
              <w:ind w:firstLine="495"/>
              <w:rPr>
                <w:rFonts w:ascii="Times New Roman" w:hAnsi="Times New Roman"/>
                <w:color w:val="auto"/>
                <w:sz w:val="24"/>
                <w:szCs w:val="28"/>
              </w:rPr>
            </w:pPr>
            <w:r>
              <w:rPr>
                <w:rFonts w:ascii="Times New Roman" w:hAnsi="Times New Roman"/>
                <w:color w:val="auto"/>
                <w:sz w:val="24"/>
              </w:rPr>
              <w:t>本工程主要大气污染物产生量估算结果见表</w:t>
            </w:r>
            <w:r>
              <w:rPr>
                <w:rFonts w:ascii="Times New Roman" w:hAnsi="Times New Roman"/>
                <w:color w:val="auto"/>
                <w:sz w:val="24"/>
                <w:szCs w:val="28"/>
              </w:rPr>
              <w:t>5-</w:t>
            </w:r>
            <w:r>
              <w:rPr>
                <w:rFonts w:hint="eastAsia" w:ascii="Times New Roman" w:hAnsi="Times New Roman"/>
                <w:color w:val="auto"/>
                <w:sz w:val="24"/>
                <w:szCs w:val="28"/>
                <w:lang w:val="en-US" w:eastAsia="zh-CN"/>
              </w:rPr>
              <w:t>6</w:t>
            </w:r>
            <w:r>
              <w:rPr>
                <w:rFonts w:ascii="Times New Roman" w:hAnsi="Times New Roman"/>
                <w:color w:val="auto"/>
                <w:sz w:val="24"/>
                <w:szCs w:val="28"/>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b/>
                <w:color w:val="auto"/>
                <w:sz w:val="24"/>
                <w:lang w:eastAsia="zh-CN"/>
              </w:rPr>
            </w:pPr>
            <w:r>
              <w:rPr>
                <w:rFonts w:ascii="Times New Roman" w:hAnsi="Times New Roman"/>
                <w:b/>
                <w:color w:val="auto"/>
                <w:sz w:val="24"/>
                <w:szCs w:val="28"/>
              </w:rPr>
              <w:t>表5-</w:t>
            </w:r>
            <w:r>
              <w:rPr>
                <w:rFonts w:hint="eastAsia" w:ascii="Times New Roman" w:hAnsi="Times New Roman"/>
                <w:b/>
                <w:color w:val="auto"/>
                <w:sz w:val="24"/>
                <w:szCs w:val="28"/>
                <w:lang w:val="en-US" w:eastAsia="zh-CN"/>
              </w:rPr>
              <w:t>6</w:t>
            </w:r>
            <w:r>
              <w:rPr>
                <w:rFonts w:ascii="Times New Roman" w:hAnsi="Times New Roman"/>
                <w:b/>
                <w:bCs/>
                <w:color w:val="auto"/>
                <w:sz w:val="24"/>
              </w:rPr>
              <w:t>本工程废气污染物排放量</w:t>
            </w:r>
            <w:r>
              <w:rPr>
                <w:rFonts w:hint="eastAsia" w:ascii="Times New Roman" w:hAnsi="Times New Roman"/>
                <w:b/>
                <w:bCs/>
                <w:color w:val="auto"/>
                <w:sz w:val="24"/>
                <w:lang w:eastAsia="zh-CN"/>
              </w:rPr>
              <w:t>一览表</w:t>
            </w:r>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1305"/>
              <w:gridCol w:w="2845"/>
              <w:gridCol w:w="1116"/>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污染源</w:t>
                  </w:r>
                </w:p>
              </w:tc>
              <w:tc>
                <w:tcPr>
                  <w:tcW w:w="786"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污染因子</w:t>
                  </w:r>
                </w:p>
              </w:tc>
              <w:tc>
                <w:tcPr>
                  <w:tcW w:w="1713"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 xml:space="preserve"> 治理措施</w:t>
                  </w:r>
                </w:p>
              </w:tc>
              <w:tc>
                <w:tcPr>
                  <w:tcW w:w="672"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产生量</w:t>
                  </w:r>
                </w:p>
                <w:p>
                  <w:pPr>
                    <w:adjustRightInd w:val="0"/>
                    <w:snapToGrid w:val="0"/>
                    <w:jc w:val="center"/>
                    <w:rPr>
                      <w:rFonts w:ascii="Times New Roman" w:hAnsi="Times New Roman"/>
                      <w:color w:val="auto"/>
                      <w:szCs w:val="21"/>
                    </w:rPr>
                  </w:pPr>
                  <w:r>
                    <w:rPr>
                      <w:rFonts w:ascii="Times New Roman" w:hAnsi="Times New Roman"/>
                      <w:color w:val="auto"/>
                      <w:szCs w:val="21"/>
                    </w:rPr>
                    <w:t>（t/a）</w:t>
                  </w:r>
                </w:p>
              </w:tc>
              <w:tc>
                <w:tcPr>
                  <w:tcW w:w="735"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排放量</w:t>
                  </w:r>
                </w:p>
                <w:p>
                  <w:pPr>
                    <w:adjustRightInd w:val="0"/>
                    <w:snapToGrid w:val="0"/>
                    <w:jc w:val="center"/>
                    <w:rPr>
                      <w:rFonts w:ascii="Times New Roman" w:hAnsi="Times New Roman"/>
                      <w:color w:val="auto"/>
                      <w:szCs w:val="21"/>
                    </w:rPr>
                  </w:pPr>
                  <w:r>
                    <w:rPr>
                      <w:rFonts w:ascii="Times New Roman" w:hAnsi="Times New Roman"/>
                      <w:color w:val="auto"/>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hint="eastAsia" w:ascii="Times New Roman" w:hAnsi="Times New Roman" w:eastAsia="宋体"/>
                      <w:color w:val="auto"/>
                      <w:szCs w:val="21"/>
                      <w:lang w:val="en-US" w:eastAsia="zh-CN"/>
                    </w:rPr>
                  </w:pPr>
                  <w:r>
                    <w:rPr>
                      <w:rFonts w:ascii="Times New Roman" w:hAnsi="Times New Roman"/>
                      <w:color w:val="auto"/>
                      <w:szCs w:val="21"/>
                    </w:rPr>
                    <w:t>水泥仓G1</w:t>
                  </w:r>
                  <w:r>
                    <w:rPr>
                      <w:rFonts w:hint="eastAsia" w:ascii="Times New Roman" w:hAnsi="Times New Roman"/>
                      <w:color w:val="auto"/>
                      <w:szCs w:val="21"/>
                      <w:lang w:val="en-US" w:eastAsia="zh-CN"/>
                    </w:rPr>
                    <w:t>-G8</w:t>
                  </w:r>
                </w:p>
              </w:tc>
              <w:tc>
                <w:tcPr>
                  <w:tcW w:w="786"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有组织粉尘</w:t>
                  </w:r>
                </w:p>
              </w:tc>
              <w:tc>
                <w:tcPr>
                  <w:tcW w:w="1713"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布袋除尘器</w:t>
                  </w:r>
                </w:p>
              </w:tc>
              <w:tc>
                <w:tcPr>
                  <w:tcW w:w="672" w:type="pct"/>
                  <w:vAlign w:val="center"/>
                </w:tcPr>
                <w:p>
                  <w:pPr>
                    <w:adjustRightInd w:val="0"/>
                    <w:snapToGrid w:val="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78.584</w:t>
                  </w:r>
                </w:p>
              </w:tc>
              <w:tc>
                <w:tcPr>
                  <w:tcW w:w="735" w:type="pct"/>
                  <w:vAlign w:val="center"/>
                </w:tcPr>
                <w:p>
                  <w:pPr>
                    <w:adjustRightInd w:val="0"/>
                    <w:snapToGrid w:val="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0.1571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hint="eastAsia" w:ascii="Times New Roman" w:hAnsi="Times New Roman" w:eastAsia="宋体"/>
                      <w:color w:val="auto"/>
                      <w:szCs w:val="21"/>
                      <w:lang w:val="en-US" w:eastAsia="zh-CN"/>
                    </w:rPr>
                  </w:pPr>
                  <w:r>
                    <w:rPr>
                      <w:rFonts w:hint="eastAsia" w:ascii="Times New Roman" w:hAnsi="Times New Roman"/>
                      <w:color w:val="auto"/>
                      <w:szCs w:val="21"/>
                    </w:rPr>
                    <w:t>粉煤灰</w:t>
                  </w:r>
                  <w:r>
                    <w:rPr>
                      <w:rFonts w:hint="eastAsia" w:ascii="Times New Roman" w:hAnsi="Times New Roman"/>
                      <w:color w:val="auto"/>
                      <w:szCs w:val="21"/>
                      <w:lang w:eastAsia="zh-CN"/>
                    </w:rPr>
                    <w:t>仓</w:t>
                  </w:r>
                  <w:r>
                    <w:rPr>
                      <w:rFonts w:ascii="Times New Roman" w:hAnsi="Times New Roman"/>
                      <w:color w:val="auto"/>
                      <w:szCs w:val="21"/>
                    </w:rPr>
                    <w:t>G</w:t>
                  </w:r>
                  <w:r>
                    <w:rPr>
                      <w:rFonts w:hint="eastAsia" w:ascii="Times New Roman" w:hAnsi="Times New Roman"/>
                      <w:color w:val="auto"/>
                      <w:szCs w:val="21"/>
                    </w:rPr>
                    <w:t>9</w:t>
                  </w:r>
                  <w:r>
                    <w:rPr>
                      <w:rFonts w:hint="eastAsia" w:ascii="Times New Roman" w:hAnsi="Times New Roman"/>
                      <w:color w:val="auto"/>
                      <w:szCs w:val="21"/>
                      <w:lang w:val="en-US" w:eastAsia="zh-CN"/>
                    </w:rPr>
                    <w:t>-G12</w:t>
                  </w:r>
                </w:p>
              </w:tc>
              <w:tc>
                <w:tcPr>
                  <w:tcW w:w="786"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有组织粉尘</w:t>
                  </w:r>
                </w:p>
              </w:tc>
              <w:tc>
                <w:tcPr>
                  <w:tcW w:w="1713"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布袋除尘器</w:t>
                  </w:r>
                </w:p>
              </w:tc>
              <w:tc>
                <w:tcPr>
                  <w:tcW w:w="672" w:type="pct"/>
                  <w:vAlign w:val="center"/>
                </w:tcPr>
                <w:p>
                  <w:pPr>
                    <w:adjustRightInd w:val="0"/>
                    <w:snapToGrid w:val="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10.45</w:t>
                  </w:r>
                </w:p>
              </w:tc>
              <w:tc>
                <w:tcPr>
                  <w:tcW w:w="735" w:type="pct"/>
                  <w:vAlign w:val="center"/>
                </w:tcPr>
                <w:p>
                  <w:pPr>
                    <w:adjustRightInd w:val="0"/>
                    <w:snapToGrid w:val="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0.0209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砂石料</w:t>
                  </w:r>
                  <w:r>
                    <w:rPr>
                      <w:rFonts w:hint="eastAsia" w:ascii="Times New Roman" w:hAnsi="Times New Roman"/>
                      <w:color w:val="auto"/>
                      <w:szCs w:val="21"/>
                    </w:rPr>
                    <w:t>堆棚WG1</w:t>
                  </w:r>
                </w:p>
              </w:tc>
              <w:tc>
                <w:tcPr>
                  <w:tcW w:w="786"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无组织粉尘</w:t>
                  </w:r>
                </w:p>
              </w:tc>
              <w:tc>
                <w:tcPr>
                  <w:tcW w:w="1713"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厂房阻隔及洒水降尘</w:t>
                  </w:r>
                </w:p>
              </w:tc>
              <w:tc>
                <w:tcPr>
                  <w:tcW w:w="672"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0.67</w:t>
                  </w:r>
                </w:p>
              </w:tc>
              <w:tc>
                <w:tcPr>
                  <w:tcW w:w="735"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0.201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输送、计量、投料无组织粉尘WG2</w:t>
                  </w:r>
                </w:p>
              </w:tc>
              <w:tc>
                <w:tcPr>
                  <w:tcW w:w="786"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无组织粉尘</w:t>
                  </w:r>
                </w:p>
              </w:tc>
              <w:tc>
                <w:tcPr>
                  <w:tcW w:w="1713" w:type="pct"/>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运输车辆加盖篷布，半密闭输送</w:t>
                  </w:r>
                </w:p>
              </w:tc>
              <w:tc>
                <w:tcPr>
                  <w:tcW w:w="672"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0.2556</w:t>
                  </w:r>
                </w:p>
              </w:tc>
              <w:tc>
                <w:tcPr>
                  <w:tcW w:w="735"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0.2556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运输扬尘WG3</w:t>
                  </w:r>
                </w:p>
              </w:tc>
              <w:tc>
                <w:tcPr>
                  <w:tcW w:w="786"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无组织粉尘</w:t>
                  </w:r>
                </w:p>
              </w:tc>
              <w:tc>
                <w:tcPr>
                  <w:tcW w:w="1713"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加强路面养护、及时洒水和做好运输车辆车厢防漏</w:t>
                  </w:r>
                </w:p>
              </w:tc>
              <w:tc>
                <w:tcPr>
                  <w:tcW w:w="672"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少量</w:t>
                  </w:r>
                </w:p>
              </w:tc>
              <w:tc>
                <w:tcPr>
                  <w:tcW w:w="735"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lang w:eastAsia="zh-CN"/>
                    </w:rPr>
                    <w:t>柴油发电机废气WG</w:t>
                  </w:r>
                  <w:r>
                    <w:rPr>
                      <w:rFonts w:hint="eastAsia" w:ascii="Times New Roman" w:hAnsi="Times New Roman"/>
                      <w:color w:val="auto"/>
                      <w:szCs w:val="21"/>
                      <w:lang w:val="en-US" w:eastAsia="zh-CN"/>
                    </w:rPr>
                    <w:t>4</w:t>
                  </w:r>
                </w:p>
              </w:tc>
              <w:tc>
                <w:tcPr>
                  <w:tcW w:w="786"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无组织粉尘</w:t>
                  </w:r>
                </w:p>
              </w:tc>
              <w:tc>
                <w:tcPr>
                  <w:tcW w:w="1713"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自然净化</w:t>
                  </w:r>
                </w:p>
              </w:tc>
              <w:tc>
                <w:tcPr>
                  <w:tcW w:w="672" w:type="pct"/>
                  <w:vAlign w:val="center"/>
                </w:tcPr>
                <w:p>
                  <w:pPr>
                    <w:adjustRightInd w:val="0"/>
                    <w:snapToGrid w:val="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0.001938</w:t>
                  </w:r>
                </w:p>
              </w:tc>
              <w:tc>
                <w:tcPr>
                  <w:tcW w:w="735" w:type="pct"/>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lang w:val="en-US" w:eastAsia="zh-CN"/>
                    </w:rPr>
                    <w:t>0.001938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车辆燃油废气</w:t>
                  </w:r>
                </w:p>
              </w:tc>
              <w:tc>
                <w:tcPr>
                  <w:tcW w:w="786"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油烟废气</w:t>
                  </w:r>
                </w:p>
              </w:tc>
              <w:tc>
                <w:tcPr>
                  <w:tcW w:w="1713"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自然净化</w:t>
                  </w:r>
                </w:p>
              </w:tc>
              <w:tc>
                <w:tcPr>
                  <w:tcW w:w="672"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少量</w:t>
                  </w:r>
                </w:p>
              </w:tc>
              <w:tc>
                <w:tcPr>
                  <w:tcW w:w="735"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食堂</w:t>
                  </w:r>
                </w:p>
              </w:tc>
              <w:tc>
                <w:tcPr>
                  <w:tcW w:w="786"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食堂油烟</w:t>
                  </w:r>
                </w:p>
              </w:tc>
              <w:tc>
                <w:tcPr>
                  <w:tcW w:w="1713"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油烟净化</w:t>
                  </w:r>
                </w:p>
              </w:tc>
              <w:tc>
                <w:tcPr>
                  <w:tcW w:w="672"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0.0156</w:t>
                  </w:r>
                </w:p>
              </w:tc>
              <w:tc>
                <w:tcPr>
                  <w:tcW w:w="735"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0.00624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焊接</w:t>
                  </w:r>
                </w:p>
              </w:tc>
              <w:tc>
                <w:tcPr>
                  <w:tcW w:w="786"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焊接废气</w:t>
                  </w:r>
                </w:p>
              </w:tc>
              <w:tc>
                <w:tcPr>
                  <w:tcW w:w="1713"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车间通风排放</w:t>
                  </w:r>
                </w:p>
              </w:tc>
              <w:tc>
                <w:tcPr>
                  <w:tcW w:w="672"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0.414</w:t>
                  </w:r>
                </w:p>
              </w:tc>
              <w:tc>
                <w:tcPr>
                  <w:tcW w:w="735"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0.0414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切割</w:t>
                  </w:r>
                </w:p>
              </w:tc>
              <w:tc>
                <w:tcPr>
                  <w:tcW w:w="786" w:type="pct"/>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切割废气</w:t>
                  </w:r>
                </w:p>
              </w:tc>
              <w:tc>
                <w:tcPr>
                  <w:tcW w:w="1713" w:type="pct"/>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车间通风排放</w:t>
                  </w:r>
                </w:p>
              </w:tc>
              <w:tc>
                <w:tcPr>
                  <w:tcW w:w="672" w:type="pct"/>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少量</w:t>
                  </w:r>
                </w:p>
              </w:tc>
              <w:tc>
                <w:tcPr>
                  <w:tcW w:w="735" w:type="pct"/>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1" w:type="pct"/>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合计</w:t>
                  </w:r>
                </w:p>
              </w:tc>
              <w:tc>
                <w:tcPr>
                  <w:tcW w:w="786"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w:t>
                  </w:r>
                </w:p>
              </w:tc>
              <w:tc>
                <w:tcPr>
                  <w:tcW w:w="1713" w:type="pct"/>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w:t>
                  </w:r>
                </w:p>
              </w:tc>
              <w:tc>
                <w:tcPr>
                  <w:tcW w:w="672" w:type="pct"/>
                  <w:vAlign w:val="center"/>
                </w:tcPr>
                <w:p>
                  <w:pPr>
                    <w:adjustRightInd w:val="0"/>
                    <w:snapToGrid w:val="0"/>
                    <w:jc w:val="center"/>
                    <w:rPr>
                      <w:rFonts w:hint="default" w:ascii="Times New Roman" w:hAnsi="Times New Roman" w:eastAsia="宋体"/>
                      <w:color w:val="auto"/>
                      <w:szCs w:val="21"/>
                      <w:lang w:val="en-US" w:eastAsia="zh-CN"/>
                    </w:rPr>
                  </w:pPr>
                  <w:r>
                    <w:rPr>
                      <w:rFonts w:hint="eastAsia" w:ascii="Times New Roman" w:hAnsi="Times New Roman"/>
                      <w:color w:val="auto"/>
                      <w:szCs w:val="21"/>
                      <w:lang w:val="en-US" w:eastAsia="zh-CN"/>
                    </w:rPr>
                    <w:t>90.391138</w:t>
                  </w:r>
                </w:p>
              </w:tc>
              <w:tc>
                <w:tcPr>
                  <w:tcW w:w="735" w:type="pct"/>
                  <w:vAlign w:val="center"/>
                </w:tcPr>
                <w:p>
                  <w:pPr>
                    <w:adjustRightInd w:val="0"/>
                    <w:snapToGrid w:val="0"/>
                    <w:jc w:val="center"/>
                    <w:rPr>
                      <w:rFonts w:hint="default" w:ascii="Times New Roman" w:hAnsi="Times New Roman" w:eastAsia="宋体"/>
                      <w:color w:val="auto"/>
                      <w:szCs w:val="21"/>
                      <w:lang w:val="en-US" w:eastAsia="zh-CN"/>
                    </w:rPr>
                  </w:pPr>
                  <w:r>
                    <w:rPr>
                      <w:rFonts w:hint="eastAsia" w:ascii="Times New Roman" w:hAnsi="Times New Roman"/>
                      <w:color w:val="auto"/>
                      <w:szCs w:val="21"/>
                    </w:rPr>
                    <w:t>0.40</w:t>
                  </w:r>
                  <w:r>
                    <w:rPr>
                      <w:rFonts w:hint="eastAsia" w:ascii="Times New Roman" w:hAnsi="Times New Roman"/>
                      <w:color w:val="auto"/>
                      <w:szCs w:val="21"/>
                      <w:lang w:val="en-US" w:eastAsia="zh-CN"/>
                    </w:rPr>
                    <w:t>7498</w:t>
                  </w:r>
                </w:p>
              </w:tc>
            </w:tr>
          </w:tbl>
          <w:p>
            <w:pPr>
              <w:tabs>
                <w:tab w:val="left" w:pos="428"/>
              </w:tabs>
              <w:spacing w:line="360" w:lineRule="auto"/>
              <w:ind w:firstLine="482" w:firstLineChars="200"/>
              <w:rPr>
                <w:rFonts w:ascii="Times New Roman" w:hAnsi="Times New Roman"/>
                <w:b/>
                <w:color w:val="auto"/>
                <w:kern w:val="0"/>
                <w:sz w:val="24"/>
                <w:szCs w:val="21"/>
              </w:rPr>
            </w:pPr>
            <w:r>
              <w:rPr>
                <w:rFonts w:ascii="Times New Roman" w:hAnsi="Times New Roman"/>
                <w:b/>
                <w:color w:val="auto"/>
                <w:kern w:val="0"/>
                <w:sz w:val="24"/>
                <w:szCs w:val="21"/>
              </w:rPr>
              <w:t>（</w:t>
            </w:r>
            <w:r>
              <w:rPr>
                <w:rFonts w:hint="eastAsia" w:ascii="Times New Roman" w:hAnsi="Times New Roman"/>
                <w:b/>
                <w:color w:val="auto"/>
                <w:kern w:val="0"/>
                <w:sz w:val="24"/>
                <w:szCs w:val="21"/>
                <w:lang w:val="en-US" w:eastAsia="zh-CN"/>
              </w:rPr>
              <w:t>6</w:t>
            </w:r>
            <w:r>
              <w:rPr>
                <w:rFonts w:ascii="Times New Roman" w:hAnsi="Times New Roman"/>
                <w:b/>
                <w:color w:val="auto"/>
                <w:kern w:val="0"/>
                <w:sz w:val="24"/>
                <w:szCs w:val="21"/>
              </w:rPr>
              <w:t>）非正常排放条件的设置</w:t>
            </w:r>
          </w:p>
          <w:p>
            <w:pPr>
              <w:adjustRightInd w:val="0"/>
              <w:snapToGrid w:val="0"/>
              <w:spacing w:line="360" w:lineRule="auto"/>
              <w:ind w:firstLine="480" w:firstLineChars="200"/>
              <w:rPr>
                <w:rFonts w:ascii="Times New Roman" w:hAnsi="Times New Roman"/>
                <w:color w:val="auto"/>
                <w:kern w:val="0"/>
                <w:sz w:val="24"/>
                <w:szCs w:val="21"/>
              </w:rPr>
            </w:pPr>
            <w:r>
              <w:rPr>
                <w:rFonts w:ascii="Times New Roman" w:hAnsi="Times New Roman"/>
                <w:color w:val="auto"/>
                <w:kern w:val="0"/>
                <w:sz w:val="24"/>
                <w:szCs w:val="21"/>
              </w:rPr>
              <w:t>建设项目引起粉尘非正常排放的因素和环节较多，但无论何种原因，其结果均与治理设施不能正常运转有关。项目投产后，全厂共有组织排放点</w:t>
            </w:r>
            <w:r>
              <w:rPr>
                <w:rFonts w:hint="eastAsia" w:ascii="Times New Roman" w:hAnsi="Times New Roman"/>
                <w:color w:val="auto"/>
                <w:kern w:val="0"/>
                <w:sz w:val="24"/>
                <w:szCs w:val="21"/>
              </w:rPr>
              <w:t>12</w:t>
            </w:r>
            <w:r>
              <w:rPr>
                <w:rFonts w:ascii="Times New Roman" w:hAnsi="Times New Roman"/>
                <w:color w:val="auto"/>
                <w:kern w:val="0"/>
                <w:sz w:val="24"/>
                <w:szCs w:val="21"/>
              </w:rPr>
              <w:t>个，由于</w:t>
            </w:r>
            <w:r>
              <w:rPr>
                <w:rFonts w:hint="eastAsia" w:ascii="Times New Roman" w:hAnsi="Times New Roman"/>
                <w:color w:val="auto"/>
                <w:kern w:val="0"/>
                <w:sz w:val="24"/>
                <w:szCs w:val="21"/>
              </w:rPr>
              <w:t>12</w:t>
            </w:r>
            <w:r>
              <w:rPr>
                <w:rFonts w:ascii="Times New Roman" w:hAnsi="Times New Roman"/>
                <w:color w:val="auto"/>
                <w:kern w:val="0"/>
                <w:sz w:val="24"/>
                <w:szCs w:val="21"/>
              </w:rPr>
              <w:t>个布袋除尘器同时出现故障的概率极低，因此，本次环评非正常排放设计，主要考虑1个有组织排放源的布袋除尘器出现故障，即考虑G1布袋除尘器效率降为50%。</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color w:val="auto"/>
                <w:sz w:val="24"/>
                <w:szCs w:val="24"/>
              </w:rPr>
            </w:pPr>
            <w:r>
              <w:rPr>
                <w:rFonts w:hint="eastAsia"/>
                <w:b/>
                <w:bCs/>
                <w:color w:val="auto"/>
                <w:sz w:val="24"/>
                <w:szCs w:val="24"/>
              </w:rPr>
              <w:t>表5-7非正常污染物排放源强</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837"/>
              <w:gridCol w:w="1275"/>
              <w:gridCol w:w="1330"/>
              <w:gridCol w:w="1038"/>
              <w:gridCol w:w="1038"/>
              <w:gridCol w:w="1038"/>
              <w:gridCol w:w="1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08" w:type="dxa"/>
                  <w:vMerge w:val="restart"/>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排源</w:t>
                  </w:r>
                </w:p>
              </w:tc>
              <w:tc>
                <w:tcPr>
                  <w:tcW w:w="837" w:type="dxa"/>
                  <w:vMerge w:val="restart"/>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污染物</w:t>
                  </w:r>
                </w:p>
              </w:tc>
              <w:tc>
                <w:tcPr>
                  <w:tcW w:w="3643" w:type="dxa"/>
                  <w:gridSpan w:val="3"/>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正常排放</w:t>
                  </w:r>
                </w:p>
              </w:tc>
              <w:tc>
                <w:tcPr>
                  <w:tcW w:w="3114" w:type="dxa"/>
                  <w:gridSpan w:val="3"/>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非正常排放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08" w:type="dxa"/>
                  <w:vMerge w:val="continue"/>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p>
              </w:tc>
              <w:tc>
                <w:tcPr>
                  <w:tcW w:w="837" w:type="dxa"/>
                  <w:vMerge w:val="continue"/>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p>
              </w:tc>
              <w:tc>
                <w:tcPr>
                  <w:tcW w:w="1275"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除尘效率(%)</w:t>
                  </w:r>
                </w:p>
              </w:tc>
              <w:tc>
                <w:tcPr>
                  <w:tcW w:w="1330"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排放浓度mg/m</w:t>
                  </w:r>
                  <w:r>
                    <w:rPr>
                      <w:rFonts w:hint="default" w:ascii="Times New Roman" w:hAnsi="Times New Roman" w:cs="Times New Roman"/>
                      <w:color w:val="auto"/>
                      <w:sz w:val="21"/>
                      <w:szCs w:val="21"/>
                      <w:vertAlign w:val="superscript"/>
                    </w:rPr>
                    <w:t>3</w:t>
                  </w:r>
                </w:p>
              </w:tc>
              <w:tc>
                <w:tcPr>
                  <w:tcW w:w="1038"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排放量kg/h</w:t>
                  </w:r>
                </w:p>
              </w:tc>
              <w:tc>
                <w:tcPr>
                  <w:tcW w:w="1038"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除尘效率(%)</w:t>
                  </w:r>
                </w:p>
              </w:tc>
              <w:tc>
                <w:tcPr>
                  <w:tcW w:w="1038" w:type="dxa"/>
                </w:tcPr>
                <w:p>
                  <w:pPr>
                    <w:pStyle w:val="2"/>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1"/>
                      <w:szCs w:val="21"/>
                      <w:vertAlign w:val="superscript"/>
                    </w:rPr>
                  </w:pPr>
                  <w:r>
                    <w:rPr>
                      <w:rFonts w:hint="default" w:ascii="Times New Roman" w:hAnsi="Times New Roman" w:cs="Times New Roman"/>
                      <w:color w:val="auto"/>
                      <w:sz w:val="21"/>
                      <w:szCs w:val="21"/>
                    </w:rPr>
                    <w:t>排放浓</w:t>
                  </w:r>
                  <w:r>
                    <w:rPr>
                      <w:rFonts w:hint="eastAsia" w:ascii="Times New Roman" w:hAnsi="Times New Roman" w:cs="Times New Roman"/>
                      <w:color w:val="auto"/>
                      <w:sz w:val="21"/>
                      <w:szCs w:val="21"/>
                      <w:lang w:eastAsia="zh-CN"/>
                    </w:rPr>
                    <w:t>度</w:t>
                  </w:r>
                  <w:r>
                    <w:rPr>
                      <w:rFonts w:hint="default" w:ascii="Times New Roman" w:hAnsi="Times New Roman" w:cs="Times New Roman"/>
                      <w:color w:val="auto"/>
                      <w:sz w:val="21"/>
                      <w:szCs w:val="21"/>
                    </w:rPr>
                    <w:t>mg/m</w:t>
                  </w:r>
                  <w:r>
                    <w:rPr>
                      <w:rFonts w:hint="default" w:ascii="Times New Roman" w:hAnsi="Times New Roman" w:cs="Times New Roman"/>
                      <w:color w:val="auto"/>
                      <w:sz w:val="21"/>
                      <w:szCs w:val="21"/>
                      <w:vertAlign w:val="superscript"/>
                    </w:rPr>
                    <w:t>3</w:t>
                  </w:r>
                </w:p>
              </w:tc>
              <w:tc>
                <w:tcPr>
                  <w:tcW w:w="1038"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排放量kg/h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08"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G1</w:t>
                  </w:r>
                </w:p>
              </w:tc>
              <w:tc>
                <w:tcPr>
                  <w:tcW w:w="837"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粉尘</w:t>
                  </w:r>
                </w:p>
              </w:tc>
              <w:tc>
                <w:tcPr>
                  <w:tcW w:w="1275"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99.8</w:t>
                  </w:r>
                </w:p>
              </w:tc>
              <w:tc>
                <w:tcPr>
                  <w:tcW w:w="1330"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9.08</w:t>
                  </w:r>
                </w:p>
              </w:tc>
              <w:tc>
                <w:tcPr>
                  <w:tcW w:w="1038"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0.0196</w:t>
                  </w:r>
                </w:p>
              </w:tc>
              <w:tc>
                <w:tcPr>
                  <w:tcW w:w="1038"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50</w:t>
                  </w:r>
                </w:p>
              </w:tc>
              <w:tc>
                <w:tcPr>
                  <w:tcW w:w="1038"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2271.75</w:t>
                  </w:r>
                </w:p>
              </w:tc>
              <w:tc>
                <w:tcPr>
                  <w:tcW w:w="1038" w:type="dxa"/>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rPr>
                    <w:t>4.9115</w:t>
                  </w:r>
                </w:p>
              </w:tc>
            </w:tr>
          </w:tbl>
          <w:p>
            <w:pPr>
              <w:pStyle w:val="2"/>
              <w:ind w:firstLine="480" w:firstLineChars="200"/>
              <w:rPr>
                <w:rFonts w:ascii="Times New Roman" w:hAnsi="Times New Roman"/>
                <w:color w:val="auto"/>
                <w:sz w:val="24"/>
                <w:szCs w:val="24"/>
              </w:rPr>
            </w:pPr>
            <w:r>
              <w:rPr>
                <w:rFonts w:ascii="Times New Roman" w:hAnsi="Times New Roman"/>
                <w:color w:val="auto"/>
                <w:sz w:val="24"/>
                <w:szCs w:val="24"/>
              </w:rPr>
              <w:t>为了避免此情况发生，污染环境，对除尘器配置一定量的易损备件及维护保养专用工具，并设专门技术人员对除尘器进行管理及维修。出现非正常排放时，应停止生产，尽快检修设备，待收尘设施恢复正常后方可投入生产，使各污染源强排放对周围环境降至最低。</w:t>
            </w:r>
          </w:p>
          <w:p>
            <w:pPr>
              <w:adjustRightInd w:val="0"/>
              <w:snapToGrid w:val="0"/>
              <w:spacing w:line="360" w:lineRule="auto"/>
              <w:rPr>
                <w:rFonts w:ascii="Times New Roman" w:hAnsi="Times New Roman"/>
                <w:b/>
                <w:color w:val="auto"/>
                <w:sz w:val="24"/>
              </w:rPr>
            </w:pPr>
            <w:r>
              <w:rPr>
                <w:rFonts w:ascii="Times New Roman" w:hAnsi="Times New Roman"/>
                <w:b/>
                <w:color w:val="auto"/>
                <w:sz w:val="24"/>
              </w:rPr>
              <w:t>2.</w:t>
            </w:r>
            <w:r>
              <w:rPr>
                <w:rFonts w:hint="eastAsia" w:ascii="Times New Roman" w:hAnsi="Times New Roman"/>
                <w:b/>
                <w:color w:val="auto"/>
                <w:sz w:val="24"/>
                <w:lang w:val="en-US" w:eastAsia="zh-CN"/>
              </w:rPr>
              <w:t>3</w:t>
            </w:r>
            <w:r>
              <w:rPr>
                <w:rFonts w:ascii="Times New Roman" w:hAnsi="Times New Roman"/>
                <w:b/>
                <w:color w:val="auto"/>
                <w:sz w:val="24"/>
              </w:rPr>
              <w:t>废水</w:t>
            </w:r>
          </w:p>
          <w:p>
            <w:pPr>
              <w:adjustRightInd w:val="0"/>
              <w:snapToGrid w:val="0"/>
              <w:spacing w:line="360" w:lineRule="auto"/>
              <w:rPr>
                <w:rFonts w:ascii="Times New Roman" w:hAnsi="Times New Roman"/>
                <w:b/>
                <w:color w:val="auto"/>
                <w:sz w:val="24"/>
              </w:rPr>
            </w:pPr>
            <w:r>
              <w:rPr>
                <w:rFonts w:ascii="Times New Roman" w:hAnsi="Times New Roman"/>
                <w:b/>
                <w:color w:val="auto"/>
                <w:sz w:val="24"/>
              </w:rPr>
              <w:t>2.</w:t>
            </w:r>
            <w:r>
              <w:rPr>
                <w:rFonts w:hint="eastAsia" w:ascii="Times New Roman" w:hAnsi="Times New Roman"/>
                <w:b/>
                <w:color w:val="auto"/>
                <w:sz w:val="24"/>
                <w:lang w:val="en-US" w:eastAsia="zh-CN"/>
              </w:rPr>
              <w:t>3</w:t>
            </w:r>
            <w:r>
              <w:rPr>
                <w:rFonts w:ascii="Times New Roman" w:hAnsi="Times New Roman"/>
                <w:b/>
                <w:color w:val="auto"/>
                <w:sz w:val="24"/>
              </w:rPr>
              <w:t>.1给水</w:t>
            </w:r>
          </w:p>
          <w:p>
            <w:pPr>
              <w:adjustRightInd w:val="0"/>
              <w:snapToGrid w:val="0"/>
              <w:spacing w:line="360" w:lineRule="auto"/>
              <w:ind w:firstLine="360" w:firstLineChars="150"/>
              <w:rPr>
                <w:rFonts w:hint="eastAsia" w:ascii="Times New Roman" w:hAnsi="Times New Roman" w:eastAsia="宋体"/>
                <w:color w:val="auto"/>
                <w:sz w:val="24"/>
                <w:lang w:eastAsia="zh-CN"/>
              </w:rPr>
            </w:pPr>
            <w:r>
              <w:rPr>
                <w:rFonts w:ascii="Times New Roman" w:hAnsi="Times New Roman"/>
                <w:color w:val="auto"/>
                <w:sz w:val="24"/>
              </w:rPr>
              <w:t>本项目生活用水和生产用水均</w:t>
            </w:r>
            <w:r>
              <w:rPr>
                <w:rFonts w:hint="eastAsia" w:ascii="Times New Roman" w:hAnsi="Times New Roman"/>
                <w:color w:val="auto"/>
                <w:sz w:val="24"/>
              </w:rPr>
              <w:t>来自项目区北面100m处山泉水，由管道接入厂区</w:t>
            </w:r>
            <w:r>
              <w:rPr>
                <w:rFonts w:ascii="Times New Roman" w:hAnsi="Times New Roman"/>
                <w:color w:val="auto"/>
                <w:sz w:val="24"/>
              </w:rPr>
              <w:t>供给</w:t>
            </w:r>
            <w:r>
              <w:rPr>
                <w:rFonts w:hint="eastAsia" w:ascii="Times New Roman" w:hAnsi="Times New Roman"/>
                <w:color w:val="auto"/>
                <w:sz w:val="24"/>
                <w:lang w:eastAsia="zh-CN"/>
              </w:rPr>
              <w:t>，根据调查现状，该水源下游无饮用水取水口及牲畜饮用功能，水量较大，水质较好，能满足项目生产和生活用水需求。</w:t>
            </w:r>
          </w:p>
          <w:p>
            <w:pPr>
              <w:adjustRightInd w:val="0"/>
              <w:snapToGrid w:val="0"/>
              <w:spacing w:line="360" w:lineRule="auto"/>
              <w:rPr>
                <w:rFonts w:ascii="Times New Roman" w:hAnsi="Times New Roman"/>
                <w:b/>
                <w:color w:val="auto"/>
                <w:sz w:val="24"/>
              </w:rPr>
            </w:pPr>
            <w:r>
              <w:rPr>
                <w:rFonts w:ascii="Times New Roman" w:hAnsi="Times New Roman"/>
                <w:b/>
                <w:color w:val="auto"/>
                <w:sz w:val="24"/>
              </w:rPr>
              <w:t>2.</w:t>
            </w:r>
            <w:r>
              <w:rPr>
                <w:rFonts w:hint="eastAsia" w:ascii="Times New Roman" w:hAnsi="Times New Roman"/>
                <w:b/>
                <w:color w:val="auto"/>
                <w:sz w:val="24"/>
                <w:lang w:val="en-US" w:eastAsia="zh-CN"/>
              </w:rPr>
              <w:t>3</w:t>
            </w:r>
            <w:r>
              <w:rPr>
                <w:rFonts w:ascii="Times New Roman" w:hAnsi="Times New Roman"/>
                <w:b/>
                <w:color w:val="auto"/>
                <w:sz w:val="24"/>
              </w:rPr>
              <w:t>.2用排水情况</w:t>
            </w:r>
          </w:p>
          <w:p>
            <w:pPr>
              <w:adjustRightInd w:val="0"/>
              <w:snapToGrid w:val="0"/>
              <w:spacing w:line="360" w:lineRule="auto"/>
              <w:ind w:firstLine="482" w:firstLineChars="200"/>
              <w:rPr>
                <w:rFonts w:ascii="Times New Roman" w:hAnsi="Times New Roman"/>
                <w:b/>
                <w:color w:val="auto"/>
                <w:sz w:val="24"/>
                <w:szCs w:val="24"/>
              </w:rPr>
            </w:pPr>
            <w:r>
              <w:rPr>
                <w:rFonts w:ascii="Times New Roman" w:hAnsi="Times New Roman"/>
                <w:b/>
                <w:color w:val="auto"/>
                <w:sz w:val="24"/>
                <w:szCs w:val="24"/>
              </w:rPr>
              <w:t>（1）生产用、排水</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项目区实行雨污分流，项目</w:t>
            </w:r>
            <w:r>
              <w:rPr>
                <w:rFonts w:hint="eastAsia" w:ascii="Times New Roman" w:hAnsi="Times New Roman"/>
                <w:color w:val="auto"/>
                <w:sz w:val="24"/>
                <w:szCs w:val="24"/>
              </w:rPr>
              <w:t>砂石</w:t>
            </w:r>
            <w:r>
              <w:rPr>
                <w:rFonts w:ascii="Times New Roman" w:hAnsi="Times New Roman"/>
                <w:color w:val="auto"/>
                <w:sz w:val="24"/>
                <w:szCs w:val="24"/>
              </w:rPr>
              <w:t>料</w:t>
            </w:r>
            <w:r>
              <w:rPr>
                <w:rFonts w:hint="eastAsia" w:ascii="Times New Roman" w:hAnsi="Times New Roman"/>
                <w:color w:val="auto"/>
                <w:sz w:val="24"/>
                <w:szCs w:val="24"/>
              </w:rPr>
              <w:t>堆棚</w:t>
            </w:r>
            <w:r>
              <w:rPr>
                <w:rFonts w:ascii="Times New Roman" w:hAnsi="Times New Roman"/>
                <w:color w:val="auto"/>
                <w:sz w:val="24"/>
                <w:szCs w:val="24"/>
              </w:rPr>
              <w:t>设</w:t>
            </w:r>
            <w:r>
              <w:rPr>
                <w:rFonts w:hint="eastAsia" w:ascii="Times New Roman" w:hAnsi="Times New Roman"/>
                <w:color w:val="auto"/>
                <w:sz w:val="24"/>
                <w:szCs w:val="24"/>
                <w:lang w:eastAsia="zh-CN"/>
              </w:rPr>
              <w:t>置</w:t>
            </w:r>
            <w:r>
              <w:rPr>
                <w:rFonts w:hint="eastAsia" w:ascii="Times New Roman" w:hAnsi="Times New Roman"/>
                <w:color w:val="auto"/>
                <w:sz w:val="24"/>
                <w:szCs w:val="24"/>
              </w:rPr>
              <w:t>彩钢瓦</w:t>
            </w:r>
            <w:r>
              <w:rPr>
                <w:rFonts w:ascii="Times New Roman" w:hAnsi="Times New Roman"/>
                <w:color w:val="auto"/>
                <w:sz w:val="24"/>
                <w:szCs w:val="24"/>
              </w:rPr>
              <w:t>顶棚及挡墙建设，雨季无淋滤废水产生，同时项目区分区域进行布置，</w:t>
            </w:r>
            <w:r>
              <w:rPr>
                <w:rFonts w:hint="eastAsia" w:ascii="Times New Roman" w:hAnsi="Times New Roman"/>
                <w:color w:val="auto"/>
                <w:sz w:val="24"/>
                <w:szCs w:val="24"/>
              </w:rPr>
              <w:t>砂石料堆棚</w:t>
            </w:r>
            <w:r>
              <w:rPr>
                <w:rFonts w:ascii="Times New Roman" w:hAnsi="Times New Roman"/>
                <w:color w:val="auto"/>
                <w:sz w:val="24"/>
                <w:szCs w:val="24"/>
              </w:rPr>
              <w:t>设置顶棚，运输物料车辆顶棚设置</w:t>
            </w:r>
            <w:r>
              <w:rPr>
                <w:rFonts w:hint="eastAsia" w:ascii="Times New Roman" w:hAnsi="Times New Roman"/>
                <w:color w:val="auto"/>
                <w:sz w:val="24"/>
                <w:szCs w:val="24"/>
                <w:lang w:eastAsia="zh-CN"/>
              </w:rPr>
              <w:t>篷布</w:t>
            </w:r>
            <w:r>
              <w:rPr>
                <w:rFonts w:ascii="Times New Roman" w:hAnsi="Times New Roman"/>
                <w:color w:val="auto"/>
                <w:sz w:val="24"/>
                <w:szCs w:val="24"/>
              </w:rPr>
              <w:t>或罐车运输，地面扬尘小。因此项目区生产用排水主要如下：</w:t>
            </w:r>
          </w:p>
          <w:p>
            <w:pPr>
              <w:adjustRightInd w:val="0"/>
              <w:snapToGrid w:val="0"/>
              <w:spacing w:line="360" w:lineRule="auto"/>
              <w:ind w:firstLine="482" w:firstLineChars="200"/>
              <w:rPr>
                <w:rFonts w:ascii="Times New Roman" w:hAnsi="Times New Roman"/>
                <w:color w:val="auto"/>
                <w:sz w:val="24"/>
              </w:rPr>
            </w:pPr>
            <w:r>
              <w:rPr>
                <w:rFonts w:ascii="Times New Roman" w:hAnsi="Times New Roman"/>
                <w:b/>
                <w:color w:val="auto"/>
                <w:sz w:val="24"/>
              </w:rPr>
              <w:t>·</w:t>
            </w:r>
            <w:r>
              <w:rPr>
                <w:rFonts w:ascii="Times New Roman" w:hAnsi="Times New Roman"/>
                <w:color w:val="auto"/>
                <w:sz w:val="24"/>
              </w:rPr>
              <w:t>搅拌生产用水量</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本项目混凝土生产线每立方混凝土需水170L，则本项目混凝土生产线生产用水量为</w:t>
            </w:r>
            <w:r>
              <w:rPr>
                <w:rFonts w:hint="eastAsia" w:ascii="Times New Roman" w:hAnsi="Times New Roman"/>
                <w:color w:val="auto"/>
                <w:sz w:val="24"/>
              </w:rPr>
              <w:t>47.6</w:t>
            </w:r>
            <w:r>
              <w:rPr>
                <w:rFonts w:ascii="Times New Roman" w:hAnsi="Times New Roman"/>
                <w:bCs/>
                <w:color w:val="auto"/>
                <w:sz w:val="24"/>
              </w:rPr>
              <w:t>m</w:t>
            </w:r>
            <w:r>
              <w:rPr>
                <w:rFonts w:ascii="Times New Roman" w:hAnsi="Times New Roman"/>
                <w:bCs/>
                <w:color w:val="auto"/>
                <w:sz w:val="24"/>
                <w:vertAlign w:val="superscript"/>
              </w:rPr>
              <w:t>3</w:t>
            </w:r>
            <w:r>
              <w:rPr>
                <w:rFonts w:ascii="Times New Roman" w:hAnsi="Times New Roman"/>
                <w:color w:val="auto"/>
                <w:sz w:val="24"/>
              </w:rPr>
              <w:t>/d，</w:t>
            </w:r>
            <w:r>
              <w:rPr>
                <w:rFonts w:hint="eastAsia" w:ascii="Times New Roman" w:hAnsi="Times New Roman"/>
                <w:color w:val="auto"/>
                <w:sz w:val="24"/>
              </w:rPr>
              <w:t>17136</w:t>
            </w:r>
            <w:r>
              <w:rPr>
                <w:rFonts w:ascii="Times New Roman" w:hAnsi="Times New Roman"/>
                <w:bCs/>
                <w:color w:val="auto"/>
                <w:sz w:val="24"/>
              </w:rPr>
              <w:t>m</w:t>
            </w:r>
            <w:r>
              <w:rPr>
                <w:rFonts w:ascii="Times New Roman" w:hAnsi="Times New Roman"/>
                <w:bCs/>
                <w:color w:val="auto"/>
                <w:sz w:val="24"/>
                <w:vertAlign w:val="superscript"/>
              </w:rPr>
              <w:t>3</w:t>
            </w:r>
            <w:r>
              <w:rPr>
                <w:rFonts w:ascii="Times New Roman" w:hAnsi="Times New Roman"/>
                <w:color w:val="auto"/>
                <w:sz w:val="24"/>
              </w:rPr>
              <w:t>/a。</w:t>
            </w:r>
            <w:r>
              <w:rPr>
                <w:rFonts w:ascii="Times New Roman" w:hAnsi="Times New Roman"/>
                <w:color w:val="auto"/>
                <w:sz w:val="24"/>
                <w:szCs w:val="24"/>
              </w:rPr>
              <w:t>其全部进入产品，无废水外排。</w:t>
            </w:r>
          </w:p>
          <w:p>
            <w:pPr>
              <w:adjustRightInd w:val="0"/>
              <w:snapToGrid w:val="0"/>
              <w:spacing w:line="360" w:lineRule="auto"/>
              <w:ind w:firstLine="482" w:firstLineChars="200"/>
              <w:rPr>
                <w:rFonts w:ascii="Times New Roman" w:hAnsi="Times New Roman"/>
                <w:color w:val="auto"/>
                <w:sz w:val="24"/>
              </w:rPr>
            </w:pPr>
            <w:r>
              <w:rPr>
                <w:rFonts w:ascii="Times New Roman" w:hAnsi="Times New Roman"/>
                <w:b/>
                <w:color w:val="auto"/>
                <w:sz w:val="24"/>
              </w:rPr>
              <w:t>·</w:t>
            </w:r>
            <w:r>
              <w:rPr>
                <w:rFonts w:hint="eastAsia" w:ascii="Times New Roman" w:hAnsi="Times New Roman"/>
                <w:b w:val="0"/>
                <w:bCs/>
                <w:color w:val="auto"/>
                <w:sz w:val="24"/>
                <w:lang w:eastAsia="zh-CN"/>
              </w:rPr>
              <w:t>原料堆棚以及下料口</w:t>
            </w:r>
            <w:r>
              <w:rPr>
                <w:rFonts w:ascii="Times New Roman" w:hAnsi="Times New Roman"/>
                <w:color w:val="auto"/>
                <w:sz w:val="24"/>
              </w:rPr>
              <w:t>抑尘用水</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项目原料</w:t>
            </w:r>
            <w:r>
              <w:rPr>
                <w:rFonts w:hint="default" w:ascii="Times New Roman" w:hAnsi="Times New Roman" w:cs="Times New Roman"/>
                <w:color w:val="auto"/>
                <w:sz w:val="24"/>
                <w:szCs w:val="24"/>
                <w:lang w:eastAsia="zh-CN"/>
              </w:rPr>
              <w:t>堆棚各</w:t>
            </w:r>
            <w:r>
              <w:rPr>
                <w:rFonts w:hint="default" w:ascii="Times New Roman" w:hAnsi="Times New Roman" w:cs="Times New Roman"/>
                <w:color w:val="auto"/>
                <w:sz w:val="24"/>
                <w:szCs w:val="24"/>
              </w:rPr>
              <w:t>设置</w:t>
            </w:r>
            <w:r>
              <w:rPr>
                <w:rFonts w:hint="eastAsia" w:ascii="Times New Roman" w:hAnsi="Times New Roman" w:cs="Times New Roman"/>
                <w:color w:val="auto"/>
                <w:sz w:val="24"/>
                <w:szCs w:val="24"/>
                <w:lang w:val="en-US" w:eastAsia="zh-CN"/>
              </w:rPr>
              <w:t>1个</w:t>
            </w:r>
            <w:r>
              <w:rPr>
                <w:rFonts w:hint="default" w:ascii="Times New Roman" w:hAnsi="Times New Roman" w:cs="Times New Roman"/>
                <w:color w:val="auto"/>
                <w:sz w:val="24"/>
                <w:szCs w:val="24"/>
              </w:rPr>
              <w:t>喷头，</w:t>
            </w:r>
            <w:r>
              <w:rPr>
                <w:rFonts w:hint="default" w:ascii="Times New Roman" w:hAnsi="Times New Roman" w:cs="Times New Roman"/>
                <w:color w:val="auto"/>
                <w:sz w:val="24"/>
                <w:szCs w:val="24"/>
                <w:lang w:eastAsia="zh-CN"/>
              </w:rPr>
              <w:t>配料站各下料口设置</w:t>
            </w:r>
            <w:r>
              <w:rPr>
                <w:rFonts w:hint="default" w:ascii="Times New Roman" w:hAnsi="Times New Roman" w:cs="Times New Roman"/>
                <w:color w:val="auto"/>
                <w:sz w:val="24"/>
                <w:szCs w:val="24"/>
                <w:lang w:val="en-US" w:eastAsia="zh-CN"/>
              </w:rPr>
              <w:t>1个喷头，共计</w:t>
            </w:r>
            <w:r>
              <w:rPr>
                <w:rFonts w:hint="eastAsia" w:ascii="Times New Roman" w:hAnsi="Times New Roman" w:cs="Times New Roman"/>
                <w:color w:val="auto"/>
                <w:sz w:val="24"/>
                <w:szCs w:val="24"/>
                <w:lang w:val="en-US" w:eastAsia="zh-CN"/>
              </w:rPr>
              <w:t>12</w:t>
            </w:r>
            <w:r>
              <w:rPr>
                <w:rFonts w:hint="default" w:ascii="Times New Roman" w:hAnsi="Times New Roman" w:cs="Times New Roman"/>
                <w:color w:val="auto"/>
                <w:sz w:val="24"/>
                <w:szCs w:val="24"/>
                <w:lang w:val="en-US" w:eastAsia="zh-CN"/>
              </w:rPr>
              <w:t>个喷头。</w:t>
            </w:r>
            <w:r>
              <w:rPr>
                <w:rFonts w:hint="default" w:ascii="Times New Roman" w:hAnsi="Times New Roman" w:cs="Times New Roman"/>
                <w:color w:val="auto"/>
                <w:sz w:val="24"/>
                <w:szCs w:val="24"/>
              </w:rPr>
              <w:t>洒水装置16</w:t>
            </w:r>
            <w:r>
              <w:rPr>
                <w:rFonts w:hint="eastAsia" w:ascii="Times New Roman" w:hAnsi="Times New Roman" w:cs="Times New Roman"/>
                <w:color w:val="auto"/>
                <w:sz w:val="24"/>
                <w:szCs w:val="24"/>
                <w:lang w:val="en-US" w:eastAsia="zh-CN"/>
              </w:rPr>
              <w:t>h</w:t>
            </w:r>
            <w:r>
              <w:rPr>
                <w:rFonts w:hint="default" w:ascii="Times New Roman" w:hAnsi="Times New Roman" w:cs="Times New Roman"/>
                <w:color w:val="auto"/>
                <w:sz w:val="24"/>
                <w:szCs w:val="24"/>
              </w:rPr>
              <w:t>连续浇洒，根据</w:t>
            </w:r>
            <w:r>
              <w:rPr>
                <w:rFonts w:hint="eastAsia" w:ascii="Times New Roman" w:hAnsi="Times New Roman" w:cs="Times New Roman"/>
                <w:color w:val="auto"/>
                <w:sz w:val="24"/>
                <w:szCs w:val="24"/>
                <w:lang w:eastAsia="zh-CN"/>
              </w:rPr>
              <w:t>可研</w:t>
            </w:r>
            <w:r>
              <w:rPr>
                <w:rFonts w:hint="default" w:ascii="Times New Roman" w:hAnsi="Times New Roman" w:cs="Times New Roman"/>
                <w:color w:val="auto"/>
                <w:sz w:val="24"/>
                <w:szCs w:val="24"/>
              </w:rPr>
              <w:t>浇洒用水按</w:t>
            </w:r>
            <w:r>
              <w:rPr>
                <w:rFonts w:hint="default" w:ascii="Times New Roman" w:hAnsi="Times New Roman" w:cs="Times New Roman"/>
                <w:color w:val="auto"/>
                <w:sz w:val="24"/>
                <w:szCs w:val="24"/>
              </w:rPr>
              <w:t>0.15m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/h·</w:t>
            </w:r>
            <w:r>
              <w:rPr>
                <w:rFonts w:hint="eastAsia" w:ascii="Times New Roman" w:hAnsi="Times New Roman" w:cs="Times New Roman"/>
                <w:color w:val="auto"/>
                <w:sz w:val="24"/>
                <w:szCs w:val="24"/>
                <w:lang w:eastAsia="zh-CN"/>
              </w:rPr>
              <w:t>个</w:t>
            </w:r>
            <w:r>
              <w:rPr>
                <w:rFonts w:hint="default" w:ascii="Times New Roman" w:hAnsi="Times New Roman" w:cs="Times New Roman"/>
                <w:color w:val="auto"/>
                <w:sz w:val="24"/>
                <w:szCs w:val="24"/>
              </w:rPr>
              <w:t>计算，则项目</w:t>
            </w:r>
            <w:r>
              <w:rPr>
                <w:rFonts w:hint="default" w:ascii="Times New Roman" w:hAnsi="Times New Roman" w:cs="Times New Roman"/>
                <w:color w:val="auto"/>
                <w:sz w:val="24"/>
                <w:szCs w:val="24"/>
                <w:lang w:eastAsia="zh-CN"/>
              </w:rPr>
              <w:t>堆棚及下料口</w:t>
            </w:r>
            <w:r>
              <w:rPr>
                <w:rFonts w:hint="default" w:ascii="Times New Roman" w:hAnsi="Times New Roman" w:cs="Times New Roman"/>
                <w:color w:val="auto"/>
                <w:sz w:val="24"/>
                <w:szCs w:val="24"/>
              </w:rPr>
              <w:t>防尘用水量为</w:t>
            </w:r>
            <w:r>
              <w:rPr>
                <w:rFonts w:hint="eastAsia" w:ascii="Times New Roman" w:hAnsi="Times New Roman" w:cs="Times New Roman"/>
                <w:color w:val="auto"/>
                <w:sz w:val="24"/>
                <w:szCs w:val="24"/>
                <w:lang w:val="en-US" w:eastAsia="zh-CN"/>
              </w:rPr>
              <w:t>28.8</w:t>
            </w:r>
            <w:r>
              <w:rPr>
                <w:rFonts w:hint="default" w:ascii="Times New Roman" w:hAnsi="Times New Roman" w:cs="Times New Roman"/>
                <w:color w:val="auto"/>
                <w:sz w:val="24"/>
                <w:szCs w:val="24"/>
              </w:rPr>
              <w:t>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/d</w:t>
            </w:r>
            <w:r>
              <w:rPr>
                <w:rFonts w:hint="default"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10368</w:t>
            </w:r>
            <w:r>
              <w:rPr>
                <w:rFonts w:hint="default" w:ascii="Times New Roman" w:hAnsi="Times New Roman" w:cs="Times New Roman"/>
                <w:color w:val="auto"/>
                <w:sz w:val="24"/>
                <w:szCs w:val="24"/>
              </w:rPr>
              <w:t>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a</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其全部蒸发，不外排。</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sz w:val="24"/>
                <w:szCs w:val="24"/>
              </w:rPr>
            </w:pPr>
            <w:r>
              <w:rPr>
                <w:color w:val="auto"/>
                <w:sz w:val="24"/>
                <w:szCs w:val="24"/>
              </w:rPr>
              <w:t>·</w:t>
            </w:r>
            <w:r>
              <w:rPr>
                <w:rFonts w:hint="eastAsia"/>
                <w:color w:val="auto"/>
                <w:sz w:val="24"/>
                <w:szCs w:val="24"/>
                <w:lang w:eastAsia="zh-CN"/>
              </w:rPr>
              <w:t>厂区其他硬化路面</w:t>
            </w:r>
            <w:r>
              <w:rPr>
                <w:color w:val="auto"/>
                <w:sz w:val="24"/>
                <w:szCs w:val="24"/>
              </w:rPr>
              <w:t>抑尘用水</w:t>
            </w:r>
          </w:p>
          <w:p>
            <w:pPr>
              <w:pStyle w:val="2"/>
              <w:ind w:firstLine="480" w:firstLineChars="200"/>
              <w:rPr>
                <w:rFonts w:ascii="Times New Roman" w:hAnsi="Times New Roman"/>
                <w:color w:val="auto"/>
                <w:sz w:val="24"/>
                <w:szCs w:val="24"/>
              </w:rPr>
            </w:pPr>
            <w:r>
              <w:rPr>
                <w:rFonts w:ascii="Times New Roman" w:hAnsi="Times New Roman"/>
                <w:color w:val="auto"/>
                <w:sz w:val="24"/>
              </w:rPr>
              <w:t>本项目需对</w:t>
            </w:r>
            <w:r>
              <w:rPr>
                <w:rFonts w:hint="eastAsia" w:ascii="Times New Roman" w:hAnsi="Times New Roman"/>
                <w:color w:val="auto"/>
                <w:sz w:val="24"/>
              </w:rPr>
              <w:t>项目厂区部分硬化地面</w:t>
            </w:r>
            <w:r>
              <w:rPr>
                <w:rFonts w:ascii="Times New Roman" w:hAnsi="Times New Roman"/>
                <w:color w:val="auto"/>
                <w:sz w:val="24"/>
              </w:rPr>
              <w:t>进行洒水抑尘，</w:t>
            </w:r>
            <w:r>
              <w:rPr>
                <w:rFonts w:hint="eastAsia" w:ascii="Times New Roman" w:hAnsi="Times New Roman"/>
                <w:color w:val="auto"/>
                <w:sz w:val="24"/>
              </w:rPr>
              <w:t>包括砂石料堆棚、混凝土拌和区以及部分道路，</w:t>
            </w:r>
            <w:r>
              <w:rPr>
                <w:rFonts w:ascii="Times New Roman" w:hAnsi="Times New Roman"/>
                <w:color w:val="auto"/>
                <w:sz w:val="24"/>
              </w:rPr>
              <w:t>其共占地面积为</w:t>
            </w:r>
            <w:r>
              <w:rPr>
                <w:rFonts w:hint="eastAsia" w:ascii="Times New Roman" w:hAnsi="Times New Roman"/>
                <w:color w:val="auto"/>
                <w:sz w:val="24"/>
                <w:lang w:val="en-US" w:eastAsia="zh-CN"/>
              </w:rPr>
              <w:t>4</w:t>
            </w:r>
            <w:r>
              <w:rPr>
                <w:rFonts w:hint="eastAsia" w:ascii="Times New Roman" w:hAnsi="Times New Roman"/>
                <w:color w:val="auto"/>
                <w:sz w:val="24"/>
              </w:rPr>
              <w:t>500</w:t>
            </w:r>
            <w:r>
              <w:rPr>
                <w:rFonts w:ascii="Times New Roman" w:hAnsi="Times New Roman"/>
                <w:color w:val="auto"/>
                <w:sz w:val="24"/>
              </w:rPr>
              <w:t>m</w:t>
            </w:r>
            <w:r>
              <w:rPr>
                <w:rFonts w:ascii="Times New Roman" w:hAnsi="Times New Roman"/>
                <w:color w:val="auto"/>
                <w:sz w:val="24"/>
                <w:vertAlign w:val="superscript"/>
              </w:rPr>
              <w:t>2</w:t>
            </w:r>
            <w:r>
              <w:rPr>
                <w:rFonts w:ascii="Times New Roman" w:hAnsi="Times New Roman"/>
                <w:color w:val="auto"/>
                <w:sz w:val="24"/>
              </w:rPr>
              <w:t>，按旱季1.5</w:t>
            </w:r>
            <w:r>
              <w:rPr>
                <w:rFonts w:hint="eastAsia" w:ascii="Times New Roman" w:hAnsi="Times New Roman"/>
                <w:color w:val="auto"/>
                <w:sz w:val="24"/>
              </w:rPr>
              <w:t>L/m</w:t>
            </w:r>
            <w:r>
              <w:rPr>
                <w:rFonts w:hint="eastAsia" w:ascii="Times New Roman" w:hAnsi="Times New Roman"/>
                <w:color w:val="auto"/>
                <w:sz w:val="24"/>
                <w:vertAlign w:val="superscript"/>
              </w:rPr>
              <w:t>3</w:t>
            </w:r>
            <w:r>
              <w:rPr>
                <w:rFonts w:ascii="Times New Roman" w:hAnsi="Times New Roman"/>
                <w:color w:val="auto"/>
                <w:sz w:val="24"/>
              </w:rPr>
              <w:t>用水量、每天浇水两次计算，本项目浇洒用水量为</w:t>
            </w:r>
            <w:r>
              <w:rPr>
                <w:rFonts w:hint="eastAsia" w:ascii="Times New Roman" w:hAnsi="Times New Roman"/>
                <w:color w:val="auto"/>
                <w:sz w:val="24"/>
                <w:lang w:val="en-US" w:eastAsia="zh-CN"/>
              </w:rPr>
              <w:t>13.5</w:t>
            </w:r>
            <w:r>
              <w:rPr>
                <w:rFonts w:ascii="Times New Roman" w:hAnsi="Times New Roman"/>
                <w:bCs/>
                <w:color w:val="auto"/>
                <w:sz w:val="24"/>
              </w:rPr>
              <w:t>m</w:t>
            </w:r>
            <w:r>
              <w:rPr>
                <w:rFonts w:ascii="Times New Roman" w:hAnsi="Times New Roman"/>
                <w:bCs/>
                <w:color w:val="auto"/>
                <w:sz w:val="24"/>
                <w:vertAlign w:val="superscript"/>
              </w:rPr>
              <w:t>3</w:t>
            </w:r>
            <w:r>
              <w:rPr>
                <w:rFonts w:ascii="Times New Roman" w:hAnsi="Times New Roman"/>
                <w:color w:val="auto"/>
                <w:sz w:val="24"/>
              </w:rPr>
              <w:t>/d，</w:t>
            </w:r>
            <w:r>
              <w:rPr>
                <w:rFonts w:hint="eastAsia" w:ascii="Times New Roman" w:hAnsi="Times New Roman"/>
                <w:color w:val="auto"/>
                <w:sz w:val="24"/>
              </w:rPr>
              <w:t>2</w:t>
            </w:r>
            <w:r>
              <w:rPr>
                <w:rFonts w:hint="eastAsia" w:ascii="Times New Roman" w:hAnsi="Times New Roman"/>
                <w:color w:val="auto"/>
                <w:sz w:val="24"/>
                <w:lang w:val="en-US" w:eastAsia="zh-CN"/>
              </w:rPr>
              <w:t>7</w:t>
            </w:r>
            <w:r>
              <w:rPr>
                <w:rFonts w:hint="eastAsia" w:ascii="Times New Roman" w:hAnsi="Times New Roman"/>
                <w:color w:val="auto"/>
                <w:sz w:val="24"/>
              </w:rPr>
              <w:t>00</w:t>
            </w:r>
            <w:r>
              <w:rPr>
                <w:rFonts w:ascii="Times New Roman" w:hAnsi="Times New Roman"/>
                <w:bCs/>
                <w:color w:val="auto"/>
                <w:sz w:val="24"/>
              </w:rPr>
              <w:t>m</w:t>
            </w:r>
            <w:r>
              <w:rPr>
                <w:rFonts w:ascii="Times New Roman" w:hAnsi="Times New Roman"/>
                <w:bCs/>
                <w:color w:val="auto"/>
                <w:sz w:val="24"/>
                <w:vertAlign w:val="superscript"/>
              </w:rPr>
              <w:t>3</w:t>
            </w:r>
            <w:r>
              <w:rPr>
                <w:rFonts w:ascii="Times New Roman" w:hAnsi="Times New Roman"/>
                <w:color w:val="auto"/>
                <w:sz w:val="24"/>
              </w:rPr>
              <w:t>/a（</w:t>
            </w:r>
            <w:r>
              <w:rPr>
                <w:rFonts w:hint="default" w:ascii="Times New Roman" w:hAnsi="Times New Roman"/>
                <w:color w:val="auto"/>
                <w:sz w:val="24"/>
              </w:rPr>
              <w:t>年</w:t>
            </w:r>
            <w:r>
              <w:rPr>
                <w:rFonts w:hint="default" w:ascii="Times New Roman" w:hAnsi="Times New Roman"/>
                <w:color w:val="auto"/>
                <w:sz w:val="24"/>
                <w:lang w:eastAsia="zh-CN"/>
              </w:rPr>
              <w:t>晴天按</w:t>
            </w:r>
            <w:r>
              <w:rPr>
                <w:rFonts w:hint="eastAsia" w:ascii="Times New Roman" w:hAnsi="Times New Roman"/>
                <w:color w:val="auto"/>
                <w:sz w:val="24"/>
                <w:lang w:val="en-US" w:eastAsia="zh-CN"/>
              </w:rPr>
              <w:t>200</w:t>
            </w:r>
            <w:r>
              <w:rPr>
                <w:rFonts w:hint="default" w:ascii="Times New Roman" w:hAnsi="Times New Roman"/>
                <w:color w:val="auto"/>
                <w:sz w:val="24"/>
              </w:rPr>
              <w:t>d</w:t>
            </w:r>
            <w:r>
              <w:rPr>
                <w:rFonts w:hint="default" w:ascii="Times New Roman" w:hAnsi="Times New Roman"/>
                <w:color w:val="auto"/>
                <w:sz w:val="24"/>
                <w:lang w:eastAsia="zh-CN"/>
              </w:rPr>
              <w:t>计</w:t>
            </w:r>
            <w:r>
              <w:rPr>
                <w:rFonts w:ascii="Times New Roman" w:hAnsi="Times New Roman"/>
                <w:color w:val="auto"/>
                <w:sz w:val="24"/>
              </w:rPr>
              <w:t>），</w:t>
            </w:r>
            <w:r>
              <w:rPr>
                <w:rFonts w:ascii="Times New Roman" w:hAnsi="Times New Roman"/>
                <w:color w:val="auto"/>
                <w:sz w:val="24"/>
                <w:szCs w:val="24"/>
              </w:rPr>
              <w:t>其全部蒸发，不外排。</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·车辆清洗</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本项目</w:t>
            </w:r>
            <w:r>
              <w:rPr>
                <w:rFonts w:hint="eastAsia" w:ascii="Times New Roman" w:hAnsi="Times New Roman"/>
                <w:color w:val="auto"/>
                <w:sz w:val="24"/>
              </w:rPr>
              <w:t>运输</w:t>
            </w:r>
            <w:r>
              <w:rPr>
                <w:rFonts w:ascii="Times New Roman" w:hAnsi="Times New Roman"/>
                <w:color w:val="auto"/>
                <w:sz w:val="24"/>
              </w:rPr>
              <w:t>车辆每天需要清洗，其用水量约为10</w:t>
            </w:r>
            <w:r>
              <w:rPr>
                <w:rFonts w:ascii="Times New Roman" w:hAnsi="Times New Roman"/>
                <w:bCs/>
                <w:color w:val="auto"/>
                <w:sz w:val="24"/>
              </w:rPr>
              <w:t>m</w:t>
            </w:r>
            <w:r>
              <w:rPr>
                <w:rFonts w:ascii="Times New Roman" w:hAnsi="Times New Roman"/>
                <w:bCs/>
                <w:color w:val="auto"/>
                <w:sz w:val="24"/>
                <w:vertAlign w:val="superscript"/>
              </w:rPr>
              <w:t>3</w:t>
            </w:r>
            <w:r>
              <w:rPr>
                <w:rFonts w:ascii="Times New Roman" w:hAnsi="Times New Roman"/>
                <w:color w:val="auto"/>
                <w:sz w:val="24"/>
              </w:rPr>
              <w:t>/d，3000</w:t>
            </w:r>
            <w:r>
              <w:rPr>
                <w:rFonts w:ascii="Times New Roman" w:hAnsi="Times New Roman"/>
                <w:bCs/>
                <w:color w:val="auto"/>
                <w:sz w:val="24"/>
              </w:rPr>
              <w:t>m</w:t>
            </w:r>
            <w:r>
              <w:rPr>
                <w:rFonts w:ascii="Times New Roman" w:hAnsi="Times New Roman"/>
                <w:bCs/>
                <w:color w:val="auto"/>
                <w:sz w:val="24"/>
                <w:vertAlign w:val="superscript"/>
              </w:rPr>
              <w:t>3</w:t>
            </w:r>
            <w:r>
              <w:rPr>
                <w:rFonts w:ascii="Times New Roman" w:hAnsi="Times New Roman"/>
                <w:color w:val="auto"/>
                <w:sz w:val="24"/>
              </w:rPr>
              <w:t>/a，由厂区供水系统供给。设备清洗废水产生量9m</w:t>
            </w:r>
            <w:r>
              <w:rPr>
                <w:rFonts w:ascii="Times New Roman" w:hAnsi="Times New Roman"/>
                <w:color w:val="auto"/>
                <w:sz w:val="24"/>
                <w:vertAlign w:val="superscript"/>
              </w:rPr>
              <w:t>3</w:t>
            </w:r>
            <w:r>
              <w:rPr>
                <w:rFonts w:ascii="Times New Roman" w:hAnsi="Times New Roman"/>
                <w:color w:val="auto"/>
                <w:sz w:val="24"/>
              </w:rPr>
              <w:t>/d（按用水量的90%计），进入20m</w:t>
            </w:r>
            <w:r>
              <w:rPr>
                <w:rFonts w:ascii="Times New Roman" w:hAnsi="Times New Roman"/>
                <w:color w:val="auto"/>
                <w:sz w:val="24"/>
                <w:vertAlign w:val="superscript"/>
              </w:rPr>
              <w:t>3</w:t>
            </w:r>
            <w:r>
              <w:rPr>
                <w:rFonts w:ascii="Times New Roman" w:hAnsi="Times New Roman"/>
                <w:color w:val="auto"/>
                <w:sz w:val="24"/>
              </w:rPr>
              <w:t>沉淀池沉淀后回用于搅拌机，不外排。</w:t>
            </w:r>
          </w:p>
          <w:p>
            <w:pPr>
              <w:adjustRightInd w:val="0"/>
              <w:snapToGrid w:val="0"/>
              <w:spacing w:line="360" w:lineRule="auto"/>
              <w:ind w:firstLine="482" w:firstLineChars="200"/>
              <w:rPr>
                <w:rFonts w:ascii="Times New Roman" w:hAnsi="Times New Roman"/>
                <w:b/>
                <w:color w:val="auto"/>
                <w:sz w:val="24"/>
              </w:rPr>
            </w:pPr>
            <w:r>
              <w:rPr>
                <w:rFonts w:ascii="Times New Roman" w:hAnsi="Times New Roman"/>
                <w:b/>
                <w:color w:val="auto"/>
                <w:sz w:val="24"/>
              </w:rPr>
              <w:t>（2）生活区用、排水</w:t>
            </w:r>
          </w:p>
          <w:p>
            <w:pPr>
              <w:adjustRightInd w:val="0"/>
              <w:snapToGrid w:val="0"/>
              <w:spacing w:line="360" w:lineRule="auto"/>
              <w:ind w:firstLine="482" w:firstLineChars="200"/>
              <w:rPr>
                <w:rFonts w:ascii="Times New Roman" w:hAnsi="Times New Roman"/>
                <w:b/>
                <w:color w:val="auto"/>
                <w:sz w:val="24"/>
              </w:rPr>
            </w:pPr>
            <w:r>
              <w:rPr>
                <w:rFonts w:ascii="Times New Roman" w:hAnsi="Times New Roman"/>
                <w:b/>
                <w:color w:val="auto"/>
                <w:sz w:val="24"/>
              </w:rPr>
              <w:t>·</w:t>
            </w:r>
            <w:r>
              <w:rPr>
                <w:rFonts w:ascii="Times New Roman" w:hAnsi="Times New Roman"/>
                <w:color w:val="auto"/>
                <w:sz w:val="24"/>
              </w:rPr>
              <w:t>办公及住宿区洗手</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项目区定员</w:t>
            </w:r>
            <w:r>
              <w:rPr>
                <w:rFonts w:hint="eastAsia" w:ascii="Times New Roman" w:hAnsi="Times New Roman"/>
                <w:color w:val="auto"/>
                <w:sz w:val="24"/>
              </w:rPr>
              <w:t>52</w:t>
            </w:r>
            <w:r>
              <w:rPr>
                <w:rFonts w:ascii="Times New Roman" w:hAnsi="Times New Roman"/>
                <w:color w:val="auto"/>
                <w:sz w:val="24"/>
              </w:rPr>
              <w:t>人，根据《云南省地方用水定额》(DB53/T168-2013)</w:t>
            </w:r>
            <w:r>
              <w:rPr>
                <w:rFonts w:hint="eastAsia" w:ascii="Times New Roman" w:hAnsi="Times New Roman"/>
                <w:color w:val="auto"/>
                <w:sz w:val="24"/>
                <w:lang w:eastAsia="zh-CN"/>
              </w:rPr>
              <w:t>，</w:t>
            </w:r>
            <w:r>
              <w:rPr>
                <w:rFonts w:ascii="Times New Roman" w:hAnsi="Times New Roman"/>
                <w:color w:val="auto"/>
                <w:sz w:val="24"/>
              </w:rPr>
              <w:t>洗手用水量为20L/（人·d），则洗手用水量为</w:t>
            </w:r>
            <w:r>
              <w:rPr>
                <w:rFonts w:hint="eastAsia" w:ascii="Times New Roman" w:hAnsi="Times New Roman"/>
                <w:color w:val="auto"/>
                <w:sz w:val="24"/>
              </w:rPr>
              <w:t>1.04</w:t>
            </w:r>
            <w:r>
              <w:rPr>
                <w:rFonts w:ascii="Times New Roman" w:hAnsi="Times New Roman"/>
                <w:color w:val="auto"/>
                <w:sz w:val="24"/>
              </w:rPr>
              <w:t>m</w:t>
            </w:r>
            <w:r>
              <w:rPr>
                <w:rFonts w:ascii="Times New Roman" w:hAnsi="Times New Roman"/>
                <w:color w:val="auto"/>
                <w:sz w:val="24"/>
                <w:vertAlign w:val="superscript"/>
              </w:rPr>
              <w:t>3</w:t>
            </w:r>
            <w:r>
              <w:rPr>
                <w:rFonts w:ascii="Times New Roman" w:hAnsi="Times New Roman"/>
                <w:color w:val="auto"/>
                <w:sz w:val="24"/>
              </w:rPr>
              <w:t>/d。</w:t>
            </w:r>
            <w:r>
              <w:rPr>
                <w:rFonts w:ascii="Times New Roman" w:hAnsi="Times New Roman"/>
                <w:bCs/>
                <w:color w:val="auto"/>
                <w:sz w:val="24"/>
              </w:rPr>
              <w:t>废水产生量按用水量的85%进行核算，则</w:t>
            </w:r>
            <w:r>
              <w:rPr>
                <w:rFonts w:ascii="Times New Roman" w:hAnsi="Times New Roman"/>
                <w:color w:val="auto"/>
                <w:sz w:val="24"/>
              </w:rPr>
              <w:t>办公及住宿区洗手废水</w:t>
            </w:r>
            <w:r>
              <w:rPr>
                <w:rFonts w:ascii="Times New Roman" w:hAnsi="Times New Roman"/>
                <w:bCs/>
                <w:color w:val="auto"/>
                <w:sz w:val="24"/>
              </w:rPr>
              <w:t>产生量</w:t>
            </w:r>
            <w:r>
              <w:rPr>
                <w:rFonts w:hint="eastAsia" w:ascii="Times New Roman" w:hAnsi="Times New Roman"/>
                <w:bCs/>
                <w:color w:val="auto"/>
                <w:sz w:val="24"/>
              </w:rPr>
              <w:t>0.884</w:t>
            </w:r>
            <w:r>
              <w:rPr>
                <w:rFonts w:ascii="Times New Roman" w:hAnsi="Times New Roman"/>
                <w:bCs/>
                <w:color w:val="auto"/>
                <w:sz w:val="24"/>
              </w:rPr>
              <w:t>m</w:t>
            </w:r>
            <w:r>
              <w:rPr>
                <w:rFonts w:ascii="Times New Roman" w:hAnsi="Times New Roman"/>
                <w:bCs/>
                <w:color w:val="auto"/>
                <w:sz w:val="24"/>
                <w:vertAlign w:val="superscript"/>
              </w:rPr>
              <w:t>3</w:t>
            </w:r>
            <w:r>
              <w:rPr>
                <w:rFonts w:ascii="Times New Roman" w:hAnsi="Times New Roman"/>
                <w:bCs/>
                <w:color w:val="auto"/>
                <w:sz w:val="24"/>
              </w:rPr>
              <w:t>/d。</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·盥洗</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项目区</w:t>
            </w:r>
            <w:r>
              <w:rPr>
                <w:rFonts w:hint="eastAsia" w:ascii="Times New Roman" w:hAnsi="Times New Roman"/>
                <w:color w:val="auto"/>
                <w:sz w:val="24"/>
              </w:rPr>
              <w:t>全部人员均在厂区住宿</w:t>
            </w:r>
            <w:r>
              <w:rPr>
                <w:rFonts w:ascii="Times New Roman" w:hAnsi="Times New Roman"/>
                <w:color w:val="auto"/>
                <w:sz w:val="24"/>
              </w:rPr>
              <w:t>，</w:t>
            </w:r>
            <w:r>
              <w:rPr>
                <w:rFonts w:hint="eastAsia" w:ascii="Times New Roman" w:hAnsi="Times New Roman"/>
                <w:color w:val="auto"/>
                <w:sz w:val="24"/>
              </w:rPr>
              <w:t>共52人，根据《云南省地方用水定额》(DB53/T168-2013)</w:t>
            </w:r>
            <w:r>
              <w:rPr>
                <w:rFonts w:hint="eastAsia" w:ascii="Times New Roman" w:hAnsi="Times New Roman"/>
                <w:color w:val="auto"/>
                <w:sz w:val="24"/>
                <w:lang w:eastAsia="zh-CN"/>
              </w:rPr>
              <w:t>，</w:t>
            </w:r>
            <w:r>
              <w:rPr>
                <w:rFonts w:ascii="Times New Roman" w:hAnsi="Times New Roman"/>
                <w:color w:val="auto"/>
                <w:sz w:val="24"/>
              </w:rPr>
              <w:t>用水量为60L/（人</w:t>
            </w:r>
            <w:r>
              <w:rPr>
                <w:rFonts w:hint="default" w:ascii="Times New Roman" w:hAnsi="Times New Roman" w:cs="Times New Roman"/>
                <w:color w:val="auto"/>
                <w:sz w:val="24"/>
              </w:rPr>
              <w:t>·</w:t>
            </w:r>
            <w:r>
              <w:rPr>
                <w:rFonts w:ascii="Times New Roman" w:hAnsi="Times New Roman"/>
                <w:color w:val="auto"/>
                <w:sz w:val="24"/>
              </w:rPr>
              <w:t>d），则洗澡用水量为</w:t>
            </w:r>
            <w:r>
              <w:rPr>
                <w:rFonts w:hint="eastAsia" w:ascii="Times New Roman" w:hAnsi="Times New Roman"/>
                <w:color w:val="auto"/>
                <w:sz w:val="24"/>
              </w:rPr>
              <w:t>3.12</w:t>
            </w:r>
            <w:r>
              <w:rPr>
                <w:rFonts w:ascii="Times New Roman" w:hAnsi="Times New Roman"/>
                <w:color w:val="auto"/>
                <w:sz w:val="24"/>
              </w:rPr>
              <w:t>m</w:t>
            </w:r>
            <w:r>
              <w:rPr>
                <w:rFonts w:ascii="Times New Roman" w:hAnsi="Times New Roman"/>
                <w:color w:val="auto"/>
                <w:sz w:val="24"/>
                <w:vertAlign w:val="superscript"/>
              </w:rPr>
              <w:t>3</w:t>
            </w:r>
            <w:r>
              <w:rPr>
                <w:rFonts w:ascii="Times New Roman" w:hAnsi="Times New Roman"/>
                <w:color w:val="auto"/>
                <w:sz w:val="24"/>
              </w:rPr>
              <w:t>/d。废水产生量按用水量的95%进行核算，则洗澡废水产生量</w:t>
            </w:r>
            <w:r>
              <w:rPr>
                <w:rFonts w:hint="eastAsia" w:ascii="Times New Roman" w:hAnsi="Times New Roman"/>
                <w:color w:val="auto"/>
                <w:sz w:val="24"/>
              </w:rPr>
              <w:t>2.964</w:t>
            </w:r>
            <w:r>
              <w:rPr>
                <w:rFonts w:ascii="Times New Roman" w:hAnsi="Times New Roman"/>
                <w:color w:val="auto"/>
                <w:sz w:val="24"/>
              </w:rPr>
              <w:t>m</w:t>
            </w:r>
            <w:r>
              <w:rPr>
                <w:rFonts w:ascii="Times New Roman" w:hAnsi="Times New Roman"/>
                <w:color w:val="auto"/>
                <w:sz w:val="24"/>
                <w:vertAlign w:val="superscript"/>
              </w:rPr>
              <w:t>3</w:t>
            </w:r>
            <w:r>
              <w:rPr>
                <w:rFonts w:ascii="Times New Roman" w:hAnsi="Times New Roman"/>
                <w:color w:val="auto"/>
                <w:sz w:val="24"/>
              </w:rPr>
              <w:t>/d。</w:t>
            </w:r>
          </w:p>
          <w:p>
            <w:pPr>
              <w:adjustRightInd w:val="0"/>
              <w:snapToGrid w:val="0"/>
              <w:spacing w:line="360" w:lineRule="auto"/>
              <w:ind w:firstLine="482" w:firstLineChars="200"/>
              <w:rPr>
                <w:rFonts w:ascii="Times New Roman" w:hAnsi="Times New Roman"/>
                <w:color w:val="auto"/>
                <w:sz w:val="24"/>
              </w:rPr>
            </w:pPr>
            <w:r>
              <w:rPr>
                <w:rFonts w:ascii="Times New Roman" w:hAnsi="Times New Roman"/>
                <w:b/>
                <w:color w:val="auto"/>
                <w:sz w:val="24"/>
              </w:rPr>
              <w:t>·</w:t>
            </w:r>
            <w:r>
              <w:rPr>
                <w:rFonts w:ascii="Times New Roman" w:hAnsi="Times New Roman"/>
                <w:color w:val="auto"/>
                <w:sz w:val="24"/>
              </w:rPr>
              <w:t>冲厕</w:t>
            </w:r>
          </w:p>
          <w:p>
            <w:pPr>
              <w:adjustRightInd w:val="0"/>
              <w:snapToGrid w:val="0"/>
              <w:spacing w:line="360" w:lineRule="auto"/>
              <w:ind w:firstLine="480" w:firstLineChars="200"/>
              <w:rPr>
                <w:rFonts w:ascii="Times New Roman" w:hAnsi="Times New Roman"/>
                <w:bCs/>
                <w:color w:val="auto"/>
                <w:sz w:val="24"/>
              </w:rPr>
            </w:pPr>
            <w:r>
              <w:rPr>
                <w:rFonts w:ascii="Times New Roman" w:hAnsi="Times New Roman"/>
                <w:color w:val="auto"/>
                <w:sz w:val="24"/>
              </w:rPr>
              <w:t>项目区设置公厕，根据《云南省地方用水定额》(DB53/T168-2013)，公厕用水定额为7L/(人.次)</w:t>
            </w:r>
            <w:r>
              <w:rPr>
                <w:rFonts w:hint="eastAsia" w:ascii="Times New Roman" w:hAnsi="Times New Roman"/>
                <w:color w:val="auto"/>
                <w:sz w:val="24"/>
                <w:lang w:eastAsia="zh-CN"/>
              </w:rPr>
              <w:t>。</w:t>
            </w:r>
            <w:r>
              <w:rPr>
                <w:rFonts w:ascii="Times New Roman" w:hAnsi="Times New Roman"/>
                <w:color w:val="auto"/>
                <w:sz w:val="24"/>
              </w:rPr>
              <w:t>项目区每天平均入厕次数为</w:t>
            </w:r>
            <w:r>
              <w:rPr>
                <w:rFonts w:hint="eastAsia" w:ascii="Times New Roman" w:hAnsi="Times New Roman"/>
                <w:color w:val="auto"/>
                <w:sz w:val="24"/>
              </w:rPr>
              <w:t>156</w:t>
            </w:r>
            <w:r>
              <w:rPr>
                <w:rFonts w:ascii="Times New Roman" w:hAnsi="Times New Roman"/>
                <w:color w:val="auto"/>
                <w:sz w:val="24"/>
              </w:rPr>
              <w:t>次每天，则公厕用水量为</w:t>
            </w:r>
            <w:r>
              <w:rPr>
                <w:rFonts w:hint="eastAsia" w:ascii="Times New Roman" w:hAnsi="Times New Roman"/>
                <w:color w:val="auto"/>
                <w:sz w:val="24"/>
              </w:rPr>
              <w:t>1.092</w:t>
            </w:r>
            <w:r>
              <w:rPr>
                <w:rFonts w:ascii="Times New Roman" w:hAnsi="Times New Roman"/>
                <w:color w:val="auto"/>
                <w:sz w:val="24"/>
              </w:rPr>
              <w:t>m</w:t>
            </w:r>
            <w:r>
              <w:rPr>
                <w:rFonts w:ascii="Times New Roman" w:hAnsi="Times New Roman"/>
                <w:color w:val="auto"/>
                <w:sz w:val="24"/>
                <w:vertAlign w:val="superscript"/>
              </w:rPr>
              <w:t>3</w:t>
            </w:r>
            <w:r>
              <w:rPr>
                <w:rFonts w:ascii="Times New Roman" w:hAnsi="Times New Roman"/>
                <w:color w:val="auto"/>
                <w:sz w:val="24"/>
              </w:rPr>
              <w:t>/d。</w:t>
            </w:r>
            <w:r>
              <w:rPr>
                <w:rFonts w:ascii="Times New Roman" w:hAnsi="Times New Roman"/>
                <w:bCs/>
                <w:color w:val="auto"/>
                <w:sz w:val="24"/>
              </w:rPr>
              <w:t>废水产生量按用水量的95%进行核算，则</w:t>
            </w:r>
            <w:r>
              <w:rPr>
                <w:rFonts w:ascii="Times New Roman" w:hAnsi="Times New Roman"/>
                <w:color w:val="auto"/>
                <w:sz w:val="24"/>
              </w:rPr>
              <w:t>冲厕废水</w:t>
            </w:r>
            <w:r>
              <w:rPr>
                <w:rFonts w:ascii="Times New Roman" w:hAnsi="Times New Roman"/>
                <w:bCs/>
                <w:color w:val="auto"/>
                <w:sz w:val="24"/>
              </w:rPr>
              <w:t>产生量</w:t>
            </w:r>
            <w:r>
              <w:rPr>
                <w:rFonts w:hint="eastAsia" w:ascii="Times New Roman" w:hAnsi="Times New Roman"/>
                <w:bCs/>
                <w:color w:val="auto"/>
                <w:sz w:val="24"/>
              </w:rPr>
              <w:t>1.037</w:t>
            </w:r>
            <w:r>
              <w:rPr>
                <w:rFonts w:ascii="Times New Roman" w:hAnsi="Times New Roman"/>
                <w:bCs/>
                <w:color w:val="auto"/>
                <w:sz w:val="24"/>
              </w:rPr>
              <w:t>m</w:t>
            </w:r>
            <w:r>
              <w:rPr>
                <w:rFonts w:ascii="Times New Roman" w:hAnsi="Times New Roman"/>
                <w:bCs/>
                <w:color w:val="auto"/>
                <w:sz w:val="24"/>
                <w:vertAlign w:val="superscript"/>
              </w:rPr>
              <w:t>3</w:t>
            </w:r>
            <w:r>
              <w:rPr>
                <w:rFonts w:ascii="Times New Roman" w:hAnsi="Times New Roman"/>
                <w:bCs/>
                <w:color w:val="auto"/>
                <w:sz w:val="24"/>
              </w:rPr>
              <w:t>/d</w:t>
            </w:r>
            <w:r>
              <w:rPr>
                <w:rFonts w:hint="eastAsia" w:ascii="Times New Roman" w:hAnsi="Times New Roman"/>
                <w:bCs/>
                <w:color w:val="auto"/>
                <w:sz w:val="24"/>
                <w:lang w:eastAsia="zh-CN"/>
              </w:rPr>
              <w:t>。</w:t>
            </w:r>
          </w:p>
          <w:p>
            <w:pPr>
              <w:adjustRightInd w:val="0"/>
              <w:snapToGrid w:val="0"/>
              <w:spacing w:line="360" w:lineRule="auto"/>
              <w:ind w:firstLine="482" w:firstLineChars="200"/>
              <w:rPr>
                <w:rFonts w:ascii="Times New Roman" w:hAnsi="Times New Roman"/>
                <w:color w:val="auto"/>
                <w:sz w:val="24"/>
              </w:rPr>
            </w:pPr>
            <w:r>
              <w:rPr>
                <w:rFonts w:ascii="Times New Roman" w:hAnsi="Times New Roman"/>
                <w:b/>
                <w:color w:val="auto"/>
                <w:sz w:val="24"/>
              </w:rPr>
              <w:t>·</w:t>
            </w:r>
            <w:r>
              <w:rPr>
                <w:rFonts w:ascii="Times New Roman" w:hAnsi="Times New Roman"/>
                <w:color w:val="auto"/>
                <w:sz w:val="24"/>
              </w:rPr>
              <w:t>食堂废水</w:t>
            </w:r>
          </w:p>
          <w:p>
            <w:pPr>
              <w:adjustRightInd w:val="0"/>
              <w:snapToGrid w:val="0"/>
              <w:spacing w:line="360" w:lineRule="auto"/>
              <w:ind w:firstLine="480" w:firstLineChars="200"/>
              <w:rPr>
                <w:color w:val="auto"/>
              </w:rPr>
            </w:pPr>
            <w:r>
              <w:rPr>
                <w:rFonts w:ascii="Times New Roman" w:hAnsi="Times New Roman"/>
                <w:color w:val="auto"/>
                <w:sz w:val="24"/>
                <w:szCs w:val="24"/>
              </w:rPr>
              <w:t>项目区</w:t>
            </w:r>
            <w:r>
              <w:rPr>
                <w:rFonts w:hint="eastAsia" w:ascii="Times New Roman" w:hAnsi="Times New Roman"/>
                <w:color w:val="auto"/>
                <w:sz w:val="24"/>
                <w:szCs w:val="24"/>
              </w:rPr>
              <w:t>全部</w:t>
            </w:r>
            <w:r>
              <w:rPr>
                <w:rFonts w:ascii="Times New Roman" w:hAnsi="Times New Roman"/>
                <w:color w:val="auto"/>
                <w:sz w:val="24"/>
                <w:szCs w:val="24"/>
              </w:rPr>
              <w:t>工作人员</w:t>
            </w:r>
            <w:r>
              <w:rPr>
                <w:rFonts w:hint="eastAsia" w:ascii="Times New Roman" w:hAnsi="Times New Roman"/>
                <w:color w:val="auto"/>
                <w:sz w:val="24"/>
                <w:szCs w:val="24"/>
              </w:rPr>
              <w:t>52人均在厂区用餐，根据《云南省地方用水定额》(DB53/T168-2013)</w:t>
            </w:r>
            <w:r>
              <w:rPr>
                <w:rFonts w:hint="eastAsia" w:ascii="Times New Roman" w:hAnsi="Times New Roman"/>
                <w:color w:val="auto"/>
                <w:sz w:val="24"/>
                <w:szCs w:val="24"/>
                <w:lang w:eastAsia="zh-CN"/>
              </w:rPr>
              <w:t>，</w:t>
            </w:r>
            <w:r>
              <w:rPr>
                <w:rFonts w:ascii="Times New Roman" w:hAnsi="Times New Roman"/>
                <w:color w:val="auto"/>
                <w:sz w:val="24"/>
                <w:szCs w:val="24"/>
                <w:lang w:val="zh-CN"/>
              </w:rPr>
              <w:t>食堂用水按每人</w:t>
            </w:r>
            <w:r>
              <w:rPr>
                <w:rFonts w:ascii="Times New Roman" w:hAnsi="Times New Roman"/>
                <w:color w:val="auto"/>
                <w:sz w:val="24"/>
                <w:szCs w:val="24"/>
              </w:rPr>
              <w:t>20</w:t>
            </w:r>
            <w:r>
              <w:rPr>
                <w:rFonts w:ascii="Times New Roman" w:hAnsi="Times New Roman"/>
                <w:color w:val="auto"/>
                <w:sz w:val="24"/>
                <w:szCs w:val="24"/>
                <w:lang w:val="zh-CN"/>
              </w:rPr>
              <w:t>L/餐</w:t>
            </w:r>
            <w:r>
              <w:rPr>
                <w:rFonts w:ascii="Times New Roman" w:hAnsi="Times New Roman"/>
                <w:color w:val="auto"/>
                <w:sz w:val="24"/>
                <w:szCs w:val="24"/>
              </w:rPr>
              <w:t>计算，根据计算，项目食堂用水量为</w:t>
            </w:r>
            <w:r>
              <w:rPr>
                <w:rFonts w:hint="eastAsia" w:ascii="Times New Roman" w:hAnsi="Times New Roman"/>
                <w:color w:val="auto"/>
                <w:sz w:val="24"/>
                <w:szCs w:val="24"/>
              </w:rPr>
              <w:t>2.08</w:t>
            </w:r>
            <w:r>
              <w:rPr>
                <w:rFonts w:ascii="Times New Roman" w:hAnsi="Times New Roman"/>
                <w:color w:val="auto"/>
                <w:sz w:val="24"/>
                <w:szCs w:val="24"/>
              </w:rPr>
              <w:t>m</w:t>
            </w:r>
            <w:r>
              <w:rPr>
                <w:rFonts w:ascii="Times New Roman" w:hAnsi="Times New Roman"/>
                <w:color w:val="auto"/>
                <w:sz w:val="24"/>
                <w:szCs w:val="24"/>
                <w:vertAlign w:val="superscript"/>
              </w:rPr>
              <w:t>3</w:t>
            </w:r>
            <w:r>
              <w:rPr>
                <w:rFonts w:ascii="Times New Roman" w:hAnsi="Times New Roman"/>
                <w:color w:val="auto"/>
                <w:sz w:val="24"/>
                <w:szCs w:val="24"/>
              </w:rPr>
              <w:t>/d，废水产生量按用水量的85%进行核算，则食堂废水产生量约</w:t>
            </w:r>
            <w:r>
              <w:rPr>
                <w:rFonts w:hint="eastAsia" w:ascii="Times New Roman" w:hAnsi="Times New Roman"/>
                <w:color w:val="auto"/>
                <w:sz w:val="24"/>
                <w:szCs w:val="24"/>
              </w:rPr>
              <w:t>1.768</w:t>
            </w:r>
            <w:r>
              <w:rPr>
                <w:rFonts w:ascii="Times New Roman" w:hAnsi="Times New Roman"/>
                <w:color w:val="auto"/>
                <w:sz w:val="24"/>
                <w:szCs w:val="24"/>
              </w:rPr>
              <w:t>m</w:t>
            </w:r>
            <w:r>
              <w:rPr>
                <w:rFonts w:ascii="Times New Roman" w:hAnsi="Times New Roman"/>
                <w:color w:val="auto"/>
                <w:sz w:val="24"/>
                <w:szCs w:val="24"/>
                <w:vertAlign w:val="superscript"/>
              </w:rPr>
              <w:t>3</w:t>
            </w:r>
            <w:r>
              <w:rPr>
                <w:rFonts w:ascii="Times New Roman" w:hAnsi="Times New Roman"/>
                <w:color w:val="auto"/>
                <w:sz w:val="24"/>
                <w:szCs w:val="24"/>
              </w:rPr>
              <w:t>/d。</w:t>
            </w:r>
          </w:p>
          <w:p>
            <w:pPr>
              <w:pStyle w:val="2"/>
              <w:ind w:firstLine="480"/>
              <w:rPr>
                <w:rFonts w:hint="eastAsia" w:ascii="Times New Roman" w:hAnsi="Times New Roman" w:eastAsia="宋体"/>
                <w:color w:val="auto"/>
                <w:sz w:val="24"/>
                <w:szCs w:val="24"/>
                <w:lang w:eastAsia="zh-CN"/>
              </w:rPr>
            </w:pPr>
            <w:r>
              <w:rPr>
                <w:rFonts w:ascii="Times New Roman" w:hAnsi="Times New Roman"/>
                <w:color w:val="auto"/>
                <w:sz w:val="24"/>
                <w:szCs w:val="24"/>
              </w:rPr>
              <w:t>项目生活污水产生量为</w:t>
            </w:r>
            <w:r>
              <w:rPr>
                <w:rFonts w:hint="eastAsia" w:ascii="Times New Roman" w:hAnsi="Times New Roman"/>
                <w:color w:val="auto"/>
                <w:sz w:val="24"/>
                <w:szCs w:val="24"/>
              </w:rPr>
              <w:t>6.653</w:t>
            </w:r>
            <w:r>
              <w:rPr>
                <w:rFonts w:ascii="Times New Roman" w:hAnsi="Times New Roman"/>
                <w:color w:val="auto"/>
                <w:sz w:val="24"/>
                <w:szCs w:val="24"/>
              </w:rPr>
              <w:t xml:space="preserve"> m</w:t>
            </w:r>
            <w:r>
              <w:rPr>
                <w:rFonts w:ascii="Times New Roman" w:hAnsi="Times New Roman"/>
                <w:color w:val="auto"/>
                <w:sz w:val="24"/>
                <w:szCs w:val="24"/>
                <w:vertAlign w:val="superscript"/>
              </w:rPr>
              <w:t>3</w:t>
            </w:r>
            <w:r>
              <w:rPr>
                <w:rFonts w:ascii="Times New Roman" w:hAnsi="Times New Roman"/>
                <w:color w:val="auto"/>
                <w:sz w:val="24"/>
                <w:szCs w:val="24"/>
              </w:rPr>
              <w:t>/d，</w:t>
            </w:r>
            <w:r>
              <w:rPr>
                <w:rFonts w:hint="eastAsia" w:ascii="Times New Roman" w:hAnsi="Times New Roman"/>
                <w:color w:val="auto"/>
                <w:sz w:val="24"/>
                <w:szCs w:val="24"/>
                <w:lang w:eastAsia="zh-CN"/>
              </w:rPr>
              <w:t>进入化粪池预处理后排入中水处理站处理达标后用于厂区洒水抑尘。</w:t>
            </w:r>
          </w:p>
          <w:p>
            <w:pPr>
              <w:adjustRightInd w:val="0"/>
              <w:snapToGrid w:val="0"/>
              <w:spacing w:line="360" w:lineRule="auto"/>
              <w:ind w:firstLine="482" w:firstLineChars="200"/>
              <w:rPr>
                <w:rFonts w:ascii="Times New Roman" w:hAnsi="Times New Roman"/>
                <w:b/>
                <w:color w:val="auto"/>
                <w:sz w:val="24"/>
              </w:rPr>
            </w:pPr>
            <w:r>
              <w:rPr>
                <w:rFonts w:ascii="Times New Roman" w:hAnsi="Times New Roman"/>
                <w:b/>
                <w:color w:val="auto"/>
                <w:sz w:val="24"/>
              </w:rPr>
              <w:t>（</w:t>
            </w:r>
            <w:r>
              <w:rPr>
                <w:rFonts w:hint="eastAsia" w:ascii="Times New Roman" w:hAnsi="Times New Roman"/>
                <w:b/>
                <w:color w:val="auto"/>
                <w:sz w:val="24"/>
              </w:rPr>
              <w:t>3</w:t>
            </w:r>
            <w:r>
              <w:rPr>
                <w:rFonts w:ascii="Times New Roman" w:hAnsi="Times New Roman"/>
                <w:b/>
                <w:color w:val="auto"/>
                <w:sz w:val="24"/>
              </w:rPr>
              <w:t>）初期雨水</w:t>
            </w:r>
          </w:p>
          <w:p>
            <w:pPr>
              <w:pStyle w:val="2"/>
              <w:ind w:firstLine="560"/>
              <w:rPr>
                <w:rFonts w:ascii="Times New Roman" w:hAnsi="Times New Roman"/>
                <w:bCs/>
                <w:color w:val="auto"/>
                <w:sz w:val="24"/>
                <w:szCs w:val="24"/>
              </w:rPr>
            </w:pPr>
            <w:r>
              <w:rPr>
                <w:rFonts w:ascii="Times New Roman" w:hAnsi="Times New Roman"/>
                <w:color w:val="auto"/>
                <w:sz w:val="24"/>
                <w:szCs w:val="24"/>
              </w:rPr>
              <w:t>本项目场地占地面积</w:t>
            </w:r>
            <w:r>
              <w:rPr>
                <w:rFonts w:hint="eastAsia" w:ascii="Times New Roman" w:hAnsi="Times New Roman"/>
                <w:bCs/>
                <w:color w:val="auto"/>
                <w:sz w:val="24"/>
                <w:szCs w:val="24"/>
              </w:rPr>
              <w:t>53.35亩</w:t>
            </w:r>
            <w:r>
              <w:rPr>
                <w:rFonts w:ascii="Times New Roman" w:hAnsi="Times New Roman"/>
                <w:bCs/>
                <w:color w:val="auto"/>
                <w:sz w:val="24"/>
                <w:szCs w:val="24"/>
              </w:rPr>
              <w:t>，为避免雨天初期雨水外排，需要进行收集</w:t>
            </w:r>
            <w:r>
              <w:rPr>
                <w:rFonts w:hint="eastAsia" w:ascii="Times New Roman" w:hAnsi="Times New Roman"/>
                <w:bCs/>
                <w:color w:val="auto"/>
                <w:sz w:val="24"/>
                <w:szCs w:val="24"/>
              </w:rPr>
              <w:t>。通过查阅环保手册，初期雨水计算按照昆明市暴雨强度公式：</w:t>
            </w:r>
          </w:p>
          <w:p>
            <w:pPr>
              <w:pStyle w:val="2"/>
              <w:ind w:firstLine="560"/>
              <w:rPr>
                <w:rFonts w:ascii="Times New Roman" w:hAnsi="Times New Roman"/>
                <w:bCs/>
                <w:color w:val="auto"/>
                <w:sz w:val="24"/>
                <w:szCs w:val="24"/>
              </w:rPr>
            </w:pPr>
            <w:r>
              <w:rPr>
                <w:rFonts w:hint="eastAsia" w:ascii="Times New Roman" w:hAnsi="Times New Roman"/>
                <w:bCs/>
                <w:color w:val="auto"/>
                <w:sz w:val="24"/>
                <w:szCs w:val="24"/>
              </w:rPr>
              <w:t>雨水汇水量根据下面计算公式：</w:t>
            </w:r>
            <w:r>
              <w:rPr>
                <w:rFonts w:hint="eastAsia" w:ascii="Times New Roman" w:hAnsi="Times New Roman"/>
                <w:bCs/>
                <w:color w:val="auto"/>
                <w:sz w:val="24"/>
                <w:szCs w:val="24"/>
              </w:rPr>
              <w:br w:type="textWrapping"/>
            </w:r>
            <w:r>
              <w:rPr>
                <w:rFonts w:hint="eastAsia" w:ascii="Times New Roman" w:hAnsi="Times New Roman"/>
                <w:bCs/>
                <w:color w:val="auto"/>
                <w:sz w:val="24"/>
                <w:szCs w:val="24"/>
              </w:rPr>
              <w:drawing>
                <wp:inline distT="0" distB="0" distL="114300" distR="114300">
                  <wp:extent cx="866775" cy="228600"/>
                  <wp:effectExtent l="0" t="0" r="9525" b="0"/>
                  <wp:docPr id="1"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descr="IMG_256"/>
                          <pic:cNvPicPr>
                            <a:picLocks noChangeAspect="1"/>
                          </pic:cNvPicPr>
                        </pic:nvPicPr>
                        <pic:blipFill>
                          <a:blip r:embed="rId15" cstate="print"/>
                          <a:stretch>
                            <a:fillRect/>
                          </a:stretch>
                        </pic:blipFill>
                        <pic:spPr>
                          <a:xfrm>
                            <a:off x="0" y="0"/>
                            <a:ext cx="866775" cy="228600"/>
                          </a:xfrm>
                          <a:prstGeom prst="rect">
                            <a:avLst/>
                          </a:prstGeom>
                          <a:noFill/>
                          <a:ln w="9525">
                            <a:noFill/>
                          </a:ln>
                        </pic:spPr>
                      </pic:pic>
                    </a:graphicData>
                  </a:graphic>
                </wp:inline>
              </w:drawing>
            </w:r>
            <w:r>
              <w:rPr>
                <w:rFonts w:hint="eastAsia" w:ascii="Times New Roman" w:hAnsi="Times New Roman"/>
                <w:bCs/>
                <w:color w:val="auto"/>
                <w:sz w:val="24"/>
                <w:szCs w:val="24"/>
              </w:rPr>
              <w:br w:type="textWrapping"/>
            </w:r>
            <w:r>
              <w:rPr>
                <w:rFonts w:hint="eastAsia" w:ascii="Times New Roman" w:hAnsi="Times New Roman"/>
                <w:bCs/>
                <w:color w:val="auto"/>
                <w:sz w:val="24"/>
                <w:szCs w:val="24"/>
              </w:rPr>
              <w:t> 式中：Q —雨水流量，L/s；</w:t>
            </w:r>
            <w:r>
              <w:rPr>
                <w:rFonts w:hint="eastAsia" w:cs="宋体"/>
                <w:bCs/>
                <w:color w:val="auto"/>
                <w:sz w:val="24"/>
                <w:szCs w:val="24"/>
              </w:rPr>
              <w:t>Ψ</w:t>
            </w:r>
            <w:r>
              <w:rPr>
                <w:rFonts w:hint="eastAsia" w:ascii="Times New Roman" w:hAnsi="Times New Roman"/>
                <w:bCs/>
                <w:color w:val="auto"/>
                <w:sz w:val="24"/>
                <w:szCs w:val="24"/>
              </w:rPr>
              <w:t>—径流系数，场地硬化后经验数值取0.6；q —设计暴雨强度，L/s.hm</w:t>
            </w:r>
            <w:r>
              <w:rPr>
                <w:rFonts w:hint="eastAsia" w:ascii="Times New Roman" w:hAnsi="Times New Roman"/>
                <w:bCs/>
                <w:color w:val="auto"/>
                <w:sz w:val="24"/>
                <w:szCs w:val="24"/>
                <w:vertAlign w:val="superscript"/>
              </w:rPr>
              <w:t>2</w:t>
            </w:r>
            <w:r>
              <w:rPr>
                <w:rFonts w:hint="eastAsia" w:ascii="Times New Roman" w:hAnsi="Times New Roman"/>
                <w:bCs/>
                <w:color w:val="auto"/>
                <w:sz w:val="24"/>
                <w:szCs w:val="24"/>
              </w:rPr>
              <w:t>；F—汇水面积，m</w:t>
            </w:r>
            <w:r>
              <w:rPr>
                <w:rFonts w:hint="eastAsia" w:ascii="Times New Roman" w:hAnsi="Times New Roman"/>
                <w:bCs/>
                <w:color w:val="auto"/>
                <w:sz w:val="24"/>
                <w:szCs w:val="24"/>
                <w:vertAlign w:val="superscript"/>
              </w:rPr>
              <w:t>2</w:t>
            </w:r>
            <w:r>
              <w:rPr>
                <w:rFonts w:hint="eastAsia" w:ascii="Times New Roman" w:hAnsi="Times New Roman"/>
                <w:bCs/>
                <w:color w:val="auto"/>
                <w:sz w:val="24"/>
                <w:szCs w:val="24"/>
              </w:rPr>
              <w:t>。</w:t>
            </w:r>
          </w:p>
          <w:p>
            <w:pPr>
              <w:pStyle w:val="2"/>
              <w:ind w:firstLine="560"/>
              <w:rPr>
                <w:rFonts w:ascii="Times New Roman" w:hAnsi="Times New Roman"/>
                <w:bCs/>
                <w:color w:val="auto"/>
                <w:sz w:val="24"/>
                <w:szCs w:val="24"/>
              </w:rPr>
            </w:pPr>
            <w:r>
              <w:rPr>
                <w:rFonts w:hint="eastAsia" w:ascii="Times New Roman" w:hAnsi="Times New Roman"/>
                <w:bCs/>
                <w:color w:val="auto"/>
                <w:sz w:val="24"/>
                <w:szCs w:val="24"/>
              </w:rPr>
              <w:drawing>
                <wp:inline distT="0" distB="0" distL="114300" distR="114300">
                  <wp:extent cx="2028825" cy="386080"/>
                  <wp:effectExtent l="0" t="0" r="9525" b="13970"/>
                  <wp:docPr id="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pic:cNvPicPr>
                            <a:picLocks noChangeAspect="1"/>
                          </pic:cNvPicPr>
                        </pic:nvPicPr>
                        <pic:blipFill>
                          <a:blip r:embed="rId16" cstate="print"/>
                          <a:stretch>
                            <a:fillRect/>
                          </a:stretch>
                        </pic:blipFill>
                        <pic:spPr>
                          <a:xfrm>
                            <a:off x="0" y="0"/>
                            <a:ext cx="2028825" cy="386080"/>
                          </a:xfrm>
                          <a:prstGeom prst="rect">
                            <a:avLst/>
                          </a:prstGeom>
                          <a:noFill/>
                          <a:ln>
                            <a:noFill/>
                          </a:ln>
                        </pic:spPr>
                      </pic:pic>
                    </a:graphicData>
                  </a:graphic>
                </wp:inline>
              </w:drawing>
            </w:r>
          </w:p>
          <w:p>
            <w:pPr>
              <w:pStyle w:val="2"/>
              <w:ind w:firstLine="560"/>
              <w:rPr>
                <w:rFonts w:ascii="Times New Roman" w:hAnsi="Times New Roman"/>
                <w:bCs/>
                <w:color w:val="auto"/>
                <w:sz w:val="24"/>
                <w:szCs w:val="24"/>
              </w:rPr>
            </w:pPr>
            <w:r>
              <w:rPr>
                <w:rFonts w:hint="eastAsia" w:ascii="Times New Roman" w:hAnsi="Times New Roman"/>
                <w:bCs/>
                <w:color w:val="auto"/>
                <w:sz w:val="24"/>
                <w:szCs w:val="24"/>
              </w:rPr>
              <w:t>其中：P——重现期，取10年；</w:t>
            </w:r>
          </w:p>
          <w:p>
            <w:pPr>
              <w:pStyle w:val="2"/>
              <w:ind w:firstLine="560"/>
              <w:rPr>
                <w:rFonts w:ascii="Times New Roman" w:hAnsi="Times New Roman"/>
                <w:bCs/>
                <w:color w:val="auto"/>
                <w:sz w:val="24"/>
                <w:szCs w:val="24"/>
              </w:rPr>
            </w:pPr>
            <w:r>
              <w:rPr>
                <w:rFonts w:hint="eastAsia" w:ascii="Times New Roman" w:hAnsi="Times New Roman"/>
                <w:bCs/>
                <w:color w:val="auto"/>
                <w:sz w:val="24"/>
                <w:szCs w:val="24"/>
              </w:rPr>
              <w:t>S——汇水面积，取1735m</w:t>
            </w:r>
            <w:r>
              <w:rPr>
                <w:rFonts w:hint="eastAsia" w:ascii="Times New Roman" w:hAnsi="Times New Roman"/>
                <w:bCs/>
                <w:color w:val="auto"/>
                <w:sz w:val="24"/>
                <w:szCs w:val="24"/>
                <w:vertAlign w:val="superscript"/>
              </w:rPr>
              <w:t>2</w:t>
            </w:r>
            <w:r>
              <w:rPr>
                <w:rFonts w:hint="eastAsia" w:ascii="Times New Roman" w:hAnsi="Times New Roman"/>
                <w:bCs/>
                <w:color w:val="auto"/>
                <w:sz w:val="24"/>
                <w:szCs w:val="24"/>
              </w:rPr>
              <w:t>；</w:t>
            </w:r>
          </w:p>
          <w:p>
            <w:pPr>
              <w:pStyle w:val="2"/>
              <w:ind w:firstLine="560"/>
              <w:rPr>
                <w:rFonts w:cs="宋体"/>
                <w:bCs/>
                <w:color w:val="auto"/>
                <w:sz w:val="24"/>
                <w:szCs w:val="24"/>
              </w:rPr>
            </w:pPr>
            <w:r>
              <w:rPr>
                <w:rFonts w:hint="eastAsia" w:cs="宋体"/>
                <w:bCs/>
                <w:color w:val="auto"/>
                <w:sz w:val="24"/>
                <w:szCs w:val="24"/>
              </w:rPr>
              <w:t>Ψ——</w:t>
            </w:r>
            <w:r>
              <w:rPr>
                <w:rFonts w:hint="eastAsia" w:ascii="Times New Roman" w:hAnsi="Times New Roman"/>
                <w:bCs/>
                <w:color w:val="auto"/>
                <w:sz w:val="24"/>
                <w:szCs w:val="24"/>
              </w:rPr>
              <w:t>径流系数</w:t>
            </w:r>
            <w:r>
              <w:rPr>
                <w:rFonts w:hint="eastAsia" w:cs="宋体"/>
                <w:bCs/>
                <w:color w:val="auto"/>
                <w:sz w:val="24"/>
                <w:szCs w:val="24"/>
              </w:rPr>
              <w:t>，取</w:t>
            </w:r>
            <w:r>
              <w:rPr>
                <w:rFonts w:hint="default" w:ascii="Times New Roman" w:hAnsi="Times New Roman" w:cs="Times New Roman"/>
                <w:bCs/>
                <w:color w:val="auto"/>
                <w:sz w:val="24"/>
                <w:szCs w:val="24"/>
              </w:rPr>
              <w:t>0.6；</w:t>
            </w:r>
          </w:p>
          <w:p>
            <w:pPr>
              <w:pStyle w:val="2"/>
              <w:ind w:firstLine="560"/>
              <w:rPr>
                <w:rFonts w:ascii="Times New Roman" w:hAnsi="Times New Roman"/>
                <w:color w:val="auto"/>
                <w:sz w:val="24"/>
                <w:szCs w:val="24"/>
              </w:rPr>
            </w:pPr>
            <w:r>
              <w:rPr>
                <w:rFonts w:hint="eastAsia" w:ascii="Times New Roman" w:hAnsi="Times New Roman"/>
                <w:bCs/>
                <w:color w:val="auto"/>
                <w:sz w:val="24"/>
                <w:szCs w:val="24"/>
              </w:rPr>
              <w:t>计算得</w:t>
            </w:r>
            <w:r>
              <w:rPr>
                <w:rFonts w:ascii="Times New Roman" w:hAnsi="Times New Roman"/>
                <w:color w:val="auto"/>
                <w:sz w:val="24"/>
                <w:szCs w:val="24"/>
              </w:rPr>
              <w:t>初期雨水量为</w:t>
            </w:r>
            <w:r>
              <w:rPr>
                <w:rFonts w:hint="eastAsia" w:ascii="Times New Roman" w:hAnsi="Times New Roman"/>
                <w:color w:val="auto"/>
                <w:sz w:val="24"/>
                <w:szCs w:val="24"/>
              </w:rPr>
              <w:t>0.036</w:t>
            </w:r>
            <w:r>
              <w:rPr>
                <w:rFonts w:ascii="Times New Roman" w:hAnsi="Times New Roman"/>
                <w:bCs/>
                <w:color w:val="auto"/>
                <w:sz w:val="24"/>
              </w:rPr>
              <w:t>m</w:t>
            </w:r>
            <w:r>
              <w:rPr>
                <w:rFonts w:ascii="Times New Roman" w:hAnsi="Times New Roman"/>
                <w:bCs/>
                <w:color w:val="auto"/>
                <w:sz w:val="24"/>
                <w:vertAlign w:val="superscript"/>
              </w:rPr>
              <w:t>3</w:t>
            </w:r>
            <w:r>
              <w:rPr>
                <w:rFonts w:ascii="Times New Roman" w:hAnsi="Times New Roman"/>
                <w:color w:val="auto"/>
                <w:sz w:val="24"/>
              </w:rPr>
              <w:t>/</w:t>
            </w:r>
            <w:r>
              <w:rPr>
                <w:rFonts w:hint="eastAsia" w:ascii="Times New Roman" w:hAnsi="Times New Roman"/>
                <w:color w:val="auto"/>
                <w:sz w:val="24"/>
              </w:rPr>
              <w:t>s</w:t>
            </w:r>
            <w:r>
              <w:rPr>
                <w:rFonts w:ascii="Times New Roman" w:hAnsi="Times New Roman"/>
                <w:color w:val="auto"/>
                <w:sz w:val="24"/>
              </w:rPr>
              <w:t>，收集初期</w:t>
            </w:r>
            <w:r>
              <w:rPr>
                <w:rFonts w:hint="eastAsia" w:ascii="Times New Roman" w:hAnsi="Times New Roman"/>
                <w:color w:val="auto"/>
                <w:sz w:val="24"/>
              </w:rPr>
              <w:t>15min</w:t>
            </w:r>
            <w:r>
              <w:rPr>
                <w:rFonts w:ascii="Times New Roman" w:hAnsi="Times New Roman"/>
                <w:color w:val="auto"/>
                <w:sz w:val="24"/>
              </w:rPr>
              <w:t>内的雨水量为</w:t>
            </w:r>
            <w:r>
              <w:rPr>
                <w:rFonts w:hint="eastAsia" w:ascii="Times New Roman" w:hAnsi="Times New Roman"/>
                <w:color w:val="auto"/>
                <w:sz w:val="24"/>
              </w:rPr>
              <w:t>32.4</w:t>
            </w:r>
            <w:r>
              <w:rPr>
                <w:rFonts w:ascii="Times New Roman" w:hAnsi="Times New Roman"/>
                <w:bCs/>
                <w:color w:val="auto"/>
                <w:sz w:val="24"/>
              </w:rPr>
              <w:t>m</w:t>
            </w:r>
            <w:r>
              <w:rPr>
                <w:rFonts w:ascii="Times New Roman" w:hAnsi="Times New Roman"/>
                <w:bCs/>
                <w:color w:val="auto"/>
                <w:sz w:val="24"/>
                <w:vertAlign w:val="superscript"/>
              </w:rPr>
              <w:t>3</w:t>
            </w:r>
            <w:r>
              <w:rPr>
                <w:rFonts w:hint="eastAsia" w:ascii="Times New Roman" w:hAnsi="Times New Roman"/>
                <w:bCs/>
                <w:color w:val="auto"/>
                <w:sz w:val="24"/>
              </w:rPr>
              <w:t>/次</w:t>
            </w:r>
            <w:r>
              <w:rPr>
                <w:rFonts w:ascii="Times New Roman" w:hAnsi="Times New Roman"/>
                <w:color w:val="auto"/>
                <w:sz w:val="24"/>
                <w:szCs w:val="24"/>
              </w:rPr>
              <w:t>，建设一座</w:t>
            </w:r>
            <w:r>
              <w:rPr>
                <w:rFonts w:hint="eastAsia" w:ascii="Times New Roman" w:hAnsi="Times New Roman"/>
                <w:color w:val="auto"/>
                <w:sz w:val="24"/>
                <w:szCs w:val="24"/>
              </w:rPr>
              <w:t>40</w:t>
            </w:r>
            <w:r>
              <w:rPr>
                <w:rFonts w:ascii="Times New Roman" w:hAnsi="Times New Roman"/>
                <w:bCs/>
                <w:color w:val="auto"/>
                <w:sz w:val="24"/>
              </w:rPr>
              <w:t xml:space="preserve"> m</w:t>
            </w:r>
            <w:r>
              <w:rPr>
                <w:rFonts w:ascii="Times New Roman" w:hAnsi="Times New Roman"/>
                <w:bCs/>
                <w:color w:val="auto"/>
                <w:sz w:val="24"/>
                <w:vertAlign w:val="superscript"/>
              </w:rPr>
              <w:t>3</w:t>
            </w:r>
            <w:r>
              <w:rPr>
                <w:rFonts w:ascii="Times New Roman" w:hAnsi="Times New Roman"/>
                <w:color w:val="auto"/>
                <w:sz w:val="24"/>
                <w:szCs w:val="24"/>
              </w:rPr>
              <w:t>的初期雨水收集池，收集后的雨水经沉淀处理后再回用于生产补充用水。</w:t>
            </w:r>
          </w:p>
          <w:p>
            <w:pPr>
              <w:adjustRightInd w:val="0"/>
              <w:snapToGrid w:val="0"/>
              <w:spacing w:line="360" w:lineRule="auto"/>
              <w:ind w:firstLine="480" w:firstLineChars="200"/>
              <w:rPr>
                <w:rFonts w:ascii="Times New Roman" w:hAnsi="Times New Roman"/>
                <w:color w:val="auto"/>
              </w:rPr>
            </w:pPr>
            <w:r>
              <w:rPr>
                <w:rFonts w:hint="eastAsia" w:ascii="Times New Roman" w:hAnsi="Times New Roman"/>
                <w:color w:val="auto"/>
                <w:sz w:val="24"/>
              </w:rPr>
              <w:t>本项目</w:t>
            </w:r>
            <w:r>
              <w:rPr>
                <w:rFonts w:ascii="Times New Roman" w:hAnsi="Times New Roman"/>
                <w:color w:val="auto"/>
                <w:sz w:val="24"/>
              </w:rPr>
              <w:t>用排水情况见下表：</w:t>
            </w:r>
          </w:p>
          <w:p>
            <w:pPr>
              <w:adjustRightInd w:val="0"/>
              <w:snapToGrid w:val="0"/>
              <w:ind w:firstLine="482" w:firstLineChars="200"/>
              <w:jc w:val="center"/>
              <w:rPr>
                <w:rFonts w:ascii="Times New Roman" w:hAnsi="Times New Roman"/>
                <w:b/>
                <w:color w:val="auto"/>
                <w:sz w:val="24"/>
              </w:rPr>
            </w:pPr>
            <w:r>
              <w:rPr>
                <w:rFonts w:ascii="Times New Roman" w:hAnsi="Times New Roman"/>
                <w:b/>
                <w:color w:val="auto"/>
                <w:sz w:val="24"/>
              </w:rPr>
              <w:t>表5-</w:t>
            </w:r>
            <w:r>
              <w:rPr>
                <w:rFonts w:hint="eastAsia" w:ascii="Times New Roman" w:hAnsi="Times New Roman"/>
                <w:b/>
                <w:color w:val="auto"/>
                <w:sz w:val="24"/>
                <w:lang w:val="en-US" w:eastAsia="zh-CN"/>
              </w:rPr>
              <w:t>8</w:t>
            </w:r>
            <w:r>
              <w:rPr>
                <w:rFonts w:ascii="Times New Roman" w:hAnsi="Times New Roman"/>
                <w:b/>
                <w:color w:val="auto"/>
                <w:sz w:val="24"/>
              </w:rPr>
              <w:t xml:space="preserve">  本项目用排水情况表</w:t>
            </w:r>
          </w:p>
          <w:tbl>
            <w:tblPr>
              <w:tblStyle w:val="4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25"/>
              <w:gridCol w:w="1492"/>
              <w:gridCol w:w="1018"/>
              <w:gridCol w:w="832"/>
              <w:gridCol w:w="1008"/>
              <w:gridCol w:w="1008"/>
              <w:gridCol w:w="2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5"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序号</w:t>
                  </w:r>
                </w:p>
              </w:tc>
              <w:tc>
                <w:tcPr>
                  <w:tcW w:w="151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项目</w:t>
                  </w:r>
                </w:p>
              </w:tc>
              <w:tc>
                <w:tcPr>
                  <w:tcW w:w="102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用水定额</w:t>
                  </w:r>
                </w:p>
              </w:tc>
              <w:tc>
                <w:tcPr>
                  <w:tcW w:w="837"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使用数量</w:t>
                  </w:r>
                </w:p>
              </w:tc>
              <w:tc>
                <w:tcPr>
                  <w:tcW w:w="1008"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用水量(m</w:t>
                  </w:r>
                  <w:r>
                    <w:rPr>
                      <w:rFonts w:ascii="Times New Roman" w:hAnsi="Times New Roman"/>
                      <w:bCs/>
                      <w:color w:val="auto"/>
                      <w:szCs w:val="21"/>
                      <w:vertAlign w:val="superscript"/>
                    </w:rPr>
                    <w:t>3</w:t>
                  </w:r>
                  <w:r>
                    <w:rPr>
                      <w:rFonts w:ascii="Times New Roman" w:hAnsi="Times New Roman"/>
                      <w:bCs/>
                      <w:color w:val="auto"/>
                      <w:szCs w:val="21"/>
                    </w:rPr>
                    <w:t>/d)</w:t>
                  </w:r>
                </w:p>
              </w:tc>
              <w:tc>
                <w:tcPr>
                  <w:tcW w:w="941"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污水产生量(m</w:t>
                  </w:r>
                  <w:r>
                    <w:rPr>
                      <w:rFonts w:ascii="Times New Roman" w:hAnsi="Times New Roman"/>
                      <w:bCs/>
                      <w:color w:val="auto"/>
                      <w:szCs w:val="21"/>
                      <w:vertAlign w:val="superscript"/>
                    </w:rPr>
                    <w:t>3</w:t>
                  </w:r>
                  <w:r>
                    <w:rPr>
                      <w:rFonts w:ascii="Times New Roman" w:hAnsi="Times New Roman"/>
                      <w:bCs/>
                      <w:color w:val="auto"/>
                      <w:szCs w:val="21"/>
                    </w:rPr>
                    <w:t>/d)</w:t>
                  </w:r>
                </w:p>
              </w:tc>
              <w:tc>
                <w:tcPr>
                  <w:tcW w:w="2877"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5"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1</w:t>
                  </w:r>
                </w:p>
              </w:tc>
              <w:tc>
                <w:tcPr>
                  <w:tcW w:w="5320" w:type="dxa"/>
                  <w:gridSpan w:val="5"/>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生活用水</w:t>
                  </w:r>
                </w:p>
              </w:tc>
              <w:tc>
                <w:tcPr>
                  <w:tcW w:w="2877" w:type="dxa"/>
                  <w:vAlign w:val="center"/>
                </w:tcPr>
                <w:p>
                  <w:pPr>
                    <w:adjustRightInd w:val="0"/>
                    <w:snapToGrid w:val="0"/>
                    <w:spacing w:line="340" w:lineRule="exact"/>
                    <w:jc w:val="center"/>
                    <w:rPr>
                      <w:rFonts w:hint="eastAsia" w:ascii="Times New Roman" w:hAnsi="Times New Roman" w:eastAsia="宋体"/>
                      <w:bCs/>
                      <w:color w:val="auto"/>
                      <w:szCs w:val="21"/>
                      <w:lang w:eastAsia="zh-CN"/>
                    </w:rPr>
                  </w:pPr>
                  <w:r>
                    <w:rPr>
                      <w:rFonts w:ascii="Times New Roman" w:hAnsi="Times New Roman"/>
                      <w:bCs/>
                      <w:color w:val="auto"/>
                      <w:szCs w:val="21"/>
                    </w:rPr>
                    <w:t>一般生活</w:t>
                  </w:r>
                  <w:r>
                    <w:rPr>
                      <w:rFonts w:hint="eastAsia" w:ascii="Times New Roman" w:hAnsi="Times New Roman"/>
                      <w:bCs/>
                      <w:color w:val="auto"/>
                      <w:szCs w:val="21"/>
                      <w:lang w:eastAsia="zh-CN"/>
                    </w:rPr>
                    <w:t>污水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5"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1）</w:t>
                  </w:r>
                </w:p>
              </w:tc>
              <w:tc>
                <w:tcPr>
                  <w:tcW w:w="151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食堂用水</w:t>
                  </w:r>
                </w:p>
              </w:tc>
              <w:tc>
                <w:tcPr>
                  <w:tcW w:w="102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color w:val="auto"/>
                      <w:spacing w:val="19"/>
                      <w:kern w:val="0"/>
                      <w:szCs w:val="21"/>
                    </w:rPr>
                    <w:t>20</w:t>
                  </w:r>
                  <w:r>
                    <w:rPr>
                      <w:rFonts w:ascii="Times New Roman" w:hAnsi="Times New Roman"/>
                      <w:color w:val="auto"/>
                      <w:spacing w:val="19"/>
                      <w:kern w:val="0"/>
                      <w:szCs w:val="21"/>
                      <w:lang w:val="zh-CN"/>
                    </w:rPr>
                    <w:t>L/餐</w:t>
                  </w:r>
                  <w:r>
                    <w:rPr>
                      <w:rFonts w:ascii="Times New Roman" w:hAnsi="Times New Roman"/>
                      <w:bCs/>
                      <w:color w:val="auto"/>
                      <w:szCs w:val="21"/>
                    </w:rPr>
                    <w:t>•人</w:t>
                  </w:r>
                </w:p>
              </w:tc>
              <w:tc>
                <w:tcPr>
                  <w:tcW w:w="837"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52</w:t>
                  </w:r>
                </w:p>
              </w:tc>
              <w:tc>
                <w:tcPr>
                  <w:tcW w:w="1008"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2.08</w:t>
                  </w:r>
                </w:p>
              </w:tc>
              <w:tc>
                <w:tcPr>
                  <w:tcW w:w="941"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color w:val="auto"/>
                      <w:spacing w:val="19"/>
                      <w:kern w:val="0"/>
                      <w:szCs w:val="21"/>
                    </w:rPr>
                    <w:t>1.768</w:t>
                  </w:r>
                </w:p>
              </w:tc>
              <w:tc>
                <w:tcPr>
                  <w:tcW w:w="2877" w:type="dxa"/>
                  <w:vMerge w:val="restart"/>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color w:val="auto"/>
                      <w:szCs w:val="21"/>
                    </w:rPr>
                    <w:t>食堂废水经</w:t>
                  </w:r>
                  <w:r>
                    <w:rPr>
                      <w:rFonts w:hint="eastAsia" w:ascii="Times New Roman" w:hAnsi="Times New Roman"/>
                      <w:color w:val="auto"/>
                      <w:szCs w:val="21"/>
                    </w:rPr>
                    <w:t>1</w:t>
                  </w:r>
                  <w:r>
                    <w:rPr>
                      <w:rFonts w:ascii="Times New Roman" w:hAnsi="Times New Roman"/>
                      <w:color w:val="auto"/>
                      <w:szCs w:val="21"/>
                    </w:rPr>
                    <w:t>m</w:t>
                  </w:r>
                  <w:r>
                    <w:rPr>
                      <w:rFonts w:ascii="Times New Roman" w:hAnsi="Times New Roman"/>
                      <w:color w:val="auto"/>
                      <w:szCs w:val="21"/>
                      <w:vertAlign w:val="superscript"/>
                    </w:rPr>
                    <w:t>3</w:t>
                  </w:r>
                  <w:r>
                    <w:rPr>
                      <w:rFonts w:ascii="Times New Roman" w:hAnsi="Times New Roman"/>
                      <w:color w:val="auto"/>
                      <w:szCs w:val="21"/>
                    </w:rPr>
                    <w:t>隔油池处理后与</w:t>
                  </w:r>
                  <w:r>
                    <w:rPr>
                      <w:rFonts w:hint="eastAsia" w:ascii="Times New Roman" w:hAnsi="Times New Roman"/>
                      <w:color w:val="auto"/>
                      <w:szCs w:val="21"/>
                      <w:lang w:eastAsia="zh-CN"/>
                    </w:rPr>
                    <w:t>其他生活污水</w:t>
                  </w:r>
                  <w:r>
                    <w:rPr>
                      <w:rFonts w:hint="eastAsia" w:ascii="Times New Roman" w:hAnsi="Times New Roman"/>
                      <w:color w:val="auto"/>
                      <w:szCs w:val="21"/>
                    </w:rPr>
                    <w:t>进入10m</w:t>
                  </w:r>
                  <w:r>
                    <w:rPr>
                      <w:rFonts w:hint="eastAsia" w:ascii="Times New Roman" w:hAnsi="Times New Roman"/>
                      <w:color w:val="auto"/>
                      <w:szCs w:val="21"/>
                      <w:vertAlign w:val="superscript"/>
                    </w:rPr>
                    <w:t>3</w:t>
                  </w:r>
                  <w:r>
                    <w:rPr>
                      <w:rFonts w:hint="eastAsia" w:ascii="Times New Roman" w:hAnsi="Times New Roman"/>
                      <w:color w:val="auto"/>
                      <w:szCs w:val="21"/>
                    </w:rPr>
                    <w:t>化粪池</w:t>
                  </w:r>
                  <w:r>
                    <w:rPr>
                      <w:rFonts w:hint="eastAsia" w:ascii="Times New Roman" w:hAnsi="Times New Roman"/>
                      <w:color w:val="auto"/>
                      <w:szCs w:val="21"/>
                      <w:lang w:eastAsia="zh-CN"/>
                    </w:rPr>
                    <w:t>预处理</w:t>
                  </w:r>
                  <w:r>
                    <w:rPr>
                      <w:rFonts w:hint="eastAsia" w:ascii="Times New Roman" w:hAnsi="Times New Roman"/>
                      <w:color w:val="auto"/>
                      <w:szCs w:val="21"/>
                    </w:rPr>
                    <w:t>，</w:t>
                  </w:r>
                  <w:r>
                    <w:rPr>
                      <w:rFonts w:hint="eastAsia" w:ascii="Times New Roman" w:hAnsi="Times New Roman"/>
                      <w:color w:val="auto"/>
                      <w:szCs w:val="21"/>
                      <w:lang w:eastAsia="zh-CN"/>
                    </w:rPr>
                    <w:t>后进入中水处理站处理达标后用于厂区</w:t>
                  </w:r>
                  <w:r>
                    <w:rPr>
                      <w:rFonts w:hint="eastAsia" w:ascii="Times New Roman" w:hAnsi="Times New Roman"/>
                      <w:color w:val="auto"/>
                      <w:szCs w:val="21"/>
                    </w:rPr>
                    <w:t>洒水降尘。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5"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3</w:t>
                  </w:r>
                  <w:r>
                    <w:rPr>
                      <w:rFonts w:ascii="Times New Roman" w:hAnsi="Times New Roman"/>
                      <w:bCs/>
                      <w:color w:val="auto"/>
                      <w:szCs w:val="21"/>
                    </w:rPr>
                    <w:t>）</w:t>
                  </w:r>
                </w:p>
              </w:tc>
              <w:tc>
                <w:tcPr>
                  <w:tcW w:w="151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冲厕废水</w:t>
                  </w:r>
                </w:p>
              </w:tc>
              <w:tc>
                <w:tcPr>
                  <w:tcW w:w="1022" w:type="dxa"/>
                  <w:vAlign w:val="center"/>
                </w:tcPr>
                <w:p>
                  <w:pPr>
                    <w:adjustRightInd w:val="0"/>
                    <w:snapToGrid w:val="0"/>
                    <w:spacing w:line="340" w:lineRule="exact"/>
                    <w:jc w:val="center"/>
                    <w:rPr>
                      <w:rFonts w:ascii="Times New Roman" w:hAnsi="Times New Roman"/>
                      <w:color w:val="auto"/>
                      <w:spacing w:val="19"/>
                      <w:kern w:val="0"/>
                      <w:szCs w:val="21"/>
                    </w:rPr>
                  </w:pPr>
                  <w:r>
                    <w:rPr>
                      <w:rFonts w:ascii="Times New Roman" w:hAnsi="Times New Roman"/>
                      <w:color w:val="auto"/>
                      <w:spacing w:val="19"/>
                      <w:kern w:val="0"/>
                      <w:szCs w:val="21"/>
                    </w:rPr>
                    <w:t>7</w:t>
                  </w:r>
                  <w:r>
                    <w:rPr>
                      <w:rFonts w:ascii="Times New Roman" w:hAnsi="Times New Roman"/>
                      <w:color w:val="auto"/>
                      <w:spacing w:val="19"/>
                      <w:kern w:val="0"/>
                      <w:szCs w:val="21"/>
                      <w:lang w:val="zh-CN"/>
                    </w:rPr>
                    <w:t>L/人</w:t>
                  </w:r>
                  <w:r>
                    <w:rPr>
                      <w:rFonts w:ascii="Times New Roman" w:hAnsi="Times New Roman"/>
                      <w:bCs/>
                      <w:color w:val="auto"/>
                      <w:szCs w:val="21"/>
                    </w:rPr>
                    <w:t>•次</w:t>
                  </w:r>
                </w:p>
              </w:tc>
              <w:tc>
                <w:tcPr>
                  <w:tcW w:w="837"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156</w:t>
                  </w:r>
                </w:p>
              </w:tc>
              <w:tc>
                <w:tcPr>
                  <w:tcW w:w="1008"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1.092</w:t>
                  </w:r>
                </w:p>
              </w:tc>
              <w:tc>
                <w:tcPr>
                  <w:tcW w:w="941" w:type="dxa"/>
                  <w:vAlign w:val="center"/>
                </w:tcPr>
                <w:p>
                  <w:pPr>
                    <w:adjustRightInd w:val="0"/>
                    <w:snapToGrid w:val="0"/>
                    <w:spacing w:line="340" w:lineRule="exact"/>
                    <w:jc w:val="center"/>
                    <w:rPr>
                      <w:rFonts w:ascii="Times New Roman" w:hAnsi="Times New Roman"/>
                      <w:color w:val="auto"/>
                      <w:spacing w:val="19"/>
                      <w:kern w:val="0"/>
                      <w:szCs w:val="21"/>
                    </w:rPr>
                  </w:pPr>
                  <w:r>
                    <w:rPr>
                      <w:rFonts w:hint="eastAsia" w:ascii="Times New Roman" w:hAnsi="Times New Roman"/>
                      <w:bCs/>
                      <w:color w:val="auto"/>
                      <w:szCs w:val="21"/>
                    </w:rPr>
                    <w:t>1.037</w:t>
                  </w:r>
                </w:p>
              </w:tc>
              <w:tc>
                <w:tcPr>
                  <w:tcW w:w="2877" w:type="dxa"/>
                  <w:vMerge w:val="continue"/>
                  <w:vAlign w:val="center"/>
                </w:tcPr>
                <w:p>
                  <w:pPr>
                    <w:adjustRightInd w:val="0"/>
                    <w:snapToGrid w:val="0"/>
                    <w:spacing w:line="340" w:lineRule="exact"/>
                    <w:jc w:val="center"/>
                    <w:rPr>
                      <w:rFonts w:ascii="Times New Roman" w:hAnsi="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5"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4</w:t>
                  </w:r>
                  <w:r>
                    <w:rPr>
                      <w:rFonts w:ascii="Times New Roman" w:hAnsi="Times New Roman"/>
                      <w:bCs/>
                      <w:color w:val="auto"/>
                      <w:szCs w:val="21"/>
                    </w:rPr>
                    <w:t>）</w:t>
                  </w:r>
                </w:p>
              </w:tc>
              <w:tc>
                <w:tcPr>
                  <w:tcW w:w="151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color w:val="auto"/>
                      <w:spacing w:val="19"/>
                      <w:kern w:val="0"/>
                      <w:szCs w:val="21"/>
                    </w:rPr>
                    <w:t>洗手</w:t>
                  </w:r>
                  <w:r>
                    <w:rPr>
                      <w:rFonts w:ascii="Times New Roman" w:hAnsi="Times New Roman"/>
                      <w:color w:val="auto"/>
                      <w:spacing w:val="19"/>
                      <w:kern w:val="0"/>
                      <w:szCs w:val="21"/>
                      <w:lang w:val="zh-CN"/>
                    </w:rPr>
                    <w:t>等用水</w:t>
                  </w:r>
                </w:p>
              </w:tc>
              <w:tc>
                <w:tcPr>
                  <w:tcW w:w="102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color w:val="auto"/>
                      <w:spacing w:val="19"/>
                      <w:kern w:val="0"/>
                      <w:szCs w:val="21"/>
                    </w:rPr>
                    <w:t>2</w:t>
                  </w:r>
                  <w:r>
                    <w:rPr>
                      <w:rFonts w:ascii="Times New Roman" w:hAnsi="Times New Roman"/>
                      <w:color w:val="auto"/>
                      <w:spacing w:val="19"/>
                      <w:kern w:val="0"/>
                      <w:szCs w:val="21"/>
                      <w:lang w:val="zh-CN"/>
                    </w:rPr>
                    <w:t>0L/人</w:t>
                  </w:r>
                  <w:r>
                    <w:rPr>
                      <w:rFonts w:ascii="Times New Roman" w:hAnsi="Times New Roman"/>
                      <w:bCs/>
                      <w:color w:val="auto"/>
                      <w:szCs w:val="21"/>
                    </w:rPr>
                    <w:t>•天</w:t>
                  </w:r>
                </w:p>
              </w:tc>
              <w:tc>
                <w:tcPr>
                  <w:tcW w:w="837"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52</w:t>
                  </w:r>
                </w:p>
              </w:tc>
              <w:tc>
                <w:tcPr>
                  <w:tcW w:w="1008"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1.04</w:t>
                  </w:r>
                </w:p>
              </w:tc>
              <w:tc>
                <w:tcPr>
                  <w:tcW w:w="941"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0.884</w:t>
                  </w:r>
                </w:p>
              </w:tc>
              <w:tc>
                <w:tcPr>
                  <w:tcW w:w="2877" w:type="dxa"/>
                  <w:vMerge w:val="continue"/>
                  <w:vAlign w:val="center"/>
                </w:tcPr>
                <w:p>
                  <w:pPr>
                    <w:adjustRightInd w:val="0"/>
                    <w:snapToGrid w:val="0"/>
                    <w:spacing w:line="340" w:lineRule="exact"/>
                    <w:jc w:val="center"/>
                    <w:rPr>
                      <w:rFonts w:ascii="Times New Roman" w:hAnsi="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5"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5</w:t>
                  </w:r>
                  <w:r>
                    <w:rPr>
                      <w:rFonts w:ascii="Times New Roman" w:hAnsi="Times New Roman"/>
                      <w:bCs/>
                      <w:color w:val="auto"/>
                      <w:szCs w:val="21"/>
                    </w:rPr>
                    <w:t>）</w:t>
                  </w:r>
                </w:p>
              </w:tc>
              <w:tc>
                <w:tcPr>
                  <w:tcW w:w="151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color w:val="auto"/>
                      <w:szCs w:val="21"/>
                    </w:rPr>
                    <w:t>盥洗</w:t>
                  </w:r>
                  <w:r>
                    <w:rPr>
                      <w:rFonts w:ascii="Times New Roman" w:hAnsi="Times New Roman"/>
                      <w:color w:val="auto"/>
                      <w:spacing w:val="19"/>
                      <w:kern w:val="0"/>
                      <w:szCs w:val="21"/>
                      <w:lang w:val="zh-CN"/>
                    </w:rPr>
                    <w:t>用水</w:t>
                  </w:r>
                </w:p>
              </w:tc>
              <w:tc>
                <w:tcPr>
                  <w:tcW w:w="102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color w:val="auto"/>
                      <w:spacing w:val="19"/>
                      <w:kern w:val="0"/>
                      <w:szCs w:val="21"/>
                    </w:rPr>
                    <w:t>6</w:t>
                  </w:r>
                  <w:r>
                    <w:rPr>
                      <w:rFonts w:ascii="Times New Roman" w:hAnsi="Times New Roman"/>
                      <w:color w:val="auto"/>
                      <w:spacing w:val="19"/>
                      <w:kern w:val="0"/>
                      <w:szCs w:val="21"/>
                      <w:lang w:val="zh-CN"/>
                    </w:rPr>
                    <w:t>0L/人</w:t>
                  </w:r>
                  <w:r>
                    <w:rPr>
                      <w:rFonts w:ascii="Times New Roman" w:hAnsi="Times New Roman"/>
                      <w:bCs/>
                      <w:color w:val="auto"/>
                      <w:szCs w:val="21"/>
                    </w:rPr>
                    <w:t>•天</w:t>
                  </w:r>
                </w:p>
              </w:tc>
              <w:tc>
                <w:tcPr>
                  <w:tcW w:w="837"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52</w:t>
                  </w:r>
                </w:p>
              </w:tc>
              <w:tc>
                <w:tcPr>
                  <w:tcW w:w="1008"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3.12</w:t>
                  </w:r>
                </w:p>
              </w:tc>
              <w:tc>
                <w:tcPr>
                  <w:tcW w:w="941"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2.964</w:t>
                  </w:r>
                </w:p>
              </w:tc>
              <w:tc>
                <w:tcPr>
                  <w:tcW w:w="2877" w:type="dxa"/>
                  <w:vMerge w:val="continue"/>
                  <w:vAlign w:val="center"/>
                </w:tcPr>
                <w:p>
                  <w:pPr>
                    <w:adjustRightInd w:val="0"/>
                    <w:snapToGrid w:val="0"/>
                    <w:spacing w:line="340" w:lineRule="exact"/>
                    <w:jc w:val="center"/>
                    <w:rPr>
                      <w:rFonts w:ascii="Times New Roman" w:hAnsi="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6" w:hRule="atLeast"/>
              </w:trPr>
              <w:tc>
                <w:tcPr>
                  <w:tcW w:w="325"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2</w:t>
                  </w:r>
                </w:p>
              </w:tc>
              <w:tc>
                <w:tcPr>
                  <w:tcW w:w="5320" w:type="dxa"/>
                  <w:gridSpan w:val="5"/>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color w:val="auto"/>
                      <w:spacing w:val="19"/>
                      <w:kern w:val="0"/>
                      <w:szCs w:val="21"/>
                    </w:rPr>
                    <w:t>生产用水</w:t>
                  </w:r>
                </w:p>
              </w:tc>
              <w:tc>
                <w:tcPr>
                  <w:tcW w:w="2877" w:type="dxa"/>
                  <w:vAlign w:val="center"/>
                </w:tcPr>
                <w:p>
                  <w:pPr>
                    <w:adjustRightInd w:val="0"/>
                    <w:snapToGrid w:val="0"/>
                    <w:spacing w:line="340" w:lineRule="exact"/>
                    <w:jc w:val="center"/>
                    <w:rPr>
                      <w:rFonts w:ascii="Times New Roman" w:hAnsi="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325"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1)</w:t>
                  </w:r>
                </w:p>
              </w:tc>
              <w:tc>
                <w:tcPr>
                  <w:tcW w:w="1512" w:type="dxa"/>
                  <w:vAlign w:val="center"/>
                </w:tcPr>
                <w:p>
                  <w:pPr>
                    <w:adjustRightInd w:val="0"/>
                    <w:snapToGrid w:val="0"/>
                    <w:spacing w:line="340" w:lineRule="exact"/>
                    <w:jc w:val="center"/>
                    <w:rPr>
                      <w:rFonts w:ascii="Times New Roman" w:hAnsi="Times New Roman"/>
                      <w:color w:val="auto"/>
                      <w:spacing w:val="19"/>
                      <w:kern w:val="0"/>
                      <w:szCs w:val="21"/>
                    </w:rPr>
                  </w:pPr>
                  <w:r>
                    <w:rPr>
                      <w:rFonts w:hint="eastAsia" w:ascii="Times New Roman" w:hAnsi="Times New Roman"/>
                      <w:color w:val="auto"/>
                      <w:spacing w:val="19"/>
                      <w:kern w:val="0"/>
                      <w:szCs w:val="21"/>
                      <w:lang w:eastAsia="zh-CN"/>
                    </w:rPr>
                    <w:t>喷头</w:t>
                  </w:r>
                  <w:r>
                    <w:rPr>
                      <w:rFonts w:ascii="Times New Roman" w:hAnsi="Times New Roman"/>
                      <w:color w:val="auto"/>
                      <w:spacing w:val="19"/>
                      <w:kern w:val="0"/>
                      <w:szCs w:val="21"/>
                    </w:rPr>
                    <w:t>用水</w:t>
                  </w:r>
                </w:p>
              </w:tc>
              <w:tc>
                <w:tcPr>
                  <w:tcW w:w="1022" w:type="dxa"/>
                  <w:vAlign w:val="center"/>
                </w:tcPr>
                <w:p>
                  <w:pPr>
                    <w:widowControl/>
                    <w:spacing w:line="340" w:lineRule="exact"/>
                    <w:jc w:val="center"/>
                    <w:rPr>
                      <w:rFonts w:hint="default" w:ascii="Times New Roman" w:hAnsi="Times New Roman" w:eastAsia="宋体"/>
                      <w:bCs/>
                      <w:color w:val="auto"/>
                      <w:szCs w:val="21"/>
                      <w:lang w:val="en-US" w:eastAsia="zh-CN"/>
                    </w:rPr>
                  </w:pPr>
                  <w:r>
                    <w:rPr>
                      <w:rFonts w:hint="eastAsia" w:ascii="Times New Roman" w:hAnsi="Times New Roman"/>
                      <w:bCs/>
                      <w:color w:val="auto"/>
                      <w:szCs w:val="21"/>
                      <w:lang w:val="en-US" w:eastAsia="zh-CN"/>
                    </w:rPr>
                    <w:t>0.15m</w:t>
                  </w:r>
                  <w:r>
                    <w:rPr>
                      <w:rFonts w:hint="eastAsia" w:ascii="Times New Roman" w:hAnsi="Times New Roman"/>
                      <w:bCs/>
                      <w:color w:val="auto"/>
                      <w:szCs w:val="21"/>
                      <w:vertAlign w:val="superscript"/>
                      <w:lang w:val="en-US" w:eastAsia="zh-CN"/>
                    </w:rPr>
                    <w:t>3</w:t>
                  </w:r>
                  <w:r>
                    <w:rPr>
                      <w:rFonts w:hint="eastAsia" w:ascii="Times New Roman" w:hAnsi="Times New Roman"/>
                      <w:bCs/>
                      <w:color w:val="auto"/>
                      <w:szCs w:val="21"/>
                      <w:lang w:val="en-US" w:eastAsia="zh-CN"/>
                    </w:rPr>
                    <w:t>/h</w:t>
                  </w:r>
                </w:p>
              </w:tc>
              <w:tc>
                <w:tcPr>
                  <w:tcW w:w="837" w:type="dxa"/>
                  <w:vAlign w:val="center"/>
                </w:tcPr>
                <w:p>
                  <w:pPr>
                    <w:widowControl/>
                    <w:spacing w:line="340" w:lineRule="exact"/>
                    <w:jc w:val="center"/>
                    <w:rPr>
                      <w:rFonts w:hint="default" w:ascii="Times New Roman" w:hAnsi="Times New Roman" w:eastAsia="宋体" w:cs="Times New Roman"/>
                      <w:bCs/>
                      <w:color w:val="auto"/>
                      <w:sz w:val="21"/>
                      <w:szCs w:val="21"/>
                      <w:vertAlign w:val="superscript"/>
                      <w:lang w:val="en-US" w:eastAsia="zh-CN"/>
                    </w:rPr>
                  </w:pPr>
                  <w:r>
                    <w:rPr>
                      <w:rFonts w:hint="default" w:ascii="Times New Roman" w:hAnsi="Times New Roman" w:cs="Times New Roman"/>
                      <w:color w:val="auto"/>
                      <w:lang w:val="en-US" w:eastAsia="zh-CN"/>
                    </w:rPr>
                    <w:t>16h/d</w:t>
                  </w:r>
                </w:p>
              </w:tc>
              <w:tc>
                <w:tcPr>
                  <w:tcW w:w="1008" w:type="dxa"/>
                  <w:vAlign w:val="center"/>
                </w:tcPr>
                <w:p>
                  <w:pPr>
                    <w:adjustRightInd w:val="0"/>
                    <w:snapToGrid w:val="0"/>
                    <w:spacing w:line="340" w:lineRule="exact"/>
                    <w:jc w:val="center"/>
                    <w:rPr>
                      <w:rFonts w:hint="default" w:ascii="Times New Roman" w:hAnsi="Times New Roman" w:eastAsia="宋体"/>
                      <w:color w:val="auto"/>
                      <w:lang w:val="en-US" w:eastAsia="zh-CN"/>
                    </w:rPr>
                  </w:pPr>
                  <w:r>
                    <w:rPr>
                      <w:rFonts w:hint="eastAsia" w:ascii="Times New Roman" w:hAnsi="Times New Roman"/>
                      <w:color w:val="auto"/>
                      <w:lang w:val="en-US" w:eastAsia="zh-CN"/>
                    </w:rPr>
                    <w:t>28.8</w:t>
                  </w:r>
                </w:p>
              </w:tc>
              <w:tc>
                <w:tcPr>
                  <w:tcW w:w="941" w:type="dxa"/>
                  <w:vAlign w:val="center"/>
                </w:tcPr>
                <w:p>
                  <w:pPr>
                    <w:adjustRightInd w:val="0"/>
                    <w:snapToGrid w:val="0"/>
                    <w:spacing w:line="340" w:lineRule="exact"/>
                    <w:jc w:val="center"/>
                    <w:rPr>
                      <w:rFonts w:hint="eastAsia" w:ascii="Times New Roman" w:hAnsi="Times New Roman" w:eastAsia="宋体"/>
                      <w:bCs/>
                      <w:color w:val="auto"/>
                      <w:szCs w:val="21"/>
                      <w:lang w:val="en-US" w:eastAsia="zh-CN"/>
                    </w:rPr>
                  </w:pPr>
                  <w:r>
                    <w:rPr>
                      <w:rFonts w:hint="eastAsia" w:ascii="Times New Roman" w:hAnsi="Times New Roman"/>
                      <w:bCs/>
                      <w:color w:val="auto"/>
                      <w:szCs w:val="21"/>
                      <w:lang w:val="en-US" w:eastAsia="zh-CN"/>
                    </w:rPr>
                    <w:t>0</w:t>
                  </w:r>
                </w:p>
              </w:tc>
              <w:tc>
                <w:tcPr>
                  <w:tcW w:w="2877"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全部蒸发损耗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325" w:type="dxa"/>
                  <w:vAlign w:val="center"/>
                </w:tcPr>
                <w:p>
                  <w:pPr>
                    <w:adjustRightInd w:val="0"/>
                    <w:snapToGrid w:val="0"/>
                    <w:spacing w:line="340" w:lineRule="exact"/>
                    <w:jc w:val="center"/>
                    <w:rPr>
                      <w:rFonts w:hint="eastAsia" w:ascii="Times New Roman" w:hAnsi="Times New Roman" w:eastAsia="宋体"/>
                      <w:bCs/>
                      <w:color w:val="auto"/>
                      <w:szCs w:val="21"/>
                      <w:lang w:val="en-US" w:eastAsia="zh-CN"/>
                    </w:rPr>
                  </w:pPr>
                  <w:r>
                    <w:rPr>
                      <w:rFonts w:hint="default" w:ascii="Times New Roman" w:hAnsi="Times New Roman" w:cs="Times New Roman"/>
                      <w:bCs/>
                      <w:color w:val="auto"/>
                      <w:szCs w:val="21"/>
                      <w:lang w:val="en-US" w:eastAsia="zh-CN"/>
                    </w:rPr>
                    <w:t>2）</w:t>
                  </w:r>
                </w:p>
              </w:tc>
              <w:tc>
                <w:tcPr>
                  <w:tcW w:w="1512" w:type="dxa"/>
                  <w:vAlign w:val="center"/>
                </w:tcPr>
                <w:p>
                  <w:pPr>
                    <w:adjustRightInd w:val="0"/>
                    <w:snapToGrid w:val="0"/>
                    <w:spacing w:line="340" w:lineRule="exact"/>
                    <w:jc w:val="center"/>
                    <w:rPr>
                      <w:rFonts w:ascii="Times New Roman" w:hAnsi="Times New Roman"/>
                      <w:color w:val="auto"/>
                      <w:spacing w:val="19"/>
                      <w:kern w:val="0"/>
                      <w:szCs w:val="21"/>
                    </w:rPr>
                  </w:pPr>
                  <w:r>
                    <w:rPr>
                      <w:rFonts w:hint="eastAsia" w:ascii="Times New Roman" w:hAnsi="Times New Roman"/>
                      <w:color w:val="auto"/>
                      <w:spacing w:val="19"/>
                      <w:kern w:val="0"/>
                      <w:szCs w:val="21"/>
                      <w:lang w:eastAsia="zh-CN"/>
                    </w:rPr>
                    <w:t>厂区其他硬化路面</w:t>
                  </w:r>
                  <w:r>
                    <w:rPr>
                      <w:rFonts w:ascii="Times New Roman" w:hAnsi="Times New Roman"/>
                      <w:color w:val="auto"/>
                      <w:spacing w:val="19"/>
                      <w:kern w:val="0"/>
                      <w:szCs w:val="21"/>
                    </w:rPr>
                    <w:t>抑尘用水</w:t>
                  </w:r>
                </w:p>
              </w:tc>
              <w:tc>
                <w:tcPr>
                  <w:tcW w:w="1022" w:type="dxa"/>
                  <w:vAlign w:val="center"/>
                </w:tcPr>
                <w:p>
                  <w:pPr>
                    <w:widowControl/>
                    <w:spacing w:line="340" w:lineRule="exact"/>
                    <w:jc w:val="center"/>
                    <w:rPr>
                      <w:rFonts w:hint="eastAsia" w:ascii="Times New Roman" w:hAnsi="Times New Roman"/>
                      <w:color w:val="auto"/>
                      <w:szCs w:val="21"/>
                    </w:rPr>
                  </w:pPr>
                  <w:r>
                    <w:rPr>
                      <w:rFonts w:hint="eastAsia" w:ascii="Times New Roman" w:hAnsi="Times New Roman"/>
                      <w:color w:val="auto"/>
                      <w:szCs w:val="21"/>
                    </w:rPr>
                    <w:t>3500</w:t>
                  </w:r>
                  <w:r>
                    <w:rPr>
                      <w:rFonts w:ascii="Times New Roman" w:hAnsi="Times New Roman"/>
                      <w:color w:val="auto"/>
                      <w:szCs w:val="21"/>
                    </w:rPr>
                    <w:t>m</w:t>
                  </w:r>
                  <w:r>
                    <w:rPr>
                      <w:rFonts w:ascii="Times New Roman" w:hAnsi="Times New Roman"/>
                      <w:color w:val="auto"/>
                      <w:szCs w:val="21"/>
                      <w:vertAlign w:val="superscript"/>
                    </w:rPr>
                    <w:t>2</w:t>
                  </w:r>
                </w:p>
              </w:tc>
              <w:tc>
                <w:tcPr>
                  <w:tcW w:w="837" w:type="dxa"/>
                  <w:vAlign w:val="center"/>
                </w:tcPr>
                <w:p>
                  <w:pPr>
                    <w:widowControl/>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 L/</w:t>
                  </w:r>
                  <w:r>
                    <w:rPr>
                      <w:rFonts w:hint="default" w:ascii="Times New Roman" w:hAnsi="Times New Roman" w:cs="Times New Roman"/>
                      <w:bCs/>
                      <w:color w:val="auto"/>
                      <w:sz w:val="21"/>
                      <w:szCs w:val="21"/>
                    </w:rPr>
                    <w:t>m</w:t>
                  </w:r>
                  <w:r>
                    <w:rPr>
                      <w:rFonts w:hint="default" w:ascii="Times New Roman" w:hAnsi="Times New Roman" w:cs="Times New Roman"/>
                      <w:bCs/>
                      <w:color w:val="auto"/>
                      <w:sz w:val="21"/>
                      <w:szCs w:val="21"/>
                      <w:vertAlign w:val="superscript"/>
                    </w:rPr>
                    <w:t>2</w:t>
                  </w:r>
                </w:p>
                <w:p>
                  <w:pPr>
                    <w:widowControl/>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（2次）</w:t>
                  </w:r>
                </w:p>
              </w:tc>
              <w:tc>
                <w:tcPr>
                  <w:tcW w:w="1008" w:type="dxa"/>
                  <w:vAlign w:val="center"/>
                </w:tcPr>
                <w:p>
                  <w:pPr>
                    <w:adjustRightInd w:val="0"/>
                    <w:snapToGrid w:val="0"/>
                    <w:spacing w:line="340" w:lineRule="exact"/>
                    <w:jc w:val="center"/>
                    <w:rPr>
                      <w:rFonts w:hint="eastAsia" w:ascii="Times New Roman" w:hAnsi="Times New Roman"/>
                      <w:color w:val="auto"/>
                      <w:szCs w:val="21"/>
                    </w:rPr>
                  </w:pPr>
                  <w:r>
                    <w:rPr>
                      <w:rFonts w:hint="eastAsia" w:ascii="Times New Roman" w:hAnsi="Times New Roman"/>
                      <w:color w:val="auto"/>
                      <w:szCs w:val="21"/>
                    </w:rPr>
                    <w:t>1</w:t>
                  </w:r>
                  <w:r>
                    <w:rPr>
                      <w:rFonts w:hint="eastAsia" w:ascii="Times New Roman" w:hAnsi="Times New Roman"/>
                      <w:color w:val="auto"/>
                      <w:szCs w:val="21"/>
                      <w:lang w:val="en-US" w:eastAsia="zh-CN"/>
                    </w:rPr>
                    <w:t>3</w:t>
                  </w:r>
                  <w:r>
                    <w:rPr>
                      <w:rFonts w:hint="eastAsia" w:ascii="Times New Roman" w:hAnsi="Times New Roman"/>
                      <w:color w:val="auto"/>
                      <w:szCs w:val="21"/>
                    </w:rPr>
                    <w:t>.5</w:t>
                  </w:r>
                </w:p>
              </w:tc>
              <w:tc>
                <w:tcPr>
                  <w:tcW w:w="941"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0</w:t>
                  </w:r>
                </w:p>
              </w:tc>
              <w:tc>
                <w:tcPr>
                  <w:tcW w:w="2877"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全部蒸发损耗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325"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2)</w:t>
                  </w:r>
                </w:p>
              </w:tc>
              <w:tc>
                <w:tcPr>
                  <w:tcW w:w="1512" w:type="dxa"/>
                  <w:vAlign w:val="center"/>
                </w:tcPr>
                <w:p>
                  <w:pPr>
                    <w:adjustRightInd w:val="0"/>
                    <w:snapToGrid w:val="0"/>
                    <w:spacing w:line="340" w:lineRule="exact"/>
                    <w:jc w:val="center"/>
                    <w:rPr>
                      <w:rFonts w:ascii="Times New Roman" w:hAnsi="Times New Roman"/>
                      <w:color w:val="auto"/>
                      <w:spacing w:val="19"/>
                      <w:kern w:val="0"/>
                      <w:szCs w:val="21"/>
                    </w:rPr>
                  </w:pPr>
                  <w:r>
                    <w:rPr>
                      <w:rFonts w:ascii="Times New Roman" w:hAnsi="Times New Roman"/>
                      <w:color w:val="auto"/>
                      <w:spacing w:val="19"/>
                      <w:kern w:val="0"/>
                      <w:szCs w:val="21"/>
                    </w:rPr>
                    <w:t>搅拌用水</w:t>
                  </w:r>
                </w:p>
              </w:tc>
              <w:tc>
                <w:tcPr>
                  <w:tcW w:w="1022" w:type="dxa"/>
                  <w:vAlign w:val="center"/>
                </w:tcPr>
                <w:p>
                  <w:pPr>
                    <w:adjustRightInd w:val="0"/>
                    <w:snapToGrid w:val="0"/>
                    <w:spacing w:line="340" w:lineRule="exact"/>
                    <w:jc w:val="center"/>
                    <w:rPr>
                      <w:rFonts w:ascii="Times New Roman" w:hAnsi="Times New Roman"/>
                      <w:color w:val="auto"/>
                      <w:spacing w:val="19"/>
                      <w:kern w:val="0"/>
                      <w:szCs w:val="21"/>
                    </w:rPr>
                  </w:pPr>
                  <w:r>
                    <w:rPr>
                      <w:rFonts w:ascii="Times New Roman" w:hAnsi="Times New Roman"/>
                      <w:color w:val="auto"/>
                      <w:szCs w:val="21"/>
                    </w:rPr>
                    <w:t>170L/</w:t>
                  </w:r>
                  <w:r>
                    <w:rPr>
                      <w:rFonts w:ascii="Times New Roman" w:hAnsi="Times New Roman"/>
                      <w:bCs/>
                      <w:color w:val="auto"/>
                      <w:szCs w:val="21"/>
                    </w:rPr>
                    <w:t xml:space="preserve"> m</w:t>
                  </w:r>
                  <w:r>
                    <w:rPr>
                      <w:rFonts w:ascii="Times New Roman" w:hAnsi="Times New Roman"/>
                      <w:bCs/>
                      <w:color w:val="auto"/>
                      <w:szCs w:val="21"/>
                      <w:vertAlign w:val="superscript"/>
                    </w:rPr>
                    <w:t>3</w:t>
                  </w:r>
                </w:p>
              </w:tc>
              <w:tc>
                <w:tcPr>
                  <w:tcW w:w="837"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1.7</w:t>
                  </w:r>
                  <w:r>
                    <w:rPr>
                      <w:rFonts w:ascii="Times New Roman" w:hAnsi="Times New Roman"/>
                      <w:bCs/>
                      <w:color w:val="auto"/>
                      <w:szCs w:val="21"/>
                    </w:rPr>
                    <w:t>万m</w:t>
                  </w:r>
                  <w:r>
                    <w:rPr>
                      <w:rFonts w:ascii="Times New Roman" w:hAnsi="Times New Roman"/>
                      <w:bCs/>
                      <w:color w:val="auto"/>
                      <w:szCs w:val="21"/>
                      <w:vertAlign w:val="superscript"/>
                    </w:rPr>
                    <w:t>3</w:t>
                  </w:r>
                </w:p>
              </w:tc>
              <w:tc>
                <w:tcPr>
                  <w:tcW w:w="1008" w:type="dxa"/>
                  <w:vAlign w:val="center"/>
                </w:tcPr>
                <w:p>
                  <w:pPr>
                    <w:adjustRightInd w:val="0"/>
                    <w:snapToGrid w:val="0"/>
                    <w:spacing w:line="340" w:lineRule="exact"/>
                    <w:jc w:val="center"/>
                    <w:rPr>
                      <w:color w:val="auto"/>
                    </w:rPr>
                  </w:pPr>
                  <w:r>
                    <w:rPr>
                      <w:rFonts w:hint="eastAsia"/>
                      <w:color w:val="auto"/>
                    </w:rPr>
                    <w:t>38.6</w:t>
                  </w:r>
                </w:p>
                <w:p>
                  <w:pPr>
                    <w:adjustRightInd w:val="0"/>
                    <w:snapToGrid w:val="0"/>
                    <w:spacing w:line="340" w:lineRule="exact"/>
                    <w:jc w:val="center"/>
                    <w:rPr>
                      <w:color w:val="auto"/>
                    </w:rPr>
                  </w:pPr>
                  <w:r>
                    <w:rPr>
                      <w:rFonts w:hint="eastAsia"/>
                      <w:color w:val="auto"/>
                    </w:rPr>
                    <w:t>（6.2）</w:t>
                  </w:r>
                </w:p>
              </w:tc>
              <w:tc>
                <w:tcPr>
                  <w:tcW w:w="941"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0</w:t>
                  </w:r>
                </w:p>
              </w:tc>
              <w:tc>
                <w:tcPr>
                  <w:tcW w:w="2877"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进入产品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325"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3)</w:t>
                  </w:r>
                </w:p>
              </w:tc>
              <w:tc>
                <w:tcPr>
                  <w:tcW w:w="1512" w:type="dxa"/>
                  <w:vAlign w:val="center"/>
                </w:tcPr>
                <w:p>
                  <w:pPr>
                    <w:adjustRightInd w:val="0"/>
                    <w:snapToGrid w:val="0"/>
                    <w:spacing w:line="340" w:lineRule="exact"/>
                    <w:jc w:val="center"/>
                    <w:rPr>
                      <w:rFonts w:ascii="Times New Roman" w:hAnsi="Times New Roman"/>
                      <w:color w:val="auto"/>
                      <w:spacing w:val="19"/>
                      <w:kern w:val="0"/>
                      <w:szCs w:val="21"/>
                    </w:rPr>
                  </w:pPr>
                  <w:r>
                    <w:rPr>
                      <w:rFonts w:ascii="Times New Roman" w:hAnsi="Times New Roman"/>
                      <w:color w:val="auto"/>
                      <w:spacing w:val="19"/>
                      <w:kern w:val="0"/>
                      <w:szCs w:val="21"/>
                    </w:rPr>
                    <w:t>车辆清洗用水</w:t>
                  </w:r>
                </w:p>
              </w:tc>
              <w:tc>
                <w:tcPr>
                  <w:tcW w:w="102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w:t>
                  </w:r>
                </w:p>
              </w:tc>
              <w:tc>
                <w:tcPr>
                  <w:tcW w:w="837"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w:t>
                  </w:r>
                </w:p>
              </w:tc>
              <w:tc>
                <w:tcPr>
                  <w:tcW w:w="1008" w:type="dxa"/>
                  <w:vAlign w:val="center"/>
                </w:tcPr>
                <w:p>
                  <w:pPr>
                    <w:adjustRightInd w:val="0"/>
                    <w:snapToGrid w:val="0"/>
                    <w:spacing w:line="340" w:lineRule="exact"/>
                    <w:jc w:val="center"/>
                    <w:rPr>
                      <w:rFonts w:ascii="Times New Roman" w:hAnsi="Times New Roman"/>
                      <w:color w:val="auto"/>
                      <w:szCs w:val="21"/>
                    </w:rPr>
                  </w:pPr>
                  <w:r>
                    <w:rPr>
                      <w:rFonts w:ascii="Times New Roman" w:hAnsi="Times New Roman"/>
                      <w:color w:val="auto"/>
                      <w:szCs w:val="21"/>
                    </w:rPr>
                    <w:t>10</w:t>
                  </w:r>
                </w:p>
                <w:p>
                  <w:pPr>
                    <w:adjustRightInd w:val="0"/>
                    <w:snapToGrid w:val="0"/>
                    <w:spacing w:line="340" w:lineRule="exact"/>
                    <w:jc w:val="center"/>
                    <w:rPr>
                      <w:rFonts w:ascii="Times New Roman" w:hAnsi="Times New Roman"/>
                      <w:color w:val="auto"/>
                      <w:szCs w:val="21"/>
                    </w:rPr>
                  </w:pPr>
                  <w:r>
                    <w:rPr>
                      <w:rFonts w:ascii="Times New Roman" w:hAnsi="Times New Roman"/>
                      <w:color w:val="auto"/>
                      <w:szCs w:val="21"/>
                    </w:rPr>
                    <w:t>（0）</w:t>
                  </w:r>
                </w:p>
              </w:tc>
              <w:tc>
                <w:tcPr>
                  <w:tcW w:w="941"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9</w:t>
                  </w:r>
                </w:p>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(9)</w:t>
                  </w:r>
                </w:p>
              </w:tc>
              <w:tc>
                <w:tcPr>
                  <w:tcW w:w="2877"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经20m</w:t>
                  </w:r>
                  <w:r>
                    <w:rPr>
                      <w:rFonts w:ascii="Times New Roman" w:hAnsi="Times New Roman"/>
                      <w:bCs/>
                      <w:color w:val="auto"/>
                      <w:szCs w:val="21"/>
                      <w:vertAlign w:val="superscript"/>
                    </w:rPr>
                    <w:t>3</w:t>
                  </w:r>
                  <w:r>
                    <w:rPr>
                      <w:rFonts w:hint="eastAsia" w:ascii="Times New Roman" w:hAnsi="Times New Roman"/>
                      <w:bCs/>
                      <w:color w:val="auto"/>
                      <w:szCs w:val="21"/>
                    </w:rPr>
                    <w:t>四级</w:t>
                  </w:r>
                  <w:r>
                    <w:rPr>
                      <w:rFonts w:ascii="Times New Roman" w:hAnsi="Times New Roman"/>
                      <w:bCs/>
                      <w:color w:val="auto"/>
                      <w:szCs w:val="21"/>
                    </w:rPr>
                    <w:t>沉淀池收集处理后回用于水泥混凝土生产线搅拌水，不外排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325"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4</w:t>
                  </w:r>
                </w:p>
              </w:tc>
              <w:tc>
                <w:tcPr>
                  <w:tcW w:w="1512"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初期雨水</w:t>
                  </w:r>
                </w:p>
              </w:tc>
              <w:tc>
                <w:tcPr>
                  <w:tcW w:w="1022"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w:t>
                  </w:r>
                </w:p>
              </w:tc>
              <w:tc>
                <w:tcPr>
                  <w:tcW w:w="837" w:type="dxa"/>
                  <w:vAlign w:val="center"/>
                </w:tcPr>
                <w:p>
                  <w:pPr>
                    <w:adjustRightInd w:val="0"/>
                    <w:snapToGrid w:val="0"/>
                    <w:spacing w:line="340" w:lineRule="exact"/>
                    <w:jc w:val="center"/>
                    <w:rPr>
                      <w:rFonts w:ascii="Times New Roman" w:hAnsi="Times New Roman"/>
                      <w:color w:val="auto"/>
                      <w:szCs w:val="21"/>
                    </w:rPr>
                  </w:pPr>
                  <w:r>
                    <w:rPr>
                      <w:rFonts w:hint="eastAsia" w:ascii="Times New Roman" w:hAnsi="Times New Roman"/>
                      <w:color w:val="auto"/>
                      <w:szCs w:val="21"/>
                    </w:rPr>
                    <w:t>/</w:t>
                  </w:r>
                </w:p>
              </w:tc>
              <w:tc>
                <w:tcPr>
                  <w:tcW w:w="1008" w:type="dxa"/>
                  <w:vAlign w:val="center"/>
                </w:tcPr>
                <w:p>
                  <w:pPr>
                    <w:adjustRightInd w:val="0"/>
                    <w:snapToGrid w:val="0"/>
                    <w:spacing w:line="340" w:lineRule="exact"/>
                    <w:jc w:val="center"/>
                    <w:rPr>
                      <w:rFonts w:ascii="Times New Roman" w:hAnsi="Times New Roman"/>
                      <w:bCs/>
                      <w:color w:val="auto"/>
                      <w:szCs w:val="21"/>
                    </w:rPr>
                  </w:pPr>
                </w:p>
              </w:tc>
              <w:tc>
                <w:tcPr>
                  <w:tcW w:w="941"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color w:val="auto"/>
                      <w:szCs w:val="21"/>
                    </w:rPr>
                    <w:t>32.4</w:t>
                  </w:r>
                  <w:r>
                    <w:rPr>
                      <w:rFonts w:ascii="Times New Roman" w:hAnsi="Times New Roman"/>
                      <w:bCs/>
                      <w:color w:val="auto"/>
                      <w:szCs w:val="21"/>
                    </w:rPr>
                    <w:t>m</w:t>
                  </w:r>
                  <w:r>
                    <w:rPr>
                      <w:rFonts w:ascii="Times New Roman" w:hAnsi="Times New Roman"/>
                      <w:bCs/>
                      <w:color w:val="auto"/>
                      <w:szCs w:val="21"/>
                      <w:vertAlign w:val="superscript"/>
                    </w:rPr>
                    <w:t>3</w:t>
                  </w:r>
                  <w:r>
                    <w:rPr>
                      <w:rFonts w:ascii="Times New Roman" w:hAnsi="Times New Roman"/>
                      <w:bCs/>
                      <w:color w:val="auto"/>
                      <w:szCs w:val="21"/>
                    </w:rPr>
                    <w:t>/次</w:t>
                  </w:r>
                </w:p>
              </w:tc>
              <w:tc>
                <w:tcPr>
                  <w:tcW w:w="2877" w:type="dxa"/>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经</w:t>
                  </w:r>
                  <w:r>
                    <w:rPr>
                      <w:rFonts w:hint="eastAsia" w:ascii="Times New Roman" w:hAnsi="Times New Roman"/>
                      <w:bCs/>
                      <w:color w:val="auto"/>
                      <w:szCs w:val="21"/>
                    </w:rPr>
                    <w:t>40</w:t>
                  </w:r>
                  <w:r>
                    <w:rPr>
                      <w:rFonts w:ascii="Times New Roman" w:hAnsi="Times New Roman"/>
                      <w:bCs/>
                      <w:color w:val="auto"/>
                      <w:szCs w:val="21"/>
                    </w:rPr>
                    <w:t>m</w:t>
                  </w:r>
                  <w:r>
                    <w:rPr>
                      <w:rFonts w:ascii="Times New Roman" w:hAnsi="Times New Roman"/>
                      <w:bCs/>
                      <w:color w:val="auto"/>
                      <w:szCs w:val="21"/>
                      <w:vertAlign w:val="superscript"/>
                    </w:rPr>
                    <w:t>3</w:t>
                  </w:r>
                  <w:r>
                    <w:rPr>
                      <w:rFonts w:ascii="Times New Roman" w:hAnsi="Times New Roman"/>
                      <w:bCs/>
                      <w:color w:val="auto"/>
                      <w:szCs w:val="21"/>
                    </w:rPr>
                    <w:t>雨水收集后回用于生产线搅拌水，不外排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1837" w:type="dxa"/>
                  <w:gridSpan w:val="2"/>
                  <w:vAlign w:val="center"/>
                </w:tcPr>
                <w:p>
                  <w:pPr>
                    <w:adjustRightInd w:val="0"/>
                    <w:snapToGrid w:val="0"/>
                    <w:spacing w:line="340" w:lineRule="exact"/>
                    <w:jc w:val="center"/>
                    <w:rPr>
                      <w:rFonts w:ascii="Times New Roman" w:hAnsi="Times New Roman"/>
                      <w:bCs/>
                      <w:color w:val="auto"/>
                      <w:szCs w:val="21"/>
                    </w:rPr>
                  </w:pPr>
                  <w:r>
                    <w:rPr>
                      <w:rFonts w:ascii="Times New Roman" w:hAnsi="Times New Roman"/>
                      <w:bCs/>
                      <w:color w:val="auto"/>
                      <w:szCs w:val="21"/>
                    </w:rPr>
                    <w:t>总计</w:t>
                  </w:r>
                </w:p>
              </w:tc>
              <w:tc>
                <w:tcPr>
                  <w:tcW w:w="1022"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w:t>
                  </w:r>
                </w:p>
              </w:tc>
              <w:tc>
                <w:tcPr>
                  <w:tcW w:w="837"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w:t>
                  </w:r>
                </w:p>
              </w:tc>
              <w:tc>
                <w:tcPr>
                  <w:tcW w:w="1008" w:type="dxa"/>
                  <w:vAlign w:val="center"/>
                </w:tcPr>
                <w:p>
                  <w:pPr>
                    <w:widowControl/>
                    <w:spacing w:line="340" w:lineRule="exact"/>
                    <w:jc w:val="center"/>
                    <w:textAlignment w:val="center"/>
                    <w:rPr>
                      <w:rFonts w:ascii="Times New Roman" w:hAnsi="Times New Roman"/>
                      <w:bCs/>
                      <w:color w:val="auto"/>
                      <w:szCs w:val="21"/>
                    </w:rPr>
                  </w:pPr>
                  <w:r>
                    <w:rPr>
                      <w:rFonts w:hint="eastAsia" w:ascii="Times New Roman" w:hAnsi="Times New Roman"/>
                      <w:bCs/>
                      <w:color w:val="auto"/>
                      <w:szCs w:val="21"/>
                      <w:lang w:val="en-US" w:eastAsia="zh-CN"/>
                    </w:rPr>
                    <w:t>98.232</w:t>
                  </w:r>
                  <w:r>
                    <w:rPr>
                      <w:rFonts w:ascii="Times New Roman" w:hAnsi="Times New Roman"/>
                      <w:bCs/>
                      <w:color w:val="auto"/>
                      <w:szCs w:val="21"/>
                    </w:rPr>
                    <w:t>（</w:t>
                  </w:r>
                  <w:r>
                    <w:rPr>
                      <w:rFonts w:hint="eastAsia" w:ascii="Times New Roman" w:hAnsi="Times New Roman"/>
                      <w:bCs/>
                      <w:color w:val="auto"/>
                      <w:szCs w:val="21"/>
                      <w:lang w:val="en-US" w:eastAsia="zh-CN"/>
                    </w:rPr>
                    <w:t>52.838</w:t>
                  </w:r>
                  <w:r>
                    <w:rPr>
                      <w:rFonts w:ascii="Times New Roman" w:hAnsi="Times New Roman"/>
                      <w:bCs/>
                      <w:color w:val="auto"/>
                      <w:szCs w:val="21"/>
                    </w:rPr>
                    <w:t>）</w:t>
                  </w:r>
                </w:p>
              </w:tc>
              <w:tc>
                <w:tcPr>
                  <w:tcW w:w="941" w:type="dxa"/>
                  <w:vAlign w:val="center"/>
                </w:tcPr>
                <w:p>
                  <w:pPr>
                    <w:widowControl/>
                    <w:spacing w:line="340" w:lineRule="exact"/>
                    <w:jc w:val="center"/>
                    <w:textAlignment w:val="center"/>
                    <w:rPr>
                      <w:rFonts w:ascii="Times New Roman" w:hAnsi="Times New Roman"/>
                      <w:bCs/>
                      <w:color w:val="auto"/>
                    </w:rPr>
                  </w:pPr>
                  <w:r>
                    <w:rPr>
                      <w:rFonts w:hint="eastAsia" w:ascii="Times New Roman" w:hAnsi="Times New Roman"/>
                      <w:bCs/>
                      <w:color w:val="auto"/>
                      <w:szCs w:val="21"/>
                    </w:rPr>
                    <w:t>15.653</w:t>
                  </w:r>
                  <w:r>
                    <w:rPr>
                      <w:rFonts w:ascii="Times New Roman" w:hAnsi="Times New Roman"/>
                      <w:bCs/>
                      <w:color w:val="auto"/>
                      <w:szCs w:val="21"/>
                    </w:rPr>
                    <w:t>（</w:t>
                  </w:r>
                  <w:r>
                    <w:rPr>
                      <w:rFonts w:hint="eastAsia" w:ascii="Times New Roman" w:hAnsi="Times New Roman"/>
                      <w:bCs/>
                      <w:color w:val="auto"/>
                      <w:szCs w:val="21"/>
                    </w:rPr>
                    <w:t>48.053</w:t>
                  </w:r>
                  <w:r>
                    <w:rPr>
                      <w:rFonts w:ascii="Times New Roman" w:hAnsi="Times New Roman"/>
                      <w:bCs/>
                      <w:color w:val="auto"/>
                      <w:szCs w:val="21"/>
                    </w:rPr>
                    <w:t>）</w:t>
                  </w:r>
                </w:p>
              </w:tc>
              <w:tc>
                <w:tcPr>
                  <w:tcW w:w="2877" w:type="dxa"/>
                  <w:vAlign w:val="center"/>
                </w:tcPr>
                <w:p>
                  <w:pPr>
                    <w:adjustRightInd w:val="0"/>
                    <w:snapToGrid w:val="0"/>
                    <w:spacing w:line="340" w:lineRule="exact"/>
                    <w:jc w:val="center"/>
                    <w:rPr>
                      <w:rFonts w:ascii="Times New Roman" w:hAnsi="Times New Roman"/>
                      <w:bCs/>
                      <w:color w:val="auto"/>
                      <w:szCs w:val="21"/>
                    </w:rPr>
                  </w:pPr>
                  <w:r>
                    <w:rPr>
                      <w:rFonts w:hint="eastAsia" w:ascii="Times New Roman" w:hAnsi="Times New Roman"/>
                      <w:bCs/>
                      <w:color w:val="auto"/>
                      <w:szCs w:val="21"/>
                    </w:rPr>
                    <w:t>/</w:t>
                  </w:r>
                </w:p>
              </w:tc>
            </w:tr>
          </w:tbl>
          <w:p>
            <w:pPr>
              <w:pStyle w:val="18"/>
              <w:spacing w:afterLines="50"/>
              <w:ind w:firstLine="360" w:firstLineChars="200"/>
              <w:rPr>
                <w:rFonts w:ascii="Times New Roman" w:hAnsi="Times New Roman"/>
                <w:color w:val="auto"/>
                <w:sz w:val="18"/>
                <w:szCs w:val="18"/>
              </w:rPr>
            </w:pPr>
            <w:r>
              <w:rPr>
                <w:rFonts w:ascii="Times New Roman" w:hAnsi="Times New Roman"/>
                <w:color w:val="auto"/>
                <w:sz w:val="18"/>
                <w:szCs w:val="18"/>
              </w:rPr>
              <w:t>注：场地洒水仅</w:t>
            </w:r>
            <w:r>
              <w:rPr>
                <w:rFonts w:hint="eastAsia" w:ascii="Times New Roman" w:hAnsi="Times New Roman"/>
                <w:color w:val="auto"/>
                <w:sz w:val="18"/>
                <w:szCs w:val="18"/>
                <w:lang w:eastAsia="zh-CN"/>
              </w:rPr>
              <w:t>晴天</w:t>
            </w:r>
            <w:r>
              <w:rPr>
                <w:rFonts w:ascii="Times New Roman" w:hAnsi="Times New Roman"/>
                <w:color w:val="auto"/>
                <w:sz w:val="18"/>
                <w:szCs w:val="18"/>
              </w:rPr>
              <w:t>进行。（）外表示</w:t>
            </w:r>
            <w:r>
              <w:rPr>
                <w:rFonts w:hint="eastAsia" w:ascii="Times New Roman" w:hAnsi="Times New Roman"/>
                <w:color w:val="auto"/>
                <w:sz w:val="18"/>
                <w:szCs w:val="18"/>
                <w:lang w:eastAsia="zh-CN"/>
              </w:rPr>
              <w:t>晴天</w:t>
            </w:r>
            <w:r>
              <w:rPr>
                <w:rFonts w:ascii="Times New Roman" w:hAnsi="Times New Roman"/>
                <w:color w:val="auto"/>
                <w:sz w:val="18"/>
                <w:szCs w:val="18"/>
              </w:rPr>
              <w:t>，（）内表示</w:t>
            </w:r>
            <w:r>
              <w:rPr>
                <w:rFonts w:hint="eastAsia" w:ascii="Times New Roman" w:hAnsi="Times New Roman"/>
                <w:color w:val="auto"/>
                <w:sz w:val="18"/>
                <w:szCs w:val="18"/>
                <w:lang w:eastAsia="zh-CN"/>
              </w:rPr>
              <w:t>雨天</w:t>
            </w:r>
            <w:r>
              <w:rPr>
                <w:rFonts w:ascii="Times New Roman" w:hAnsi="Times New Roman"/>
                <w:color w:val="auto"/>
                <w:sz w:val="18"/>
                <w:szCs w:val="18"/>
              </w:rPr>
              <w:t>。</w:t>
            </w:r>
          </w:p>
          <w:p>
            <w:pPr>
              <w:adjustRightInd w:val="0"/>
              <w:snapToGrid w:val="0"/>
              <w:spacing w:line="360" w:lineRule="auto"/>
              <w:rPr>
                <w:rFonts w:hint="eastAsia" w:ascii="Times New Roman" w:hAnsi="Times New Roman"/>
                <w:b/>
                <w:color w:val="auto"/>
                <w:sz w:val="24"/>
                <w:lang w:val="en-US" w:eastAsia="zh-CN"/>
              </w:rPr>
            </w:pPr>
            <w:r>
              <w:rPr>
                <w:rFonts w:hint="eastAsia" w:ascii="Times New Roman" w:hAnsi="Times New Roman"/>
                <w:b/>
                <w:color w:val="auto"/>
                <w:sz w:val="24"/>
                <w:lang w:val="en-US" w:eastAsia="zh-CN"/>
              </w:rPr>
              <w:t>2.3.3中水处理站工艺</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本项目</w:t>
            </w:r>
            <w:r>
              <w:rPr>
                <w:rFonts w:hint="default" w:ascii="Times New Roman" w:hAnsi="Times New Roman" w:eastAsia="宋体" w:cs="Times New Roman"/>
                <w:color w:val="auto"/>
                <w:sz w:val="24"/>
                <w:szCs w:val="24"/>
                <w:lang w:val="en-US" w:eastAsia="zh-CN"/>
              </w:rPr>
              <w:t>中水处理站的污水处理工艺，</w:t>
            </w:r>
            <w:r>
              <w:rPr>
                <w:rFonts w:hint="eastAsia" w:ascii="Times New Roman" w:hAnsi="Times New Roman" w:cs="Times New Roman"/>
                <w:color w:val="auto"/>
                <w:sz w:val="24"/>
                <w:szCs w:val="24"/>
                <w:lang w:val="en-US" w:eastAsia="zh-CN"/>
              </w:rPr>
              <w:t>为</w:t>
            </w:r>
            <w:r>
              <w:rPr>
                <w:rFonts w:hint="default" w:ascii="Times New Roman" w:hAnsi="Times New Roman" w:eastAsia="宋体" w:cs="Times New Roman"/>
                <w:color w:val="auto"/>
                <w:sz w:val="24"/>
                <w:szCs w:val="24"/>
                <w:lang w:val="en-US" w:eastAsia="zh-CN"/>
              </w:rPr>
              <w:t>A/O工艺，处理工艺原理如下图5-5：</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INCLUDEPICTURE "C:\\DOCUME~1\\ADMINI~1\\LOCALS~1\\Temp\\ksohtml\\wps2B8.tmp.png" \* MERGEFORMATINET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drawing>
                <wp:inline distT="0" distB="0" distL="114300" distR="114300">
                  <wp:extent cx="5228590" cy="1810385"/>
                  <wp:effectExtent l="0" t="0" r="0" b="0"/>
                  <wp:docPr id="2" name="图片 13" descr="wps2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descr="wps2B8"/>
                          <pic:cNvPicPr>
                            <a:picLocks noChangeAspect="1"/>
                          </pic:cNvPicPr>
                        </pic:nvPicPr>
                        <pic:blipFill>
                          <a:blip r:embed="rId17"/>
                          <a:srcRect b="14538"/>
                          <a:stretch>
                            <a:fillRect/>
                          </a:stretch>
                        </pic:blipFill>
                        <pic:spPr>
                          <a:xfrm>
                            <a:off x="0" y="0"/>
                            <a:ext cx="5228590" cy="1810385"/>
                          </a:xfrm>
                          <a:prstGeom prst="rect">
                            <a:avLst/>
                          </a:prstGeom>
                          <a:noFill/>
                          <a:ln>
                            <a:noFill/>
                          </a:ln>
                        </pic:spPr>
                      </pic:pic>
                    </a:graphicData>
                  </a:graphic>
                </wp:inline>
              </w:drawing>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 xml:space="preserve">   </w:t>
            </w:r>
            <w:r>
              <w:rPr>
                <w:rFonts w:hint="eastAsia" w:ascii="Times New Roman" w:hAnsi="Times New Roman" w:cs="Times New Roman"/>
                <w:b/>
                <w:bCs/>
                <w:color w:val="auto"/>
                <w:sz w:val="24"/>
                <w:szCs w:val="24"/>
                <w:lang w:val="en-US" w:eastAsia="zh-CN"/>
              </w:rPr>
              <w:t>图5-4   A/O工艺流程图</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  基本原理简述：A</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O工艺法也叫厌氧好氧工艺法，A是厌氧段，用与脱氮除磷；O是好氧段，用于除水中的有机物。</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A/O工艺将前段缺氧段和后段好氧段串联在一起，项目污水通过项目区的污水管网汇集到调节池后，进入A级生物池，A级生物池中的DO不大于0.2mg/L，在A级生物池中由异养菌将污水中的有机悬浮污染物和可溶性有机物水解为有机酸，使大分子有机物分解为小分子有机物，不溶性的有机物转化成可溶性有机物，当这些经缺氧水解的产物进入好氧池进行好氧处理时，可提高污水的可生化性及氧的效率；在缺氧条件下，异养菌将蛋白质、脂肪等污染物进行氨化（有机链上的N或氨基酸中的氨基）游离出氨（NH3、NH4+）。</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经过A级生物池处理后的污水进入O级生物池，O及生物池的DO为2～4mg/L，在充足供氧条件下，自养菌的硝化作用将NH3-N（NH4+）氧化为NO3-，通过回流控制返回至A池，在缺氧条件下，异氧菌的反硝化作用将NO3-还原为分子态氮（N2）。</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污水经过A级生物池厌氧处理和O级生物池的好氧处理后，进入二次沉淀池沉淀处理后，进入回用水池中，回用于项目区的绿化用水。</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2.3.3.1</w:t>
            </w:r>
            <w:r>
              <w:rPr>
                <w:rFonts w:hint="default" w:ascii="Times New Roman" w:hAnsi="Times New Roman" w:eastAsia="宋体" w:cs="Times New Roman"/>
                <w:color w:val="auto"/>
                <w:sz w:val="24"/>
                <w:szCs w:val="24"/>
                <w:lang w:val="en-US" w:eastAsia="zh-CN"/>
              </w:rPr>
              <w:t>中水处理站进、出水质情况</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根据类比</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黑土厂西服务区（加油站） 竣工环境保护验收监测报告</w:t>
            </w:r>
            <w:r>
              <w:rPr>
                <w:rFonts w:hint="eastAsia" w:ascii="Times New Roman" w:hAnsi="Times New Roman" w:cs="Times New Roman"/>
                <w:color w:val="auto"/>
                <w:sz w:val="24"/>
                <w:szCs w:val="24"/>
                <w:lang w:val="en-US" w:eastAsia="zh-CN"/>
              </w:rPr>
              <w:t>》中生活污水处理</w:t>
            </w:r>
            <w:r>
              <w:rPr>
                <w:rFonts w:hint="default" w:ascii="Times New Roman" w:hAnsi="Times New Roman" w:eastAsia="宋体" w:cs="Times New Roman"/>
                <w:color w:val="auto"/>
                <w:sz w:val="24"/>
                <w:szCs w:val="24"/>
                <w:lang w:val="en-US" w:eastAsia="zh-CN"/>
              </w:rPr>
              <w:t>同类采用A</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O工艺，中水处理站的出水质如下表5-5：</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表5-7    中水处理站设计出水水质一览表</w:t>
            </w:r>
          </w:p>
          <w:tbl>
            <w:tblPr>
              <w:tblStyle w:val="44"/>
              <w:tblpPr w:leftFromText="180" w:rightFromText="180" w:vertAnchor="text" w:tblpX="474" w:tblpY="58"/>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2"/>
              <w:gridCol w:w="2276"/>
              <w:gridCol w:w="3329"/>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59"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污染物</w:t>
                  </w:r>
                </w:p>
              </w:tc>
              <w:tc>
                <w:tcPr>
                  <w:tcW w:w="1371"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设计出水浓度（mg/L）</w:t>
                  </w:r>
                </w:p>
              </w:tc>
              <w:tc>
                <w:tcPr>
                  <w:tcW w:w="2005"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道路清扫GB/T18920-2002（mg/L）</w:t>
                  </w:r>
                </w:p>
              </w:tc>
              <w:tc>
                <w:tcPr>
                  <w:tcW w:w="664"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959"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Calibri" w:hAnsi="Calibri" w:eastAsia="宋体" w:cs="Times New Roman"/>
                      <w:color w:val="auto"/>
                      <w:kern w:val="2"/>
                      <w:sz w:val="21"/>
                      <w:szCs w:val="22"/>
                      <w:lang w:val="en-US" w:eastAsia="zh-CN" w:bidi="ar-SA"/>
                    </w:rPr>
                  </w:pPr>
                  <w:r>
                    <w:rPr>
                      <w:rFonts w:hint="default" w:ascii="Calibri" w:hAnsi="Calibri" w:eastAsia="宋体" w:cs="Times New Roman"/>
                      <w:color w:val="auto"/>
                      <w:kern w:val="2"/>
                      <w:sz w:val="21"/>
                      <w:szCs w:val="22"/>
                      <w:lang w:val="en-US" w:eastAsia="zh-CN" w:bidi="ar-SA"/>
                    </w:rPr>
                    <w:t>pH</w:t>
                  </w:r>
                </w:p>
              </w:tc>
              <w:tc>
                <w:tcPr>
                  <w:tcW w:w="1371"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Calibri" w:hAnsi="Calibri" w:eastAsia="宋体" w:cs="Times New Roman"/>
                      <w:color w:val="auto"/>
                      <w:kern w:val="2"/>
                      <w:sz w:val="21"/>
                      <w:szCs w:val="22"/>
                      <w:lang w:val="en-US" w:eastAsia="zh-CN" w:bidi="ar-SA"/>
                    </w:rPr>
                  </w:pPr>
                  <w:r>
                    <w:rPr>
                      <w:rFonts w:hint="default" w:ascii="Calibri" w:hAnsi="Calibri" w:eastAsia="宋体" w:cs="Times New Roman"/>
                      <w:color w:val="auto"/>
                      <w:kern w:val="2"/>
                      <w:sz w:val="21"/>
                      <w:szCs w:val="22"/>
                      <w:lang w:val="en-US" w:eastAsia="zh-CN" w:bidi="ar-SA"/>
                    </w:rPr>
                    <w:t>6-9</w:t>
                  </w:r>
                </w:p>
              </w:tc>
              <w:tc>
                <w:tcPr>
                  <w:tcW w:w="2005"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Calibri" w:hAnsi="Calibri" w:eastAsia="宋体" w:cs="Times New Roman"/>
                      <w:color w:val="auto"/>
                      <w:kern w:val="2"/>
                      <w:sz w:val="21"/>
                      <w:szCs w:val="22"/>
                      <w:lang w:val="en-US" w:eastAsia="zh-CN" w:bidi="ar-SA"/>
                    </w:rPr>
                  </w:pPr>
                  <w:r>
                    <w:rPr>
                      <w:rFonts w:hint="default" w:ascii="Calibri" w:hAnsi="Calibri" w:eastAsia="宋体" w:cs="Times New Roman"/>
                      <w:color w:val="auto"/>
                      <w:kern w:val="2"/>
                      <w:sz w:val="21"/>
                      <w:szCs w:val="22"/>
                      <w:lang w:val="en-US" w:eastAsia="zh-CN" w:bidi="ar-SA"/>
                    </w:rPr>
                    <w:t>6-9</w:t>
                  </w:r>
                </w:p>
              </w:tc>
              <w:tc>
                <w:tcPr>
                  <w:tcW w:w="664"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Calibri" w:hAnsi="Calibri" w:eastAsia="宋体" w:cs="Times New Roman"/>
                      <w:color w:val="auto"/>
                      <w:kern w:val="2"/>
                      <w:sz w:val="21"/>
                      <w:szCs w:val="22"/>
                      <w:lang w:val="en-US" w:eastAsia="zh-CN" w:bidi="ar-SA"/>
                    </w:rPr>
                  </w:pPr>
                  <w:r>
                    <w:rPr>
                      <w:rFonts w:hint="default" w:ascii="Calibri" w:hAnsi="Calibri" w:eastAsia="宋体" w:cs="Times New Roman"/>
                      <w:color w:val="auto"/>
                      <w:kern w:val="2"/>
                      <w:sz w:val="21"/>
                      <w:szCs w:val="22"/>
                      <w:lang w:val="en-US" w:eastAsia="zh-CN" w:bidi="ar-SA"/>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959"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SS</w:t>
                  </w:r>
                </w:p>
              </w:tc>
              <w:tc>
                <w:tcPr>
                  <w:tcW w:w="1371"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10</w:t>
                  </w:r>
                </w:p>
              </w:tc>
              <w:tc>
                <w:tcPr>
                  <w:tcW w:w="2005"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w:t>
                  </w:r>
                </w:p>
              </w:tc>
              <w:tc>
                <w:tcPr>
                  <w:tcW w:w="664"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59"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COD</w:t>
                  </w:r>
                </w:p>
              </w:tc>
              <w:tc>
                <w:tcPr>
                  <w:tcW w:w="1371"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50</w:t>
                  </w:r>
                </w:p>
              </w:tc>
              <w:tc>
                <w:tcPr>
                  <w:tcW w:w="2005"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w:t>
                  </w:r>
                </w:p>
              </w:tc>
              <w:tc>
                <w:tcPr>
                  <w:tcW w:w="664"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959"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BOD5</w:t>
                  </w:r>
                </w:p>
              </w:tc>
              <w:tc>
                <w:tcPr>
                  <w:tcW w:w="1371"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10</w:t>
                  </w:r>
                </w:p>
              </w:tc>
              <w:tc>
                <w:tcPr>
                  <w:tcW w:w="2005"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20</w:t>
                  </w:r>
                </w:p>
              </w:tc>
              <w:tc>
                <w:tcPr>
                  <w:tcW w:w="664"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959"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TP</w:t>
                  </w:r>
                </w:p>
              </w:tc>
              <w:tc>
                <w:tcPr>
                  <w:tcW w:w="1371"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0.5</w:t>
                  </w:r>
                </w:p>
              </w:tc>
              <w:tc>
                <w:tcPr>
                  <w:tcW w:w="2005"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w:t>
                  </w:r>
                </w:p>
              </w:tc>
              <w:tc>
                <w:tcPr>
                  <w:tcW w:w="664"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959"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氨氮</w:t>
                  </w:r>
                </w:p>
              </w:tc>
              <w:tc>
                <w:tcPr>
                  <w:tcW w:w="1371"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8</w:t>
                  </w:r>
                </w:p>
              </w:tc>
              <w:tc>
                <w:tcPr>
                  <w:tcW w:w="2005"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20</w:t>
                  </w:r>
                </w:p>
              </w:tc>
              <w:tc>
                <w:tcPr>
                  <w:tcW w:w="664"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959"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动植物油</w:t>
                  </w:r>
                </w:p>
              </w:tc>
              <w:tc>
                <w:tcPr>
                  <w:tcW w:w="1371"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1</w:t>
                  </w:r>
                </w:p>
              </w:tc>
              <w:tc>
                <w:tcPr>
                  <w:tcW w:w="2005"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w:t>
                  </w:r>
                </w:p>
              </w:tc>
              <w:tc>
                <w:tcPr>
                  <w:tcW w:w="664"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959"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石油类</w:t>
                  </w:r>
                </w:p>
              </w:tc>
              <w:tc>
                <w:tcPr>
                  <w:tcW w:w="1371"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1</w:t>
                  </w:r>
                </w:p>
              </w:tc>
              <w:tc>
                <w:tcPr>
                  <w:tcW w:w="2005"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w:t>
                  </w:r>
                </w:p>
              </w:tc>
              <w:tc>
                <w:tcPr>
                  <w:tcW w:w="664" w:type="pct"/>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达标</w:t>
                  </w:r>
                </w:p>
              </w:tc>
            </w:tr>
          </w:tbl>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根据上表分析可知，项目污水经过中水处理站处理后，可达到《城市污水再生利用 城市杂用水水质》</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GB/T18920-2002</w:t>
            </w:r>
            <w:r>
              <w:rPr>
                <w:rFonts w:hint="eastAsia" w:ascii="Times New Roman" w:hAnsi="Times New Roman" w:cs="Times New Roman"/>
                <w:color w:val="auto"/>
                <w:sz w:val="24"/>
                <w:szCs w:val="24"/>
                <w:lang w:val="en-US" w:eastAsia="zh-CN"/>
              </w:rPr>
              <w:t>）道路清扫</w:t>
            </w:r>
            <w:r>
              <w:rPr>
                <w:rFonts w:hint="default" w:ascii="Times New Roman" w:hAnsi="Times New Roman" w:eastAsia="宋体" w:cs="Times New Roman"/>
                <w:color w:val="auto"/>
                <w:sz w:val="24"/>
                <w:szCs w:val="24"/>
                <w:lang w:val="en-US" w:eastAsia="zh-CN"/>
              </w:rPr>
              <w:t>标准。由此可知，项目采用A</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O污水处理工艺是可行的。</w:t>
            </w:r>
          </w:p>
          <w:p>
            <w:pPr>
              <w:adjustRightInd w:val="0"/>
              <w:snapToGrid w:val="0"/>
              <w:spacing w:line="360" w:lineRule="auto"/>
              <w:rPr>
                <w:rFonts w:ascii="Times New Roman" w:hAnsi="Times New Roman"/>
                <w:b/>
                <w:color w:val="auto"/>
                <w:sz w:val="24"/>
              </w:rPr>
            </w:pPr>
            <w:r>
              <w:rPr>
                <w:rFonts w:ascii="Times New Roman" w:hAnsi="Times New Roman"/>
                <w:b/>
                <w:color w:val="auto"/>
                <w:sz w:val="24"/>
              </w:rPr>
              <w:t>2.</w:t>
            </w:r>
            <w:r>
              <w:rPr>
                <w:rFonts w:hint="eastAsia" w:ascii="Times New Roman" w:hAnsi="Times New Roman"/>
                <w:b/>
                <w:color w:val="auto"/>
                <w:sz w:val="24"/>
                <w:lang w:val="en-US" w:eastAsia="zh-CN"/>
              </w:rPr>
              <w:t>3</w:t>
            </w:r>
            <w:r>
              <w:rPr>
                <w:rFonts w:ascii="Times New Roman" w:hAnsi="Times New Roman"/>
                <w:b/>
                <w:color w:val="auto"/>
                <w:sz w:val="24"/>
              </w:rPr>
              <w:t>.</w:t>
            </w:r>
            <w:r>
              <w:rPr>
                <w:rFonts w:hint="eastAsia" w:ascii="Times New Roman" w:hAnsi="Times New Roman"/>
                <w:b/>
                <w:color w:val="auto"/>
                <w:sz w:val="24"/>
                <w:lang w:val="en-US" w:eastAsia="zh-CN"/>
              </w:rPr>
              <w:t>4</w:t>
            </w:r>
            <w:r>
              <w:rPr>
                <w:rFonts w:ascii="Times New Roman" w:hAnsi="Times New Roman"/>
                <w:b/>
                <w:color w:val="auto"/>
                <w:sz w:val="24"/>
              </w:rPr>
              <w:t>水量平衡</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建设项目旱季、雨季水量平衡见图5-</w:t>
            </w:r>
            <w:r>
              <w:rPr>
                <w:rFonts w:hint="eastAsia" w:ascii="Times New Roman" w:hAnsi="Times New Roman"/>
                <w:color w:val="auto"/>
                <w:sz w:val="24"/>
                <w:szCs w:val="24"/>
                <w:lang w:val="en-US" w:eastAsia="zh-CN"/>
              </w:rPr>
              <w:t>5</w:t>
            </w:r>
            <w:r>
              <w:rPr>
                <w:rFonts w:ascii="Times New Roman" w:hAnsi="Times New Roman"/>
                <w:color w:val="auto"/>
                <w:sz w:val="24"/>
                <w:szCs w:val="24"/>
              </w:rPr>
              <w:t>和5-</w:t>
            </w:r>
            <w:r>
              <w:rPr>
                <w:rFonts w:hint="eastAsia" w:ascii="Times New Roman" w:hAnsi="Times New Roman"/>
                <w:color w:val="auto"/>
                <w:sz w:val="24"/>
                <w:szCs w:val="24"/>
                <w:lang w:val="en-US" w:eastAsia="zh-CN"/>
              </w:rPr>
              <w:t>6</w:t>
            </w:r>
            <w:r>
              <w:rPr>
                <w:rFonts w:ascii="Times New Roman" w:hAnsi="Times New Roman"/>
                <w:color w:val="auto"/>
                <w:sz w:val="24"/>
                <w:szCs w:val="24"/>
              </w:rPr>
              <w:t>。</w:t>
            </w:r>
          </w:p>
          <w:p>
            <w:pPr>
              <w:pStyle w:val="2"/>
              <w:rPr>
                <w:rFonts w:ascii="Times New Roman" w:hAnsi="Times New Roman"/>
                <w:b/>
                <w:color w:val="auto"/>
                <w:sz w:val="24"/>
              </w:rPr>
            </w:pPr>
            <w:r>
              <w:rPr>
                <w:rFonts w:ascii="Times New Roman" w:hAnsi="Times New Roman"/>
                <w:color w:val="auto"/>
                <w:sz w:val="24"/>
                <w:szCs w:val="24"/>
              </w:rPr>
              <w:object>
                <v:shape id="_x0000_i1027" o:spt="75" type="#_x0000_t75" style="height:328.85pt;width:415pt;" o:ole="t" filled="f" o:preferrelative="t" stroked="f" coordsize="21600,21600">
                  <v:path/>
                  <v:fill on="f" focussize="0,0"/>
                  <v:stroke on="f"/>
                  <v:imagedata r:id="rId19" o:title=""/>
                  <o:lock v:ext="edit" aspectratio="t"/>
                  <w10:wrap type="none"/>
                  <w10:anchorlock/>
                </v:shape>
                <o:OLEObject Type="Embed" ProgID="Visio.Drawing.11" ShapeID="_x0000_i1027" DrawAspect="Content" ObjectID="_1468075727" r:id="rId18">
                  <o:LockedField>false</o:LockedField>
                </o:OLEObject>
              </w:object>
            </w:r>
          </w:p>
          <w:p>
            <w:pPr>
              <w:pStyle w:val="2"/>
              <w:jc w:val="center"/>
              <w:rPr>
                <w:rFonts w:hint="default" w:ascii="Times New Roman" w:hAnsi="Times New Roman" w:eastAsia="宋体"/>
                <w:b/>
                <w:color w:val="auto"/>
                <w:sz w:val="24"/>
                <w:lang w:val="en-US" w:eastAsia="zh-CN"/>
              </w:rPr>
            </w:pPr>
            <w:r>
              <w:rPr>
                <w:rFonts w:ascii="Times New Roman" w:hAnsi="Times New Roman"/>
                <w:b/>
                <w:color w:val="auto"/>
                <w:sz w:val="24"/>
              </w:rPr>
              <w:t>图 5-</w:t>
            </w:r>
            <w:r>
              <w:rPr>
                <w:rFonts w:hint="eastAsia" w:ascii="Times New Roman" w:hAnsi="Times New Roman"/>
                <w:b/>
                <w:color w:val="auto"/>
                <w:sz w:val="24"/>
                <w:lang w:val="en-US" w:eastAsia="zh-CN"/>
              </w:rPr>
              <w:t>5</w:t>
            </w:r>
            <w:r>
              <w:rPr>
                <w:rFonts w:ascii="Times New Roman" w:hAnsi="Times New Roman"/>
                <w:b/>
                <w:color w:val="auto"/>
                <w:sz w:val="24"/>
              </w:rPr>
              <w:t xml:space="preserve">  项目旱季水量平衡图</w:t>
            </w:r>
            <w:r>
              <w:rPr>
                <w:rFonts w:hint="eastAsia" w:ascii="Times New Roman" w:hAnsi="Times New Roman"/>
                <w:b/>
                <w:color w:val="auto"/>
                <w:sz w:val="24"/>
                <w:lang w:val="en-US" w:eastAsia="zh-CN"/>
              </w:rPr>
              <w:t xml:space="preserve"> 单位m</w:t>
            </w:r>
            <w:r>
              <w:rPr>
                <w:rFonts w:hint="eastAsia" w:ascii="Times New Roman" w:hAnsi="Times New Roman"/>
                <w:b/>
                <w:color w:val="auto"/>
                <w:sz w:val="24"/>
                <w:vertAlign w:val="superscript"/>
                <w:lang w:val="en-US" w:eastAsia="zh-CN"/>
              </w:rPr>
              <w:t>3</w:t>
            </w:r>
            <w:r>
              <w:rPr>
                <w:rFonts w:hint="eastAsia" w:ascii="Times New Roman" w:hAnsi="Times New Roman"/>
                <w:b/>
                <w:color w:val="auto"/>
                <w:sz w:val="24"/>
                <w:lang w:val="en-US" w:eastAsia="zh-CN"/>
              </w:rPr>
              <w:t xml:space="preserve">/d  </w:t>
            </w:r>
          </w:p>
          <w:p>
            <w:pPr>
              <w:pStyle w:val="2"/>
              <w:rPr>
                <w:rFonts w:ascii="Times New Roman" w:hAnsi="Times New Roman"/>
                <w:b/>
                <w:color w:val="auto"/>
                <w:sz w:val="24"/>
              </w:rPr>
            </w:pPr>
          </w:p>
          <w:p>
            <w:pPr>
              <w:pStyle w:val="2"/>
              <w:jc w:val="center"/>
              <w:rPr>
                <w:rFonts w:ascii="Times New Roman" w:hAnsi="Times New Roman"/>
                <w:color w:val="auto"/>
              </w:rPr>
            </w:pPr>
            <w:r>
              <w:rPr>
                <w:rFonts w:ascii="Times New Roman" w:hAnsi="Times New Roman"/>
                <w:color w:val="auto"/>
              </w:rPr>
              <w:object>
                <v:shape id="_x0000_i1028" o:spt="75" type="#_x0000_t75" style="height:348.85pt;width:414.35pt;" o:ole="t" filled="f" o:preferrelative="t" stroked="f" coordsize="21600,21600">
                  <v:path/>
                  <v:fill on="f" focussize="0,0"/>
                  <v:stroke on="f"/>
                  <v:imagedata r:id="rId21" o:title=""/>
                  <o:lock v:ext="edit" aspectratio="t"/>
                  <w10:wrap type="none"/>
                  <w10:anchorlock/>
                </v:shape>
                <o:OLEObject Type="Embed" ProgID="Visio.Drawing.11" ShapeID="_x0000_i1028" DrawAspect="Content" ObjectID="_1468075728" r:id="rId20">
                  <o:LockedField>false</o:LockedField>
                </o:OLEObject>
              </w:object>
            </w:r>
          </w:p>
          <w:p>
            <w:pPr>
              <w:pStyle w:val="2"/>
              <w:rPr>
                <w:rFonts w:ascii="Times New Roman" w:hAnsi="Times New Roman"/>
                <w:color w:val="auto"/>
                <w:sz w:val="24"/>
              </w:rPr>
            </w:pPr>
          </w:p>
          <w:p>
            <w:pPr>
              <w:adjustRightInd w:val="0"/>
              <w:snapToGrid w:val="0"/>
              <w:spacing w:line="360" w:lineRule="auto"/>
              <w:jc w:val="center"/>
              <w:rPr>
                <w:rFonts w:hint="default" w:ascii="Times New Roman" w:hAnsi="Times New Roman" w:eastAsia="宋体"/>
                <w:b/>
                <w:color w:val="auto"/>
                <w:sz w:val="24"/>
                <w:lang w:val="en-US" w:eastAsia="zh-CN"/>
              </w:rPr>
            </w:pPr>
            <w:r>
              <w:rPr>
                <w:rFonts w:ascii="Times New Roman" w:hAnsi="Times New Roman"/>
                <w:b/>
                <w:color w:val="auto"/>
                <w:sz w:val="24"/>
              </w:rPr>
              <w:t>图 5-</w:t>
            </w:r>
            <w:r>
              <w:rPr>
                <w:rFonts w:hint="eastAsia" w:ascii="Times New Roman" w:hAnsi="Times New Roman"/>
                <w:b/>
                <w:color w:val="auto"/>
                <w:sz w:val="24"/>
                <w:lang w:val="en-US" w:eastAsia="zh-CN"/>
              </w:rPr>
              <w:t>6</w:t>
            </w:r>
            <w:r>
              <w:rPr>
                <w:rFonts w:ascii="Times New Roman" w:hAnsi="Times New Roman"/>
                <w:b/>
                <w:color w:val="auto"/>
                <w:sz w:val="24"/>
              </w:rPr>
              <w:t xml:space="preserve">  雨季水量平衡图</w:t>
            </w:r>
            <w:r>
              <w:rPr>
                <w:rFonts w:hint="eastAsia" w:ascii="Times New Roman" w:hAnsi="Times New Roman"/>
                <w:b/>
                <w:color w:val="auto"/>
                <w:sz w:val="24"/>
                <w:lang w:val="en-US" w:eastAsia="zh-CN"/>
              </w:rPr>
              <w:t xml:space="preserve"> </w:t>
            </w:r>
            <w:r>
              <w:rPr>
                <w:rFonts w:hint="eastAsia" w:ascii="Times New Roman" w:hAnsi="Times New Roman"/>
                <w:b/>
                <w:color w:val="auto"/>
                <w:sz w:val="24"/>
                <w:lang w:eastAsia="zh-CN"/>
              </w:rPr>
              <w:t>单位</w:t>
            </w:r>
            <w:r>
              <w:rPr>
                <w:rFonts w:hint="eastAsia" w:ascii="Times New Roman" w:hAnsi="Times New Roman"/>
                <w:b/>
                <w:color w:val="auto"/>
                <w:sz w:val="24"/>
                <w:lang w:val="en-US" w:eastAsia="zh-CN"/>
              </w:rPr>
              <w:t>m</w:t>
            </w:r>
            <w:r>
              <w:rPr>
                <w:rFonts w:hint="eastAsia" w:ascii="Times New Roman" w:hAnsi="Times New Roman"/>
                <w:b/>
                <w:color w:val="auto"/>
                <w:sz w:val="24"/>
                <w:vertAlign w:val="superscript"/>
                <w:lang w:val="en-US" w:eastAsia="zh-CN"/>
              </w:rPr>
              <w:t>3</w:t>
            </w:r>
            <w:r>
              <w:rPr>
                <w:rFonts w:hint="eastAsia" w:ascii="Times New Roman" w:hAnsi="Times New Roman"/>
                <w:b/>
                <w:color w:val="auto"/>
                <w:sz w:val="24"/>
                <w:lang w:val="en-US" w:eastAsia="zh-CN"/>
              </w:rPr>
              <w:t>/d</w:t>
            </w:r>
          </w:p>
          <w:p>
            <w:pPr>
              <w:pStyle w:val="123"/>
              <w:ind w:firstLine="0" w:firstLineChars="0"/>
              <w:rPr>
                <w:rFonts w:ascii="Times New Roman" w:hAnsi="Times New Roman" w:cs="Times New Roman"/>
                <w:bCs w:val="0"/>
                <w:color w:val="auto"/>
                <w:lang w:val="zh-CN"/>
              </w:rPr>
            </w:pPr>
            <w:r>
              <w:rPr>
                <w:rFonts w:ascii="Times New Roman" w:hAnsi="Times New Roman" w:cs="Times New Roman"/>
                <w:bCs w:val="0"/>
                <w:color w:val="auto"/>
              </w:rPr>
              <w:t>2.</w:t>
            </w:r>
            <w:r>
              <w:rPr>
                <w:rFonts w:hint="eastAsia" w:ascii="Times New Roman" w:hAnsi="Times New Roman" w:cs="Times New Roman"/>
                <w:bCs w:val="0"/>
                <w:color w:val="auto"/>
                <w:lang w:val="en-US" w:eastAsia="zh-CN"/>
              </w:rPr>
              <w:t>3</w:t>
            </w:r>
            <w:r>
              <w:rPr>
                <w:rFonts w:ascii="Times New Roman" w:hAnsi="Times New Roman" w:cs="Times New Roman"/>
                <w:bCs w:val="0"/>
                <w:color w:val="auto"/>
              </w:rPr>
              <w:t>.</w:t>
            </w:r>
            <w:r>
              <w:rPr>
                <w:rFonts w:hint="eastAsia" w:ascii="Times New Roman" w:hAnsi="Times New Roman" w:cs="Times New Roman"/>
                <w:bCs w:val="0"/>
                <w:color w:val="auto"/>
                <w:lang w:val="en-US" w:eastAsia="zh-CN"/>
              </w:rPr>
              <w:t>5</w:t>
            </w:r>
            <w:r>
              <w:rPr>
                <w:rFonts w:ascii="Times New Roman" w:hAnsi="Times New Roman" w:cs="Times New Roman"/>
                <w:bCs w:val="0"/>
                <w:color w:val="auto"/>
                <w:lang w:val="zh-CN"/>
              </w:rPr>
              <w:t>废水处理方式</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项目区实行雨污分流，项目</w:t>
            </w:r>
            <w:r>
              <w:rPr>
                <w:rFonts w:hint="eastAsia" w:ascii="Times New Roman" w:hAnsi="Times New Roman"/>
                <w:color w:val="auto"/>
                <w:sz w:val="24"/>
                <w:szCs w:val="24"/>
              </w:rPr>
              <w:t>砂石</w:t>
            </w:r>
            <w:r>
              <w:rPr>
                <w:rFonts w:ascii="Times New Roman" w:hAnsi="Times New Roman"/>
                <w:color w:val="auto"/>
                <w:sz w:val="24"/>
                <w:szCs w:val="24"/>
              </w:rPr>
              <w:t>料</w:t>
            </w:r>
            <w:r>
              <w:rPr>
                <w:rFonts w:hint="eastAsia" w:ascii="Times New Roman" w:hAnsi="Times New Roman"/>
                <w:color w:val="auto"/>
                <w:sz w:val="24"/>
                <w:szCs w:val="24"/>
              </w:rPr>
              <w:t>堆棚</w:t>
            </w:r>
            <w:r>
              <w:rPr>
                <w:rFonts w:ascii="Times New Roman" w:hAnsi="Times New Roman"/>
                <w:color w:val="auto"/>
                <w:sz w:val="24"/>
                <w:szCs w:val="24"/>
              </w:rPr>
              <w:t>设施</w:t>
            </w:r>
            <w:r>
              <w:rPr>
                <w:rFonts w:hint="eastAsia" w:ascii="Times New Roman" w:hAnsi="Times New Roman"/>
                <w:color w:val="auto"/>
                <w:sz w:val="24"/>
                <w:szCs w:val="24"/>
              </w:rPr>
              <w:t>彩钢瓦</w:t>
            </w:r>
            <w:r>
              <w:rPr>
                <w:rFonts w:ascii="Times New Roman" w:hAnsi="Times New Roman"/>
                <w:color w:val="auto"/>
                <w:sz w:val="24"/>
                <w:szCs w:val="24"/>
              </w:rPr>
              <w:t>顶棚及挡墙建设，</w:t>
            </w:r>
            <w:r>
              <w:rPr>
                <w:rFonts w:hint="eastAsia" w:ascii="Times New Roman" w:hAnsi="Times New Roman"/>
                <w:color w:val="auto"/>
                <w:sz w:val="24"/>
                <w:szCs w:val="24"/>
              </w:rPr>
              <w:t>初期雨水经雨水收集池收集沉淀后补充生产用水，不外排。</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项目生产用水进入搅拌的混凝土，随着混凝土的使用带走，不产生生产废水。本项目主要废水为生活污水和</w:t>
            </w:r>
            <w:r>
              <w:rPr>
                <w:rFonts w:hint="eastAsia" w:ascii="Times New Roman" w:hAnsi="Times New Roman"/>
                <w:color w:val="auto"/>
                <w:sz w:val="24"/>
                <w:szCs w:val="24"/>
              </w:rPr>
              <w:t>车辆清洗</w:t>
            </w:r>
            <w:r>
              <w:rPr>
                <w:rFonts w:ascii="Times New Roman" w:hAnsi="Times New Roman"/>
                <w:color w:val="auto"/>
                <w:sz w:val="24"/>
                <w:szCs w:val="24"/>
              </w:rPr>
              <w:t>废水。</w:t>
            </w:r>
          </w:p>
          <w:p>
            <w:pPr>
              <w:adjustRightInd w:val="0"/>
              <w:snapToGrid w:val="0"/>
              <w:spacing w:line="360" w:lineRule="auto"/>
              <w:ind w:firstLine="480"/>
              <w:rPr>
                <w:rFonts w:ascii="Times New Roman" w:hAnsi="Times New Roman"/>
                <w:b/>
                <w:bCs/>
                <w:color w:val="auto"/>
                <w:sz w:val="24"/>
                <w:szCs w:val="24"/>
              </w:rPr>
            </w:pPr>
            <w:r>
              <w:rPr>
                <w:rFonts w:ascii="Times New Roman" w:hAnsi="Times New Roman"/>
                <w:b/>
                <w:bCs/>
                <w:color w:val="auto"/>
                <w:sz w:val="24"/>
                <w:szCs w:val="24"/>
              </w:rPr>
              <w:t>（1）车辆清洗废水及初期雨水</w:t>
            </w:r>
          </w:p>
          <w:p>
            <w:pPr>
              <w:adjustRightInd w:val="0"/>
              <w:snapToGrid w:val="0"/>
              <w:spacing w:line="360" w:lineRule="auto"/>
              <w:ind w:firstLine="480"/>
              <w:rPr>
                <w:rFonts w:ascii="Times New Roman" w:hAnsi="Times New Roman"/>
                <w:color w:val="auto"/>
                <w:sz w:val="24"/>
                <w:szCs w:val="24"/>
              </w:rPr>
            </w:pPr>
            <w:r>
              <w:rPr>
                <w:rFonts w:ascii="Times New Roman" w:hAnsi="Times New Roman"/>
                <w:color w:val="auto"/>
                <w:sz w:val="24"/>
                <w:szCs w:val="24"/>
              </w:rPr>
              <w:t>混凝土运输车辆清洗废水</w:t>
            </w:r>
            <w:r>
              <w:rPr>
                <w:rFonts w:ascii="Times New Roman" w:hAnsi="Times New Roman"/>
                <w:color w:val="auto"/>
                <w:sz w:val="24"/>
              </w:rPr>
              <w:t>产生量为</w:t>
            </w:r>
            <w:r>
              <w:rPr>
                <w:rFonts w:ascii="Times New Roman" w:hAnsi="Times New Roman"/>
                <w:color w:val="auto"/>
                <w:sz w:val="24"/>
                <w:szCs w:val="24"/>
              </w:rPr>
              <w:t>9m</w:t>
            </w:r>
            <w:r>
              <w:rPr>
                <w:rFonts w:ascii="Times New Roman" w:hAnsi="Times New Roman"/>
                <w:color w:val="auto"/>
                <w:sz w:val="24"/>
                <w:szCs w:val="24"/>
                <w:vertAlign w:val="superscript"/>
              </w:rPr>
              <w:t>3</w:t>
            </w:r>
            <w:r>
              <w:rPr>
                <w:rFonts w:ascii="Times New Roman" w:hAnsi="Times New Roman"/>
                <w:color w:val="auto"/>
                <w:sz w:val="24"/>
                <w:szCs w:val="24"/>
              </w:rPr>
              <w:t>/d，清洗废水污染物主要为SS，浓度约2000mg/L，由于对设备冲洗时产生的废水中会含有少量油污，进入20 m</w:t>
            </w:r>
            <w:r>
              <w:rPr>
                <w:rFonts w:ascii="Times New Roman" w:hAnsi="Times New Roman"/>
                <w:color w:val="auto"/>
                <w:sz w:val="24"/>
                <w:szCs w:val="24"/>
                <w:vertAlign w:val="superscript"/>
              </w:rPr>
              <w:t>3</w:t>
            </w:r>
            <w:r>
              <w:rPr>
                <w:rFonts w:hint="eastAsia" w:ascii="Times New Roman" w:hAnsi="Times New Roman"/>
                <w:color w:val="auto"/>
                <w:sz w:val="24"/>
                <w:szCs w:val="24"/>
              </w:rPr>
              <w:t>四级</w:t>
            </w:r>
            <w:r>
              <w:rPr>
                <w:rFonts w:ascii="Times New Roman" w:hAnsi="Times New Roman"/>
                <w:color w:val="auto"/>
                <w:sz w:val="24"/>
                <w:szCs w:val="24"/>
              </w:rPr>
              <w:t>沉淀处理后用于混凝土生产线生产补充水，不外排。</w:t>
            </w:r>
          </w:p>
          <w:p>
            <w:pPr>
              <w:pStyle w:val="2"/>
              <w:ind w:firstLine="360" w:firstLineChars="150"/>
              <w:rPr>
                <w:rFonts w:ascii="Times New Roman" w:hAnsi="Times New Roman"/>
                <w:color w:val="auto"/>
              </w:rPr>
            </w:pPr>
            <w:r>
              <w:rPr>
                <w:rFonts w:ascii="Times New Roman" w:hAnsi="Times New Roman"/>
                <w:color w:val="auto"/>
                <w:sz w:val="24"/>
              </w:rPr>
              <w:t>初期雨水量为</w:t>
            </w:r>
            <w:r>
              <w:rPr>
                <w:rFonts w:hint="eastAsia" w:ascii="Times New Roman" w:hAnsi="Times New Roman"/>
                <w:color w:val="auto"/>
                <w:sz w:val="24"/>
              </w:rPr>
              <w:t>32.4</w:t>
            </w:r>
            <w:r>
              <w:rPr>
                <w:rFonts w:ascii="Times New Roman" w:hAnsi="Times New Roman"/>
                <w:bCs/>
                <w:color w:val="auto"/>
                <w:sz w:val="24"/>
              </w:rPr>
              <w:t>m</w:t>
            </w:r>
            <w:r>
              <w:rPr>
                <w:rFonts w:ascii="Times New Roman" w:hAnsi="Times New Roman"/>
                <w:bCs/>
                <w:color w:val="auto"/>
                <w:sz w:val="24"/>
                <w:vertAlign w:val="superscript"/>
              </w:rPr>
              <w:t>3</w:t>
            </w:r>
            <w:r>
              <w:rPr>
                <w:rFonts w:ascii="Times New Roman" w:hAnsi="Times New Roman"/>
                <w:color w:val="auto"/>
                <w:sz w:val="24"/>
                <w:szCs w:val="24"/>
              </w:rPr>
              <w:t>/次，建设一座</w:t>
            </w:r>
            <w:r>
              <w:rPr>
                <w:rFonts w:hint="eastAsia" w:ascii="Times New Roman" w:hAnsi="Times New Roman"/>
                <w:color w:val="auto"/>
                <w:sz w:val="24"/>
                <w:szCs w:val="24"/>
              </w:rPr>
              <w:t>40</w:t>
            </w:r>
            <w:r>
              <w:rPr>
                <w:rFonts w:ascii="Times New Roman" w:hAnsi="Times New Roman"/>
                <w:bCs/>
                <w:color w:val="auto"/>
                <w:sz w:val="24"/>
              </w:rPr>
              <w:t xml:space="preserve"> m</w:t>
            </w:r>
            <w:r>
              <w:rPr>
                <w:rFonts w:ascii="Times New Roman" w:hAnsi="Times New Roman"/>
                <w:bCs/>
                <w:color w:val="auto"/>
                <w:sz w:val="24"/>
                <w:vertAlign w:val="superscript"/>
              </w:rPr>
              <w:t>3</w:t>
            </w:r>
            <w:r>
              <w:rPr>
                <w:rFonts w:ascii="Times New Roman" w:hAnsi="Times New Roman"/>
                <w:color w:val="auto"/>
                <w:sz w:val="24"/>
                <w:szCs w:val="24"/>
              </w:rPr>
              <w:t>的初期雨水收集池，收集后的</w:t>
            </w:r>
            <w:r>
              <w:rPr>
                <w:rFonts w:hint="eastAsia" w:ascii="Times New Roman" w:hAnsi="Times New Roman"/>
                <w:color w:val="auto"/>
                <w:sz w:val="24"/>
                <w:szCs w:val="24"/>
              </w:rPr>
              <w:t>初期雨水</w:t>
            </w:r>
            <w:r>
              <w:rPr>
                <w:rFonts w:ascii="Times New Roman" w:hAnsi="Times New Roman"/>
                <w:color w:val="auto"/>
                <w:sz w:val="24"/>
                <w:szCs w:val="24"/>
              </w:rPr>
              <w:t>雨水经沉淀处理后再用于生产补充用水。</w:t>
            </w:r>
          </w:p>
          <w:p>
            <w:pPr>
              <w:adjustRightInd w:val="0"/>
              <w:snapToGrid w:val="0"/>
              <w:spacing w:line="360" w:lineRule="auto"/>
              <w:ind w:firstLine="480"/>
              <w:rPr>
                <w:rFonts w:ascii="Times New Roman" w:hAnsi="Times New Roman"/>
                <w:b/>
                <w:bCs/>
                <w:color w:val="auto"/>
              </w:rPr>
            </w:pPr>
            <w:r>
              <w:rPr>
                <w:rFonts w:ascii="Times New Roman" w:hAnsi="Times New Roman"/>
                <w:b/>
                <w:bCs/>
                <w:color w:val="auto"/>
                <w:sz w:val="24"/>
                <w:szCs w:val="24"/>
              </w:rPr>
              <w:t>（2）生活污水</w:t>
            </w:r>
          </w:p>
          <w:p>
            <w:pPr>
              <w:adjustRightInd w:val="0"/>
              <w:snapToGrid w:val="0"/>
              <w:spacing w:line="360" w:lineRule="auto"/>
              <w:ind w:firstLine="480"/>
              <w:rPr>
                <w:rFonts w:ascii="Times New Roman" w:hAnsi="Times New Roman"/>
                <w:color w:val="auto"/>
                <w:sz w:val="24"/>
              </w:rPr>
            </w:pPr>
            <w:r>
              <w:rPr>
                <w:rFonts w:ascii="Times New Roman" w:hAnsi="Times New Roman"/>
                <w:color w:val="auto"/>
                <w:sz w:val="24"/>
              </w:rPr>
              <w:t>本项目运行期间生活污水产生量为</w:t>
            </w:r>
            <w:r>
              <w:rPr>
                <w:rFonts w:hint="eastAsia" w:ascii="Times New Roman" w:hAnsi="Times New Roman"/>
                <w:color w:val="auto"/>
                <w:sz w:val="24"/>
              </w:rPr>
              <w:t>6.653</w:t>
            </w:r>
            <w:r>
              <w:rPr>
                <w:rFonts w:ascii="Times New Roman" w:hAnsi="Times New Roman"/>
                <w:color w:val="auto"/>
                <w:sz w:val="24"/>
              </w:rPr>
              <w:t>m</w:t>
            </w:r>
            <w:r>
              <w:rPr>
                <w:rFonts w:ascii="Times New Roman" w:hAnsi="Times New Roman"/>
                <w:color w:val="auto"/>
                <w:sz w:val="24"/>
                <w:vertAlign w:val="superscript"/>
              </w:rPr>
              <w:t>3</w:t>
            </w:r>
            <w:r>
              <w:rPr>
                <w:rFonts w:ascii="Times New Roman" w:hAnsi="Times New Roman"/>
                <w:color w:val="auto"/>
                <w:sz w:val="24"/>
              </w:rPr>
              <w:t>/d，</w:t>
            </w:r>
            <w:r>
              <w:rPr>
                <w:rFonts w:hint="eastAsia" w:ascii="Times New Roman" w:hAnsi="Times New Roman"/>
                <w:color w:val="auto"/>
                <w:sz w:val="24"/>
              </w:rPr>
              <w:t>主要污染物为COD、BOD、SS等。</w:t>
            </w:r>
            <w:r>
              <w:rPr>
                <w:rFonts w:hint="eastAsia" w:ascii="Times New Roman" w:hAnsi="Times New Roman"/>
                <w:color w:val="auto"/>
                <w:sz w:val="24"/>
                <w:lang w:eastAsia="zh-CN"/>
              </w:rPr>
              <w:t>生活污水经化粪池预处理后进入中水处理站处理达标后，</w:t>
            </w:r>
            <w:r>
              <w:rPr>
                <w:rFonts w:hint="eastAsia" w:ascii="Times New Roman" w:hAnsi="Times New Roman"/>
                <w:color w:val="auto"/>
                <w:sz w:val="24"/>
              </w:rPr>
              <w:t>回用于厂区洒水降尘。</w:t>
            </w:r>
          </w:p>
          <w:p>
            <w:pPr>
              <w:pStyle w:val="123"/>
              <w:ind w:firstLine="0" w:firstLineChars="0"/>
              <w:rPr>
                <w:rFonts w:ascii="Times New Roman" w:hAnsi="Times New Roman" w:cs="Times New Roman"/>
                <w:bCs w:val="0"/>
                <w:color w:val="auto"/>
                <w:lang w:val="zh-CN"/>
              </w:rPr>
            </w:pPr>
            <w:r>
              <w:rPr>
                <w:rFonts w:ascii="Times New Roman" w:hAnsi="Times New Roman" w:cs="Times New Roman"/>
                <w:bCs w:val="0"/>
                <w:color w:val="auto"/>
              </w:rPr>
              <w:t>2.</w:t>
            </w:r>
            <w:r>
              <w:rPr>
                <w:rFonts w:hint="eastAsia" w:ascii="Times New Roman" w:hAnsi="Times New Roman" w:cs="Times New Roman"/>
                <w:bCs w:val="0"/>
                <w:color w:val="auto"/>
                <w:lang w:val="en-US" w:eastAsia="zh-CN"/>
              </w:rPr>
              <w:t>3</w:t>
            </w:r>
            <w:r>
              <w:rPr>
                <w:rFonts w:ascii="Times New Roman" w:hAnsi="Times New Roman" w:cs="Times New Roman"/>
                <w:bCs w:val="0"/>
                <w:color w:val="auto"/>
              </w:rPr>
              <w:t>.</w:t>
            </w:r>
            <w:r>
              <w:rPr>
                <w:rFonts w:hint="eastAsia" w:ascii="Times New Roman" w:hAnsi="Times New Roman" w:cs="Times New Roman"/>
                <w:bCs w:val="0"/>
                <w:color w:val="auto"/>
                <w:lang w:val="en-US" w:eastAsia="zh-CN"/>
              </w:rPr>
              <w:t>6</w:t>
            </w:r>
            <w:r>
              <w:rPr>
                <w:rFonts w:ascii="Times New Roman" w:hAnsi="Times New Roman" w:cs="Times New Roman"/>
                <w:bCs w:val="0"/>
                <w:color w:val="auto"/>
                <w:lang w:val="zh-CN"/>
              </w:rPr>
              <w:t>废水外排情况</w:t>
            </w:r>
          </w:p>
          <w:p>
            <w:pPr>
              <w:pStyle w:val="18"/>
              <w:adjustRightInd w:val="0"/>
              <w:snapToGrid w:val="0"/>
              <w:spacing w:after="0" w:line="360" w:lineRule="auto"/>
              <w:ind w:firstLine="480"/>
              <w:rPr>
                <w:rFonts w:ascii="Times New Roman" w:hAnsi="Times New Roman"/>
                <w:color w:val="auto"/>
                <w:kern w:val="0"/>
                <w:sz w:val="24"/>
                <w:szCs w:val="28"/>
              </w:rPr>
            </w:pPr>
            <w:r>
              <w:rPr>
                <w:rFonts w:ascii="Times New Roman" w:hAnsi="Times New Roman"/>
                <w:color w:val="auto"/>
                <w:kern w:val="0"/>
                <w:sz w:val="24"/>
              </w:rPr>
              <w:t>项目废水主要</w:t>
            </w:r>
            <w:r>
              <w:rPr>
                <w:rFonts w:hint="eastAsia" w:ascii="Times New Roman" w:hAnsi="Times New Roman"/>
                <w:color w:val="auto"/>
                <w:kern w:val="0"/>
                <w:sz w:val="24"/>
              </w:rPr>
              <w:t>为</w:t>
            </w:r>
            <w:r>
              <w:rPr>
                <w:rFonts w:ascii="Times New Roman" w:hAnsi="Times New Roman"/>
                <w:color w:val="auto"/>
                <w:kern w:val="0"/>
                <w:sz w:val="24"/>
                <w:szCs w:val="28"/>
              </w:rPr>
              <w:t>车辆清洗废水和生活污水，其中车辆清洗废水</w:t>
            </w:r>
            <w:r>
              <w:rPr>
                <w:rFonts w:hint="eastAsia" w:ascii="Times New Roman" w:hAnsi="Times New Roman"/>
                <w:color w:val="auto"/>
                <w:kern w:val="0"/>
                <w:sz w:val="24"/>
                <w:szCs w:val="28"/>
              </w:rPr>
              <w:t>产生量为9m</w:t>
            </w:r>
            <w:r>
              <w:rPr>
                <w:rFonts w:hint="eastAsia" w:ascii="Times New Roman" w:hAnsi="Times New Roman"/>
                <w:color w:val="auto"/>
                <w:kern w:val="0"/>
                <w:sz w:val="24"/>
                <w:szCs w:val="28"/>
                <w:vertAlign w:val="superscript"/>
              </w:rPr>
              <w:t>3</w:t>
            </w:r>
            <w:r>
              <w:rPr>
                <w:rFonts w:hint="eastAsia" w:ascii="Times New Roman" w:hAnsi="Times New Roman"/>
                <w:color w:val="auto"/>
                <w:kern w:val="0"/>
                <w:sz w:val="24"/>
                <w:szCs w:val="28"/>
              </w:rPr>
              <w:t>/d，项目区混凝土生产需水为47.6m</w:t>
            </w:r>
            <w:r>
              <w:rPr>
                <w:rFonts w:hint="eastAsia" w:ascii="Times New Roman" w:hAnsi="Times New Roman"/>
                <w:color w:val="auto"/>
                <w:kern w:val="0"/>
                <w:sz w:val="24"/>
                <w:szCs w:val="28"/>
                <w:vertAlign w:val="superscript"/>
              </w:rPr>
              <w:t>3</w:t>
            </w:r>
            <w:r>
              <w:rPr>
                <w:rFonts w:hint="eastAsia" w:ascii="Times New Roman" w:hAnsi="Times New Roman"/>
                <w:color w:val="auto"/>
                <w:kern w:val="0"/>
                <w:sz w:val="24"/>
                <w:szCs w:val="28"/>
              </w:rPr>
              <w:t>/d，因此可做到全部</w:t>
            </w:r>
            <w:r>
              <w:rPr>
                <w:rFonts w:ascii="Times New Roman" w:hAnsi="Times New Roman"/>
                <w:color w:val="auto"/>
                <w:kern w:val="0"/>
                <w:sz w:val="24"/>
                <w:szCs w:val="28"/>
              </w:rPr>
              <w:t>回用，不外排</w:t>
            </w:r>
            <w:r>
              <w:rPr>
                <w:rFonts w:hint="eastAsia" w:ascii="Times New Roman" w:hAnsi="Times New Roman"/>
                <w:color w:val="auto"/>
                <w:kern w:val="0"/>
                <w:sz w:val="24"/>
                <w:szCs w:val="28"/>
              </w:rPr>
              <w:t>；</w:t>
            </w:r>
            <w:r>
              <w:rPr>
                <w:rFonts w:ascii="Times New Roman" w:hAnsi="Times New Roman"/>
                <w:color w:val="auto"/>
                <w:kern w:val="0"/>
                <w:sz w:val="24"/>
                <w:szCs w:val="28"/>
              </w:rPr>
              <w:t>生活污水</w:t>
            </w:r>
            <w:r>
              <w:rPr>
                <w:rFonts w:hint="eastAsia" w:ascii="Times New Roman" w:hAnsi="Times New Roman"/>
                <w:color w:val="auto"/>
                <w:kern w:val="0"/>
                <w:sz w:val="24"/>
                <w:szCs w:val="28"/>
              </w:rPr>
              <w:t>产生量为</w:t>
            </w:r>
            <w:r>
              <w:rPr>
                <w:rFonts w:hint="eastAsia" w:ascii="Times New Roman" w:hAnsi="Times New Roman"/>
                <w:color w:val="auto"/>
                <w:kern w:val="0"/>
                <w:sz w:val="24"/>
                <w:szCs w:val="28"/>
                <w:lang w:val="en-US" w:eastAsia="zh-CN"/>
              </w:rPr>
              <w:t>6.653</w:t>
            </w:r>
            <w:r>
              <w:rPr>
                <w:rFonts w:hint="eastAsia" w:ascii="Times New Roman" w:hAnsi="Times New Roman"/>
                <w:color w:val="auto"/>
                <w:kern w:val="0"/>
                <w:sz w:val="24"/>
                <w:szCs w:val="28"/>
              </w:rPr>
              <w:t>m</w:t>
            </w:r>
            <w:r>
              <w:rPr>
                <w:rFonts w:hint="eastAsia" w:ascii="Times New Roman" w:hAnsi="Times New Roman"/>
                <w:color w:val="auto"/>
                <w:kern w:val="0"/>
                <w:sz w:val="24"/>
                <w:szCs w:val="28"/>
                <w:vertAlign w:val="superscript"/>
              </w:rPr>
              <w:t>3</w:t>
            </w:r>
            <w:r>
              <w:rPr>
                <w:rFonts w:hint="eastAsia" w:ascii="Times New Roman" w:hAnsi="Times New Roman"/>
                <w:color w:val="auto"/>
                <w:kern w:val="0"/>
                <w:sz w:val="24"/>
                <w:szCs w:val="28"/>
              </w:rPr>
              <w:t>/d，项目区洒水降尘用水为</w:t>
            </w:r>
            <w:r>
              <w:rPr>
                <w:rFonts w:hint="eastAsia" w:ascii="Times New Roman" w:hAnsi="Times New Roman"/>
                <w:color w:val="auto"/>
                <w:kern w:val="0"/>
                <w:sz w:val="24"/>
                <w:szCs w:val="28"/>
                <w:lang w:val="en-US" w:eastAsia="zh-CN"/>
              </w:rPr>
              <w:t>13.5</w:t>
            </w:r>
            <w:r>
              <w:rPr>
                <w:rFonts w:hint="eastAsia" w:ascii="Times New Roman" w:hAnsi="Times New Roman"/>
                <w:color w:val="auto"/>
                <w:kern w:val="0"/>
                <w:sz w:val="24"/>
                <w:szCs w:val="28"/>
              </w:rPr>
              <w:t>m</w:t>
            </w:r>
            <w:r>
              <w:rPr>
                <w:rFonts w:hint="eastAsia" w:ascii="Times New Roman" w:hAnsi="Times New Roman"/>
                <w:color w:val="auto"/>
                <w:kern w:val="0"/>
                <w:sz w:val="24"/>
                <w:szCs w:val="28"/>
                <w:vertAlign w:val="superscript"/>
              </w:rPr>
              <w:t>3</w:t>
            </w:r>
            <w:r>
              <w:rPr>
                <w:rFonts w:hint="eastAsia" w:ascii="Times New Roman" w:hAnsi="Times New Roman"/>
                <w:color w:val="auto"/>
                <w:kern w:val="0"/>
                <w:sz w:val="24"/>
                <w:szCs w:val="28"/>
              </w:rPr>
              <w:t>/d，因此可做到全部回用，不外排</w:t>
            </w:r>
            <w:r>
              <w:rPr>
                <w:rFonts w:ascii="Times New Roman" w:hAnsi="Times New Roman"/>
                <w:color w:val="auto"/>
                <w:kern w:val="0"/>
                <w:sz w:val="24"/>
              </w:rPr>
              <w:t>。</w:t>
            </w:r>
            <w:r>
              <w:rPr>
                <w:rFonts w:hint="eastAsia" w:ascii="Times New Roman" w:hAnsi="Times New Roman"/>
                <w:color w:val="auto"/>
                <w:kern w:val="0"/>
                <w:sz w:val="24"/>
              </w:rPr>
              <w:t>因此本项目不存在废水外排情况。</w:t>
            </w:r>
          </w:p>
          <w:p>
            <w:pPr>
              <w:adjustRightInd w:val="0"/>
              <w:snapToGrid w:val="0"/>
              <w:spacing w:line="360" w:lineRule="auto"/>
              <w:rPr>
                <w:rFonts w:ascii="Times New Roman" w:hAnsi="Times New Roman"/>
                <w:b/>
                <w:color w:val="auto"/>
                <w:sz w:val="24"/>
              </w:rPr>
            </w:pPr>
            <w:r>
              <w:rPr>
                <w:rFonts w:ascii="Times New Roman" w:hAnsi="Times New Roman"/>
                <w:b/>
                <w:color w:val="auto"/>
                <w:sz w:val="24"/>
              </w:rPr>
              <w:t>2.</w:t>
            </w:r>
            <w:r>
              <w:rPr>
                <w:rFonts w:hint="eastAsia" w:ascii="Times New Roman" w:hAnsi="Times New Roman"/>
                <w:b/>
                <w:color w:val="auto"/>
                <w:sz w:val="24"/>
                <w:lang w:val="en-US" w:eastAsia="zh-CN"/>
              </w:rPr>
              <w:t>4</w:t>
            </w:r>
            <w:r>
              <w:rPr>
                <w:rFonts w:ascii="Times New Roman" w:hAnsi="Times New Roman"/>
                <w:b/>
                <w:color w:val="auto"/>
                <w:sz w:val="24"/>
              </w:rPr>
              <w:t>噪声</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本项目高噪声设备主要是搅拌站搅拌主机、风机、水泵、装载机</w:t>
            </w:r>
            <w:r>
              <w:rPr>
                <w:rFonts w:hint="eastAsia" w:ascii="Times New Roman" w:hAnsi="Times New Roman"/>
                <w:color w:val="auto"/>
                <w:sz w:val="24"/>
              </w:rPr>
              <w:t>、钢筋弯曲机、钢筋套丝机、焊机</w:t>
            </w:r>
            <w:r>
              <w:rPr>
                <w:rFonts w:ascii="Times New Roman" w:hAnsi="Times New Roman"/>
                <w:color w:val="auto"/>
                <w:sz w:val="24"/>
              </w:rPr>
              <w:t>等，其噪声源强值分别为约85</w:t>
            </w:r>
            <w:r>
              <w:rPr>
                <w:rFonts w:hint="eastAsia" w:ascii="Times New Roman" w:hAnsi="Times New Roman"/>
                <w:color w:val="auto"/>
                <w:sz w:val="24"/>
                <w:lang w:val="en-US" w:eastAsia="zh-CN"/>
              </w:rPr>
              <w:t>-</w:t>
            </w:r>
            <w:r>
              <w:rPr>
                <w:rFonts w:ascii="Times New Roman" w:hAnsi="Times New Roman"/>
                <w:color w:val="auto"/>
                <w:sz w:val="24"/>
              </w:rPr>
              <w:t>95 dB(A)。此外，混凝土运输车辆进出厂区的时候也会产生间歇性噪声，噪声源强值可达85 dB(A)，为突发性噪声，持续时间较短。噪声治理措施为合理安排产噪设备作业时间以及通过墙壁吸声，并经距离衰减、建筑物阻隔后自然降噪。</w:t>
            </w:r>
          </w:p>
          <w:p>
            <w:pPr>
              <w:tabs>
                <w:tab w:val="left" w:pos="2395"/>
              </w:tabs>
              <w:adjustRightInd w:val="0"/>
              <w:snapToGrid w:val="0"/>
              <w:spacing w:line="360" w:lineRule="auto"/>
              <w:ind w:firstLine="480"/>
              <w:rPr>
                <w:rFonts w:ascii="Times New Roman" w:hAnsi="Times New Roman"/>
                <w:color w:val="auto"/>
                <w:sz w:val="24"/>
              </w:rPr>
            </w:pPr>
            <w:r>
              <w:rPr>
                <w:rFonts w:ascii="Times New Roman" w:hAnsi="Times New Roman"/>
                <w:color w:val="auto"/>
                <w:sz w:val="24"/>
              </w:rPr>
              <w:t>项目主要产噪设备及其源强值见下表。</w:t>
            </w:r>
          </w:p>
          <w:p>
            <w:pPr>
              <w:keepNext w:val="0"/>
              <w:keepLines w:val="0"/>
              <w:pageBreakBefore w:val="0"/>
              <w:widowControl w:val="0"/>
              <w:tabs>
                <w:tab w:val="left" w:pos="2395"/>
              </w:tabs>
              <w:kinsoku/>
              <w:wordWrap/>
              <w:overflowPunct/>
              <w:topLinePunct w:val="0"/>
              <w:autoSpaceDE/>
              <w:autoSpaceDN/>
              <w:bidi w:val="0"/>
              <w:adjustRightInd w:val="0"/>
              <w:snapToGrid w:val="0"/>
              <w:spacing w:line="240" w:lineRule="auto"/>
              <w:ind w:firstLine="2289" w:firstLineChars="950"/>
              <w:textAlignment w:val="auto"/>
              <w:rPr>
                <w:rFonts w:ascii="Times New Roman" w:hAnsi="Times New Roman"/>
                <w:b/>
                <w:color w:val="auto"/>
                <w:sz w:val="24"/>
              </w:rPr>
            </w:pPr>
            <w:r>
              <w:rPr>
                <w:rFonts w:ascii="Times New Roman" w:hAnsi="Times New Roman"/>
                <w:b/>
                <w:color w:val="auto"/>
                <w:sz w:val="24"/>
              </w:rPr>
              <w:t>表5-</w:t>
            </w:r>
            <w:r>
              <w:rPr>
                <w:rFonts w:hint="eastAsia" w:ascii="Times New Roman" w:hAnsi="Times New Roman"/>
                <w:b/>
                <w:color w:val="auto"/>
                <w:sz w:val="24"/>
                <w:lang w:val="en-US" w:eastAsia="zh-CN"/>
              </w:rPr>
              <w:t>9</w:t>
            </w:r>
            <w:r>
              <w:rPr>
                <w:rFonts w:ascii="Times New Roman" w:hAnsi="Times New Roman"/>
                <w:b/>
                <w:color w:val="auto"/>
                <w:sz w:val="24"/>
              </w:rPr>
              <w:t xml:space="preserve">  主要设备噪声源强    Leq dB(A)</w:t>
            </w:r>
          </w:p>
          <w:tbl>
            <w:tblPr>
              <w:tblStyle w:val="4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626"/>
              <w:gridCol w:w="1001"/>
              <w:gridCol w:w="1076"/>
              <w:gridCol w:w="2305"/>
              <w:gridCol w:w="1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序号</w:t>
                  </w:r>
                </w:p>
              </w:tc>
              <w:tc>
                <w:tcPr>
                  <w:tcW w:w="97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噪声源</w:t>
                  </w:r>
                </w:p>
              </w:tc>
              <w:tc>
                <w:tcPr>
                  <w:tcW w:w="60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台数</w:t>
                  </w:r>
                </w:p>
              </w:tc>
              <w:tc>
                <w:tcPr>
                  <w:tcW w:w="64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噪声值</w:t>
                  </w:r>
                </w:p>
              </w:tc>
              <w:tc>
                <w:tcPr>
                  <w:tcW w:w="13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治理措施</w:t>
                  </w:r>
                </w:p>
              </w:tc>
              <w:tc>
                <w:tcPr>
                  <w:tcW w:w="94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1</w:t>
                  </w:r>
                </w:p>
              </w:tc>
              <w:tc>
                <w:tcPr>
                  <w:tcW w:w="979"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装载机</w:t>
                  </w:r>
                </w:p>
              </w:tc>
              <w:tc>
                <w:tcPr>
                  <w:tcW w:w="60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2</w:t>
                  </w:r>
                </w:p>
              </w:tc>
              <w:tc>
                <w:tcPr>
                  <w:tcW w:w="64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85</w:t>
                  </w:r>
                </w:p>
              </w:tc>
              <w:tc>
                <w:tcPr>
                  <w:tcW w:w="13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减震、厂房隔声</w:t>
                  </w:r>
                </w:p>
              </w:tc>
              <w:tc>
                <w:tcPr>
                  <w:tcW w:w="94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2</w:t>
                  </w:r>
                </w:p>
              </w:tc>
              <w:tc>
                <w:tcPr>
                  <w:tcW w:w="979"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rPr>
                    <w:t>搅拌机</w:t>
                  </w:r>
                </w:p>
              </w:tc>
              <w:tc>
                <w:tcPr>
                  <w:tcW w:w="60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2</w:t>
                  </w:r>
                </w:p>
              </w:tc>
              <w:tc>
                <w:tcPr>
                  <w:tcW w:w="64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90</w:t>
                  </w:r>
                </w:p>
              </w:tc>
              <w:tc>
                <w:tcPr>
                  <w:tcW w:w="13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减震、厂房隔声</w:t>
                  </w:r>
                </w:p>
              </w:tc>
              <w:tc>
                <w:tcPr>
                  <w:tcW w:w="94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3</w:t>
                  </w:r>
                </w:p>
              </w:tc>
              <w:tc>
                <w:tcPr>
                  <w:tcW w:w="979"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auto"/>
                    </w:rPr>
                  </w:pPr>
                  <w:r>
                    <w:rPr>
                      <w:rFonts w:ascii="Times New Roman" w:hAnsi="Times New Roman"/>
                      <w:color w:val="auto"/>
                      <w:szCs w:val="21"/>
                    </w:rPr>
                    <w:t>泵</w:t>
                  </w:r>
                </w:p>
              </w:tc>
              <w:tc>
                <w:tcPr>
                  <w:tcW w:w="603" w:type="pct"/>
                  <w:tcBorders>
                    <w:top w:val="single" w:color="auto" w:sz="4" w:space="0"/>
                    <w:left w:val="single" w:color="auto" w:sz="4" w:space="0"/>
                    <w:bottom w:val="single" w:color="auto" w:sz="4" w:space="0"/>
                    <w:right w:val="single" w:color="auto" w:sz="4" w:space="0"/>
                  </w:tcBorders>
                  <w:vAlign w:val="center"/>
                </w:tcPr>
                <w:p>
                  <w:pPr>
                    <w:tabs>
                      <w:tab w:val="left" w:pos="2395"/>
                    </w:tabs>
                    <w:spacing w:line="340" w:lineRule="exact"/>
                    <w:jc w:val="center"/>
                    <w:rPr>
                      <w:rFonts w:ascii="Times New Roman" w:hAnsi="Times New Roman"/>
                      <w:color w:val="auto"/>
                      <w:szCs w:val="21"/>
                      <w:highlight w:val="yellow"/>
                    </w:rPr>
                  </w:pPr>
                  <w:r>
                    <w:rPr>
                      <w:rFonts w:ascii="Times New Roman" w:hAnsi="Times New Roman"/>
                      <w:color w:val="auto"/>
                      <w:szCs w:val="21"/>
                    </w:rPr>
                    <w:t>5</w:t>
                  </w:r>
                </w:p>
              </w:tc>
              <w:tc>
                <w:tcPr>
                  <w:tcW w:w="648" w:type="pct"/>
                  <w:tcBorders>
                    <w:top w:val="single" w:color="auto" w:sz="4" w:space="0"/>
                    <w:left w:val="single" w:color="auto" w:sz="4" w:space="0"/>
                    <w:bottom w:val="single" w:color="auto" w:sz="4" w:space="0"/>
                    <w:right w:val="single" w:color="auto" w:sz="4" w:space="0"/>
                  </w:tcBorders>
                  <w:vAlign w:val="center"/>
                </w:tcPr>
                <w:p>
                  <w:pPr>
                    <w:tabs>
                      <w:tab w:val="left" w:pos="2395"/>
                    </w:tabs>
                    <w:spacing w:line="340" w:lineRule="exact"/>
                    <w:jc w:val="center"/>
                    <w:rPr>
                      <w:rFonts w:ascii="Times New Roman" w:hAnsi="Times New Roman"/>
                      <w:color w:val="auto"/>
                      <w:szCs w:val="21"/>
                    </w:rPr>
                  </w:pPr>
                  <w:r>
                    <w:rPr>
                      <w:rFonts w:ascii="Times New Roman" w:hAnsi="Times New Roman"/>
                      <w:color w:val="auto"/>
                      <w:szCs w:val="21"/>
                    </w:rPr>
                    <w:t>85</w:t>
                  </w:r>
                </w:p>
              </w:tc>
              <w:tc>
                <w:tcPr>
                  <w:tcW w:w="13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减震、厂房隔声</w:t>
                  </w:r>
                </w:p>
              </w:tc>
              <w:tc>
                <w:tcPr>
                  <w:tcW w:w="94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4</w:t>
                  </w:r>
                </w:p>
              </w:tc>
              <w:tc>
                <w:tcPr>
                  <w:tcW w:w="97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风机</w:t>
                  </w:r>
                </w:p>
              </w:tc>
              <w:tc>
                <w:tcPr>
                  <w:tcW w:w="60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宋体"/>
                      <w:color w:val="auto"/>
                      <w:lang w:val="en-US" w:eastAsia="zh-CN"/>
                    </w:rPr>
                  </w:pPr>
                  <w:r>
                    <w:rPr>
                      <w:rFonts w:hint="eastAsia" w:ascii="Times New Roman" w:hAnsi="Times New Roman"/>
                      <w:color w:val="auto"/>
                      <w:lang w:val="en-US" w:eastAsia="zh-CN"/>
                    </w:rPr>
                    <w:t>12</w:t>
                  </w:r>
                </w:p>
              </w:tc>
              <w:tc>
                <w:tcPr>
                  <w:tcW w:w="64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95</w:t>
                  </w:r>
                </w:p>
              </w:tc>
              <w:tc>
                <w:tcPr>
                  <w:tcW w:w="138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消音、减震、封闭厂房</w:t>
                  </w:r>
                </w:p>
              </w:tc>
              <w:tc>
                <w:tcPr>
                  <w:tcW w:w="94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5</w:t>
                  </w:r>
                </w:p>
              </w:tc>
              <w:tc>
                <w:tcPr>
                  <w:tcW w:w="97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钢筋弯曲机</w:t>
                  </w:r>
                </w:p>
              </w:tc>
              <w:tc>
                <w:tcPr>
                  <w:tcW w:w="60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1</w:t>
                  </w:r>
                </w:p>
              </w:tc>
              <w:tc>
                <w:tcPr>
                  <w:tcW w:w="64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90</w:t>
                  </w:r>
                </w:p>
              </w:tc>
              <w:tc>
                <w:tcPr>
                  <w:tcW w:w="1388" w:type="pct"/>
                  <w:vMerge w:val="restart"/>
                  <w:tcBorders>
                    <w:top w:val="single" w:color="auto" w:sz="4" w:space="0"/>
                    <w:left w:val="single" w:color="auto" w:sz="4" w:space="0"/>
                    <w:right w:val="single" w:color="auto" w:sz="4" w:space="0"/>
                  </w:tcBorders>
                  <w:vAlign w:val="center"/>
                </w:tcPr>
                <w:p>
                  <w:pPr>
                    <w:spacing w:line="360" w:lineRule="auto"/>
                    <w:jc w:val="center"/>
                    <w:rPr>
                      <w:rFonts w:ascii="Times New Roman" w:hAnsi="Times New Roman"/>
                      <w:color w:val="auto"/>
                    </w:rPr>
                  </w:pPr>
                  <w:r>
                    <w:rPr>
                      <w:rFonts w:ascii="Times New Roman" w:hAnsi="Times New Roman"/>
                      <w:color w:val="auto"/>
                    </w:rPr>
                    <w:t>减震、厂房隔声</w:t>
                  </w:r>
                </w:p>
              </w:tc>
              <w:tc>
                <w:tcPr>
                  <w:tcW w:w="94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6</w:t>
                  </w:r>
                </w:p>
              </w:tc>
              <w:tc>
                <w:tcPr>
                  <w:tcW w:w="97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钢筋套丝机</w:t>
                  </w:r>
                </w:p>
              </w:tc>
              <w:tc>
                <w:tcPr>
                  <w:tcW w:w="60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2</w:t>
                  </w:r>
                </w:p>
              </w:tc>
              <w:tc>
                <w:tcPr>
                  <w:tcW w:w="64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90</w:t>
                  </w:r>
                </w:p>
              </w:tc>
              <w:tc>
                <w:tcPr>
                  <w:tcW w:w="1388" w:type="pct"/>
                  <w:vMerge w:val="continue"/>
                  <w:tcBorders>
                    <w:left w:val="single" w:color="auto" w:sz="4" w:space="0"/>
                    <w:right w:val="single" w:color="auto" w:sz="4" w:space="0"/>
                  </w:tcBorders>
                  <w:vAlign w:val="center"/>
                </w:tcPr>
                <w:p>
                  <w:pPr>
                    <w:spacing w:line="360" w:lineRule="auto"/>
                    <w:jc w:val="center"/>
                    <w:rPr>
                      <w:rFonts w:ascii="Times New Roman" w:hAnsi="Times New Roman"/>
                      <w:color w:val="auto"/>
                    </w:rPr>
                  </w:pPr>
                </w:p>
              </w:tc>
              <w:tc>
                <w:tcPr>
                  <w:tcW w:w="94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7</w:t>
                  </w:r>
                </w:p>
              </w:tc>
              <w:tc>
                <w:tcPr>
                  <w:tcW w:w="97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焊机</w:t>
                  </w:r>
                </w:p>
              </w:tc>
              <w:tc>
                <w:tcPr>
                  <w:tcW w:w="60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4</w:t>
                  </w:r>
                </w:p>
              </w:tc>
              <w:tc>
                <w:tcPr>
                  <w:tcW w:w="64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95</w:t>
                  </w:r>
                </w:p>
              </w:tc>
              <w:tc>
                <w:tcPr>
                  <w:tcW w:w="1388" w:type="pct"/>
                  <w:vMerge w:val="continue"/>
                  <w:tcBorders>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p>
              </w:tc>
              <w:tc>
                <w:tcPr>
                  <w:tcW w:w="94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olor w:val="auto"/>
                    </w:rPr>
                  </w:pPr>
                  <w:r>
                    <w:rPr>
                      <w:rFonts w:hint="eastAsia" w:ascii="Times New Roman" w:hAnsi="Times New Roman"/>
                      <w:color w:val="auto"/>
                    </w:rPr>
                    <w:t>85</w:t>
                  </w:r>
                </w:p>
              </w:tc>
            </w:tr>
          </w:tbl>
          <w:p>
            <w:pPr>
              <w:adjustRightInd w:val="0"/>
              <w:snapToGrid w:val="0"/>
              <w:spacing w:line="360" w:lineRule="auto"/>
              <w:rPr>
                <w:rFonts w:ascii="Times New Roman" w:hAnsi="Times New Roman"/>
                <w:b/>
                <w:color w:val="auto"/>
                <w:sz w:val="24"/>
              </w:rPr>
            </w:pPr>
            <w:r>
              <w:rPr>
                <w:rFonts w:ascii="Times New Roman" w:hAnsi="Times New Roman"/>
                <w:b/>
                <w:color w:val="auto"/>
                <w:sz w:val="24"/>
              </w:rPr>
              <w:t>2.</w:t>
            </w:r>
            <w:r>
              <w:rPr>
                <w:rFonts w:hint="eastAsia" w:ascii="Times New Roman" w:hAnsi="Times New Roman"/>
                <w:b/>
                <w:color w:val="auto"/>
                <w:sz w:val="24"/>
                <w:lang w:val="en-US" w:eastAsia="zh-CN"/>
              </w:rPr>
              <w:t>5</w:t>
            </w:r>
            <w:r>
              <w:rPr>
                <w:rFonts w:ascii="Times New Roman" w:hAnsi="Times New Roman"/>
                <w:b/>
                <w:color w:val="auto"/>
                <w:sz w:val="24"/>
              </w:rPr>
              <w:t>固体废弃物</w:t>
            </w:r>
          </w:p>
          <w:p>
            <w:pPr>
              <w:adjustRightInd w:val="0"/>
              <w:snapToGrid w:val="0"/>
              <w:spacing w:line="360" w:lineRule="auto"/>
              <w:ind w:firstLine="482" w:firstLineChars="200"/>
              <w:rPr>
                <w:rFonts w:ascii="Times New Roman" w:hAnsi="Times New Roman"/>
                <w:b/>
                <w:color w:val="auto"/>
                <w:sz w:val="24"/>
                <w:szCs w:val="24"/>
              </w:rPr>
            </w:pPr>
            <w:r>
              <w:rPr>
                <w:rFonts w:ascii="Times New Roman" w:hAnsi="Times New Roman"/>
                <w:b/>
                <w:color w:val="auto"/>
                <w:sz w:val="24"/>
              </w:rPr>
              <w:t>（</w:t>
            </w:r>
            <w:r>
              <w:rPr>
                <w:rFonts w:ascii="Times New Roman" w:hAnsi="Times New Roman"/>
                <w:b/>
                <w:color w:val="auto"/>
                <w:sz w:val="24"/>
                <w:szCs w:val="24"/>
              </w:rPr>
              <w:t>1）</w:t>
            </w:r>
            <w:r>
              <w:rPr>
                <w:rFonts w:ascii="Times New Roman" w:hAnsi="Times New Roman"/>
                <w:b/>
                <w:bCs/>
                <w:color w:val="auto"/>
                <w:sz w:val="24"/>
                <w:szCs w:val="24"/>
                <w:lang w:val="zh-CN"/>
              </w:rPr>
              <w:t>除尘系统收集粉尘</w:t>
            </w:r>
          </w:p>
          <w:p>
            <w:pPr>
              <w:pStyle w:val="123"/>
              <w:rPr>
                <w:rFonts w:ascii="Times New Roman" w:hAnsi="Times New Roman" w:cs="Times New Roman"/>
                <w:b w:val="0"/>
                <w:bCs w:val="0"/>
                <w:color w:val="auto"/>
                <w:lang w:val="zh-CN"/>
              </w:rPr>
            </w:pPr>
            <w:r>
              <w:rPr>
                <w:rFonts w:ascii="Times New Roman" w:hAnsi="Times New Roman" w:cs="Times New Roman"/>
                <w:b w:val="0"/>
                <w:bCs w:val="0"/>
                <w:color w:val="auto"/>
                <w:lang w:val="zh-CN"/>
              </w:rPr>
              <w:t>项目除尘系统收集粉尘量约为</w:t>
            </w:r>
            <w:r>
              <w:rPr>
                <w:rFonts w:hint="eastAsia" w:ascii="Times New Roman" w:hAnsi="Times New Roman" w:cs="Times New Roman"/>
                <w:b w:val="0"/>
                <w:color w:val="auto"/>
                <w:szCs w:val="24"/>
                <w:lang w:val="en-US" w:eastAsia="zh-CN"/>
              </w:rPr>
              <w:t>88.8559</w:t>
            </w:r>
            <w:r>
              <w:rPr>
                <w:rFonts w:ascii="Times New Roman" w:hAnsi="Times New Roman" w:cs="Times New Roman"/>
                <w:b w:val="0"/>
                <w:bCs w:val="0"/>
                <w:color w:val="auto"/>
                <w:lang w:val="zh-CN"/>
              </w:rPr>
              <w:t>t/a，经收集后作为混凝土生产原料返回生产。</w:t>
            </w:r>
          </w:p>
          <w:p>
            <w:pPr>
              <w:numPr>
                <w:ilvl w:val="0"/>
                <w:numId w:val="8"/>
              </w:numPr>
              <w:adjustRightInd w:val="0"/>
              <w:snapToGrid w:val="0"/>
              <w:spacing w:line="360" w:lineRule="auto"/>
              <w:ind w:firstLine="482" w:firstLineChars="200"/>
              <w:rPr>
                <w:rFonts w:ascii="Times New Roman" w:hAnsi="Times New Roman"/>
                <w:b/>
                <w:color w:val="auto"/>
                <w:sz w:val="24"/>
              </w:rPr>
            </w:pPr>
            <w:r>
              <w:rPr>
                <w:rFonts w:hint="eastAsia" w:ascii="Times New Roman" w:hAnsi="Times New Roman"/>
                <w:b/>
                <w:color w:val="auto"/>
                <w:sz w:val="24"/>
              </w:rPr>
              <w:t>废混凝土</w:t>
            </w:r>
          </w:p>
          <w:p>
            <w:pPr>
              <w:pStyle w:val="2"/>
              <w:ind w:firstLine="480" w:firstLineChars="200"/>
              <w:rPr>
                <w:color w:val="auto"/>
              </w:rPr>
            </w:pPr>
            <w:r>
              <w:rPr>
                <w:rFonts w:hint="eastAsia"/>
                <w:color w:val="auto"/>
                <w:sz w:val="24"/>
                <w:szCs w:val="24"/>
              </w:rPr>
              <w:t>项目在运营中，不可避免的会产生一定量的废弃混凝土，根据类比同类工程，废弃混凝土产生量为</w:t>
            </w:r>
            <w:r>
              <w:rPr>
                <w:rFonts w:hint="default" w:ascii="Times New Roman" w:hAnsi="Times New Roman" w:cs="Times New Roman"/>
                <w:color w:val="auto"/>
                <w:sz w:val="24"/>
                <w:szCs w:val="24"/>
              </w:rPr>
              <w:t>0.1t/d，36</w:t>
            </w:r>
            <w:r>
              <w:rPr>
                <w:rFonts w:hint="default" w:ascii="Times New Roman" w:hAnsi="Times New Roman" w:cs="Times New Roman"/>
                <w:color w:val="auto"/>
                <w:sz w:val="24"/>
                <w:szCs w:val="24"/>
                <w:lang w:val="zh-CN"/>
              </w:rPr>
              <w:t>t/a</w:t>
            </w:r>
            <w:r>
              <w:rPr>
                <w:rFonts w:hint="eastAsia"/>
                <w:color w:val="auto"/>
                <w:sz w:val="24"/>
                <w:szCs w:val="24"/>
                <w:lang w:val="zh-CN"/>
              </w:rPr>
              <w:t>，此部分固废经过收集后，作为原料返回生产线。</w:t>
            </w:r>
          </w:p>
          <w:p>
            <w:pPr>
              <w:numPr>
                <w:ilvl w:val="0"/>
                <w:numId w:val="8"/>
              </w:numPr>
              <w:adjustRightInd w:val="0"/>
              <w:snapToGrid w:val="0"/>
              <w:spacing w:line="360" w:lineRule="auto"/>
              <w:ind w:firstLine="482" w:firstLineChars="200"/>
              <w:rPr>
                <w:rFonts w:ascii="Times New Roman" w:hAnsi="Times New Roman"/>
                <w:b/>
                <w:color w:val="auto"/>
                <w:sz w:val="24"/>
              </w:rPr>
            </w:pPr>
            <w:r>
              <w:rPr>
                <w:rFonts w:hint="eastAsia" w:ascii="Times New Roman" w:hAnsi="Times New Roman"/>
                <w:b/>
                <w:color w:val="auto"/>
                <w:sz w:val="24"/>
              </w:rPr>
              <w:t>废钢筋</w:t>
            </w:r>
          </w:p>
          <w:p>
            <w:pPr>
              <w:pStyle w:val="2"/>
              <w:ind w:firstLine="480" w:firstLineChars="200"/>
              <w:rPr>
                <w:rFonts w:hint="eastAsia"/>
                <w:color w:val="auto"/>
                <w:sz w:val="24"/>
                <w:szCs w:val="24"/>
              </w:rPr>
            </w:pPr>
            <w:r>
              <w:rPr>
                <w:rFonts w:hint="eastAsia"/>
                <w:color w:val="auto"/>
                <w:sz w:val="24"/>
                <w:szCs w:val="24"/>
              </w:rPr>
              <w:t>钢筋加工只是进行简单的弯曲、焊接，过程中损耗钢筋量较少，约为总量的</w:t>
            </w:r>
            <w:r>
              <w:rPr>
                <w:rFonts w:hint="default" w:ascii="Times New Roman" w:hAnsi="Times New Roman" w:cs="Times New Roman"/>
                <w:color w:val="auto"/>
                <w:sz w:val="24"/>
                <w:szCs w:val="24"/>
              </w:rPr>
              <w:t>0.1%</w:t>
            </w:r>
            <w:r>
              <w:rPr>
                <w:rFonts w:hint="eastAsia"/>
                <w:color w:val="auto"/>
                <w:sz w:val="24"/>
                <w:szCs w:val="24"/>
              </w:rPr>
              <w:t>，则全年废钢筋产生量为</w:t>
            </w:r>
            <w:r>
              <w:rPr>
                <w:rFonts w:hint="default" w:ascii="Times New Roman" w:hAnsi="Times New Roman" w:cs="Times New Roman"/>
                <w:color w:val="auto"/>
                <w:sz w:val="24"/>
                <w:szCs w:val="24"/>
              </w:rPr>
              <w:t>8.5t/a，</w:t>
            </w:r>
            <w:r>
              <w:rPr>
                <w:rFonts w:hint="eastAsia"/>
                <w:color w:val="auto"/>
                <w:sz w:val="24"/>
                <w:szCs w:val="24"/>
              </w:rPr>
              <w:t>废弃钢筋全部外卖当地废品站。</w:t>
            </w:r>
          </w:p>
          <w:p>
            <w:pPr>
              <w:pStyle w:val="2"/>
              <w:numPr>
                <w:ilvl w:val="0"/>
                <w:numId w:val="8"/>
              </w:numPr>
              <w:ind w:left="0" w:leftChars="0" w:firstLine="482" w:firstLineChars="200"/>
              <w:rPr>
                <w:rFonts w:hint="eastAsia"/>
                <w:b/>
                <w:bCs/>
                <w:color w:val="auto"/>
                <w:sz w:val="24"/>
                <w:szCs w:val="24"/>
                <w:lang w:eastAsia="zh-CN"/>
              </w:rPr>
            </w:pPr>
            <w:r>
              <w:rPr>
                <w:rFonts w:hint="eastAsia"/>
                <w:b/>
                <w:bCs/>
                <w:color w:val="auto"/>
                <w:sz w:val="24"/>
                <w:szCs w:val="24"/>
                <w:lang w:eastAsia="zh-CN"/>
              </w:rPr>
              <w:t>实验室固废</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sz w:val="24"/>
                <w:szCs w:val="24"/>
                <w:lang w:val="en-US" w:eastAsia="zh-CN"/>
              </w:rPr>
            </w:pPr>
            <w:r>
              <w:rPr>
                <w:rFonts w:hint="eastAsia"/>
                <w:color w:val="auto"/>
                <w:sz w:val="24"/>
                <w:szCs w:val="24"/>
                <w:lang w:eastAsia="zh-CN"/>
              </w:rPr>
              <w:t>项目设置实验室对混凝土及钢筋进行强度测试，测试完成后的混凝土及钢筋均返回各自生产工序，再生产利用。</w:t>
            </w:r>
          </w:p>
          <w:p>
            <w:pPr>
              <w:adjustRightInd w:val="0"/>
              <w:snapToGrid w:val="0"/>
              <w:spacing w:line="360" w:lineRule="auto"/>
              <w:ind w:firstLine="482" w:firstLineChars="200"/>
              <w:rPr>
                <w:rFonts w:ascii="Times New Roman" w:hAnsi="Times New Roman"/>
                <w:b/>
                <w:color w:val="auto"/>
                <w:sz w:val="24"/>
              </w:rPr>
            </w:pPr>
            <w:r>
              <w:rPr>
                <w:rFonts w:ascii="Times New Roman" w:hAnsi="Times New Roman"/>
                <w:b/>
                <w:color w:val="auto"/>
                <w:sz w:val="24"/>
              </w:rPr>
              <w:t>（</w:t>
            </w:r>
            <w:r>
              <w:rPr>
                <w:rFonts w:hint="eastAsia" w:ascii="Times New Roman" w:hAnsi="Times New Roman"/>
                <w:b/>
                <w:color w:val="auto"/>
                <w:sz w:val="24"/>
                <w:lang w:val="en-US" w:eastAsia="zh-CN"/>
              </w:rPr>
              <w:t>5</w:t>
            </w:r>
            <w:r>
              <w:rPr>
                <w:rFonts w:ascii="Times New Roman" w:hAnsi="Times New Roman"/>
                <w:b/>
                <w:color w:val="auto"/>
                <w:sz w:val="24"/>
              </w:rPr>
              <w:t>）废机油</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机修车间在修理设备过程中产生少量的废机油，产生量约为</w:t>
            </w:r>
            <w:r>
              <w:rPr>
                <w:rFonts w:hint="eastAsia" w:ascii="Times New Roman" w:hAnsi="Times New Roman"/>
                <w:color w:val="auto"/>
                <w:sz w:val="24"/>
              </w:rPr>
              <w:t>10</w:t>
            </w:r>
            <w:r>
              <w:rPr>
                <w:rFonts w:ascii="Times New Roman" w:hAnsi="Times New Roman"/>
                <w:color w:val="auto"/>
                <w:sz w:val="24"/>
              </w:rPr>
              <w:t>kg/a，废机油为危废，针对危废暂存间按《危险废物贮存污染控制标准》 (GB18597-2001)中暂存设施要求建设做到防风、防雨、防晒、防渗漏。防渗建议建设方案为：基础及其周围均采用土工膜（厚度不小于1.5mm）+抗渗混凝土（厚度不小于250mm，渗透系数不大于10-6cm/s）进行防渗，具体建设方案请业主委托有资质单位进行，最终渗透系数不大于10-10cm/s。同时根据环保要求标识标牌并建立管理制度及台账管理。</w:t>
            </w:r>
          </w:p>
          <w:p>
            <w:pPr>
              <w:adjustRightInd w:val="0"/>
              <w:snapToGrid w:val="0"/>
              <w:spacing w:line="360" w:lineRule="auto"/>
              <w:ind w:firstLine="480" w:firstLineChars="200"/>
              <w:rPr>
                <w:rFonts w:hint="eastAsia" w:ascii="Times New Roman" w:hAnsi="Times New Roman"/>
                <w:color w:val="auto"/>
                <w:sz w:val="24"/>
              </w:rPr>
            </w:pPr>
            <w:r>
              <w:rPr>
                <w:rFonts w:ascii="Times New Roman" w:hAnsi="Times New Roman"/>
                <w:color w:val="auto"/>
                <w:sz w:val="24"/>
              </w:rPr>
              <w:t>废机油经采用专用收集桶收集后暂存于暂存间，</w:t>
            </w:r>
            <w:r>
              <w:rPr>
                <w:rFonts w:hint="eastAsia" w:ascii="Times New Roman" w:hAnsi="Times New Roman"/>
                <w:color w:val="auto"/>
                <w:sz w:val="24"/>
              </w:rPr>
              <w:t>后委托有资质单位进行处置。</w:t>
            </w:r>
          </w:p>
          <w:p>
            <w:pPr>
              <w:pStyle w:val="2"/>
              <w:numPr>
                <w:ilvl w:val="0"/>
                <w:numId w:val="0"/>
              </w:numPr>
              <w:ind w:leftChars="200"/>
              <w:rPr>
                <w:rFonts w:hint="eastAsia" w:ascii="Times New Roman" w:hAnsi="Times New Roman"/>
                <w:b/>
                <w:bCs/>
                <w:color w:val="auto"/>
                <w:sz w:val="24"/>
                <w:lang w:eastAsia="zh-CN"/>
              </w:rPr>
            </w:pPr>
            <w:r>
              <w:rPr>
                <w:rFonts w:hint="eastAsia" w:ascii="Times New Roman" w:hAnsi="Times New Roman"/>
                <w:b/>
                <w:bCs/>
                <w:color w:val="auto"/>
                <w:sz w:val="24"/>
                <w:lang w:eastAsia="zh-CN"/>
              </w:rPr>
              <w:t>（</w:t>
            </w:r>
            <w:r>
              <w:rPr>
                <w:rFonts w:hint="eastAsia" w:ascii="Times New Roman" w:hAnsi="Times New Roman"/>
                <w:b/>
                <w:bCs/>
                <w:color w:val="auto"/>
                <w:sz w:val="24"/>
                <w:lang w:val="en-US" w:eastAsia="zh-CN"/>
              </w:rPr>
              <w:t>6</w:t>
            </w:r>
            <w:r>
              <w:rPr>
                <w:rFonts w:hint="eastAsia" w:ascii="Times New Roman" w:hAnsi="Times New Roman"/>
                <w:b/>
                <w:bCs/>
                <w:color w:val="auto"/>
                <w:sz w:val="24"/>
                <w:lang w:eastAsia="zh-CN"/>
              </w:rPr>
              <w:t>）生活污水处理系统污泥</w:t>
            </w:r>
          </w:p>
          <w:p>
            <w:pPr>
              <w:pStyle w:val="2"/>
              <w:numPr>
                <w:ilvl w:val="0"/>
                <w:numId w:val="0"/>
              </w:numPr>
              <w:ind w:firstLine="480" w:firstLineChars="200"/>
              <w:rPr>
                <w:rFonts w:hint="eastAsia" w:ascii="Times New Roman" w:hAnsi="Times New Roman"/>
                <w:color w:val="auto"/>
                <w:sz w:val="24"/>
                <w:lang w:val="en-US" w:eastAsia="zh-CN"/>
              </w:rPr>
            </w:pPr>
            <w:r>
              <w:rPr>
                <w:rFonts w:hint="eastAsia" w:ascii="Times New Roman" w:hAnsi="Times New Roman"/>
                <w:color w:val="auto"/>
                <w:sz w:val="24"/>
                <w:lang w:eastAsia="zh-CN"/>
              </w:rPr>
              <w:t>项目区设置有化粪池、生活污水处理站用于处理项目区生活污水，会产生一点量污泥。生活污水系统</w:t>
            </w:r>
            <w:r>
              <w:rPr>
                <w:rFonts w:hint="eastAsia" w:ascii="Times New Roman" w:hAnsi="Times New Roman"/>
                <w:color w:val="auto"/>
                <w:sz w:val="24"/>
                <w:lang w:val="en-US" w:eastAsia="zh-CN"/>
              </w:rPr>
              <w:t>SS进口0.59t/a，出口浓度10mg/L，生活污水处理量6.653 m</w:t>
            </w:r>
            <w:r>
              <w:rPr>
                <w:rFonts w:hint="eastAsia" w:ascii="Times New Roman" w:hAnsi="Times New Roman"/>
                <w:color w:val="auto"/>
                <w:sz w:val="24"/>
                <w:vertAlign w:val="superscript"/>
                <w:lang w:val="en-US" w:eastAsia="zh-CN"/>
              </w:rPr>
              <w:t>3</w:t>
            </w:r>
            <w:r>
              <w:rPr>
                <w:rFonts w:hint="eastAsia" w:ascii="Times New Roman" w:hAnsi="Times New Roman"/>
                <w:color w:val="auto"/>
                <w:sz w:val="24"/>
                <w:lang w:val="en-US" w:eastAsia="zh-CN"/>
              </w:rPr>
              <w:t>/d，则污泥产生量为0.567t/a。产生的污泥与生活垃圾一起，按照环卫部门要求处置。</w:t>
            </w:r>
          </w:p>
          <w:p>
            <w:pPr>
              <w:pStyle w:val="2"/>
              <w:numPr>
                <w:ilvl w:val="0"/>
                <w:numId w:val="0"/>
              </w:numPr>
              <w:ind w:leftChars="200"/>
              <w:rPr>
                <w:rFonts w:hint="eastAsia" w:ascii="Times New Roman" w:hAnsi="Times New Roman"/>
                <w:b/>
                <w:bCs/>
                <w:color w:val="auto"/>
                <w:sz w:val="24"/>
                <w:lang w:val="en-US" w:eastAsia="zh-CN"/>
              </w:rPr>
            </w:pPr>
            <w:r>
              <w:rPr>
                <w:rFonts w:hint="eastAsia" w:ascii="Times New Roman" w:hAnsi="Times New Roman"/>
                <w:b/>
                <w:bCs/>
                <w:color w:val="auto"/>
                <w:sz w:val="24"/>
                <w:lang w:val="en-US" w:eastAsia="zh-CN"/>
              </w:rPr>
              <w:t>（7）隔油池油脂</w:t>
            </w:r>
          </w:p>
          <w:p>
            <w:pPr>
              <w:pStyle w:val="2"/>
              <w:numPr>
                <w:ilvl w:val="0"/>
                <w:numId w:val="0"/>
              </w:numPr>
              <w:ind w:firstLine="480" w:firstLineChars="200"/>
              <w:rPr>
                <w:rFonts w:hint="default" w:ascii="Times New Roman" w:hAnsi="Times New Roman"/>
                <w:color w:val="auto"/>
                <w:sz w:val="24"/>
                <w:lang w:val="en-US" w:eastAsia="zh-CN"/>
              </w:rPr>
            </w:pPr>
            <w:r>
              <w:rPr>
                <w:rFonts w:hint="eastAsia" w:ascii="Times New Roman" w:hAnsi="Times New Roman"/>
                <w:color w:val="auto"/>
                <w:sz w:val="24"/>
                <w:lang w:val="en-US" w:eastAsia="zh-CN"/>
              </w:rPr>
              <w:t>项目区设置隔油池用于处理食堂废水，会产生少量油脂，产生量约为10kg/a。油脂为危废，与废机油一同收集暂存于危废暂存间，后委托有资质单位进行清运处理。</w:t>
            </w:r>
          </w:p>
          <w:p>
            <w:pPr>
              <w:adjustRightInd w:val="0"/>
              <w:snapToGrid w:val="0"/>
              <w:spacing w:line="360" w:lineRule="auto"/>
              <w:ind w:firstLine="482" w:firstLineChars="200"/>
              <w:rPr>
                <w:rFonts w:hint="eastAsia" w:ascii="Times New Roman" w:hAnsi="Times New Roman"/>
                <w:b/>
                <w:color w:val="auto"/>
                <w:sz w:val="24"/>
                <w:lang w:eastAsia="zh-CN"/>
              </w:rPr>
            </w:pPr>
            <w:r>
              <w:rPr>
                <w:rFonts w:hint="eastAsia" w:ascii="Times New Roman" w:hAnsi="Times New Roman"/>
                <w:b/>
                <w:color w:val="auto"/>
                <w:sz w:val="24"/>
                <w:lang w:eastAsia="zh-CN"/>
              </w:rPr>
              <w:t>（</w:t>
            </w:r>
            <w:r>
              <w:rPr>
                <w:rFonts w:hint="eastAsia" w:ascii="Times New Roman" w:hAnsi="Times New Roman"/>
                <w:b/>
                <w:color w:val="auto"/>
                <w:sz w:val="24"/>
                <w:lang w:val="en-US" w:eastAsia="zh-CN"/>
              </w:rPr>
              <w:t>8</w:t>
            </w:r>
            <w:r>
              <w:rPr>
                <w:rFonts w:hint="eastAsia" w:ascii="Times New Roman" w:hAnsi="Times New Roman"/>
                <w:b/>
                <w:color w:val="auto"/>
                <w:sz w:val="24"/>
                <w:lang w:eastAsia="zh-CN"/>
              </w:rPr>
              <w:t>）四级沉淀池</w:t>
            </w:r>
          </w:p>
          <w:p>
            <w:pPr>
              <w:pStyle w:val="2"/>
              <w:ind w:firstLine="480" w:firstLineChars="200"/>
              <w:rPr>
                <w:rFonts w:hint="default" w:ascii="Times New Roman" w:hAnsi="Times New Roman" w:cs="Times New Roman"/>
                <w:color w:val="auto"/>
                <w:sz w:val="24"/>
                <w:szCs w:val="24"/>
                <w:lang w:val="en-US" w:eastAsia="zh-CN"/>
              </w:rPr>
            </w:pPr>
            <w:r>
              <w:rPr>
                <w:rFonts w:hint="eastAsia"/>
                <w:color w:val="auto"/>
                <w:sz w:val="24"/>
                <w:szCs w:val="24"/>
                <w:lang w:eastAsia="zh-CN"/>
              </w:rPr>
              <w:t>项目区设置四级沉淀池用于收集处理车辆清洗废水，设备清洗废水产生量</w:t>
            </w:r>
            <w:r>
              <w:rPr>
                <w:rFonts w:hint="default" w:ascii="Times New Roman" w:hAnsi="Times New Roman" w:cs="Times New Roman"/>
                <w:color w:val="auto"/>
                <w:sz w:val="24"/>
                <w:szCs w:val="24"/>
                <w:lang w:eastAsia="zh-CN"/>
              </w:rPr>
              <w:t>9m</w:t>
            </w:r>
            <w:r>
              <w:rPr>
                <w:rFonts w:hint="default" w:ascii="Times New Roman" w:hAnsi="Times New Roman" w:cs="Times New Roman"/>
                <w:color w:val="auto"/>
                <w:sz w:val="24"/>
                <w:szCs w:val="24"/>
                <w:vertAlign w:val="superscript"/>
                <w:lang w:eastAsia="zh-CN"/>
              </w:rPr>
              <w:t>3</w:t>
            </w:r>
            <w:r>
              <w:rPr>
                <w:rFonts w:hint="default" w:ascii="Times New Roman" w:hAnsi="Times New Roman" w:cs="Times New Roman"/>
                <w:color w:val="auto"/>
                <w:sz w:val="24"/>
                <w:szCs w:val="24"/>
                <w:lang w:eastAsia="zh-CN"/>
              </w:rPr>
              <w:t>/d</w:t>
            </w:r>
            <w:r>
              <w:rPr>
                <w:rFonts w:hint="eastAsia" w:ascii="Times New Roman" w:hAnsi="Times New Roman" w:cs="Times New Roman"/>
                <w:color w:val="auto"/>
                <w:sz w:val="24"/>
                <w:szCs w:val="24"/>
                <w:lang w:eastAsia="zh-CN"/>
              </w:rPr>
              <w:t>，则污泥产生量约为</w:t>
            </w:r>
            <w:r>
              <w:rPr>
                <w:rFonts w:hint="eastAsia" w:ascii="Times New Roman" w:hAnsi="Times New Roman" w:cs="Times New Roman"/>
                <w:color w:val="auto"/>
                <w:sz w:val="24"/>
                <w:szCs w:val="24"/>
                <w:lang w:val="en-US" w:eastAsia="zh-CN"/>
              </w:rPr>
              <w:t>0.4t/a。产生的污泥与生活垃圾一起，按照环卫部门要求处置。</w:t>
            </w:r>
          </w:p>
          <w:p>
            <w:pPr>
              <w:adjustRightInd w:val="0"/>
              <w:snapToGrid w:val="0"/>
              <w:spacing w:line="360" w:lineRule="auto"/>
              <w:ind w:firstLine="482" w:firstLineChars="200"/>
              <w:rPr>
                <w:rFonts w:hint="eastAsia" w:ascii="Times New Roman" w:hAnsi="Times New Roman" w:eastAsia="宋体"/>
                <w:b/>
                <w:color w:val="auto"/>
                <w:sz w:val="24"/>
                <w:lang w:eastAsia="zh-CN"/>
              </w:rPr>
            </w:pPr>
            <w:r>
              <w:rPr>
                <w:rFonts w:hint="eastAsia" w:ascii="Times New Roman" w:hAnsi="Times New Roman"/>
                <w:b/>
                <w:color w:val="auto"/>
                <w:sz w:val="24"/>
                <w:lang w:eastAsia="zh-CN"/>
              </w:rPr>
              <w:t>（</w:t>
            </w:r>
            <w:r>
              <w:rPr>
                <w:rFonts w:hint="eastAsia" w:ascii="Times New Roman" w:hAnsi="Times New Roman"/>
                <w:b/>
                <w:color w:val="auto"/>
                <w:sz w:val="24"/>
                <w:lang w:val="en-US" w:eastAsia="zh-CN"/>
              </w:rPr>
              <w:t>9</w:t>
            </w:r>
            <w:r>
              <w:rPr>
                <w:rFonts w:hint="eastAsia" w:ascii="Times New Roman" w:hAnsi="Times New Roman"/>
                <w:b/>
                <w:color w:val="auto"/>
                <w:sz w:val="24"/>
                <w:lang w:eastAsia="zh-CN"/>
              </w:rPr>
              <w:t>）初期雨水池污泥</w:t>
            </w:r>
          </w:p>
          <w:p>
            <w:pPr>
              <w:adjustRightInd w:val="0"/>
              <w:snapToGrid w:val="0"/>
              <w:spacing w:line="360" w:lineRule="auto"/>
              <w:ind w:firstLine="480" w:firstLineChars="200"/>
              <w:rPr>
                <w:rFonts w:hint="default" w:ascii="Times New Roman" w:hAnsi="Times New Roman" w:eastAsia="宋体"/>
                <w:b w:val="0"/>
                <w:bCs/>
                <w:color w:val="auto"/>
                <w:sz w:val="24"/>
                <w:lang w:val="en-US" w:eastAsia="zh-CN"/>
              </w:rPr>
            </w:pPr>
            <w:r>
              <w:rPr>
                <w:rFonts w:hint="eastAsia" w:ascii="Times New Roman" w:hAnsi="Times New Roman"/>
                <w:b w:val="0"/>
                <w:bCs/>
                <w:color w:val="auto"/>
                <w:sz w:val="24"/>
                <w:lang w:eastAsia="zh-CN"/>
              </w:rPr>
              <w:t>项目区设置初期雨水收集池，用于暂存初期雨水，会产生少量污泥。污泥产生量约为</w:t>
            </w:r>
            <w:r>
              <w:rPr>
                <w:rFonts w:hint="eastAsia" w:ascii="Times New Roman" w:hAnsi="Times New Roman"/>
                <w:b w:val="0"/>
                <w:bCs/>
                <w:color w:val="auto"/>
                <w:sz w:val="24"/>
                <w:lang w:val="en-US" w:eastAsia="zh-CN"/>
              </w:rPr>
              <w:t>0.1t/a，产生的污泥与生活垃圾一起，按照当地环卫部门要求处置。</w:t>
            </w:r>
          </w:p>
          <w:p>
            <w:pPr>
              <w:adjustRightInd w:val="0"/>
              <w:snapToGrid w:val="0"/>
              <w:spacing w:line="360" w:lineRule="auto"/>
              <w:ind w:firstLine="482" w:firstLineChars="200"/>
              <w:rPr>
                <w:rFonts w:ascii="Times New Roman" w:hAnsi="Times New Roman"/>
                <w:b/>
                <w:color w:val="auto"/>
                <w:sz w:val="24"/>
              </w:rPr>
            </w:pPr>
            <w:r>
              <w:rPr>
                <w:rFonts w:ascii="Times New Roman" w:hAnsi="Times New Roman"/>
                <w:b/>
                <w:color w:val="auto"/>
                <w:sz w:val="24"/>
              </w:rPr>
              <w:t>（</w:t>
            </w:r>
            <w:r>
              <w:rPr>
                <w:rFonts w:hint="eastAsia" w:ascii="Times New Roman" w:hAnsi="Times New Roman"/>
                <w:b/>
                <w:color w:val="auto"/>
                <w:sz w:val="24"/>
                <w:lang w:val="en-US" w:eastAsia="zh-CN"/>
              </w:rPr>
              <w:t>10</w:t>
            </w:r>
            <w:r>
              <w:rPr>
                <w:rFonts w:ascii="Times New Roman" w:hAnsi="Times New Roman"/>
                <w:b/>
                <w:color w:val="auto"/>
                <w:sz w:val="24"/>
              </w:rPr>
              <w:t>）生活垃圾</w:t>
            </w:r>
          </w:p>
          <w:p>
            <w:pPr>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项目营运期预计员工人数为</w:t>
            </w:r>
            <w:r>
              <w:rPr>
                <w:rFonts w:hint="eastAsia" w:ascii="Times New Roman" w:hAnsi="Times New Roman"/>
                <w:color w:val="auto"/>
                <w:sz w:val="24"/>
              </w:rPr>
              <w:t>52</w:t>
            </w:r>
            <w:r>
              <w:rPr>
                <w:rFonts w:ascii="Times New Roman" w:hAnsi="Times New Roman"/>
                <w:color w:val="auto"/>
                <w:sz w:val="24"/>
              </w:rPr>
              <w:t>人，生活垃圾排放系数取0.5kg/人·d计，每年工作天数为</w:t>
            </w:r>
            <w:r>
              <w:rPr>
                <w:rFonts w:hint="eastAsia" w:ascii="Times New Roman" w:hAnsi="Times New Roman"/>
                <w:color w:val="auto"/>
                <w:sz w:val="24"/>
              </w:rPr>
              <w:t>360</w:t>
            </w:r>
            <w:r>
              <w:rPr>
                <w:rFonts w:ascii="Times New Roman" w:hAnsi="Times New Roman"/>
                <w:color w:val="auto"/>
                <w:sz w:val="24"/>
              </w:rPr>
              <w:t>天，则生活垃圾产生量为</w:t>
            </w:r>
            <w:r>
              <w:rPr>
                <w:rFonts w:hint="eastAsia" w:ascii="Times New Roman" w:hAnsi="Times New Roman"/>
                <w:color w:val="auto"/>
                <w:sz w:val="24"/>
              </w:rPr>
              <w:t>26</w:t>
            </w:r>
            <w:r>
              <w:rPr>
                <w:rFonts w:ascii="Times New Roman" w:hAnsi="Times New Roman"/>
                <w:color w:val="auto"/>
                <w:sz w:val="24"/>
              </w:rPr>
              <w:t>kg/d，</w:t>
            </w:r>
            <w:r>
              <w:rPr>
                <w:rFonts w:hint="eastAsia" w:ascii="Times New Roman" w:hAnsi="Times New Roman"/>
                <w:color w:val="auto"/>
                <w:sz w:val="24"/>
              </w:rPr>
              <w:t>9.36</w:t>
            </w:r>
            <w:r>
              <w:rPr>
                <w:rFonts w:ascii="Times New Roman" w:hAnsi="Times New Roman"/>
                <w:color w:val="auto"/>
                <w:sz w:val="24"/>
              </w:rPr>
              <w:t>t/a，</w:t>
            </w:r>
            <w:r>
              <w:rPr>
                <w:rFonts w:hint="eastAsia" w:ascii="Times New Roman" w:hAnsi="Times New Roman"/>
                <w:color w:val="auto"/>
                <w:sz w:val="24"/>
              </w:rPr>
              <w:t>按照环卫部门相关要求进行处置。</w:t>
            </w:r>
          </w:p>
          <w:p>
            <w:pPr>
              <w:numPr>
                <w:ilvl w:val="0"/>
                <w:numId w:val="9"/>
              </w:numPr>
              <w:adjustRightInd w:val="0"/>
              <w:snapToGrid w:val="0"/>
              <w:spacing w:line="360" w:lineRule="auto"/>
              <w:rPr>
                <w:rFonts w:hint="eastAsia"/>
                <w:b/>
                <w:bCs/>
                <w:color w:val="auto"/>
                <w:sz w:val="28"/>
                <w:szCs w:val="28"/>
                <w:lang w:eastAsia="zh-CN"/>
              </w:rPr>
            </w:pPr>
            <w:r>
              <w:rPr>
                <w:rFonts w:hint="eastAsia"/>
                <w:b/>
                <w:bCs/>
                <w:color w:val="auto"/>
                <w:sz w:val="28"/>
                <w:szCs w:val="28"/>
                <w:lang w:eastAsia="zh-CN"/>
              </w:rPr>
              <w:t>拆除工程分析</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eastAsia="宋体"/>
                <w:color w:val="auto"/>
                <w:lang w:val="en-US" w:eastAsia="zh-CN"/>
              </w:rPr>
            </w:pPr>
            <w:r>
              <w:rPr>
                <w:rFonts w:hint="eastAsia"/>
                <w:color w:val="auto"/>
                <w:sz w:val="24"/>
                <w:szCs w:val="24"/>
                <w:lang w:val="en-US" w:eastAsia="zh-CN"/>
              </w:rPr>
              <w:t>本项目为昆倘高速公路</w:t>
            </w:r>
            <w:r>
              <w:rPr>
                <w:rFonts w:hint="default" w:ascii="Times New Roman" w:hAnsi="Times New Roman" w:cs="Times New Roman"/>
                <w:color w:val="auto"/>
                <w:sz w:val="24"/>
                <w:szCs w:val="24"/>
                <w:lang w:val="en-US" w:eastAsia="zh-CN"/>
              </w:rPr>
              <w:t>4</w:t>
            </w:r>
            <w:r>
              <w:rPr>
                <w:rFonts w:hint="eastAsia"/>
                <w:color w:val="auto"/>
                <w:sz w:val="24"/>
                <w:szCs w:val="24"/>
                <w:lang w:val="en-US" w:eastAsia="zh-CN"/>
              </w:rPr>
              <w:t>标段附属建设项目，项目生产的混凝土以及钢筋全部服务于高速公路建设，服务年限</w:t>
            </w:r>
            <w:r>
              <w:rPr>
                <w:rFonts w:hint="eastAsia" w:ascii="Times New Roman" w:hAnsi="Times New Roman" w:cs="Times New Roman"/>
                <w:color w:val="auto"/>
                <w:sz w:val="24"/>
                <w:szCs w:val="24"/>
                <w:lang w:val="en-US" w:eastAsia="zh-CN"/>
              </w:rPr>
              <w:t>29个月</w:t>
            </w:r>
            <w:r>
              <w:rPr>
                <w:rFonts w:hint="eastAsia"/>
                <w:color w:val="auto"/>
                <w:sz w:val="24"/>
                <w:szCs w:val="24"/>
                <w:lang w:val="en-US" w:eastAsia="zh-CN"/>
              </w:rPr>
              <w:t>。高速公路建设完成后，需要进行拆除恢复处置。拆除过程中会产生大量固废以及少量粉尘，对当地环境造成一定影响。本环评要求产生的固废涉及到危险废物的请有资质单位清运处理，其他建筑垃圾按照当地城建部门要求进行处置；拆除过程中定时对场地进行洒水降尘，以减少粉尘产生量。拆除完成后进行覆土种植当地常见易存活植被，恢复原状，交还给村民。</w:t>
            </w:r>
          </w:p>
        </w:tc>
      </w:tr>
    </w:tbl>
    <w:p>
      <w:pPr>
        <w:pStyle w:val="3"/>
        <w:spacing w:before="0" w:after="0" w:line="240" w:lineRule="auto"/>
        <w:rPr>
          <w:rFonts w:ascii="Times New Roman" w:hAnsi="Times New Roman"/>
          <w:color w:val="auto"/>
          <w:spacing w:val="2"/>
          <w:sz w:val="28"/>
          <w:szCs w:val="28"/>
        </w:rPr>
      </w:pPr>
      <w:bookmarkStart w:id="25" w:name="_Toc513627179"/>
      <w:r>
        <w:rPr>
          <w:rFonts w:ascii="Times New Roman" w:hAnsi="Times New Roman"/>
          <w:color w:val="auto"/>
          <w:spacing w:val="2"/>
          <w:sz w:val="28"/>
          <w:szCs w:val="28"/>
        </w:rPr>
        <w:t>表六、项目主要污染物产生及预计排放情况</w:t>
      </w:r>
      <w:bookmarkEnd w:id="25"/>
    </w:p>
    <w:tbl>
      <w:tblPr>
        <w:tblStyle w:val="43"/>
        <w:tblW w:w="88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476"/>
        <w:gridCol w:w="1561"/>
        <w:gridCol w:w="1289"/>
        <w:gridCol w:w="2200"/>
        <w:gridCol w:w="2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795"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种类</w:t>
            </w:r>
          </w:p>
        </w:tc>
        <w:tc>
          <w:tcPr>
            <w:tcW w:w="476"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时期</w:t>
            </w:r>
          </w:p>
        </w:tc>
        <w:tc>
          <w:tcPr>
            <w:tcW w:w="1561"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排放源</w:t>
            </w:r>
          </w:p>
        </w:tc>
        <w:tc>
          <w:tcPr>
            <w:tcW w:w="1289"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污染物名称</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处理前产生浓度及产生量</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排放浓度及排放量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95"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大气污染物</w:t>
            </w:r>
          </w:p>
        </w:tc>
        <w:tc>
          <w:tcPr>
            <w:tcW w:w="476"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施工期</w:t>
            </w: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施工场地</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无组织粉尘</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少量</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燃油施工设备</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kern w:val="0"/>
                <w:sz w:val="21"/>
                <w:szCs w:val="21"/>
              </w:rPr>
              <w:t>燃油废气</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少量</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运营期</w:t>
            </w:r>
          </w:p>
        </w:tc>
        <w:tc>
          <w:tcPr>
            <w:tcW w:w="156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水泥仓</w:t>
            </w:r>
            <w:r>
              <w:rPr>
                <w:rFonts w:ascii="Times New Roman" w:hAnsi="Times New Roman"/>
                <w:color w:val="auto"/>
                <w:sz w:val="21"/>
                <w:szCs w:val="21"/>
              </w:rPr>
              <w:t>G1</w:t>
            </w:r>
            <w:r>
              <w:rPr>
                <w:rFonts w:hint="eastAsia" w:ascii="Times New Roman" w:hAnsi="Times New Roman"/>
                <w:color w:val="auto"/>
                <w:sz w:val="21"/>
                <w:szCs w:val="21"/>
                <w:lang w:val="en-US" w:eastAsia="zh-CN"/>
              </w:rPr>
              <w:t>-</w:t>
            </w:r>
            <w:r>
              <w:rPr>
                <w:rFonts w:hint="eastAsia" w:ascii="Times New Roman" w:hAnsi="Times New Roman"/>
                <w:color w:val="auto"/>
                <w:sz w:val="21"/>
                <w:szCs w:val="21"/>
              </w:rPr>
              <w:t>G</w:t>
            </w:r>
            <w:r>
              <w:rPr>
                <w:rFonts w:hint="eastAsia" w:ascii="Times New Roman" w:hAnsi="Times New Roman"/>
                <w:color w:val="auto"/>
                <w:sz w:val="21"/>
                <w:szCs w:val="21"/>
                <w:lang w:val="en-US" w:eastAsia="zh-CN"/>
              </w:rPr>
              <w:t>8</w:t>
            </w:r>
          </w:p>
        </w:tc>
        <w:tc>
          <w:tcPr>
            <w:tcW w:w="1289"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有组织粉尘</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kern w:val="0"/>
                <w:sz w:val="21"/>
                <w:szCs w:val="21"/>
              </w:rPr>
            </w:pPr>
            <w:r>
              <w:rPr>
                <w:rFonts w:ascii="Times New Roman" w:hAnsi="Times New Roman"/>
                <w:color w:val="auto"/>
                <w:kern w:val="0"/>
                <w:sz w:val="21"/>
                <w:szCs w:val="21"/>
              </w:rPr>
              <w:t>废气量</w:t>
            </w:r>
            <w:r>
              <w:rPr>
                <w:rFonts w:hint="eastAsia" w:ascii="Times New Roman" w:hAnsi="Times New Roman"/>
                <w:color w:val="auto"/>
                <w:kern w:val="0"/>
                <w:sz w:val="21"/>
                <w:szCs w:val="21"/>
                <w:lang w:val="en-US" w:eastAsia="zh-CN"/>
              </w:rPr>
              <w:t>1729.6</w:t>
            </w:r>
            <w:r>
              <w:rPr>
                <w:rFonts w:ascii="Times New Roman" w:hAnsi="Times New Roman"/>
                <w:color w:val="auto"/>
                <w:kern w:val="0"/>
                <w:sz w:val="21"/>
                <w:szCs w:val="21"/>
              </w:rPr>
              <w:t>万m</w:t>
            </w:r>
            <w:r>
              <w:rPr>
                <w:rStyle w:val="238"/>
                <w:color w:val="auto"/>
                <w:sz w:val="21"/>
                <w:szCs w:val="21"/>
              </w:rPr>
              <w:t>3</w:t>
            </w:r>
            <w:r>
              <w:rPr>
                <w:rFonts w:ascii="Times New Roman" w:hAnsi="Times New Roman"/>
                <w:color w:val="auto"/>
                <w:kern w:val="0"/>
                <w:sz w:val="21"/>
                <w:szCs w:val="21"/>
              </w:rPr>
              <w:t>/a</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Style w:val="238"/>
                <w:color w:val="auto"/>
                <w:sz w:val="21"/>
                <w:szCs w:val="21"/>
              </w:rPr>
            </w:pPr>
            <w:r>
              <w:rPr>
                <w:rFonts w:hint="eastAsia" w:ascii="Times New Roman" w:hAnsi="Times New Roman"/>
                <w:color w:val="auto"/>
                <w:kern w:val="0"/>
                <w:sz w:val="21"/>
                <w:szCs w:val="21"/>
                <w:lang w:val="en-US" w:eastAsia="zh-CN"/>
              </w:rPr>
              <w:t>4543.5</w:t>
            </w:r>
            <w:r>
              <w:rPr>
                <w:rFonts w:ascii="Times New Roman" w:hAnsi="Times New Roman"/>
                <w:color w:val="auto"/>
                <w:kern w:val="0"/>
                <w:sz w:val="21"/>
                <w:szCs w:val="21"/>
              </w:rPr>
              <w:t>mg/m</w:t>
            </w:r>
            <w:r>
              <w:rPr>
                <w:rStyle w:val="238"/>
                <w:color w:val="auto"/>
                <w:sz w:val="21"/>
                <w:szCs w:val="21"/>
              </w:rPr>
              <w:t>3</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78.584</w:t>
            </w:r>
            <w:r>
              <w:rPr>
                <w:rFonts w:ascii="Times New Roman" w:hAnsi="Times New Roman"/>
                <w:color w:val="auto"/>
                <w:sz w:val="21"/>
                <w:szCs w:val="21"/>
              </w:rPr>
              <w:t xml:space="preserve"> t/a</w:t>
            </w:r>
          </w:p>
        </w:tc>
        <w:tc>
          <w:tcPr>
            <w:tcW w:w="250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kern w:val="0"/>
                <w:sz w:val="21"/>
                <w:szCs w:val="21"/>
              </w:rPr>
            </w:pPr>
            <w:r>
              <w:rPr>
                <w:rFonts w:ascii="Times New Roman" w:hAnsi="Times New Roman"/>
                <w:color w:val="auto"/>
                <w:kern w:val="0"/>
                <w:sz w:val="21"/>
                <w:szCs w:val="21"/>
              </w:rPr>
              <w:t>废气量：</w:t>
            </w:r>
            <w:r>
              <w:rPr>
                <w:rFonts w:hint="eastAsia" w:ascii="Times New Roman" w:hAnsi="Times New Roman"/>
                <w:color w:val="auto"/>
                <w:kern w:val="0"/>
                <w:sz w:val="21"/>
                <w:szCs w:val="21"/>
                <w:lang w:val="en-US" w:eastAsia="zh-CN"/>
              </w:rPr>
              <w:t>76.8</w:t>
            </w:r>
            <w:r>
              <w:rPr>
                <w:rFonts w:ascii="Times New Roman" w:hAnsi="Times New Roman"/>
                <w:color w:val="auto"/>
                <w:kern w:val="0"/>
                <w:sz w:val="21"/>
                <w:szCs w:val="21"/>
              </w:rPr>
              <w:t>万m</w:t>
            </w:r>
            <w:r>
              <w:rPr>
                <w:rStyle w:val="238"/>
                <w:color w:val="auto"/>
                <w:sz w:val="21"/>
                <w:szCs w:val="21"/>
              </w:rPr>
              <w:t>3</w:t>
            </w:r>
            <w:r>
              <w:rPr>
                <w:rFonts w:ascii="Times New Roman" w:hAnsi="Times New Roman"/>
                <w:color w:val="auto"/>
                <w:kern w:val="0"/>
                <w:sz w:val="21"/>
                <w:szCs w:val="21"/>
              </w:rPr>
              <w:t>/a</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kern w:val="0"/>
                <w:sz w:val="21"/>
                <w:szCs w:val="21"/>
                <w:lang w:val="en-US" w:eastAsia="zh-CN"/>
              </w:rPr>
              <w:t>9.08</w:t>
            </w:r>
            <w:r>
              <w:rPr>
                <w:rFonts w:ascii="Times New Roman" w:hAnsi="Times New Roman"/>
                <w:color w:val="auto"/>
                <w:kern w:val="0"/>
                <w:sz w:val="21"/>
                <w:szCs w:val="21"/>
              </w:rPr>
              <w:t>mg/m</w:t>
            </w:r>
            <w:r>
              <w:rPr>
                <w:rStyle w:val="238"/>
                <w:color w:val="auto"/>
                <w:sz w:val="21"/>
                <w:szCs w:val="21"/>
              </w:rPr>
              <w:t>3</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0.1571</w:t>
            </w:r>
            <w:r>
              <w:rPr>
                <w:rFonts w:ascii="Times New Roman" w:hAnsi="Times New Roman"/>
                <w:color w:val="auto"/>
                <w:sz w:val="21"/>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Style w:val="56"/>
                <w:rFonts w:hint="default" w:eastAsia="宋体"/>
                <w:color w:val="auto"/>
                <w:sz w:val="21"/>
                <w:szCs w:val="21"/>
                <w:lang w:val="en-US" w:eastAsia="zh-CN"/>
              </w:rPr>
            </w:pPr>
            <w:r>
              <w:rPr>
                <w:rStyle w:val="56"/>
                <w:rFonts w:hint="eastAsia"/>
                <w:color w:val="auto"/>
                <w:sz w:val="21"/>
                <w:szCs w:val="21"/>
                <w:lang w:eastAsia="zh-CN"/>
              </w:rPr>
              <w:t>粉煤灰仓G</w:t>
            </w:r>
            <w:r>
              <w:rPr>
                <w:rStyle w:val="56"/>
                <w:rFonts w:hint="eastAsia"/>
                <w:color w:val="auto"/>
                <w:sz w:val="21"/>
                <w:szCs w:val="21"/>
                <w:lang w:val="en-US" w:eastAsia="zh-CN"/>
              </w:rPr>
              <w:t>9-</w:t>
            </w:r>
            <w:r>
              <w:rPr>
                <w:rStyle w:val="56"/>
                <w:rFonts w:hint="eastAsia"/>
                <w:color w:val="auto"/>
                <w:sz w:val="21"/>
                <w:szCs w:val="21"/>
                <w:lang w:eastAsia="zh-CN"/>
              </w:rPr>
              <w:t>G</w:t>
            </w:r>
            <w:r>
              <w:rPr>
                <w:rStyle w:val="56"/>
                <w:rFonts w:hint="eastAsia"/>
                <w:color w:val="auto"/>
                <w:sz w:val="21"/>
                <w:szCs w:val="21"/>
                <w:lang w:val="en-US" w:eastAsia="zh-CN"/>
              </w:rPr>
              <w:t>12</w:t>
            </w:r>
          </w:p>
        </w:tc>
        <w:tc>
          <w:tcPr>
            <w:tcW w:w="1289"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有组织粉尘</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废气量</w:t>
            </w:r>
            <w:r>
              <w:rPr>
                <w:rFonts w:hint="eastAsia" w:ascii="Times New Roman" w:hAnsi="Times New Roman"/>
                <w:color w:val="auto"/>
                <w:sz w:val="21"/>
                <w:szCs w:val="21"/>
                <w:lang w:val="en-US" w:eastAsia="zh-CN"/>
              </w:rPr>
              <w:t>230</w:t>
            </w:r>
            <w:r>
              <w:rPr>
                <w:rFonts w:hint="eastAsia" w:ascii="Times New Roman" w:hAnsi="Times New Roman"/>
                <w:color w:val="auto"/>
                <w:sz w:val="21"/>
                <w:szCs w:val="21"/>
              </w:rPr>
              <w:t>万m</w:t>
            </w:r>
            <w:r>
              <w:rPr>
                <w:rFonts w:hint="eastAsia" w:ascii="Times New Roman" w:hAnsi="Times New Roman"/>
                <w:color w:val="auto"/>
                <w:sz w:val="21"/>
                <w:szCs w:val="21"/>
                <w:vertAlign w:val="superscript"/>
              </w:rPr>
              <w:t>3</w:t>
            </w:r>
            <w:r>
              <w:rPr>
                <w:rFonts w:hint="eastAsia" w:ascii="Times New Roman" w:hAnsi="Times New Roman"/>
                <w:color w:val="auto"/>
                <w:sz w:val="21"/>
                <w:szCs w:val="21"/>
              </w:rPr>
              <w:t>/a</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4543.5</w:t>
            </w:r>
            <w:r>
              <w:rPr>
                <w:rFonts w:hint="eastAsia" w:ascii="Times New Roman" w:hAnsi="Times New Roman"/>
                <w:color w:val="auto"/>
                <w:sz w:val="21"/>
                <w:szCs w:val="21"/>
              </w:rPr>
              <w:t>mg/m</w:t>
            </w:r>
            <w:r>
              <w:rPr>
                <w:rFonts w:hint="eastAsia" w:ascii="Times New Roman" w:hAnsi="Times New Roman"/>
                <w:color w:val="auto"/>
                <w:sz w:val="21"/>
                <w:szCs w:val="21"/>
                <w:vertAlign w:val="superscript"/>
              </w:rPr>
              <w:t>3</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10.45</w:t>
            </w:r>
            <w:r>
              <w:rPr>
                <w:rFonts w:hint="eastAsia" w:ascii="Times New Roman" w:hAnsi="Times New Roman"/>
                <w:color w:val="auto"/>
                <w:sz w:val="21"/>
                <w:szCs w:val="21"/>
              </w:rPr>
              <w:t>t/a</w:t>
            </w:r>
          </w:p>
        </w:tc>
        <w:tc>
          <w:tcPr>
            <w:tcW w:w="250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废气量</w:t>
            </w:r>
            <w:r>
              <w:rPr>
                <w:rFonts w:hint="eastAsia" w:ascii="Times New Roman" w:hAnsi="Times New Roman"/>
                <w:color w:val="auto"/>
                <w:sz w:val="21"/>
                <w:szCs w:val="21"/>
                <w:lang w:val="en-US" w:eastAsia="zh-CN"/>
              </w:rPr>
              <w:t>230</w:t>
            </w:r>
            <w:r>
              <w:rPr>
                <w:rFonts w:hint="eastAsia" w:ascii="Times New Roman" w:hAnsi="Times New Roman"/>
                <w:color w:val="auto"/>
                <w:sz w:val="21"/>
                <w:szCs w:val="21"/>
              </w:rPr>
              <w:t>万m</w:t>
            </w:r>
            <w:r>
              <w:rPr>
                <w:rFonts w:hint="eastAsia" w:ascii="Times New Roman" w:hAnsi="Times New Roman"/>
                <w:color w:val="auto"/>
                <w:sz w:val="21"/>
                <w:szCs w:val="21"/>
                <w:vertAlign w:val="superscript"/>
              </w:rPr>
              <w:t>3</w:t>
            </w:r>
            <w:r>
              <w:rPr>
                <w:rFonts w:hint="eastAsia" w:ascii="Times New Roman" w:hAnsi="Times New Roman"/>
                <w:color w:val="auto"/>
                <w:sz w:val="21"/>
                <w:szCs w:val="21"/>
              </w:rPr>
              <w:t>/a</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9.08</w:t>
            </w:r>
            <w:r>
              <w:rPr>
                <w:rFonts w:hint="eastAsia" w:ascii="Times New Roman" w:hAnsi="Times New Roman"/>
                <w:color w:val="auto"/>
                <w:sz w:val="21"/>
                <w:szCs w:val="21"/>
              </w:rPr>
              <w:t>mg/m</w:t>
            </w:r>
            <w:r>
              <w:rPr>
                <w:rFonts w:hint="eastAsia" w:ascii="Times New Roman" w:hAnsi="Times New Roman"/>
                <w:color w:val="auto"/>
                <w:sz w:val="21"/>
                <w:szCs w:val="21"/>
                <w:vertAlign w:val="superscript"/>
              </w:rPr>
              <w:t>3</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0.0209</w:t>
            </w:r>
            <w:r>
              <w:rPr>
                <w:rFonts w:hint="eastAsia" w:ascii="Times New Roman" w:hAnsi="Times New Roman"/>
                <w:color w:val="auto"/>
                <w:sz w:val="21"/>
                <w:szCs w:val="21"/>
              </w:rPr>
              <w:t xml:space="preserve"> 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砂石料堆棚</w:t>
            </w:r>
            <w:r>
              <w:rPr>
                <w:rFonts w:ascii="Times New Roman" w:hAnsi="Times New Roman"/>
                <w:color w:val="auto"/>
                <w:sz w:val="21"/>
                <w:szCs w:val="21"/>
              </w:rPr>
              <w:t>WG1</w:t>
            </w:r>
          </w:p>
        </w:tc>
        <w:tc>
          <w:tcPr>
            <w:tcW w:w="1289"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无组织粉尘</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0.67</w:t>
            </w:r>
            <w:r>
              <w:rPr>
                <w:rFonts w:ascii="Times New Roman" w:hAnsi="Times New Roman"/>
                <w:color w:val="auto"/>
                <w:sz w:val="21"/>
                <w:szCs w:val="21"/>
              </w:rPr>
              <w:t>t/a</w:t>
            </w:r>
          </w:p>
        </w:tc>
        <w:tc>
          <w:tcPr>
            <w:tcW w:w="250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0.201</w:t>
            </w:r>
            <w:r>
              <w:rPr>
                <w:rFonts w:ascii="Times New Roman" w:hAnsi="Times New Roman"/>
                <w:color w:val="auto"/>
                <w:sz w:val="21"/>
                <w:szCs w:val="21"/>
              </w:rPr>
              <w:t xml:space="preserve"> 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输送、计量、投料无组织粉尘WG2</w:t>
            </w:r>
          </w:p>
        </w:tc>
        <w:tc>
          <w:tcPr>
            <w:tcW w:w="1289"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无组织粉尘</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0.2556</w:t>
            </w:r>
            <w:r>
              <w:rPr>
                <w:rFonts w:ascii="Times New Roman" w:hAnsi="Times New Roman"/>
                <w:color w:val="auto"/>
                <w:sz w:val="21"/>
                <w:szCs w:val="21"/>
              </w:rPr>
              <w:t>t/a</w:t>
            </w:r>
          </w:p>
        </w:tc>
        <w:tc>
          <w:tcPr>
            <w:tcW w:w="250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0.2556</w:t>
            </w:r>
            <w:r>
              <w:rPr>
                <w:rFonts w:ascii="Times New Roman" w:hAnsi="Times New Roman"/>
                <w:color w:val="auto"/>
                <w:sz w:val="21"/>
                <w:szCs w:val="21"/>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运输扬尘WG3</w:t>
            </w:r>
          </w:p>
        </w:tc>
        <w:tc>
          <w:tcPr>
            <w:tcW w:w="1289"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无组织粉尘</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少量</w:t>
            </w:r>
          </w:p>
        </w:tc>
        <w:tc>
          <w:tcPr>
            <w:tcW w:w="250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eastAsia="zh-CN"/>
              </w:rPr>
              <w:t>柴油发电机废气WG</w:t>
            </w:r>
            <w:r>
              <w:rPr>
                <w:rFonts w:hint="eastAsia" w:ascii="Times New Roman" w:hAnsi="Times New Roman"/>
                <w:color w:val="auto"/>
                <w:sz w:val="21"/>
                <w:szCs w:val="21"/>
                <w:lang w:val="en-US" w:eastAsia="zh-CN"/>
              </w:rPr>
              <w:t>4</w:t>
            </w:r>
          </w:p>
        </w:tc>
        <w:tc>
          <w:tcPr>
            <w:tcW w:w="1289"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无组织粉尘</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0.001938</w:t>
            </w:r>
          </w:p>
        </w:tc>
        <w:tc>
          <w:tcPr>
            <w:tcW w:w="250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0.001938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食堂油烟</w:t>
            </w:r>
          </w:p>
        </w:tc>
        <w:tc>
          <w:tcPr>
            <w:tcW w:w="1289"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油烟废气</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0.0156</w:t>
            </w:r>
            <w:r>
              <w:rPr>
                <w:rFonts w:ascii="Times New Roman" w:hAnsi="Times New Roman"/>
                <w:color w:val="auto"/>
                <w:sz w:val="21"/>
                <w:szCs w:val="21"/>
              </w:rPr>
              <w:t xml:space="preserve"> t/a</w:t>
            </w:r>
          </w:p>
        </w:tc>
        <w:tc>
          <w:tcPr>
            <w:tcW w:w="250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0.00624</w:t>
            </w:r>
            <w:r>
              <w:rPr>
                <w:rFonts w:ascii="Times New Roman" w:hAnsi="Times New Roman"/>
                <w:color w:val="auto"/>
                <w:sz w:val="21"/>
                <w:szCs w:val="21"/>
              </w:rPr>
              <w:t xml:space="preserve"> 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焊接废气</w:t>
            </w:r>
          </w:p>
        </w:tc>
        <w:tc>
          <w:tcPr>
            <w:tcW w:w="1289"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无组织粉尘</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0.0414</w:t>
            </w:r>
            <w:r>
              <w:rPr>
                <w:rFonts w:ascii="Times New Roman" w:hAnsi="Times New Roman"/>
                <w:color w:val="auto"/>
                <w:sz w:val="21"/>
                <w:szCs w:val="21"/>
              </w:rPr>
              <w:t xml:space="preserve"> t/a</w:t>
            </w:r>
          </w:p>
        </w:tc>
        <w:tc>
          <w:tcPr>
            <w:tcW w:w="250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0.0414</w:t>
            </w:r>
            <w:r>
              <w:rPr>
                <w:rFonts w:ascii="Times New Roman" w:hAnsi="Times New Roman"/>
                <w:color w:val="auto"/>
                <w:sz w:val="21"/>
                <w:szCs w:val="21"/>
              </w:rPr>
              <w:t xml:space="preserve"> 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切割废气</w:t>
            </w:r>
          </w:p>
        </w:tc>
        <w:tc>
          <w:tcPr>
            <w:tcW w:w="1289"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无组织粉尘</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少量</w:t>
            </w:r>
          </w:p>
        </w:tc>
        <w:tc>
          <w:tcPr>
            <w:tcW w:w="2501"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795"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水污染物</w:t>
            </w:r>
          </w:p>
        </w:tc>
        <w:tc>
          <w:tcPr>
            <w:tcW w:w="476"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施工期</w:t>
            </w: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施工过程</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SS</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42</w:t>
            </w:r>
            <w:r>
              <w:rPr>
                <w:rFonts w:ascii="Times New Roman" w:hAnsi="Times New Roman"/>
                <w:color w:val="auto"/>
                <w:sz w:val="21"/>
                <w:szCs w:val="21"/>
              </w:rPr>
              <w:t>m</w:t>
            </w:r>
            <w:r>
              <w:rPr>
                <w:rFonts w:ascii="Times New Roman" w:hAnsi="Times New Roman"/>
                <w:color w:val="auto"/>
                <w:sz w:val="21"/>
                <w:szCs w:val="21"/>
                <w:vertAlign w:val="superscript"/>
              </w:rPr>
              <w:t>3</w:t>
            </w:r>
            <w:r>
              <w:rPr>
                <w:rFonts w:ascii="Times New Roman" w:hAnsi="Times New Roman"/>
                <w:color w:val="auto"/>
                <w:sz w:val="21"/>
                <w:szCs w:val="21"/>
              </w:rPr>
              <w:t>/d</w:t>
            </w:r>
          </w:p>
        </w:tc>
        <w:tc>
          <w:tcPr>
            <w:tcW w:w="2501"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设一个2m</w:t>
            </w:r>
            <w:r>
              <w:rPr>
                <w:rFonts w:ascii="Times New Roman" w:hAnsi="Times New Roman"/>
                <w:color w:val="auto"/>
                <w:sz w:val="21"/>
                <w:szCs w:val="21"/>
                <w:vertAlign w:val="superscript"/>
              </w:rPr>
              <w:t>3</w:t>
            </w:r>
            <w:r>
              <w:rPr>
                <w:rFonts w:ascii="Times New Roman" w:hAnsi="Times New Roman"/>
                <w:color w:val="auto"/>
                <w:sz w:val="21"/>
                <w:szCs w:val="21"/>
              </w:rPr>
              <w:t>的临时收集池收集沉淀后回用到混凝土拌合，不外排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施工人员</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CODcr、BOD</w:t>
            </w:r>
            <w:r>
              <w:rPr>
                <w:rFonts w:ascii="Times New Roman" w:hAnsi="Times New Roman"/>
                <w:color w:val="auto"/>
                <w:sz w:val="21"/>
                <w:szCs w:val="21"/>
                <w:vertAlign w:val="subscript"/>
              </w:rPr>
              <w:t>5、</w:t>
            </w:r>
            <w:r>
              <w:rPr>
                <w:rFonts w:ascii="Times New Roman" w:hAnsi="Times New Roman"/>
                <w:color w:val="auto"/>
                <w:sz w:val="21"/>
                <w:szCs w:val="21"/>
              </w:rPr>
              <w:t>SS、氨氮等</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0.243</w:t>
            </w:r>
            <w:r>
              <w:rPr>
                <w:rFonts w:ascii="Times New Roman" w:hAnsi="Times New Roman"/>
                <w:color w:val="auto"/>
                <w:sz w:val="21"/>
                <w:szCs w:val="21"/>
              </w:rPr>
              <w:t>m</w:t>
            </w:r>
            <w:r>
              <w:rPr>
                <w:rFonts w:ascii="Times New Roman" w:hAnsi="Times New Roman"/>
                <w:color w:val="auto"/>
                <w:sz w:val="21"/>
                <w:szCs w:val="21"/>
                <w:vertAlign w:val="superscript"/>
              </w:rPr>
              <w:t>3</w:t>
            </w:r>
            <w:r>
              <w:rPr>
                <w:rFonts w:ascii="Times New Roman" w:hAnsi="Times New Roman"/>
                <w:color w:val="auto"/>
                <w:sz w:val="21"/>
                <w:szCs w:val="21"/>
              </w:rPr>
              <w:t>/d</w:t>
            </w:r>
          </w:p>
        </w:tc>
        <w:tc>
          <w:tcPr>
            <w:tcW w:w="2501"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restart"/>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运营期</w:t>
            </w:r>
          </w:p>
        </w:tc>
        <w:tc>
          <w:tcPr>
            <w:tcW w:w="1561"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车辆清洗废水</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SS</w:t>
            </w:r>
          </w:p>
        </w:tc>
        <w:tc>
          <w:tcPr>
            <w:tcW w:w="2200"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9m</w:t>
            </w:r>
            <w:r>
              <w:rPr>
                <w:rFonts w:ascii="Times New Roman" w:hAnsi="Times New Roman"/>
                <w:color w:val="auto"/>
                <w:sz w:val="21"/>
                <w:szCs w:val="21"/>
                <w:vertAlign w:val="superscript"/>
              </w:rPr>
              <w:t>3</w:t>
            </w:r>
            <w:r>
              <w:rPr>
                <w:rFonts w:ascii="Times New Roman" w:hAnsi="Times New Roman"/>
                <w:color w:val="auto"/>
                <w:sz w:val="21"/>
                <w:szCs w:val="21"/>
              </w:rPr>
              <w:t>/d</w:t>
            </w:r>
          </w:p>
        </w:tc>
        <w:tc>
          <w:tcPr>
            <w:tcW w:w="2501"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沉淀池处理后回用生产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工作人员</w:t>
            </w:r>
          </w:p>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289" w:type="dxa"/>
            <w:vAlign w:val="center"/>
          </w:tcPr>
          <w:p>
            <w:pPr>
              <w:keepNext w:val="0"/>
              <w:keepLines w:val="0"/>
              <w:pageBreakBefore w:val="0"/>
              <w:kinsoku/>
              <w:wordWrap/>
              <w:overflowPunct/>
              <w:topLinePunct w:val="0"/>
              <w:autoSpaceDE/>
              <w:autoSpaceDN/>
              <w:bidi w:val="0"/>
              <w:adjustRightInd w:val="0"/>
              <w:snapToGrid w:val="0"/>
              <w:spacing w:line="240" w:lineRule="auto"/>
              <w:ind w:left="-84" w:leftChars="-40" w:right="-84" w:rightChars="-40"/>
              <w:jc w:val="center"/>
              <w:textAlignment w:val="auto"/>
              <w:rPr>
                <w:rFonts w:ascii="Times New Roman" w:hAnsi="Times New Roman"/>
                <w:color w:val="auto"/>
                <w:sz w:val="21"/>
                <w:szCs w:val="21"/>
              </w:rPr>
            </w:pPr>
            <w:r>
              <w:rPr>
                <w:rFonts w:ascii="Times New Roman" w:hAnsi="Times New Roman"/>
                <w:color w:val="auto"/>
                <w:sz w:val="21"/>
                <w:szCs w:val="21"/>
              </w:rPr>
              <w:t>生活污水</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2395.08</w:t>
            </w:r>
            <w:r>
              <w:rPr>
                <w:rFonts w:ascii="Times New Roman" w:hAnsi="Times New Roman"/>
                <w:color w:val="auto"/>
                <w:sz w:val="21"/>
                <w:szCs w:val="21"/>
              </w:rPr>
              <w:t>m</w:t>
            </w:r>
            <w:r>
              <w:rPr>
                <w:rFonts w:ascii="Times New Roman" w:hAnsi="Times New Roman"/>
                <w:color w:val="auto"/>
                <w:sz w:val="21"/>
                <w:szCs w:val="21"/>
                <w:vertAlign w:val="superscript"/>
              </w:rPr>
              <w:t>3</w:t>
            </w:r>
            <w:r>
              <w:rPr>
                <w:rFonts w:ascii="Times New Roman" w:hAnsi="Times New Roman"/>
                <w:color w:val="auto"/>
                <w:sz w:val="21"/>
                <w:szCs w:val="21"/>
              </w:rPr>
              <w:t>/a</w:t>
            </w:r>
          </w:p>
        </w:tc>
        <w:tc>
          <w:tcPr>
            <w:tcW w:w="2501" w:type="dxa"/>
            <w:vMerge w:val="restart"/>
            <w:vAlign w:val="center"/>
          </w:tcPr>
          <w:p>
            <w:pPr>
              <w:pStyle w:val="37"/>
              <w:keepNext w:val="0"/>
              <w:keepLines w:val="0"/>
              <w:pageBreakBefore w:val="0"/>
              <w:tabs>
                <w:tab w:val="left" w:pos="1110"/>
              </w:tabs>
              <w:kinsoku/>
              <w:wordWrap/>
              <w:overflowPunct/>
              <w:topLinePunct w:val="0"/>
              <w:autoSpaceDE/>
              <w:autoSpaceDN/>
              <w:bidi w:val="0"/>
              <w:adjustRightInd w:val="0"/>
              <w:snapToGrid w:val="0"/>
              <w:spacing w:line="240" w:lineRule="auto"/>
              <w:jc w:val="center"/>
              <w:textAlignment w:val="auto"/>
              <w:rPr>
                <w:rFonts w:hint="default" w:ascii="Times New Roman" w:eastAsia="宋体"/>
                <w:color w:val="auto"/>
                <w:sz w:val="21"/>
                <w:szCs w:val="21"/>
                <w:lang w:val="en-US" w:eastAsia="zh-CN"/>
              </w:rPr>
            </w:pPr>
            <w:r>
              <w:rPr>
                <w:rFonts w:hint="eastAsia" w:ascii="Times New Roman"/>
                <w:color w:val="auto"/>
                <w:sz w:val="21"/>
                <w:szCs w:val="21"/>
                <w:lang w:val="en-US" w:eastAsia="zh-CN"/>
              </w:rPr>
              <w:t>食堂废水经1m</w:t>
            </w:r>
            <w:r>
              <w:rPr>
                <w:rFonts w:hint="eastAsia" w:ascii="Times New Roman"/>
                <w:color w:val="auto"/>
                <w:sz w:val="21"/>
                <w:szCs w:val="21"/>
                <w:vertAlign w:val="superscript"/>
                <w:lang w:val="en-US" w:eastAsia="zh-CN"/>
              </w:rPr>
              <w:t>3</w:t>
            </w:r>
            <w:r>
              <w:rPr>
                <w:rFonts w:hint="eastAsia" w:ascii="Times New Roman"/>
                <w:color w:val="auto"/>
                <w:sz w:val="21"/>
                <w:szCs w:val="21"/>
                <w:lang w:val="en-US" w:eastAsia="zh-CN"/>
              </w:rPr>
              <w:t>隔油池处理后与其他生活污水进入化粪池，预处理后进入中水处理站处理达标后用于厂区洒水抑尘。达到《城市污水再生利用 城市杂用水水质》（GB/T18920-2002）中的道路清扫、消防用水标准。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289" w:type="dxa"/>
            <w:vAlign w:val="center"/>
          </w:tcPr>
          <w:p>
            <w:pPr>
              <w:keepNext w:val="0"/>
              <w:keepLines w:val="0"/>
              <w:pageBreakBefore w:val="0"/>
              <w:kinsoku/>
              <w:wordWrap/>
              <w:overflowPunct/>
              <w:topLinePunct w:val="0"/>
              <w:autoSpaceDE/>
              <w:autoSpaceDN/>
              <w:bidi w:val="0"/>
              <w:adjustRightInd w:val="0"/>
              <w:snapToGrid w:val="0"/>
              <w:spacing w:line="240" w:lineRule="auto"/>
              <w:ind w:left="-84" w:leftChars="-40" w:right="-84" w:rightChars="-40"/>
              <w:jc w:val="center"/>
              <w:textAlignment w:val="auto"/>
              <w:rPr>
                <w:rFonts w:ascii="Times New Roman" w:hAnsi="Times New Roman"/>
                <w:color w:val="auto"/>
                <w:sz w:val="21"/>
                <w:szCs w:val="21"/>
                <w:vertAlign w:val="subscript"/>
              </w:rPr>
            </w:pPr>
            <w:r>
              <w:rPr>
                <w:rFonts w:ascii="Times New Roman" w:hAnsi="Times New Roman"/>
                <w:color w:val="auto"/>
                <w:sz w:val="21"/>
                <w:szCs w:val="21"/>
              </w:rPr>
              <w:t>COD</w:t>
            </w:r>
            <w:r>
              <w:rPr>
                <w:rFonts w:ascii="Times New Roman" w:hAnsi="Times New Roman"/>
                <w:color w:val="auto"/>
                <w:sz w:val="21"/>
                <w:szCs w:val="21"/>
                <w:vertAlign w:val="subscript"/>
              </w:rPr>
              <w:t>cr</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浓度：</w:t>
            </w:r>
            <w:r>
              <w:rPr>
                <w:rFonts w:ascii="Times New Roman" w:hAnsi="Times New Roman"/>
                <w:color w:val="auto"/>
                <w:kern w:val="0"/>
                <w:sz w:val="21"/>
                <w:szCs w:val="21"/>
              </w:rPr>
              <w:t>400</w:t>
            </w:r>
            <w:r>
              <w:rPr>
                <w:rFonts w:ascii="Times New Roman" w:hAnsi="Times New Roman"/>
                <w:color w:val="auto"/>
                <w:sz w:val="21"/>
                <w:szCs w:val="21"/>
              </w:rPr>
              <w:t>mg/L</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eastAsia="zh-CN"/>
              </w:rPr>
              <w:t>产生</w:t>
            </w:r>
            <w:r>
              <w:rPr>
                <w:rFonts w:ascii="Times New Roman" w:hAnsi="Times New Roman"/>
                <w:color w:val="auto"/>
                <w:sz w:val="21"/>
                <w:szCs w:val="21"/>
              </w:rPr>
              <w:t>量：</w:t>
            </w:r>
            <w:r>
              <w:rPr>
                <w:rFonts w:hint="eastAsia" w:ascii="Times New Roman" w:hAnsi="Times New Roman"/>
                <w:color w:val="auto"/>
                <w:sz w:val="21"/>
                <w:szCs w:val="21"/>
              </w:rPr>
              <w:t>0.958</w:t>
            </w:r>
            <w:r>
              <w:rPr>
                <w:rFonts w:ascii="Times New Roman" w:hAnsi="Times New Roman"/>
                <w:color w:val="auto"/>
                <w:sz w:val="21"/>
                <w:szCs w:val="21"/>
              </w:rPr>
              <w:t>t/a</w:t>
            </w:r>
          </w:p>
        </w:tc>
        <w:tc>
          <w:tcPr>
            <w:tcW w:w="2501" w:type="dxa"/>
            <w:vMerge w:val="continue"/>
            <w:vAlign w:val="center"/>
          </w:tcPr>
          <w:p>
            <w:pPr>
              <w:pStyle w:val="37"/>
              <w:keepNext w:val="0"/>
              <w:keepLines w:val="0"/>
              <w:pageBreakBefore w:val="0"/>
              <w:tabs>
                <w:tab w:val="left" w:pos="1110"/>
              </w:tabs>
              <w:kinsoku/>
              <w:wordWrap/>
              <w:overflowPunct/>
              <w:topLinePunct w:val="0"/>
              <w:autoSpaceDE/>
              <w:autoSpaceDN/>
              <w:bidi w:val="0"/>
              <w:adjustRightInd w:val="0"/>
              <w:snapToGrid w:val="0"/>
              <w:spacing w:line="240" w:lineRule="auto"/>
              <w:jc w:val="center"/>
              <w:textAlignment w:val="auto"/>
              <w:rPr>
                <w:rFonts w:asci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289" w:type="dxa"/>
            <w:vAlign w:val="center"/>
          </w:tcPr>
          <w:p>
            <w:pPr>
              <w:keepNext w:val="0"/>
              <w:keepLines w:val="0"/>
              <w:pageBreakBefore w:val="0"/>
              <w:kinsoku/>
              <w:wordWrap/>
              <w:overflowPunct/>
              <w:topLinePunct w:val="0"/>
              <w:autoSpaceDE/>
              <w:autoSpaceDN/>
              <w:bidi w:val="0"/>
              <w:adjustRightInd w:val="0"/>
              <w:snapToGrid w:val="0"/>
              <w:spacing w:line="240" w:lineRule="auto"/>
              <w:ind w:left="-84" w:leftChars="-40" w:right="-84" w:rightChars="-40"/>
              <w:jc w:val="center"/>
              <w:textAlignment w:val="auto"/>
              <w:rPr>
                <w:rFonts w:ascii="Times New Roman" w:hAnsi="Times New Roman"/>
                <w:color w:val="auto"/>
                <w:sz w:val="21"/>
                <w:szCs w:val="21"/>
                <w:vertAlign w:val="subscript"/>
              </w:rPr>
            </w:pPr>
            <w:r>
              <w:rPr>
                <w:rFonts w:ascii="Times New Roman" w:hAnsi="Times New Roman"/>
                <w:color w:val="auto"/>
                <w:sz w:val="21"/>
                <w:szCs w:val="21"/>
              </w:rPr>
              <w:t>BOD</w:t>
            </w:r>
            <w:r>
              <w:rPr>
                <w:rFonts w:ascii="Times New Roman" w:hAnsi="Times New Roman"/>
                <w:color w:val="auto"/>
                <w:sz w:val="21"/>
                <w:szCs w:val="21"/>
                <w:vertAlign w:val="subscript"/>
              </w:rPr>
              <w:t>5</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浓度：</w:t>
            </w:r>
            <w:r>
              <w:rPr>
                <w:rFonts w:ascii="Times New Roman" w:hAnsi="Times New Roman"/>
                <w:color w:val="auto"/>
                <w:kern w:val="0"/>
                <w:sz w:val="21"/>
                <w:szCs w:val="21"/>
              </w:rPr>
              <w:t>300</w:t>
            </w:r>
            <w:r>
              <w:rPr>
                <w:rFonts w:ascii="Times New Roman" w:hAnsi="Times New Roman"/>
                <w:color w:val="auto"/>
                <w:sz w:val="21"/>
                <w:szCs w:val="21"/>
              </w:rPr>
              <w:t>mg/L</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eastAsia="zh-CN"/>
              </w:rPr>
              <w:t>产生</w:t>
            </w:r>
            <w:r>
              <w:rPr>
                <w:rFonts w:ascii="Times New Roman" w:hAnsi="Times New Roman"/>
                <w:color w:val="auto"/>
                <w:sz w:val="21"/>
                <w:szCs w:val="21"/>
              </w:rPr>
              <w:t>量：</w:t>
            </w:r>
            <w:r>
              <w:rPr>
                <w:rFonts w:hint="eastAsia" w:ascii="Times New Roman" w:hAnsi="Times New Roman"/>
                <w:color w:val="auto"/>
                <w:sz w:val="21"/>
                <w:szCs w:val="21"/>
              </w:rPr>
              <w:t>0.72</w:t>
            </w:r>
            <w:r>
              <w:rPr>
                <w:rFonts w:ascii="Times New Roman" w:hAnsi="Times New Roman"/>
                <w:color w:val="auto"/>
                <w:sz w:val="21"/>
                <w:szCs w:val="21"/>
              </w:rPr>
              <w:t xml:space="preserve"> t/a</w:t>
            </w:r>
          </w:p>
        </w:tc>
        <w:tc>
          <w:tcPr>
            <w:tcW w:w="2501" w:type="dxa"/>
            <w:vMerge w:val="continue"/>
            <w:vAlign w:val="center"/>
          </w:tcPr>
          <w:p>
            <w:pPr>
              <w:pStyle w:val="37"/>
              <w:keepNext w:val="0"/>
              <w:keepLines w:val="0"/>
              <w:pageBreakBefore w:val="0"/>
              <w:tabs>
                <w:tab w:val="left" w:pos="1110"/>
              </w:tabs>
              <w:kinsoku/>
              <w:wordWrap/>
              <w:overflowPunct/>
              <w:topLinePunct w:val="0"/>
              <w:autoSpaceDE/>
              <w:autoSpaceDN/>
              <w:bidi w:val="0"/>
              <w:adjustRightInd w:val="0"/>
              <w:snapToGrid w:val="0"/>
              <w:spacing w:line="240" w:lineRule="auto"/>
              <w:jc w:val="center"/>
              <w:textAlignment w:val="auto"/>
              <w:rPr>
                <w:rFonts w:asci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289" w:type="dxa"/>
            <w:vAlign w:val="center"/>
          </w:tcPr>
          <w:p>
            <w:pPr>
              <w:pStyle w:val="37"/>
              <w:keepNext w:val="0"/>
              <w:keepLines w:val="0"/>
              <w:pageBreakBefore w:val="0"/>
              <w:tabs>
                <w:tab w:val="left" w:pos="1110"/>
              </w:tabs>
              <w:kinsoku/>
              <w:wordWrap/>
              <w:overflowPunct/>
              <w:topLinePunct w:val="0"/>
              <w:autoSpaceDE/>
              <w:autoSpaceDN/>
              <w:bidi w:val="0"/>
              <w:adjustRightInd w:val="0"/>
              <w:snapToGrid w:val="0"/>
              <w:spacing w:line="240" w:lineRule="auto"/>
              <w:jc w:val="center"/>
              <w:textAlignment w:val="auto"/>
              <w:rPr>
                <w:rFonts w:ascii="Times New Roman"/>
                <w:color w:val="auto"/>
                <w:sz w:val="21"/>
                <w:szCs w:val="21"/>
              </w:rPr>
            </w:pPr>
            <w:r>
              <w:rPr>
                <w:rFonts w:ascii="Times New Roman"/>
                <w:color w:val="auto"/>
                <w:sz w:val="21"/>
                <w:szCs w:val="21"/>
              </w:rPr>
              <w:t>NH</w:t>
            </w:r>
            <w:r>
              <w:rPr>
                <w:rFonts w:ascii="Times New Roman"/>
                <w:color w:val="auto"/>
                <w:sz w:val="21"/>
                <w:szCs w:val="21"/>
                <w:vertAlign w:val="subscript"/>
              </w:rPr>
              <w:t>3</w:t>
            </w:r>
            <w:r>
              <w:rPr>
                <w:rFonts w:ascii="Times New Roman"/>
                <w:color w:val="auto"/>
                <w:sz w:val="21"/>
                <w:szCs w:val="21"/>
              </w:rPr>
              <w:t>-N</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浓度：</w:t>
            </w:r>
            <w:r>
              <w:rPr>
                <w:rFonts w:ascii="Times New Roman" w:hAnsi="Times New Roman"/>
                <w:color w:val="auto"/>
                <w:kern w:val="0"/>
                <w:sz w:val="21"/>
                <w:szCs w:val="21"/>
              </w:rPr>
              <w:t>30</w:t>
            </w:r>
            <w:r>
              <w:rPr>
                <w:rFonts w:ascii="Times New Roman" w:hAnsi="Times New Roman"/>
                <w:color w:val="auto"/>
                <w:sz w:val="21"/>
                <w:szCs w:val="21"/>
              </w:rPr>
              <w:t>mg/L</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eastAsia="zh-CN"/>
              </w:rPr>
              <w:t>产生</w:t>
            </w:r>
            <w:r>
              <w:rPr>
                <w:rFonts w:ascii="Times New Roman" w:hAnsi="Times New Roman"/>
                <w:color w:val="auto"/>
                <w:sz w:val="21"/>
                <w:szCs w:val="21"/>
              </w:rPr>
              <w:t>量：</w:t>
            </w:r>
            <w:r>
              <w:rPr>
                <w:rFonts w:hint="eastAsia" w:ascii="Times New Roman" w:hAnsi="Times New Roman"/>
                <w:color w:val="auto"/>
                <w:sz w:val="21"/>
                <w:szCs w:val="21"/>
              </w:rPr>
              <w:t>0.072</w:t>
            </w:r>
            <w:r>
              <w:rPr>
                <w:rFonts w:ascii="Times New Roman" w:hAnsi="Times New Roman"/>
                <w:color w:val="auto"/>
                <w:sz w:val="21"/>
                <w:szCs w:val="21"/>
              </w:rPr>
              <w:t>t/a</w:t>
            </w:r>
          </w:p>
        </w:tc>
        <w:tc>
          <w:tcPr>
            <w:tcW w:w="2501" w:type="dxa"/>
            <w:vMerge w:val="continue"/>
            <w:vAlign w:val="center"/>
          </w:tcPr>
          <w:p>
            <w:pPr>
              <w:pStyle w:val="37"/>
              <w:keepNext w:val="0"/>
              <w:keepLines w:val="0"/>
              <w:pageBreakBefore w:val="0"/>
              <w:tabs>
                <w:tab w:val="left" w:pos="1110"/>
              </w:tabs>
              <w:kinsoku/>
              <w:wordWrap/>
              <w:overflowPunct/>
              <w:topLinePunct w:val="0"/>
              <w:autoSpaceDE/>
              <w:autoSpaceDN/>
              <w:bidi w:val="0"/>
              <w:adjustRightInd w:val="0"/>
              <w:snapToGrid w:val="0"/>
              <w:spacing w:line="240" w:lineRule="auto"/>
              <w:jc w:val="center"/>
              <w:textAlignment w:val="auto"/>
              <w:rPr>
                <w:rFonts w:asci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289" w:type="dxa"/>
            <w:vAlign w:val="center"/>
          </w:tcPr>
          <w:p>
            <w:pPr>
              <w:keepNext w:val="0"/>
              <w:keepLines w:val="0"/>
              <w:pageBreakBefore w:val="0"/>
              <w:kinsoku/>
              <w:wordWrap/>
              <w:overflowPunct/>
              <w:topLinePunct w:val="0"/>
              <w:autoSpaceDE/>
              <w:autoSpaceDN/>
              <w:bidi w:val="0"/>
              <w:adjustRightInd w:val="0"/>
              <w:snapToGrid w:val="0"/>
              <w:spacing w:line="240" w:lineRule="auto"/>
              <w:ind w:left="-84" w:leftChars="-40" w:right="-84" w:rightChars="-40"/>
              <w:jc w:val="center"/>
              <w:textAlignment w:val="auto"/>
              <w:rPr>
                <w:rFonts w:ascii="Times New Roman" w:hAnsi="Times New Roman"/>
                <w:color w:val="auto"/>
                <w:sz w:val="21"/>
                <w:szCs w:val="21"/>
              </w:rPr>
            </w:pPr>
            <w:r>
              <w:rPr>
                <w:rFonts w:ascii="Times New Roman" w:hAnsi="Times New Roman"/>
                <w:color w:val="auto"/>
                <w:sz w:val="21"/>
                <w:szCs w:val="21"/>
              </w:rPr>
              <w:t>SS</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浓度：</w:t>
            </w:r>
            <w:r>
              <w:rPr>
                <w:rFonts w:ascii="Times New Roman" w:hAnsi="Times New Roman"/>
                <w:color w:val="auto"/>
                <w:kern w:val="0"/>
                <w:sz w:val="21"/>
                <w:szCs w:val="21"/>
              </w:rPr>
              <w:t>250</w:t>
            </w:r>
            <w:r>
              <w:rPr>
                <w:rFonts w:ascii="Times New Roman" w:hAnsi="Times New Roman"/>
                <w:color w:val="auto"/>
                <w:sz w:val="21"/>
                <w:szCs w:val="21"/>
              </w:rPr>
              <w:t>mg/L</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eastAsia="zh-CN"/>
              </w:rPr>
              <w:t>产生</w:t>
            </w:r>
            <w:r>
              <w:rPr>
                <w:rFonts w:ascii="Times New Roman" w:hAnsi="Times New Roman"/>
                <w:color w:val="auto"/>
                <w:sz w:val="21"/>
                <w:szCs w:val="21"/>
              </w:rPr>
              <w:t>量：</w:t>
            </w:r>
            <w:r>
              <w:rPr>
                <w:rFonts w:hint="eastAsia" w:ascii="Times New Roman" w:hAnsi="Times New Roman"/>
                <w:color w:val="auto"/>
                <w:sz w:val="21"/>
                <w:szCs w:val="21"/>
              </w:rPr>
              <w:t>0.59</w:t>
            </w:r>
            <w:r>
              <w:rPr>
                <w:rFonts w:ascii="Times New Roman" w:hAnsi="Times New Roman"/>
                <w:color w:val="auto"/>
                <w:sz w:val="21"/>
                <w:szCs w:val="21"/>
              </w:rPr>
              <w:t>t/a</w:t>
            </w:r>
          </w:p>
        </w:tc>
        <w:tc>
          <w:tcPr>
            <w:tcW w:w="2501" w:type="dxa"/>
            <w:vMerge w:val="continue"/>
            <w:vAlign w:val="center"/>
          </w:tcPr>
          <w:p>
            <w:pPr>
              <w:pStyle w:val="37"/>
              <w:keepNext w:val="0"/>
              <w:keepLines w:val="0"/>
              <w:pageBreakBefore w:val="0"/>
              <w:tabs>
                <w:tab w:val="left" w:pos="1110"/>
              </w:tabs>
              <w:kinsoku/>
              <w:wordWrap/>
              <w:overflowPunct/>
              <w:topLinePunct w:val="0"/>
              <w:autoSpaceDE/>
              <w:autoSpaceDN/>
              <w:bidi w:val="0"/>
              <w:adjustRightInd w:val="0"/>
              <w:snapToGrid w:val="0"/>
              <w:spacing w:line="240" w:lineRule="auto"/>
              <w:jc w:val="center"/>
              <w:textAlignment w:val="auto"/>
              <w:rPr>
                <w:rFonts w:asci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289" w:type="dxa"/>
            <w:vAlign w:val="center"/>
          </w:tcPr>
          <w:p>
            <w:pPr>
              <w:keepNext w:val="0"/>
              <w:keepLines w:val="0"/>
              <w:pageBreakBefore w:val="0"/>
              <w:kinsoku/>
              <w:wordWrap/>
              <w:overflowPunct/>
              <w:topLinePunct w:val="0"/>
              <w:autoSpaceDE/>
              <w:autoSpaceDN/>
              <w:bidi w:val="0"/>
              <w:adjustRightInd w:val="0"/>
              <w:snapToGrid w:val="0"/>
              <w:spacing w:line="240" w:lineRule="auto"/>
              <w:ind w:left="-84" w:leftChars="-40" w:right="-84" w:rightChars="-40"/>
              <w:jc w:val="center"/>
              <w:textAlignment w:val="auto"/>
              <w:rPr>
                <w:rFonts w:ascii="Times New Roman" w:hAnsi="Times New Roman"/>
                <w:color w:val="auto"/>
                <w:sz w:val="21"/>
                <w:szCs w:val="21"/>
              </w:rPr>
            </w:pPr>
            <w:r>
              <w:rPr>
                <w:rFonts w:ascii="Times New Roman" w:hAnsi="Times New Roman"/>
                <w:color w:val="auto"/>
                <w:sz w:val="21"/>
                <w:szCs w:val="21"/>
              </w:rPr>
              <w:t>总磷</w:t>
            </w:r>
          </w:p>
        </w:tc>
        <w:tc>
          <w:tcPr>
            <w:tcW w:w="220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浓度：</w:t>
            </w:r>
            <w:r>
              <w:rPr>
                <w:rFonts w:ascii="Times New Roman" w:hAnsi="Times New Roman"/>
                <w:color w:val="auto"/>
                <w:kern w:val="0"/>
                <w:sz w:val="21"/>
                <w:szCs w:val="21"/>
              </w:rPr>
              <w:t>8</w:t>
            </w:r>
            <w:r>
              <w:rPr>
                <w:rFonts w:ascii="Times New Roman" w:hAnsi="Times New Roman"/>
                <w:color w:val="auto"/>
                <w:sz w:val="21"/>
                <w:szCs w:val="21"/>
              </w:rPr>
              <w:t>mg/L</w:t>
            </w:r>
          </w:p>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eastAsia="zh-CN"/>
              </w:rPr>
              <w:t>产生</w:t>
            </w:r>
            <w:r>
              <w:rPr>
                <w:rFonts w:ascii="Times New Roman" w:hAnsi="Times New Roman"/>
                <w:color w:val="auto"/>
                <w:sz w:val="21"/>
                <w:szCs w:val="21"/>
              </w:rPr>
              <w:t>量：</w:t>
            </w:r>
            <w:r>
              <w:rPr>
                <w:rFonts w:hint="eastAsia" w:ascii="Times New Roman" w:hAnsi="Times New Roman"/>
                <w:color w:val="auto"/>
                <w:sz w:val="21"/>
                <w:szCs w:val="21"/>
              </w:rPr>
              <w:t>0.019</w:t>
            </w:r>
            <w:r>
              <w:rPr>
                <w:rFonts w:ascii="Times New Roman" w:hAnsi="Times New Roman"/>
                <w:color w:val="auto"/>
                <w:sz w:val="21"/>
                <w:szCs w:val="21"/>
              </w:rPr>
              <w:t>t/a</w:t>
            </w:r>
          </w:p>
        </w:tc>
        <w:tc>
          <w:tcPr>
            <w:tcW w:w="2501" w:type="dxa"/>
            <w:vMerge w:val="continue"/>
            <w:vAlign w:val="center"/>
          </w:tcPr>
          <w:p>
            <w:pPr>
              <w:pStyle w:val="37"/>
              <w:keepNext w:val="0"/>
              <w:keepLines w:val="0"/>
              <w:pageBreakBefore w:val="0"/>
              <w:tabs>
                <w:tab w:val="left" w:pos="1110"/>
              </w:tabs>
              <w:kinsoku/>
              <w:wordWrap/>
              <w:overflowPunct/>
              <w:topLinePunct w:val="0"/>
              <w:autoSpaceDE/>
              <w:autoSpaceDN/>
              <w:bidi w:val="0"/>
              <w:adjustRightInd w:val="0"/>
              <w:snapToGrid w:val="0"/>
              <w:spacing w:line="240" w:lineRule="auto"/>
              <w:jc w:val="center"/>
              <w:textAlignment w:val="auto"/>
              <w:rPr>
                <w:rFonts w:asci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795"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固体废物</w:t>
            </w:r>
          </w:p>
        </w:tc>
        <w:tc>
          <w:tcPr>
            <w:tcW w:w="476"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施工期</w:t>
            </w:r>
          </w:p>
        </w:tc>
        <w:tc>
          <w:tcPr>
            <w:tcW w:w="2850" w:type="dxa"/>
            <w:gridSpan w:val="2"/>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表土</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3556.667</w:t>
            </w:r>
            <w:r>
              <w:rPr>
                <w:rFonts w:hint="eastAsia" w:ascii="Times New Roman" w:hAnsi="Times New Roman"/>
                <w:color w:val="auto"/>
                <w:sz w:val="21"/>
                <w:szCs w:val="21"/>
              </w:rPr>
              <w:t>m</w:t>
            </w:r>
            <w:r>
              <w:rPr>
                <w:rFonts w:hint="eastAsia" w:ascii="Times New Roman" w:hAnsi="Times New Roman"/>
                <w:color w:val="auto"/>
                <w:sz w:val="21"/>
                <w:szCs w:val="21"/>
                <w:vertAlign w:val="superscript"/>
              </w:rPr>
              <w:t>3</w:t>
            </w:r>
            <w:r>
              <w:rPr>
                <w:rFonts w:hint="eastAsia" w:ascii="Times New Roman" w:hAnsi="Times New Roman"/>
                <w:color w:val="auto"/>
                <w:sz w:val="21"/>
                <w:szCs w:val="21"/>
              </w:rPr>
              <w:t>/a</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rPr>
              <w:t>全部用于</w:t>
            </w:r>
            <w:r>
              <w:rPr>
                <w:rFonts w:hint="eastAsia" w:ascii="Times New Roman" w:hAnsi="Times New Roman"/>
                <w:color w:val="auto"/>
                <w:sz w:val="21"/>
                <w:szCs w:val="21"/>
                <w:lang w:eastAsia="zh-CN"/>
              </w:rPr>
              <w:t>拆除后土地恢复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主体结构建设</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建筑垃圾</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104</w:t>
            </w:r>
            <w:r>
              <w:rPr>
                <w:rFonts w:ascii="Times New Roman" w:hAnsi="Times New Roman"/>
                <w:color w:val="auto"/>
                <w:sz w:val="21"/>
                <w:szCs w:val="21"/>
              </w:rPr>
              <w:t>m</w:t>
            </w:r>
            <w:r>
              <w:rPr>
                <w:rFonts w:ascii="Times New Roman" w:hAnsi="Times New Roman"/>
                <w:color w:val="auto"/>
                <w:sz w:val="21"/>
                <w:szCs w:val="21"/>
                <w:vertAlign w:val="superscript"/>
              </w:rPr>
              <w:t>3</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部分可回收综合利用，不可回收部分按当地建设主管部门要求处置，禁止随意倾倒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施工人员</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生活垃圾</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9</w:t>
            </w:r>
            <w:r>
              <w:rPr>
                <w:rFonts w:ascii="Times New Roman" w:hAnsi="Times New Roman"/>
                <w:color w:val="auto"/>
                <w:sz w:val="21"/>
                <w:szCs w:val="21"/>
              </w:rPr>
              <w:t>kg/d</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统一收集后</w:t>
            </w:r>
            <w:r>
              <w:rPr>
                <w:rFonts w:hint="eastAsia" w:ascii="Times New Roman" w:hAnsi="Times New Roman"/>
                <w:color w:val="auto"/>
                <w:sz w:val="21"/>
                <w:szCs w:val="21"/>
              </w:rPr>
              <w:t>按</w:t>
            </w:r>
            <w:r>
              <w:rPr>
                <w:rFonts w:ascii="Times New Roman" w:hAnsi="Times New Roman"/>
                <w:color w:val="auto"/>
                <w:sz w:val="21"/>
                <w:szCs w:val="21"/>
              </w:rPr>
              <w:t>环卫部门</w:t>
            </w:r>
            <w:r>
              <w:rPr>
                <w:rFonts w:hint="eastAsia" w:ascii="Times New Roman" w:hAnsi="Times New Roman"/>
                <w:color w:val="auto"/>
                <w:sz w:val="21"/>
                <w:szCs w:val="21"/>
              </w:rPr>
              <w:t>要求妥善处置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运营期</w:t>
            </w: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布袋除尘器装置</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收集粉尘</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val="en-US" w:eastAsia="zh-CN"/>
              </w:rPr>
              <w:t>88.856</w:t>
            </w:r>
            <w:r>
              <w:rPr>
                <w:rFonts w:ascii="Times New Roman" w:hAnsi="Times New Roman"/>
                <w:bCs/>
                <w:color w:val="auto"/>
                <w:sz w:val="21"/>
                <w:szCs w:val="21"/>
                <w:lang w:val="zh-CN"/>
              </w:rPr>
              <w:t>t/a</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bCs/>
                <w:color w:val="auto"/>
                <w:sz w:val="21"/>
                <w:szCs w:val="21"/>
                <w:lang w:val="zh-CN"/>
              </w:rPr>
              <w:t>经收集后作为水泥混凝土生产原料返回生产工段</w:t>
            </w:r>
            <w:r>
              <w:rPr>
                <w:rFonts w:hint="eastAsia" w:ascii="Times New Roman" w:hAnsi="Times New Roman"/>
                <w:bCs/>
                <w:color w:val="auto"/>
                <w:sz w:val="21"/>
                <w:szCs w:val="21"/>
                <w:lang w:val="zh-CN"/>
              </w:rPr>
              <w:t>作为原料</w:t>
            </w:r>
            <w:r>
              <w:rPr>
                <w:rFonts w:ascii="Times New Roman" w:hAnsi="Times New Roman"/>
                <w:bCs/>
                <w:color w:val="auto"/>
                <w:sz w:val="21"/>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混凝土拌合楼</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废混凝土</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36 t/a</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经收集后，作为原料返回生产线。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钢筋加工厂</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废钢筋</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8.5 t/a</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经收集后，外卖到当地废品站。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实验室</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钢筋、混凝土</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少量</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测试完成后返回生产工序在利用。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工作人员</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生活垃圾</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9.36</w:t>
            </w:r>
            <w:r>
              <w:rPr>
                <w:rFonts w:ascii="Times New Roman" w:hAnsi="Times New Roman"/>
                <w:color w:val="auto"/>
                <w:sz w:val="21"/>
                <w:szCs w:val="21"/>
              </w:rPr>
              <w:t xml:space="preserve"> t/a</w:t>
            </w:r>
          </w:p>
        </w:tc>
        <w:tc>
          <w:tcPr>
            <w:tcW w:w="250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统一收集后</w:t>
            </w:r>
            <w:r>
              <w:rPr>
                <w:rFonts w:hint="eastAsia" w:ascii="Times New Roman" w:hAnsi="Times New Roman"/>
                <w:color w:val="auto"/>
                <w:sz w:val="21"/>
                <w:szCs w:val="21"/>
              </w:rPr>
              <w:t>按环卫部门要求处置。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机修车间</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废机油</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10kg</w:t>
            </w:r>
            <w:r>
              <w:rPr>
                <w:rFonts w:ascii="Times New Roman" w:hAnsi="Times New Roman"/>
                <w:color w:val="auto"/>
                <w:sz w:val="21"/>
                <w:szCs w:val="21"/>
              </w:rPr>
              <w:t>/a</w:t>
            </w:r>
          </w:p>
        </w:tc>
        <w:tc>
          <w:tcPr>
            <w:tcW w:w="2501" w:type="dxa"/>
            <w:vMerge w:val="restart"/>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rPr>
              <w:t>有资质单位处置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隔油池</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油脂</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10kg/a</w:t>
            </w:r>
          </w:p>
        </w:tc>
        <w:tc>
          <w:tcPr>
            <w:tcW w:w="2501" w:type="dxa"/>
            <w:vMerge w:val="continue"/>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生活污水处理系统</w:t>
            </w:r>
          </w:p>
        </w:tc>
        <w:tc>
          <w:tcPr>
            <w:tcW w:w="1289" w:type="dxa"/>
            <w:vMerge w:val="restart"/>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污泥</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0.567t/a</w:t>
            </w:r>
          </w:p>
        </w:tc>
        <w:tc>
          <w:tcPr>
            <w:tcW w:w="2501" w:type="dxa"/>
            <w:vMerge w:val="restart"/>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统一收集后按环卫部门要求处置。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四级沉淀池</w:t>
            </w:r>
          </w:p>
        </w:tc>
        <w:tc>
          <w:tcPr>
            <w:tcW w:w="1289" w:type="dxa"/>
            <w:vMerge w:val="continue"/>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0.4t/a</w:t>
            </w:r>
          </w:p>
        </w:tc>
        <w:tc>
          <w:tcPr>
            <w:tcW w:w="2501" w:type="dxa"/>
            <w:vMerge w:val="continue"/>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color w:val="auto"/>
                <w:sz w:val="21"/>
                <w:szCs w:val="21"/>
                <w:lang w:eastAsia="zh-CN"/>
              </w:rPr>
            </w:pPr>
            <w:r>
              <w:rPr>
                <w:rFonts w:hint="eastAsia" w:ascii="Times New Roman" w:hAnsi="Times New Roman"/>
                <w:color w:val="auto"/>
                <w:sz w:val="21"/>
                <w:szCs w:val="21"/>
                <w:lang w:eastAsia="zh-CN"/>
              </w:rPr>
              <w:t>初期雨水收集池</w:t>
            </w:r>
          </w:p>
        </w:tc>
        <w:tc>
          <w:tcPr>
            <w:tcW w:w="1289" w:type="dxa"/>
            <w:vMerge w:val="continue"/>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olor w:val="auto"/>
                <w:sz w:val="21"/>
                <w:szCs w:val="21"/>
                <w:lang w:eastAsia="zh-CN"/>
              </w:rPr>
            </w:pP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color w:val="auto"/>
                <w:sz w:val="21"/>
                <w:szCs w:val="21"/>
              </w:rPr>
            </w:pPr>
            <w:r>
              <w:rPr>
                <w:rFonts w:hint="eastAsia" w:ascii="Times New Roman" w:hAnsi="Times New Roman"/>
                <w:color w:val="auto"/>
                <w:sz w:val="21"/>
                <w:szCs w:val="21"/>
                <w:lang w:val="en-US" w:eastAsia="zh-CN"/>
              </w:rPr>
              <w:t>0.1t/a</w:t>
            </w:r>
          </w:p>
        </w:tc>
        <w:tc>
          <w:tcPr>
            <w:tcW w:w="2501" w:type="dxa"/>
            <w:vMerge w:val="continue"/>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95" w:type="dxa"/>
            <w:vMerge w:val="restart"/>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噪声</w:t>
            </w:r>
          </w:p>
        </w:tc>
        <w:tc>
          <w:tcPr>
            <w:tcW w:w="476"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施工期</w:t>
            </w: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施工设备、运输车辆</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噪声</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70dB-100dB</w:t>
            </w:r>
          </w:p>
        </w:tc>
        <w:tc>
          <w:tcPr>
            <w:tcW w:w="2501" w:type="dxa"/>
            <w:vMerge w:val="restart"/>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bCs/>
                <w:color w:val="auto"/>
                <w:sz w:val="21"/>
                <w:szCs w:val="21"/>
              </w:rPr>
              <w:t>噪声在传播过程中易衰减，易被厂房、墙体、植被的吸收和阻隔，在消声减震后噪声在厂界外可达标。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95"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c>
          <w:tcPr>
            <w:tcW w:w="476" w:type="dxa"/>
            <w:vAlign w:val="center"/>
          </w:tcPr>
          <w:p>
            <w:pPr>
              <w:keepNext w:val="0"/>
              <w:keepLines w:val="0"/>
              <w:pageBreakBefore w:val="0"/>
              <w:tabs>
                <w:tab w:val="left" w:pos="3960"/>
              </w:tabs>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运营期</w:t>
            </w:r>
          </w:p>
        </w:tc>
        <w:tc>
          <w:tcPr>
            <w:tcW w:w="156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搅拌机、水泵、风机、交通等</w:t>
            </w:r>
          </w:p>
        </w:tc>
        <w:tc>
          <w:tcPr>
            <w:tcW w:w="1289"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噪声</w:t>
            </w:r>
          </w:p>
        </w:tc>
        <w:tc>
          <w:tcPr>
            <w:tcW w:w="2200"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ascii="Times New Roman" w:hAnsi="Times New Roman"/>
                <w:color w:val="auto"/>
                <w:sz w:val="21"/>
                <w:szCs w:val="21"/>
              </w:rPr>
              <w:t>85dB -95dB</w:t>
            </w:r>
          </w:p>
        </w:tc>
        <w:tc>
          <w:tcPr>
            <w:tcW w:w="2501" w:type="dxa"/>
            <w:vMerge w:val="continue"/>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8822" w:type="dxa"/>
            <w:gridSpan w:val="6"/>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both"/>
              <w:textAlignment w:val="auto"/>
              <w:rPr>
                <w:rFonts w:ascii="Times New Roman" w:hAnsi="Times New Roman"/>
                <w:b/>
                <w:color w:val="auto"/>
                <w:sz w:val="21"/>
                <w:szCs w:val="21"/>
              </w:rPr>
            </w:pPr>
            <w:r>
              <w:rPr>
                <w:rFonts w:ascii="Times New Roman" w:hAnsi="Times New Roman"/>
                <w:b/>
                <w:color w:val="auto"/>
                <w:sz w:val="21"/>
                <w:szCs w:val="21"/>
              </w:rPr>
              <w:t>主要生态影响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建设项目施工期对生态环境的影响主要是开挖土方和填方所引起的水土流失量增加。随施工期的结束水土流失量也逐渐减少。</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运营期对生态环境的影响主要表现为：粉尘对周围农作物、人工植被和农田土壤的影响。粉尘降落在植物的叶面上，影响植物的蒸腾作用和对光的利用，如果粉尘、烟尘遇湿，在植物表面形成一层“薄壳”，则影响更重，粉尘、烟尘中的各种元素对植物生长也有一定影响。</w:t>
            </w:r>
          </w:p>
          <w:p>
            <w:pPr>
              <w:pStyle w:val="2"/>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根据现场调查，本项目占地范围内</w:t>
            </w:r>
            <w:r>
              <w:rPr>
                <w:rFonts w:hint="eastAsia" w:ascii="宋体" w:hAnsi="宋体" w:eastAsia="宋体" w:cs="宋体"/>
                <w:color w:val="auto"/>
                <w:sz w:val="24"/>
                <w:szCs w:val="24"/>
                <w:lang w:eastAsia="zh-CN"/>
              </w:rPr>
              <w:t>未发现</w:t>
            </w:r>
            <w:r>
              <w:rPr>
                <w:rFonts w:hint="eastAsia" w:ascii="宋体" w:hAnsi="宋体" w:eastAsia="宋体" w:cs="宋体"/>
                <w:color w:val="auto"/>
                <w:sz w:val="24"/>
                <w:szCs w:val="24"/>
              </w:rPr>
              <w:t>珍稀保护植物和名木古树分布。</w:t>
            </w:r>
          </w:p>
          <w:p>
            <w:pPr>
              <w:pStyle w:val="2"/>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p>
        </w:tc>
      </w:tr>
    </w:tbl>
    <w:p>
      <w:pPr>
        <w:rPr>
          <w:rFonts w:ascii="Times New Roman" w:hAnsi="Times New Roman"/>
          <w:color w:val="auto"/>
        </w:rPr>
        <w:sectPr>
          <w:headerReference r:id="rId6" w:type="default"/>
          <w:pgSz w:w="11906" w:h="16838"/>
          <w:pgMar w:top="1440" w:right="1797" w:bottom="1440" w:left="1797" w:header="851" w:footer="992" w:gutter="0"/>
          <w:pgNumType w:start="1"/>
          <w:cols w:space="720" w:num="1"/>
          <w:docGrid w:type="lines" w:linePitch="312" w:charSpace="0"/>
        </w:sectPr>
      </w:pPr>
    </w:p>
    <w:p>
      <w:pPr>
        <w:pStyle w:val="3"/>
        <w:spacing w:before="0" w:after="0" w:line="240" w:lineRule="auto"/>
        <w:rPr>
          <w:rFonts w:ascii="Times New Roman" w:hAnsi="Times New Roman"/>
          <w:color w:val="auto"/>
          <w:spacing w:val="2"/>
          <w:sz w:val="28"/>
          <w:szCs w:val="28"/>
        </w:rPr>
      </w:pPr>
      <w:bookmarkStart w:id="26" w:name="_Toc513627180"/>
      <w:r>
        <w:rPr>
          <w:rFonts w:ascii="Times New Roman" w:hAnsi="Times New Roman"/>
          <w:color w:val="auto"/>
          <w:spacing w:val="2"/>
          <w:sz w:val="28"/>
          <w:szCs w:val="28"/>
        </w:rPr>
        <w:t>表七、环境影响分析</w:t>
      </w:r>
      <w:bookmarkEnd w:id="26"/>
    </w:p>
    <w:tbl>
      <w:tblPr>
        <w:tblStyle w:val="43"/>
        <w:tblW w:w="882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2" w:hRule="atLeast"/>
        </w:trPr>
        <w:tc>
          <w:tcPr>
            <w:tcW w:w="8820" w:type="dxa"/>
          </w:tcPr>
          <w:p>
            <w:pPr>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一、施工期环境影响简要分析：</w:t>
            </w:r>
          </w:p>
          <w:p>
            <w:pPr>
              <w:pStyle w:val="123"/>
              <w:ind w:firstLine="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1、施工废气</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（1）粉尘</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施工期的扬尘属无组织排放，其产生量与施工范围、方式方法、土壤干湿度、气象等诸多因素有关，是一个难定量的问题。本项目采用类比方法对环境空气影响进行分析。</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根据有关资料，在施工现场近地面的粉尘浓度一般为0.3-0.6mg/m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，随地面风速，湿度而发生较大变化。在干燥和风速较大的天气情况下，施工现场近地面粉尘浓度将会超过《环境空气质量标准》（GB3096－2012）中二级标准中日平均值0.3mg/m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 xml:space="preserve"> 的1～2倍，污染较严重。</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距离项目最近关心点为东南面500m的乐在村，为避免施工期对周边村庄产生粉尘影响，要求施工单位采取如下措施防尘：</w:t>
            </w:r>
          </w:p>
          <w:p>
            <w:pPr>
              <w:spacing w:line="360" w:lineRule="auto"/>
              <w:ind w:firstLine="437"/>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①加强对施工机械、施工车辆的维修保养，禁止以柴油为燃料的施工机械超负荷工作，减少施工机械废气、运输车辆尾气的排放。</w:t>
            </w:r>
          </w:p>
          <w:p>
            <w:pPr>
              <w:spacing w:line="360" w:lineRule="auto"/>
              <w:ind w:firstLine="437"/>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②项目施工场地洒水降尘。四级或四级以上大风天气，应停止土方作业，同时作业处覆以防尘网。</w:t>
            </w:r>
          </w:p>
          <w:p>
            <w:pPr>
              <w:spacing w:line="360" w:lineRule="auto"/>
              <w:ind w:firstLine="437"/>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③施工场地内运输通道应及时清扫和平整，以尽量减少运输车辆行驶产生的扬尘。</w:t>
            </w:r>
          </w:p>
          <w:p>
            <w:pPr>
              <w:spacing w:line="360" w:lineRule="auto"/>
              <w:ind w:firstLine="437"/>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④施工过程中使用水泥、石灰、砂石、涂料、铺装材料等易产生扬尘的建筑材料，应采取密封存储、设置围挡或堆砌围墙、用防尘布苫盖等措施。</w:t>
            </w:r>
          </w:p>
          <w:p>
            <w:pPr>
              <w:spacing w:line="360" w:lineRule="auto"/>
              <w:ind w:firstLine="437"/>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⑤施工过程中产生的建筑垃圾，应及时清运。</w:t>
            </w:r>
          </w:p>
          <w:p>
            <w:pPr>
              <w:spacing w:line="360" w:lineRule="auto"/>
              <w:ind w:firstLine="437"/>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⑥运输车辆尽可能采用密闭车斗，加盖篷 布，保证物料不撒落。车辆应按照批准的路线和时间进行运输。</w:t>
            </w:r>
          </w:p>
          <w:p>
            <w:pPr>
              <w:spacing w:line="360" w:lineRule="auto"/>
              <w:ind w:firstLine="437"/>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⑦施工场地裸地要覆盖防尘布或防尘网、洒水抑尘，实行科学施工、文明施工、并采取行之有效的措施，以减少扬尘的污染。</w:t>
            </w:r>
          </w:p>
          <w:p>
            <w:pPr>
              <w:spacing w:line="360" w:lineRule="auto"/>
              <w:ind w:firstLine="43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通过采取以上措施，项目施工场地粉尘满足《大气污染物综合排放标准》（GB16297-1996）无组织排放监控浓度限值，项目施工对周围环境影响小。</w:t>
            </w:r>
          </w:p>
          <w:p>
            <w:pPr>
              <w:pStyle w:val="123"/>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（2）施工机械及运输车辆废气</w:t>
            </w:r>
          </w:p>
          <w:p>
            <w:pPr>
              <w:pStyle w:val="123"/>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项目施工阶段所使用的机械和运输车辆数量不大，施工机械和运输车辆尾气排放相对较小，并且施工区域有利于施工机械和运输车辆尾气的污染物稀释扩散，因此施工机械和运输车辆所产生污染在空气中经自然扩散和稀释后，对评价区域的空气环境质量影响不大。故一般情况下，对环境空气的影响轻微。</w:t>
            </w:r>
          </w:p>
          <w:p>
            <w:pPr>
              <w:pStyle w:val="123"/>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总的来说，项目施工期产生的大气环境影响具有阶段性、分散性和临时性的特征，并随施工活动的结束而结束。项目在严格采取环评提出的防治措施后，施工期产生的大气环境影响可以得到有效地控制，对周围环境影响较小。</w:t>
            </w:r>
          </w:p>
          <w:p>
            <w:pPr>
              <w:pStyle w:val="123"/>
              <w:ind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2、施工废水</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施工期产生废水主要来源于场地施工人员生活污水、施工时产生的废水。 </w:t>
            </w:r>
          </w:p>
          <w:p>
            <w:pPr>
              <w:adjustRightInd w:val="0"/>
              <w:snapToGrid w:val="0"/>
              <w:spacing w:line="360" w:lineRule="auto"/>
              <w:ind w:firstLine="480" w:firstLineChars="200"/>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（1）生活</w:t>
            </w:r>
            <w:r>
              <w:rPr>
                <w:rFonts w:hint="eastAsia" w:ascii="Times New Roman" w:hAnsi="Times New Roman" w:cs="Times New Roman"/>
                <w:color w:val="auto"/>
                <w:sz w:val="24"/>
                <w:szCs w:val="24"/>
                <w:lang w:eastAsia="zh-CN"/>
              </w:rPr>
              <w:t>污水</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施工人员平均每天约18人，施工人员主要来自于周边村民，不设置食宿。项目施工期为旱厕，施工期生活污水产生量为0.243 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/d，施工期产生的生活污水经2m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的收集池简单沉淀处理后，用于施工场地的降尘洒水，不外排。</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（2）混凝土拌合、施工设备冲洗废水</w:t>
            </w:r>
          </w:p>
          <w:p>
            <w:pPr>
              <w:adjustRightInd w:val="0"/>
              <w:snapToGrid w:val="0"/>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该项目施工废水主要由混凝土拌合、施工设备冲洗废水等产生。</w:t>
            </w:r>
          </w:p>
          <w:p>
            <w:pPr>
              <w:adjustRightInd w:val="0"/>
              <w:snapToGrid w:val="0"/>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施工期混凝土搅拌站由于建筑物多为钢架结构，混凝土拌合量小，因此，平均每天混凝土搅拌站废水量约0.5m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w:t>
            </w:r>
          </w:p>
          <w:p>
            <w:pPr>
              <w:adjustRightInd w:val="0"/>
              <w:snapToGrid w:val="0"/>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施工设备冲洗废水也就地到混凝土拌合站进行冲洗，经类比同类规模施工场地，施工设备冲洗废水量约0.2m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/d。</w:t>
            </w:r>
          </w:p>
          <w:p>
            <w:pPr>
              <w:adjustRightInd w:val="0"/>
              <w:snapToGrid w:val="0"/>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机械设备和工具清洗等产生的废水主要是泥沙悬浮物含量较大，根据国内外同类工程施工废水监测资料：混凝土养护废水悬浮物浓度1000mg/l～2000mg/l，pH值9～12，该项目施工废水所含悬浮物浓度属上述浓度变化范围的中下水平。设备、工具清洗等产生的废水量小，主要污染物为悬浮物和石油类，就地设一个2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的收集池收集后，经沉淀回用到混凝土拌合中，不外排。</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本环评提出施工产生的废水，经经收集池沉淀澄清处理后，循环作施工作业用水或洒水降尘。</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综上所述，项目施工期废水得到合理处置，对环境影响很小。</w:t>
            </w:r>
          </w:p>
          <w:p>
            <w:pPr>
              <w:pStyle w:val="123"/>
              <w:ind w:firstLine="0" w:firstLineChars="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3、施工噪声</w:t>
            </w:r>
          </w:p>
          <w:p>
            <w:pPr>
              <w:tabs>
                <w:tab w:val="left" w:pos="980"/>
              </w:tabs>
              <w:autoSpaceDE w:val="0"/>
              <w:autoSpaceDN w:val="0"/>
              <w:spacing w:line="360" w:lineRule="auto"/>
              <w:ind w:firstLine="480" w:firstLineChars="200"/>
              <w:rPr>
                <w:rFonts w:hint="default" w:ascii="Times New Roman" w:hAnsi="Times New Roman" w:cs="Times New Roman"/>
                <w:color w:val="auto"/>
                <w:sz w:val="24"/>
                <w:szCs w:val="24"/>
                <w:lang w:val="zh-CN"/>
              </w:rPr>
            </w:pPr>
            <w:bookmarkStart w:id="27" w:name="_Toc144176118"/>
            <w:bookmarkStart w:id="28" w:name="_Toc124303942"/>
            <w:r>
              <w:rPr>
                <w:rFonts w:hint="default" w:ascii="Times New Roman" w:hAnsi="Times New Roman" w:cs="Times New Roman"/>
                <w:color w:val="auto"/>
                <w:sz w:val="24"/>
                <w:szCs w:val="24"/>
                <w:lang w:val="zh-CN"/>
              </w:rPr>
              <w:t>通过工程分析项目施工机械产生的噪声级在84~9</w:t>
            </w:r>
            <w:r>
              <w:rPr>
                <w:rFonts w:hint="default" w:ascii="Times New Roman" w:hAnsi="Times New Roman" w:cs="Times New Roman"/>
                <w:color w:val="auto"/>
                <w:sz w:val="24"/>
                <w:szCs w:val="24"/>
              </w:rPr>
              <w:t>5</w:t>
            </w:r>
            <w:r>
              <w:rPr>
                <w:rFonts w:hint="default" w:ascii="Times New Roman" w:hAnsi="Times New Roman" w:cs="Times New Roman"/>
                <w:color w:val="auto"/>
                <w:sz w:val="24"/>
                <w:szCs w:val="24"/>
                <w:lang w:val="zh-CN"/>
              </w:rPr>
              <w:t>dB之间，项目施工噪声对周边环境的影响预测如下：</w:t>
            </w:r>
          </w:p>
          <w:p>
            <w:pPr>
              <w:tabs>
                <w:tab w:val="left" w:pos="980"/>
              </w:tabs>
              <w:autoSpaceDE w:val="0"/>
              <w:autoSpaceDN w:val="0"/>
              <w:spacing w:line="360" w:lineRule="auto"/>
              <w:ind w:firstLine="480" w:firstLineChars="200"/>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距离传播衰减模式：</w:t>
            </w:r>
          </w:p>
          <w:p>
            <w:pPr>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object>
                <v:shape id="_x0000_i1029" o:spt="75" type="#_x0000_t75" style="height:17pt;width:108.7pt;" o:ole="t" fillcolor="#000011" filled="f" o:preferrelative="t" stroked="f" coordsize="21600,21600">
                  <v:path/>
                  <v:fill on="f" focussize="0,0"/>
                  <v:stroke on="f" joinstyle="miter"/>
                  <v:imagedata r:id="rId23" o:title=""/>
                  <o:lock v:ext="edit" aspectratio="t"/>
                  <w10:wrap type="none"/>
                  <w10:anchorlock/>
                </v:shape>
                <o:OLEObject Type="Embed" ProgID="Equation.3" ShapeID="_x0000_i1029" DrawAspect="Content" ObjectID="_1468075729" r:id="rId22">
                  <o:LockedField>false</o:LockedField>
                </o:OLEObject>
              </w:object>
            </w:r>
          </w:p>
          <w:p>
            <w:pPr>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w:t>
            </w:r>
            <w:r>
              <w:rPr>
                <w:rFonts w:hint="default" w:ascii="Times New Roman" w:hAnsi="Times New Roman" w:cs="Times New Roman"/>
                <w:color w:val="auto"/>
                <w:sz w:val="24"/>
                <w:szCs w:val="24"/>
              </w:rPr>
              <w:object>
                <v:shape id="_x0000_i1030" o:spt="75" type="#_x0000_t75" style="height:17pt;width:12.9pt;" o:ole="t" fillcolor="#000011" filled="f" o:preferrelative="t" stroked="f" coordsize="21600,21600">
                  <v:path/>
                  <v:fill on="f" focussize="0,0"/>
                  <v:stroke on="f" joinstyle="miter"/>
                  <v:imagedata r:id="rId25" o:title=""/>
                  <o:lock v:ext="edit" aspectratio="t"/>
                  <w10:wrap type="none"/>
                  <w10:anchorlock/>
                </v:shape>
                <o:OLEObject Type="Embed" ProgID="Equation.3" ShapeID="_x0000_i1030" DrawAspect="Content" ObjectID="_1468075730" r:id="rId24">
                  <o:LockedField>false</o:LockedField>
                </o:OLEObject>
              </w:objec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rPr>
              <w:object>
                <v:shape id="_x0000_i1031" o:spt="75" type="#_x0000_t75" style="height:17pt;width:14.95pt;" o:ole="t" fillcolor="#000011" filled="f" o:preferrelative="t" stroked="f" coordsize="21600,21600">
                  <v:path/>
                  <v:fill on="f" focussize="0,0"/>
                  <v:stroke on="f" joinstyle="miter"/>
                  <v:imagedata r:id="rId27" o:title=""/>
                  <o:lock v:ext="edit" aspectratio="t"/>
                  <w10:wrap type="none"/>
                  <w10:anchorlock/>
                </v:shape>
                <o:OLEObject Type="Embed" ProgID="Equation.3" ShapeID="_x0000_i1031" DrawAspect="Content" ObjectID="_1468075731" r:id="rId26">
                  <o:LockedField>false</o:LockedField>
                </o:OLEObject>
              </w:object>
            </w:r>
            <w:r>
              <w:rPr>
                <w:rFonts w:hint="default" w:ascii="Times New Roman" w:hAnsi="Times New Roman" w:cs="Times New Roman"/>
                <w:color w:val="auto"/>
                <w:sz w:val="24"/>
                <w:szCs w:val="24"/>
              </w:rPr>
              <w:t>—距声源、处的等效A声级，dB(A)；</w:t>
            </w:r>
          </w:p>
          <w:p>
            <w:pPr>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object>
                <v:shape id="_x0000_i1032" o:spt="75" type="#_x0000_t75" style="height:17pt;width:12.9pt;" o:ole="t" fillcolor="#000011" filled="f" o:preferrelative="t" stroked="f" coordsize="21600,21600">
                  <v:path/>
                  <v:fill on="f" focussize="0,0"/>
                  <v:stroke on="f" joinstyle="miter"/>
                  <v:imagedata r:id="rId29" o:title=""/>
                  <o:lock v:ext="edit" aspectratio="t"/>
                  <w10:wrap type="none"/>
                  <w10:anchorlock/>
                </v:shape>
                <o:OLEObject Type="Embed" ProgID="Equation.3" ShapeID="_x0000_i1032" DrawAspect="Content" ObjectID="_1468075732" r:id="rId28">
                  <o:LockedField>false</o:LockedField>
                </o:OLEObject>
              </w:objec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rPr>
              <w:object>
                <v:shape id="_x0000_i1033" o:spt="75" type="#_x0000_t75" style="height:17pt;width:14.25pt;" o:ole="t" fillcolor="#000011" filled="f" o:preferrelative="t" stroked="f" coordsize="21600,21600">
                  <v:path/>
                  <v:fill on="f" focussize="0,0"/>
                  <v:stroke on="f" joinstyle="miter"/>
                  <v:imagedata r:id="rId31" o:title=""/>
                  <o:lock v:ext="edit" aspectratio="t"/>
                  <w10:wrap type="none"/>
                  <w10:anchorlock/>
                </v:shape>
                <o:OLEObject Type="Embed" ProgID="Equation.3" ShapeID="_x0000_i1033" DrawAspect="Content" ObjectID="_1468075733" r:id="rId30">
                  <o:LockedField>false</o:LockedField>
                </o:OLEObject>
              </w:object>
            </w:r>
            <w:r>
              <w:rPr>
                <w:rFonts w:hint="default" w:ascii="Times New Roman" w:hAnsi="Times New Roman" w:cs="Times New Roman"/>
                <w:color w:val="auto"/>
                <w:sz w:val="24"/>
                <w:szCs w:val="24"/>
              </w:rPr>
              <w:t>—接受点距声源的距离，m。</w:t>
            </w:r>
          </w:p>
          <w:p>
            <w:pPr>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由上式推算出随距离增加而衰减的量</w:t>
            </w:r>
            <w:r>
              <w:rPr>
                <w:rFonts w:hint="default" w:ascii="Times New Roman" w:hAnsi="Times New Roman" w:cs="Times New Roman"/>
                <w:color w:val="auto"/>
                <w:sz w:val="24"/>
                <w:szCs w:val="24"/>
              </w:rPr>
              <w:object>
                <v:shape id="_x0000_i1034" o:spt="75" type="#_x0000_t75" style="height:17pt;width:135.85pt;" o:ole="t" fillcolor="#000011" filled="f" o:preferrelative="t" stroked="f" coordsize="21600,21600">
                  <v:path/>
                  <v:fill on="f" focussize="0,0"/>
                  <v:stroke on="f" joinstyle="miter"/>
                  <v:imagedata r:id="rId33" o:title=""/>
                  <o:lock v:ext="edit" aspectratio="t"/>
                  <w10:wrap type="none"/>
                  <w10:anchorlock/>
                </v:shape>
                <o:OLEObject Type="Embed" ProgID="Equation.3" ShapeID="_x0000_i1034" DrawAspect="Content" ObjectID="_1468075734" r:id="rId32">
                  <o:LockedField>false</o:LockedField>
                </o:OLEObject>
              </w:object>
            </w:r>
            <w:r>
              <w:rPr>
                <w:rFonts w:hint="default" w:ascii="Times New Roman" w:hAnsi="Times New Roman" w:cs="Times New Roman"/>
                <w:color w:val="auto"/>
                <w:sz w:val="24"/>
                <w:szCs w:val="24"/>
              </w:rPr>
              <w:t>，得出噪声值随距离衰减的结果见表7-1。</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表7-1   施工噪声值随距离衰减的关系</w:t>
            </w:r>
          </w:p>
          <w:tbl>
            <w:tblPr>
              <w:tblStyle w:val="43"/>
              <w:tblW w:w="8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4"/>
              <w:gridCol w:w="933"/>
              <w:gridCol w:w="956"/>
              <w:gridCol w:w="1163"/>
              <w:gridCol w:w="1186"/>
              <w:gridCol w:w="883"/>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2294"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距离(m)</w:t>
                  </w:r>
                </w:p>
              </w:tc>
              <w:tc>
                <w:tcPr>
                  <w:tcW w:w="93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956"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116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1186"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w:t>
                  </w:r>
                </w:p>
              </w:tc>
              <w:tc>
                <w:tcPr>
                  <w:tcW w:w="88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106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jc w:val="center"/>
              </w:trPr>
              <w:tc>
                <w:tcPr>
                  <w:tcW w:w="2294" w:type="dxa"/>
                  <w:vAlign w:val="center"/>
                </w:tcPr>
                <w:p>
                  <w:pPr>
                    <w:spacing w:line="240" w:lineRule="exact"/>
                    <w:jc w:val="center"/>
                    <w:rPr>
                      <w:rFonts w:hint="default" w:ascii="Times New Roman" w:hAnsi="Times New Roman" w:cs="Times New Roman"/>
                      <w:color w:val="auto"/>
                      <w:sz w:val="21"/>
                      <w:szCs w:val="21"/>
                    </w:rPr>
                  </w:pPr>
                  <w:bookmarkStart w:id="29" w:name="_Hlk259888754"/>
                  <w:bookmarkStart w:id="30" w:name="OLE_LINK9" w:colFirst="2" w:colLast="10"/>
                  <w:r>
                    <w:rPr>
                      <w:rFonts w:hint="default" w:ascii="Times New Roman" w:hAnsi="Times New Roman" w:cs="Times New Roman"/>
                      <w:color w:val="auto"/>
                      <w:sz w:val="21"/>
                      <w:szCs w:val="21"/>
                    </w:rPr>
                    <w:object>
                      <v:shape id="_x0000_i1035" o:spt="75" type="#_x0000_t75" style="height:12.9pt;width:19pt;" o:ole="t" fillcolor="#000011" filled="f" o:preferrelative="t" stroked="f" coordsize="21600,21600">
                        <v:path/>
                        <v:fill on="f" focussize="0,0"/>
                        <v:stroke on="f" joinstyle="miter"/>
                        <v:imagedata r:id="rId35" o:title=""/>
                        <o:lock v:ext="edit" aspectratio="t"/>
                        <w10:wrap type="none"/>
                        <w10:anchorlock/>
                      </v:shape>
                      <o:OLEObject Type="Embed" ProgID="Equation.3" ShapeID="_x0000_i1035" DrawAspect="Content" ObjectID="_1468075735" r:id="rId34">
                        <o:LockedField>false</o:LockedField>
                      </o:OLEObject>
                    </w:object>
                  </w:r>
                  <w:r>
                    <w:rPr>
                      <w:rFonts w:hint="default" w:ascii="Times New Roman" w:hAnsi="Times New Roman" w:cs="Times New Roman"/>
                      <w:color w:val="auto"/>
                      <w:sz w:val="21"/>
                      <w:szCs w:val="21"/>
                    </w:rPr>
                    <w:t>[dB(A)]</w:t>
                  </w:r>
                </w:p>
              </w:tc>
              <w:tc>
                <w:tcPr>
                  <w:tcW w:w="93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956"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p>
              </w:tc>
              <w:tc>
                <w:tcPr>
                  <w:tcW w:w="116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34</w:t>
                  </w:r>
                </w:p>
              </w:tc>
              <w:tc>
                <w:tcPr>
                  <w:tcW w:w="1186"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88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43</w:t>
                  </w:r>
                </w:p>
              </w:tc>
              <w:tc>
                <w:tcPr>
                  <w:tcW w:w="106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46</w:t>
                  </w:r>
                </w:p>
              </w:tc>
            </w:tr>
            <w:bookmarkEnd w:id="29"/>
            <w:bookmarkEnd w:id="30"/>
          </w:tbl>
          <w:p>
            <w:pPr>
              <w:autoSpaceDE w:val="0"/>
              <w:autoSpaceDN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各受声点的声源叠加按下列公式计算：</w:t>
            </w:r>
          </w:p>
          <w:p>
            <w:pPr>
              <w:autoSpaceDE w:val="0"/>
              <w:autoSpaceDN w:val="0"/>
              <w:spacing w:line="360" w:lineRule="auto"/>
              <w:ind w:left="960" w:firstLine="480" w:firstLineChars="200"/>
              <w:jc w:val="left"/>
              <w:rPr>
                <w:rFonts w:hint="default" w:ascii="Times New Roman" w:hAnsi="Times New Roman" w:cs="Times New Roman"/>
                <w:color w:val="auto"/>
                <w:sz w:val="24"/>
                <w:szCs w:val="24"/>
              </w:rPr>
            </w:pPr>
          </w:p>
          <w:p>
            <w:pPr>
              <w:autoSpaceDE w:val="0"/>
              <w:autoSpaceDN w:val="0"/>
              <w:spacing w:line="360" w:lineRule="auto"/>
              <w:ind w:left="960" w:firstLine="480" w:firstLineChars="200"/>
              <w:jc w:val="left"/>
              <w:rPr>
                <w:rFonts w:hint="default" w:ascii="Times New Roman" w:hAnsi="Times New Roman" w:cs="Times New Roman"/>
                <w:color w:val="auto"/>
                <w:sz w:val="24"/>
                <w:szCs w:val="24"/>
              </w:rPr>
            </w:pPr>
          </w:p>
          <w:p>
            <w:pPr>
              <w:autoSpaceDE w:val="0"/>
              <w:autoSpaceDN w:val="0"/>
              <w:spacing w:line="360" w:lineRule="auto"/>
              <w:ind w:firstLine="240" w:firstLineChars="1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pict>
                <v:shape id="Picture 8" o:spid="_x0000_s2013" o:spt="75" type="#_x0000_t75" style="position:absolute;left:0pt;margin-left:25.6pt;margin-top:-45.95pt;height:40.6pt;width:142pt;mso-wrap-distance-bottom:0pt;mso-wrap-distance-left:9pt;mso-wrap-distance-right:9pt;mso-wrap-distance-top:0pt;z-index:251658240;mso-width-relative:page;mso-height-relative:page;" o:ole="t" filled="f" o:preferrelative="t" stroked="f" coordsize="21600,21600">
                  <v:path/>
                  <v:fill on="f" focussize="0,0"/>
                  <v:stroke on="f" joinstyle="miter"/>
                  <v:imagedata r:id="rId37" o:title=""/>
                  <o:lock v:ext="edit" aspectratio="t"/>
                  <w10:wrap type="square" side="right"/>
                </v:shape>
                <o:OLEObject Type="Embed" ProgID="Equation.3" ShapeID="Picture 8" DrawAspect="Content" ObjectID="_1468075736" r:id="rId36">
                  <o:LockedField>false</o:LockedField>
                </o:OLEObject>
              </w:pict>
            </w:r>
            <w:r>
              <w:rPr>
                <w:rFonts w:hint="default" w:ascii="Times New Roman" w:hAnsi="Times New Roman" w:cs="Times New Roman"/>
                <w:color w:val="auto"/>
                <w:sz w:val="24"/>
                <w:szCs w:val="24"/>
              </w:rPr>
              <w:t>式中：Li--- 第i个声源声值；</w:t>
            </w:r>
          </w:p>
          <w:p>
            <w:pPr>
              <w:autoSpaceDE w:val="0"/>
              <w:autoSpaceDN w:val="0"/>
              <w:spacing w:line="360" w:lineRule="auto"/>
              <w:ind w:firstLine="960" w:firstLineChars="4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LA---某点噪声总叠加值；</w:t>
            </w:r>
          </w:p>
          <w:p>
            <w:pPr>
              <w:autoSpaceDE w:val="0"/>
              <w:autoSpaceDN w:val="0"/>
              <w:spacing w:line="360" w:lineRule="auto"/>
              <w:ind w:firstLine="840" w:firstLineChars="35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n---声源个数</w:t>
            </w:r>
          </w:p>
          <w:p>
            <w:pPr>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项目主要施工机械的施工噪声贡献值随距离衰减后的情况及项目施工机械同时使用是的噪声叠加情况见表7-2。</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表7-2   施工噪声贡献值随距离衰减及叠加的情况表</w:t>
            </w:r>
          </w:p>
          <w:tbl>
            <w:tblPr>
              <w:tblStyle w:val="43"/>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009"/>
              <w:gridCol w:w="812"/>
              <w:gridCol w:w="813"/>
              <w:gridCol w:w="813"/>
              <w:gridCol w:w="812"/>
              <w:gridCol w:w="813"/>
              <w:gridCol w:w="813"/>
              <w:gridCol w:w="812"/>
              <w:gridCol w:w="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9"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距离(m)</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衰减值</w:t>
                  </w:r>
                </w:p>
              </w:tc>
              <w:tc>
                <w:tcPr>
                  <w:tcW w:w="812"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81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p>
              </w:tc>
              <w:tc>
                <w:tcPr>
                  <w:tcW w:w="81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34</w:t>
                  </w:r>
                </w:p>
              </w:tc>
              <w:tc>
                <w:tcPr>
                  <w:tcW w:w="812"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81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43</w:t>
                  </w:r>
                </w:p>
              </w:tc>
              <w:tc>
                <w:tcPr>
                  <w:tcW w:w="81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46</w:t>
                  </w:r>
                </w:p>
              </w:tc>
              <w:tc>
                <w:tcPr>
                  <w:tcW w:w="812"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48</w:t>
                  </w:r>
                </w:p>
              </w:tc>
              <w:tc>
                <w:tcPr>
                  <w:tcW w:w="813" w:type="dxa"/>
                  <w:vAlign w:val="center"/>
                </w:tcPr>
                <w:p>
                  <w:pPr>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推土机</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86</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66</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52</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46</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43</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38</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装载机</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56</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47</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44</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挖掘机</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84</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64</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44</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41</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38</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36</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电焊机</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85</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65</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51</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39</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卡车</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92</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72</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58</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52</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49</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46</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44</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打桩机</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56</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47</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44</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商品混凝土运输车</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56</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47</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44</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混凝土输送泵</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88</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68</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54</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48</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exact"/>
                <w:jc w:val="center"/>
              </w:trPr>
              <w:tc>
                <w:tcPr>
                  <w:tcW w:w="2009"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叠加值</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97.9</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77.9</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63.9</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57.9</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54.9</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51.7</w:t>
                  </w:r>
                </w:p>
              </w:tc>
              <w:tc>
                <w:tcPr>
                  <w:tcW w:w="812"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49.9</w:t>
                  </w:r>
                </w:p>
              </w:tc>
              <w:tc>
                <w:tcPr>
                  <w:tcW w:w="813" w:type="dxa"/>
                  <w:vAlign w:val="center"/>
                </w:tcPr>
                <w:p>
                  <w:pPr>
                    <w:snapToGrid w:val="0"/>
                    <w:spacing w:line="2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47.9</w:t>
                  </w:r>
                </w:p>
              </w:tc>
            </w:tr>
          </w:tbl>
          <w:p>
            <w:pPr>
              <w:spacing w:line="360" w:lineRule="auto"/>
              <w:ind w:right="226"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由上表可以看出，项目昼间50m范围外施工机械噪声叠加贡献值可以满足《建筑施工场界环境噪声排放标准》（GB12523—2011）限值（70dB(A)）。</w:t>
            </w:r>
          </w:p>
          <w:p>
            <w:pPr>
              <w:spacing w:line="360" w:lineRule="auto"/>
              <w:ind w:right="226"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距离项目最近关心点为东南面500m的乐在村，不在评价范围内，因此项目建设不会对其产生影响。</w:t>
            </w:r>
          </w:p>
          <w:bookmarkEnd w:id="27"/>
          <w:bookmarkEnd w:id="28"/>
          <w:p>
            <w:pPr>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4、施工固废</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项目施工期固体废弃物主要是施工建筑垃圾和施工人员生活垃圾以及</w:t>
            </w:r>
            <w:r>
              <w:rPr>
                <w:rFonts w:hint="eastAsia" w:ascii="Times New Roman" w:hAnsi="Times New Roman" w:cs="Times New Roman"/>
                <w:color w:val="auto"/>
                <w:sz w:val="24"/>
                <w:szCs w:val="24"/>
                <w:lang w:eastAsia="zh-CN"/>
              </w:rPr>
              <w:t>剥离表土</w:t>
            </w:r>
            <w:r>
              <w:rPr>
                <w:rFonts w:hint="default" w:ascii="Times New Roman" w:hAnsi="Times New Roman" w:cs="Times New Roman"/>
                <w:color w:val="auto"/>
                <w:sz w:val="24"/>
                <w:szCs w:val="24"/>
              </w:rPr>
              <w:t>。</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（1）建筑垃圾</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施工期产生的建筑垃圾来源于建设施工阶段，废弃铁质或木质建材等，本项目建筑垃圾量约为104m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建筑垃圾需按照中华人民共和国建设部第139号令《城市建筑垃圾管理规定》中的有关规定妥善处置，废钢筋、废木材、废塑料、废包装材料等具有回收价值的可送废品收购站回收利用，不可回收部分按当地建设主管部门要求处置，禁止随意倾倒。只要施工单位按当地建设主管部门的要求，合理堆放建筑垃圾并进行综合利用，可有效避免不利影响的产生。</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（2）施工人员生活垃圾</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本项目施工人员产生的生活垃圾约为9kg/d，本环评要求对施工人员的生活垃圾应定点存放、及时收集、日产日清，经收集后按当地环卫部门要求处理。</w:t>
            </w:r>
          </w:p>
          <w:p>
            <w:pPr>
              <w:numPr>
                <w:ilvl w:val="0"/>
                <w:numId w:val="10"/>
              </w:numPr>
              <w:spacing w:line="360" w:lineRule="auto"/>
              <w:ind w:firstLine="480" w:firstLineChars="20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eastAsia="zh-CN"/>
              </w:rPr>
              <w:t>剥离表土</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前期对地表进行清理时</w:t>
            </w:r>
            <w:r>
              <w:rPr>
                <w:rFonts w:hint="eastAsia" w:ascii="Times New Roman" w:hAnsi="Times New Roman" w:cs="Times New Roman"/>
                <w:color w:val="auto"/>
                <w:sz w:val="24"/>
                <w:szCs w:val="24"/>
                <w:lang w:eastAsia="zh-CN"/>
              </w:rPr>
              <w:t>进行表土剥离</w:t>
            </w:r>
            <w:r>
              <w:rPr>
                <w:rFonts w:hint="default" w:ascii="Times New Roman" w:hAnsi="Times New Roman" w:cs="Times New Roman"/>
                <w:color w:val="auto"/>
                <w:sz w:val="24"/>
                <w:szCs w:val="24"/>
              </w:rPr>
              <w:t>，</w:t>
            </w:r>
            <w:r>
              <w:rPr>
                <w:rFonts w:hint="eastAsia" w:ascii="Times New Roman" w:hAnsi="Times New Roman" w:cs="Times New Roman"/>
                <w:color w:val="auto"/>
                <w:sz w:val="24"/>
                <w:szCs w:val="24"/>
                <w:lang w:eastAsia="zh-CN"/>
              </w:rPr>
              <w:t>剥离的表土堆存于项目区南侧临时堆场，待拆除全部工程后</w:t>
            </w:r>
            <w:r>
              <w:rPr>
                <w:rFonts w:hint="default" w:ascii="Times New Roman" w:hAnsi="Times New Roman" w:cs="Times New Roman"/>
                <w:color w:val="auto"/>
                <w:sz w:val="24"/>
                <w:szCs w:val="24"/>
              </w:rPr>
              <w:t>用于土地</w:t>
            </w:r>
            <w:r>
              <w:rPr>
                <w:rFonts w:hint="eastAsia" w:ascii="Times New Roman" w:hAnsi="Times New Roman" w:cs="Times New Roman"/>
                <w:color w:val="auto"/>
                <w:sz w:val="24"/>
                <w:szCs w:val="24"/>
                <w:lang w:eastAsia="zh-CN"/>
              </w:rPr>
              <w:t>恢复</w:t>
            </w:r>
            <w:r>
              <w:rPr>
                <w:rFonts w:hint="default" w:ascii="Times New Roman" w:hAnsi="Times New Roman" w:cs="Times New Roman"/>
                <w:color w:val="auto"/>
                <w:sz w:val="24"/>
                <w:szCs w:val="24"/>
              </w:rPr>
              <w:t>，不会对环境造成影响。</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所以，本项目施工期产生的固废只要管理得当、收集清运及时，都可以得到有效处置，对外环境影响小。</w:t>
            </w:r>
          </w:p>
          <w:p>
            <w:pPr>
              <w:adjustRightInd w:val="0"/>
              <w:snapToGrid w:val="0"/>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二、运营期环境影响分析</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1、环境空气影响分析</w:t>
            </w:r>
          </w:p>
          <w:p>
            <w:pPr>
              <w:pStyle w:val="273"/>
              <w:widowControl/>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根据《环境影响评价技术导则 大气环境》（HJ2.2-2018），采用推荐模式中的估算模型AERSCREEN对污染物的最大地面占标率Pi（第i个污染物）及第i个污染物的地面浓度达标准限值10%时所对应的最远距离D10%进行计算。其中Pi定义如下：</w:t>
            </w:r>
          </w:p>
          <w:p>
            <w:pPr>
              <w:pStyle w:val="273"/>
              <w:widowControl/>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object>
                <v:shape id="_x0000_i1036" o:spt="75" type="#_x0000_t75" style="height:31.25pt;width:40.75pt;" o:ole="t" filled="f" o:preferrelative="t" stroked="f" coordsize="21600,21600">
                  <v:path/>
                  <v:fill on="f" focussize="0,0"/>
                  <v:stroke on="f" joinstyle="miter"/>
                  <v:imagedata r:id="rId39" o:title=""/>
                  <o:lock v:ext="edit" aspectratio="t"/>
                  <w10:wrap type="none"/>
                  <w10:anchorlock/>
                </v:shape>
                <o:OLEObject Type="Embed" ProgID="Equation.DSMT4" ShapeID="_x0000_i1036" DrawAspect="Content" ObjectID="_1468075737" r:id="rId38">
                  <o:LockedField>false</o:LockedField>
                </o:OLEObject>
              </w:object>
            </w:r>
            <w:r>
              <w:rPr>
                <w:rFonts w:hint="default" w:ascii="Times New Roman" w:hAnsi="Times New Roman" w:cs="Times New Roman"/>
                <w:color w:val="auto"/>
                <w:sz w:val="24"/>
                <w:szCs w:val="24"/>
              </w:rPr>
              <w:t>×100%</w:t>
            </w:r>
          </w:p>
          <w:p>
            <w:pPr>
              <w:pStyle w:val="273"/>
              <w:widowControl/>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Pi—第i个污染物的最大地面浓度占标率，%；</w:t>
            </w:r>
          </w:p>
          <w:p>
            <w:pPr>
              <w:pStyle w:val="273"/>
              <w:widowControl/>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Ci—采用估算模式计算出的第i个污染物的最大地面浓度，mg/m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w:t>
            </w:r>
          </w:p>
          <w:p>
            <w:pPr>
              <w:pStyle w:val="273"/>
              <w:widowControl/>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C0i—第i 个污染物的环境空气质量标准，mg/m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w:t>
            </w:r>
          </w:p>
          <w:p>
            <w:pPr>
              <w:keepNext w:val="0"/>
              <w:keepLines w:val="0"/>
              <w:pageBreakBefore w:val="0"/>
              <w:widowControl w:val="0"/>
              <w:kinsoku/>
              <w:wordWrap/>
              <w:overflowPunct/>
              <w:topLinePunct w:val="0"/>
              <w:autoSpaceDE/>
              <w:autoSpaceDN/>
              <w:bidi w:val="0"/>
              <w:adjustRightInd/>
              <w:snapToGrid/>
              <w:spacing w:line="240" w:lineRule="auto"/>
              <w:ind w:firstLine="1147" w:firstLineChars="476"/>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表7-3大气环境评价工作等级分级判据</w:t>
            </w:r>
          </w:p>
          <w:tbl>
            <w:tblPr>
              <w:tblStyle w:val="43"/>
              <w:tblW w:w="828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090"/>
              <w:gridCol w:w="619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2090" w:type="dxa"/>
                  <w:vAlign w:val="center"/>
                </w:tcPr>
                <w:p>
                  <w:pPr>
                    <w:pStyle w:val="38"/>
                    <w:keepNext w:val="0"/>
                    <w:keepLines w:val="0"/>
                    <w:pageBreakBefore w:val="0"/>
                    <w:widowControl w:val="0"/>
                    <w:kinsoku/>
                    <w:wordWrap/>
                    <w:overflowPunct/>
                    <w:topLinePunct w:val="0"/>
                    <w:autoSpaceDE/>
                    <w:autoSpaceDN/>
                    <w:bidi w:val="0"/>
                    <w:adjustRightInd/>
                    <w:snapToGrid/>
                    <w:spacing w:before="0" w:beforeAutospacing="0" w:after="0" w:afterAutospacing="0"/>
                    <w:ind w:left="-62" w:right="-62" w:firstLine="422"/>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评价工作等级</w:t>
                  </w:r>
                </w:p>
              </w:tc>
              <w:tc>
                <w:tcPr>
                  <w:tcW w:w="6191" w:type="dxa"/>
                  <w:vAlign w:val="center"/>
                </w:tcPr>
                <w:p>
                  <w:pPr>
                    <w:pStyle w:val="38"/>
                    <w:keepNext w:val="0"/>
                    <w:keepLines w:val="0"/>
                    <w:pageBreakBefore w:val="0"/>
                    <w:widowControl w:val="0"/>
                    <w:kinsoku/>
                    <w:wordWrap/>
                    <w:overflowPunct/>
                    <w:topLinePunct w:val="0"/>
                    <w:autoSpaceDE/>
                    <w:autoSpaceDN/>
                    <w:bidi w:val="0"/>
                    <w:adjustRightInd/>
                    <w:snapToGrid/>
                    <w:spacing w:before="0" w:beforeAutospacing="0" w:after="0" w:afterAutospacing="0"/>
                    <w:ind w:left="-62" w:right="-62" w:firstLine="422"/>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评价工作分级判据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2090" w:type="dxa"/>
                  <w:vAlign w:val="center"/>
                </w:tcPr>
                <w:p>
                  <w:pPr>
                    <w:pStyle w:val="38"/>
                    <w:keepNext w:val="0"/>
                    <w:keepLines w:val="0"/>
                    <w:pageBreakBefore w:val="0"/>
                    <w:widowControl w:val="0"/>
                    <w:kinsoku/>
                    <w:wordWrap/>
                    <w:overflowPunct/>
                    <w:topLinePunct w:val="0"/>
                    <w:autoSpaceDE/>
                    <w:autoSpaceDN/>
                    <w:bidi w:val="0"/>
                    <w:adjustRightInd/>
                    <w:snapToGrid/>
                    <w:spacing w:before="0" w:beforeAutospacing="0" w:after="0" w:afterAutospacing="0"/>
                    <w:ind w:left="-62" w:right="-62" w:firstLine="42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一级</w:t>
                  </w:r>
                </w:p>
              </w:tc>
              <w:tc>
                <w:tcPr>
                  <w:tcW w:w="6191" w:type="dxa"/>
                  <w:vAlign w:val="center"/>
                </w:tcPr>
                <w:p>
                  <w:pPr>
                    <w:pStyle w:val="38"/>
                    <w:keepNext w:val="0"/>
                    <w:keepLines w:val="0"/>
                    <w:pageBreakBefore w:val="0"/>
                    <w:widowControl w:val="0"/>
                    <w:kinsoku/>
                    <w:wordWrap/>
                    <w:overflowPunct/>
                    <w:topLinePunct w:val="0"/>
                    <w:autoSpaceDE/>
                    <w:autoSpaceDN/>
                    <w:bidi w:val="0"/>
                    <w:adjustRightInd/>
                    <w:snapToGrid/>
                    <w:spacing w:before="0" w:beforeAutospacing="0" w:after="0" w:afterAutospacing="0"/>
                    <w:ind w:left="-62" w:right="-62" w:firstLine="42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Pmax≥10%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2090" w:type="dxa"/>
                  <w:vAlign w:val="center"/>
                </w:tcPr>
                <w:p>
                  <w:pPr>
                    <w:pStyle w:val="38"/>
                    <w:keepNext w:val="0"/>
                    <w:keepLines w:val="0"/>
                    <w:pageBreakBefore w:val="0"/>
                    <w:widowControl w:val="0"/>
                    <w:kinsoku/>
                    <w:wordWrap/>
                    <w:overflowPunct/>
                    <w:topLinePunct w:val="0"/>
                    <w:autoSpaceDE/>
                    <w:autoSpaceDN/>
                    <w:bidi w:val="0"/>
                    <w:adjustRightInd/>
                    <w:snapToGrid/>
                    <w:spacing w:before="0" w:beforeAutospacing="0" w:after="0" w:afterAutospacing="0"/>
                    <w:ind w:left="-62" w:right="-62" w:firstLine="42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二级</w:t>
                  </w:r>
                </w:p>
              </w:tc>
              <w:tc>
                <w:tcPr>
                  <w:tcW w:w="6191" w:type="dxa"/>
                  <w:vAlign w:val="center"/>
                </w:tcPr>
                <w:p>
                  <w:pPr>
                    <w:pStyle w:val="38"/>
                    <w:keepNext w:val="0"/>
                    <w:keepLines w:val="0"/>
                    <w:pageBreakBefore w:val="0"/>
                    <w:widowControl w:val="0"/>
                    <w:kinsoku/>
                    <w:wordWrap/>
                    <w:overflowPunct/>
                    <w:topLinePunct w:val="0"/>
                    <w:autoSpaceDE/>
                    <w:autoSpaceDN/>
                    <w:bidi w:val="0"/>
                    <w:adjustRightInd/>
                    <w:snapToGrid/>
                    <w:spacing w:before="0" w:beforeAutospacing="0" w:after="0" w:afterAutospacing="0"/>
                    <w:ind w:left="-62" w:right="-62" w:firstLine="42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1%≤Pmax＜10%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4" w:hRule="atLeast"/>
                <w:jc w:val="center"/>
              </w:trPr>
              <w:tc>
                <w:tcPr>
                  <w:tcW w:w="2090" w:type="dxa"/>
                  <w:vAlign w:val="center"/>
                </w:tcPr>
                <w:p>
                  <w:pPr>
                    <w:pStyle w:val="38"/>
                    <w:keepNext w:val="0"/>
                    <w:keepLines w:val="0"/>
                    <w:pageBreakBefore w:val="0"/>
                    <w:widowControl w:val="0"/>
                    <w:kinsoku/>
                    <w:wordWrap/>
                    <w:overflowPunct/>
                    <w:topLinePunct w:val="0"/>
                    <w:autoSpaceDE/>
                    <w:autoSpaceDN/>
                    <w:bidi w:val="0"/>
                    <w:adjustRightInd/>
                    <w:snapToGrid/>
                    <w:spacing w:before="0" w:beforeAutospacing="0" w:after="0" w:afterAutospacing="0"/>
                    <w:ind w:left="-62" w:right="-62" w:firstLine="42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三级</w:t>
                  </w:r>
                </w:p>
              </w:tc>
              <w:tc>
                <w:tcPr>
                  <w:tcW w:w="6191" w:type="dxa"/>
                  <w:vAlign w:val="center"/>
                </w:tcPr>
                <w:p>
                  <w:pPr>
                    <w:pStyle w:val="38"/>
                    <w:keepNext w:val="0"/>
                    <w:keepLines w:val="0"/>
                    <w:pageBreakBefore w:val="0"/>
                    <w:widowControl w:val="0"/>
                    <w:kinsoku/>
                    <w:wordWrap/>
                    <w:overflowPunct/>
                    <w:topLinePunct w:val="0"/>
                    <w:autoSpaceDE/>
                    <w:autoSpaceDN/>
                    <w:bidi w:val="0"/>
                    <w:adjustRightInd/>
                    <w:snapToGrid/>
                    <w:spacing w:before="0" w:beforeAutospacing="0" w:after="0" w:afterAutospacing="0"/>
                    <w:ind w:left="-62" w:right="-62" w:firstLine="42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Pmax＜1%</w:t>
                  </w:r>
                </w:p>
              </w:tc>
            </w:tr>
          </w:tbl>
          <w:p>
            <w:pPr>
              <w:pStyle w:val="273"/>
              <w:widowControl/>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根据预测结果项目大气污染物下风向最大占标率为2.35%。综上确定本项目环境空气影响评价等级为二级。</w:t>
            </w:r>
          </w:p>
          <w:p>
            <w:pPr>
              <w:pStyle w:val="273"/>
              <w:keepNext w:val="0"/>
              <w:keepLines w:val="0"/>
              <w:pageBreakBefore w:val="0"/>
              <w:widowControl/>
              <w:kinsoku/>
              <w:wordWrap/>
              <w:overflowPunct/>
              <w:topLinePunct w:val="0"/>
              <w:autoSpaceDE/>
              <w:autoSpaceDN/>
              <w:bidi w:val="0"/>
              <w:adjustRightInd/>
              <w:snapToGrid/>
              <w:spacing w:line="240" w:lineRule="auto"/>
              <w:ind w:firstLine="482" w:firstLineChars="20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表7-4 AERSCREEN估算模型参数表</w:t>
            </w:r>
          </w:p>
          <w:tbl>
            <w:tblPr>
              <w:tblStyle w:val="43"/>
              <w:tblW w:w="86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866"/>
              <w:gridCol w:w="2867"/>
              <w:gridCol w:w="286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733" w:type="dxa"/>
                  <w:gridSpan w:val="2"/>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参数</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取值</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866" w:type="dxa"/>
                  <w:vMerge w:val="restart"/>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城市/农村选项</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城市/农村</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农村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866" w:type="dxa"/>
                  <w:vMerge w:val="continue"/>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人口数（城市选项）</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733" w:type="dxa"/>
                  <w:gridSpan w:val="2"/>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最高环境温度/℃</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733" w:type="dxa"/>
                  <w:gridSpan w:val="2"/>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最低环境温度/℃</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733" w:type="dxa"/>
                  <w:gridSpan w:val="2"/>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土地利用类型</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农作地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733" w:type="dxa"/>
                  <w:gridSpan w:val="2"/>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区域湿度条件</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2湿润区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866" w:type="dxa"/>
                  <w:vMerge w:val="restart"/>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是否考虑地形</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考虑地形</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866" w:type="dxa"/>
                  <w:vMerge w:val="continue"/>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地形数据分辨率</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866" w:type="dxa"/>
                  <w:vMerge w:val="restart"/>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是否考虑海岸线熏烟</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考虑海岸线熏烟</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866" w:type="dxa"/>
                  <w:vMerge w:val="continue"/>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海岸线距离</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2866" w:type="dxa"/>
                  <w:vMerge w:val="continue"/>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海岸线方向/℃</w:t>
                  </w:r>
                </w:p>
              </w:tc>
              <w:tc>
                <w:tcPr>
                  <w:tcW w:w="2867" w:type="dxa"/>
                  <w:vAlign w:val="center"/>
                </w:tcPr>
                <w:p>
                  <w:pPr>
                    <w:pStyle w:val="273"/>
                    <w:keepNext w:val="0"/>
                    <w:keepLines w:val="0"/>
                    <w:pageBreakBefore w:val="0"/>
                    <w:widowControl/>
                    <w:kinsoku/>
                    <w:wordWrap/>
                    <w:overflowPunct/>
                    <w:topLinePunct w:val="0"/>
                    <w:autoSpaceDE/>
                    <w:autoSpaceDN/>
                    <w:bidi w:val="0"/>
                    <w:adjustRightInd/>
                    <w:snapToGrid/>
                    <w:spacing w:line="240" w:lineRule="auto"/>
                    <w:ind w:firstLine="420" w:firstLineChars="20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bl>
          <w:p>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（1）大气污染物调查清单</w:t>
            </w:r>
          </w:p>
          <w:p>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①大气污染源点源参数调查。</w:t>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本项目共设置12套除尘系统，具体见表5-3；本次环评考虑将G1、G2、G3、G4、G5、G6、G7、G8、G9、G10、G11、G12等效为一个排气筒进行计算预测。</w:t>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按照《大气污染物综合排放标准》（GB16297-1996）中附录A中计算方法：</w:t>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1314450" cy="390525"/>
                  <wp:effectExtent l="0" t="0" r="0" b="9525"/>
                  <wp:docPr id="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7"/>
                          <pic:cNvPicPr>
                            <a:picLocks noChangeAspect="1"/>
                          </pic:cNvPicPr>
                        </pic:nvPicPr>
                        <pic:blipFill>
                          <a:blip r:embed="rId40" cstate="print"/>
                          <a:stretch>
                            <a:fillRect/>
                          </a:stretch>
                        </pic:blipFill>
                        <pic:spPr>
                          <a:xfrm>
                            <a:off x="0" y="0"/>
                            <a:ext cx="1314450" cy="390525"/>
                          </a:xfrm>
                          <a:prstGeom prst="rect">
                            <a:avLst/>
                          </a:prstGeom>
                          <a:noFill/>
                          <a:ln w="9525">
                            <a:noFill/>
                          </a:ln>
                        </pic:spPr>
                      </pic:pic>
                    </a:graphicData>
                  </a:graphic>
                </wp:inline>
              </w:drawing>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式中：Q——等效排气筒某污染物排放速率；</w:t>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Q1、Q2——排气筒1</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和排气筒2</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的某种污染物排放速率。</w:t>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1789430" cy="462280"/>
                  <wp:effectExtent l="0" t="0" r="1270" b="13970"/>
                  <wp:docPr id="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8"/>
                          <pic:cNvPicPr>
                            <a:picLocks noChangeAspect="1"/>
                          </pic:cNvPicPr>
                        </pic:nvPicPr>
                        <pic:blipFill>
                          <a:blip r:embed="rId41" cstate="print"/>
                          <a:stretch>
                            <a:fillRect/>
                          </a:stretch>
                        </pic:blipFill>
                        <pic:spPr>
                          <a:xfrm>
                            <a:off x="0" y="0"/>
                            <a:ext cx="1789430" cy="462280"/>
                          </a:xfrm>
                          <a:prstGeom prst="rect">
                            <a:avLst/>
                          </a:prstGeom>
                          <a:noFill/>
                          <a:ln w="9525">
                            <a:noFill/>
                          </a:ln>
                        </pic:spPr>
                      </pic:pic>
                    </a:graphicData>
                  </a:graphic>
                </wp:inline>
              </w:drawing>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式中：h——等效排气筒某高度；</w:t>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h1、h2——排气筒1和排气筒2的高度。</w:t>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综上所述，根据以上计算后的等效排气筒情况如下表：</w:t>
            </w:r>
          </w:p>
          <w:p>
            <w:pPr>
              <w:pStyle w:val="2"/>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default" w:ascii="Times New Roman" w:hAnsi="Times New Roman" w:cs="Times New Roman"/>
                <w:b/>
                <w:bCs/>
                <w:color w:val="auto"/>
                <w:sz w:val="24"/>
                <w:szCs w:val="24"/>
                <w:lang w:val="zh-CN"/>
              </w:rPr>
            </w:pPr>
            <w:r>
              <w:rPr>
                <w:rFonts w:hint="default" w:ascii="Times New Roman" w:hAnsi="Times New Roman" w:cs="Times New Roman"/>
                <w:b/>
                <w:bCs/>
                <w:color w:val="auto"/>
                <w:sz w:val="24"/>
                <w:szCs w:val="24"/>
                <w:lang w:val="zh-CN"/>
              </w:rPr>
              <w:t>表</w:t>
            </w:r>
            <w:r>
              <w:rPr>
                <w:rFonts w:hint="default" w:ascii="Times New Roman" w:hAnsi="Times New Roman" w:cs="Times New Roman"/>
                <w:b/>
                <w:bCs/>
                <w:color w:val="auto"/>
                <w:sz w:val="24"/>
                <w:szCs w:val="24"/>
              </w:rPr>
              <w:t>7-5</w:t>
            </w:r>
            <w:r>
              <w:rPr>
                <w:rFonts w:hint="default" w:ascii="Times New Roman" w:hAnsi="Times New Roman" w:cs="Times New Roman"/>
                <w:b/>
                <w:bCs/>
                <w:color w:val="auto"/>
                <w:sz w:val="24"/>
                <w:szCs w:val="24"/>
                <w:lang w:val="zh-CN"/>
              </w:rPr>
              <w:t xml:space="preserve">  点源大气污染物排放参数</w:t>
            </w:r>
          </w:p>
          <w:tbl>
            <w:tblPr>
              <w:tblStyle w:val="4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59"/>
              <w:gridCol w:w="1879"/>
              <w:gridCol w:w="880"/>
              <w:gridCol w:w="1839"/>
              <w:gridCol w:w="1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排气筒编号</w:t>
                  </w:r>
                </w:p>
              </w:tc>
              <w:tc>
                <w:tcPr>
                  <w:tcW w:w="187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等效排放口高度</w:t>
                  </w:r>
                </w:p>
              </w:tc>
              <w:tc>
                <w:tcPr>
                  <w:tcW w:w="880"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内径</w:t>
                  </w:r>
                </w:p>
              </w:tc>
              <w:tc>
                <w:tcPr>
                  <w:tcW w:w="183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等效风量</w:t>
                  </w:r>
                </w:p>
              </w:tc>
              <w:tc>
                <w:tcPr>
                  <w:tcW w:w="183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等效排放速率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G合</w:t>
                  </w:r>
                </w:p>
              </w:tc>
              <w:tc>
                <w:tcPr>
                  <w:tcW w:w="187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36.7m</w:t>
                  </w:r>
                </w:p>
              </w:tc>
              <w:tc>
                <w:tcPr>
                  <w:tcW w:w="880"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0.3m</w:t>
                  </w:r>
                </w:p>
              </w:tc>
              <w:tc>
                <w:tcPr>
                  <w:tcW w:w="183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24</w:t>
                  </w:r>
                  <w:r>
                    <w:rPr>
                      <w:rFonts w:hint="default" w:ascii="Times New Roman" w:hAnsi="Times New Roman" w:cs="Times New Roman"/>
                      <w:color w:val="auto"/>
                      <w:sz w:val="21"/>
                      <w:szCs w:val="21"/>
                    </w:rPr>
                    <w:t>000m³/h</w:t>
                  </w:r>
                </w:p>
              </w:tc>
              <w:tc>
                <w:tcPr>
                  <w:tcW w:w="1839"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0.3344</w:t>
                  </w:r>
                  <w:r>
                    <w:rPr>
                      <w:rFonts w:hint="default" w:ascii="Times New Roman" w:hAnsi="Times New Roman" w:cs="Times New Roman"/>
                      <w:color w:val="auto"/>
                      <w:sz w:val="21"/>
                      <w:szCs w:val="21"/>
                    </w:rPr>
                    <w:t>kg/h</w:t>
                  </w:r>
                </w:p>
              </w:tc>
            </w:tr>
          </w:tbl>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估算模式采用的污染源参数见下表所列。估算模式计算一次浓度的气象类型采用系统自动筛选。估算模式中嵌入了多种预设的气象组合条件，包括一些最不利的气象条件，此类气象条件在某个地区有可能发生，也有可能不发生。因此经估算模式计算出的最大地面浓度大于进一步预测模式的计算结果。</w:t>
            </w:r>
          </w:p>
          <w:p>
            <w:pPr>
              <w:pStyle w:val="2"/>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表7-6 污染源排污情况汇总表</w:t>
            </w:r>
          </w:p>
          <w:tbl>
            <w:tblPr>
              <w:tblStyle w:val="43"/>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1005"/>
              <w:gridCol w:w="975"/>
              <w:gridCol w:w="1325"/>
              <w:gridCol w:w="1475"/>
              <w:gridCol w:w="900"/>
              <w:gridCol w:w="1075"/>
              <w:gridCol w:w="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restart"/>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污染源名称</w:t>
                  </w:r>
                </w:p>
              </w:tc>
              <w:tc>
                <w:tcPr>
                  <w:tcW w:w="1980" w:type="dxa"/>
                  <w:gridSpan w:val="2"/>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中心坐标</w:t>
                  </w:r>
                </w:p>
              </w:tc>
              <w:tc>
                <w:tcPr>
                  <w:tcW w:w="1325" w:type="dxa"/>
                  <w:vMerge w:val="restart"/>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海拔高度/m</w:t>
                  </w:r>
                </w:p>
              </w:tc>
              <w:tc>
                <w:tcPr>
                  <w:tcW w:w="1475" w:type="dxa"/>
                  <w:vMerge w:val="restart"/>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有效高度（m）</w:t>
                  </w:r>
                </w:p>
              </w:tc>
              <w:tc>
                <w:tcPr>
                  <w:tcW w:w="900" w:type="dxa"/>
                  <w:vMerge w:val="restart"/>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w:t>
                  </w:r>
                </w:p>
              </w:tc>
              <w:tc>
                <w:tcPr>
                  <w:tcW w:w="1075" w:type="dxa"/>
                  <w:vMerge w:val="restart"/>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排放速率</w:t>
                  </w:r>
                </w:p>
              </w:tc>
              <w:tc>
                <w:tcPr>
                  <w:tcW w:w="616" w:type="dxa"/>
                  <w:vMerge w:val="restart"/>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c>
                <w:tcPr>
                  <w:tcW w:w="1005" w:type="dxa"/>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X</w:t>
                  </w:r>
                </w:p>
              </w:tc>
              <w:tc>
                <w:tcPr>
                  <w:tcW w:w="975" w:type="dxa"/>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Y</w:t>
                  </w:r>
                </w:p>
              </w:tc>
              <w:tc>
                <w:tcPr>
                  <w:tcW w:w="1325" w:type="dxa"/>
                  <w:vMerge w:val="continue"/>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c>
                <w:tcPr>
                  <w:tcW w:w="1475" w:type="dxa"/>
                  <w:vMerge w:val="continue"/>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c>
                <w:tcPr>
                  <w:tcW w:w="900" w:type="dxa"/>
                  <w:vMerge w:val="continue"/>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c>
                <w:tcPr>
                  <w:tcW w:w="1075" w:type="dxa"/>
                  <w:vMerge w:val="continue"/>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c>
                <w:tcPr>
                  <w:tcW w:w="616" w:type="dxa"/>
                  <w:vMerge w:val="continue"/>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点源</w:t>
                  </w:r>
                </w:p>
              </w:tc>
              <w:tc>
                <w:tcPr>
                  <w:tcW w:w="1005" w:type="dxa"/>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102.3940</w:t>
                  </w:r>
                </w:p>
              </w:tc>
              <w:tc>
                <w:tcPr>
                  <w:tcW w:w="975" w:type="dxa"/>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25.3210</w:t>
                  </w:r>
                </w:p>
              </w:tc>
              <w:tc>
                <w:tcPr>
                  <w:tcW w:w="1325" w:type="dxa"/>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1690</w:t>
                  </w:r>
                </w:p>
              </w:tc>
              <w:tc>
                <w:tcPr>
                  <w:tcW w:w="1475" w:type="dxa"/>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36.7</w:t>
                  </w:r>
                </w:p>
              </w:tc>
              <w:tc>
                <w:tcPr>
                  <w:tcW w:w="900" w:type="dxa"/>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PM</w:t>
                  </w:r>
                  <w:r>
                    <w:rPr>
                      <w:rFonts w:hint="default" w:ascii="Times New Roman" w:hAnsi="Times New Roman" w:cs="Times New Roman"/>
                      <w:color w:val="auto"/>
                      <w:sz w:val="21"/>
                      <w:szCs w:val="21"/>
                      <w:vertAlign w:val="subscript"/>
                    </w:rPr>
                    <w:t>10</w:t>
                  </w:r>
                </w:p>
              </w:tc>
              <w:tc>
                <w:tcPr>
                  <w:tcW w:w="1075" w:type="dxa"/>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0.3344</w:t>
                  </w:r>
                </w:p>
              </w:tc>
              <w:tc>
                <w:tcPr>
                  <w:tcW w:w="616" w:type="dxa"/>
                  <w:noWrap/>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kg/h</w:t>
                  </w:r>
                </w:p>
              </w:tc>
            </w:tr>
          </w:tbl>
          <w:p>
            <w:pPr>
              <w:pStyle w:val="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PM</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rPr>
              <w:t>污染物评价标准和来源见下表。</w:t>
            </w:r>
          </w:p>
          <w:p>
            <w:pPr>
              <w:autoSpaceDE w:val="0"/>
              <w:autoSpaceDN w:val="0"/>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②大气污染源面源源参数调查清单见表7-5</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工程分析，本项目主要为砂石料堆棚、输送、计量、投料无组织粉尘、运输扬尘、焊接、食堂产生的无组织粉尘，无组织粉尘排放量为0.50424t/a。本次预测只针对混凝土拌和区的砂石料堆棚、输送、计量、投料无组织粉尘以及钢筋加工厂的焊接废气。混凝土拌和区各堆棚连接在一起且与混凝土系统相近，因此看做一个面源。</w:t>
            </w:r>
          </w:p>
          <w:p>
            <w:pPr>
              <w:spacing w:line="276" w:lineRule="auto"/>
              <w:ind w:firstLine="1147" w:firstLineChars="476"/>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表7-7项目区面源参数调查清单</w:t>
            </w:r>
          </w:p>
          <w:tbl>
            <w:tblPr>
              <w:tblStyle w:val="43"/>
              <w:tblW w:w="8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80"/>
              <w:gridCol w:w="1136"/>
              <w:gridCol w:w="793"/>
              <w:gridCol w:w="613"/>
              <w:gridCol w:w="462"/>
              <w:gridCol w:w="593"/>
              <w:gridCol w:w="608"/>
              <w:gridCol w:w="618"/>
              <w:gridCol w:w="724"/>
              <w:gridCol w:w="725"/>
              <w:gridCol w:w="1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tblHeader/>
                <w:jc w:val="center"/>
              </w:trPr>
              <w:tc>
                <w:tcPr>
                  <w:tcW w:w="7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名称</w:t>
                  </w:r>
                </w:p>
              </w:tc>
              <w:tc>
                <w:tcPr>
                  <w:tcW w:w="192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面源起点坐标</w:t>
                  </w:r>
                </w:p>
              </w:tc>
              <w:tc>
                <w:tcPr>
                  <w:tcW w:w="61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面源海拔高度/m</w:t>
                  </w:r>
                </w:p>
              </w:tc>
              <w:tc>
                <w:tcPr>
                  <w:tcW w:w="46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面源</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长度/m</w:t>
                  </w:r>
                </w:p>
              </w:tc>
              <w:tc>
                <w:tcPr>
                  <w:tcW w:w="59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面源</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宽度/m</w:t>
                  </w:r>
                </w:p>
              </w:tc>
              <w:tc>
                <w:tcPr>
                  <w:tcW w:w="60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与正北夹角/o</w:t>
                  </w:r>
                </w:p>
              </w:tc>
              <w:tc>
                <w:tcPr>
                  <w:tcW w:w="61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面源有效排放高度/m</w:t>
                  </w:r>
                </w:p>
              </w:tc>
              <w:tc>
                <w:tcPr>
                  <w:tcW w:w="724"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年排放小时数/h</w:t>
                  </w:r>
                </w:p>
              </w:tc>
              <w:tc>
                <w:tcPr>
                  <w:tcW w:w="72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排放工况</w:t>
                  </w:r>
                </w:p>
              </w:tc>
              <w:tc>
                <w:tcPr>
                  <w:tcW w:w="1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污染物排放速率（</w:t>
                  </w:r>
                  <w:r>
                    <w:rPr>
                      <w:rFonts w:hint="default" w:ascii="Times New Roman" w:hAnsi="Times New Roman" w:cs="Times New Roman"/>
                      <w:color w:val="auto"/>
                      <w:sz w:val="21"/>
                      <w:szCs w:val="21"/>
                      <w:lang w:val="en-US" w:eastAsia="zh-CN"/>
                    </w:rPr>
                    <w:t>kg</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val="en-US" w:eastAsia="zh-CN"/>
                    </w:rPr>
                    <w:t>h</w:t>
                  </w:r>
                  <w:r>
                    <w:rPr>
                      <w:rFonts w:hint="default" w:ascii="Times New Roman" w:hAnsi="Times New Roman"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tblHeader/>
                <w:jc w:val="center"/>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p>
              </w:tc>
              <w:tc>
                <w:tcPr>
                  <w:tcW w:w="11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X</w:t>
                  </w:r>
                </w:p>
              </w:tc>
              <w:tc>
                <w:tcPr>
                  <w:tcW w:w="7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Y</w:t>
                  </w:r>
                </w:p>
              </w:tc>
              <w:tc>
                <w:tcPr>
                  <w:tcW w:w="61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p>
              </w:tc>
              <w:tc>
                <w:tcPr>
                  <w:tcW w:w="46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p>
              </w:tc>
              <w:tc>
                <w:tcPr>
                  <w:tcW w:w="59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p>
              </w:tc>
              <w:tc>
                <w:tcPr>
                  <w:tcW w:w="60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p>
              </w:tc>
              <w:tc>
                <w:tcPr>
                  <w:tcW w:w="61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p>
              </w:tc>
              <w:tc>
                <w:tcPr>
                  <w:tcW w:w="72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p>
              </w:tc>
              <w:tc>
                <w:tcPr>
                  <w:tcW w:w="72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颗粒物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5"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混凝土拌合站</w:t>
                  </w:r>
                </w:p>
              </w:tc>
              <w:tc>
                <w:tcPr>
                  <w:tcW w:w="11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102.3941</w:t>
                  </w:r>
                </w:p>
              </w:tc>
              <w:tc>
                <w:tcPr>
                  <w:tcW w:w="7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25.3210</w:t>
                  </w:r>
                </w:p>
              </w:tc>
              <w:tc>
                <w:tcPr>
                  <w:tcW w:w="6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1696</w:t>
                  </w:r>
                </w:p>
              </w:tc>
              <w:tc>
                <w:tcPr>
                  <w:tcW w:w="4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126</w:t>
                  </w:r>
                </w:p>
              </w:tc>
              <w:tc>
                <w:tcPr>
                  <w:tcW w:w="5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6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6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7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2880</w:t>
                  </w:r>
                </w:p>
              </w:tc>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间断</w:t>
                  </w:r>
                </w:p>
              </w:tc>
              <w:tc>
                <w:tcPr>
                  <w:tcW w:w="1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0.1585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5"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钢筋加工厂</w:t>
                  </w:r>
                </w:p>
              </w:tc>
              <w:tc>
                <w:tcPr>
                  <w:tcW w:w="11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102.3940</w:t>
                  </w:r>
                </w:p>
              </w:tc>
              <w:tc>
                <w:tcPr>
                  <w:tcW w:w="7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25.3209</w:t>
                  </w:r>
                </w:p>
              </w:tc>
              <w:tc>
                <w:tcPr>
                  <w:tcW w:w="6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1686</w:t>
                  </w:r>
                </w:p>
              </w:tc>
              <w:tc>
                <w:tcPr>
                  <w:tcW w:w="4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5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w:t>
                  </w:r>
                </w:p>
              </w:tc>
              <w:tc>
                <w:tcPr>
                  <w:tcW w:w="6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w:t>
                  </w:r>
                </w:p>
              </w:tc>
              <w:tc>
                <w:tcPr>
                  <w:tcW w:w="6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7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720</w:t>
                  </w:r>
                </w:p>
              </w:tc>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间断</w:t>
                  </w:r>
                </w:p>
              </w:tc>
              <w:tc>
                <w:tcPr>
                  <w:tcW w:w="1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0.0575</w:t>
                  </w:r>
                </w:p>
              </w:tc>
            </w:tr>
          </w:tbl>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1.1有组织粉尘影响分析</w:t>
            </w:r>
          </w:p>
          <w:p>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预测结果。</w:t>
            </w:r>
          </w:p>
          <w:p>
            <w:pPr>
              <w:spacing w:line="276" w:lineRule="auto"/>
              <w:ind w:firstLine="1147" w:firstLineChars="476"/>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表7-8项目区有组织粉尘G合预测结果情况</w:t>
            </w:r>
          </w:p>
          <w:tbl>
            <w:tblPr>
              <w:tblStyle w:val="4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3"/>
              <w:gridCol w:w="2857"/>
              <w:gridCol w:w="3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51" w:type="pct"/>
                  <w:vMerge w:val="restart"/>
                  <w:vAlign w:val="center"/>
                </w:tcPr>
                <w:p>
                  <w:pPr>
                    <w:pStyle w:val="28"/>
                    <w:keepNext w:val="0"/>
                    <w:keepLines w:val="0"/>
                    <w:pageBreakBefore w:val="0"/>
                    <w:pBdr>
                      <w:bottom w:val="none" w:color="auto" w:sz="0" w:space="0"/>
                    </w:pBdr>
                    <w:kinsoku/>
                    <w:wordWrap/>
                    <w:overflowPunct/>
                    <w:topLinePunct w:val="0"/>
                    <w:autoSpaceDE/>
                    <w:autoSpaceDN/>
                    <w:bidi w:val="0"/>
                    <w:adjustRightInd/>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预测点位（距离预测点位距离m）</w:t>
                  </w:r>
                </w:p>
              </w:tc>
              <w:tc>
                <w:tcPr>
                  <w:tcW w:w="3548" w:type="pct"/>
                  <w:gridSpan w:val="2"/>
                  <w:tcBorders>
                    <w:right w:val="single" w:color="000000" w:sz="4" w:space="0"/>
                  </w:tcBorders>
                  <w:vAlign w:val="center"/>
                </w:tcPr>
                <w:p>
                  <w:pPr>
                    <w:pStyle w:val="28"/>
                    <w:keepNext w:val="0"/>
                    <w:keepLines w:val="0"/>
                    <w:pageBreakBefore w:val="0"/>
                    <w:pBdr>
                      <w:bottom w:val="none" w:color="auto" w:sz="0" w:space="0"/>
                    </w:pBdr>
                    <w:kinsoku/>
                    <w:wordWrap/>
                    <w:overflowPunct/>
                    <w:topLinePunct w:val="0"/>
                    <w:autoSpaceDE/>
                    <w:autoSpaceDN/>
                    <w:bidi w:val="0"/>
                    <w:adjustRightInd/>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G合（PM10）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Merge w:val="continue"/>
                  <w:vAlign w:val="center"/>
                </w:tcPr>
                <w:p>
                  <w:pPr>
                    <w:pStyle w:val="28"/>
                    <w:keepNext w:val="0"/>
                    <w:keepLines w:val="0"/>
                    <w:pageBreakBefore w:val="0"/>
                    <w:pBdr>
                      <w:bottom w:val="none" w:color="auto" w:sz="0" w:space="0"/>
                    </w:pBdr>
                    <w:kinsoku/>
                    <w:wordWrap/>
                    <w:overflowPunct/>
                    <w:topLinePunct w:val="0"/>
                    <w:autoSpaceDE/>
                    <w:autoSpaceDN/>
                    <w:bidi w:val="0"/>
                    <w:adjustRightInd/>
                    <w:jc w:val="center"/>
                    <w:rPr>
                      <w:rFonts w:hint="default" w:ascii="Times New Roman" w:hAnsi="Times New Roman" w:cs="Times New Roman"/>
                      <w:color w:val="auto"/>
                      <w:sz w:val="21"/>
                      <w:szCs w:val="21"/>
                    </w:rPr>
                  </w:pPr>
                </w:p>
              </w:tc>
              <w:tc>
                <w:tcPr>
                  <w:tcW w:w="1662" w:type="pct"/>
                  <w:vAlign w:val="center"/>
                </w:tcPr>
                <w:p>
                  <w:pPr>
                    <w:keepNext w:val="0"/>
                    <w:keepLines w:val="0"/>
                    <w:pageBreakBefore w:val="0"/>
                    <w:kinsoku/>
                    <w:wordWrap/>
                    <w:overflowPunct/>
                    <w:topLinePunct w:val="0"/>
                    <w:autoSpaceDE/>
                    <w:autoSpaceDN/>
                    <w:bidi w:val="0"/>
                    <w:adjustRightInd/>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小时预测浓度Cij/(μg/m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p>
              </w:tc>
              <w:tc>
                <w:tcPr>
                  <w:tcW w:w="1886" w:type="pct"/>
                  <w:vAlign w:val="center"/>
                </w:tcPr>
                <w:p>
                  <w:pPr>
                    <w:keepNext w:val="0"/>
                    <w:keepLines w:val="0"/>
                    <w:pageBreakBefore w:val="0"/>
                    <w:kinsoku/>
                    <w:wordWrap/>
                    <w:overflowPunct/>
                    <w:topLinePunct w:val="0"/>
                    <w:autoSpaceDE/>
                    <w:autoSpaceDN/>
                    <w:bidi w:val="0"/>
                    <w:adjustRightInd/>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小时浓度占标率Pij/%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shd w:val="clear" w:color="auto" w:fill="FFFFFF"/>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25</w:t>
                  </w:r>
                </w:p>
              </w:tc>
              <w:tc>
                <w:tcPr>
                  <w:tcW w:w="1662" w:type="pct"/>
                  <w:shd w:val="clear" w:color="auto" w:fill="FFFFFF"/>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0.08</w:t>
                  </w:r>
                </w:p>
              </w:tc>
              <w:tc>
                <w:tcPr>
                  <w:tcW w:w="1886" w:type="pct"/>
                  <w:shd w:val="clear" w:color="auto" w:fill="FFFFFF"/>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75</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1.19</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125</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1.9</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175</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2.41</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225</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3.41</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275</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3.84</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3.92</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321</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3.93</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350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3.9</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3.73</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450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3.59</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3.4</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550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3.21</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3.03</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650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2.87</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2.72</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750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2.58</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2.45</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850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2.34</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2.23</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2.05</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1.89</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1150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1.83</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1250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1.65</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1350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1.59</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1.55</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1.46</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1600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1.42</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1.44</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1800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1.45</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1900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1.44</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2000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1.42</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2100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1.39</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2200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1.35</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2300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1.32</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2400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1.28</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1"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2500</w:t>
                  </w:r>
                </w:p>
              </w:tc>
              <w:tc>
                <w:tcPr>
                  <w:tcW w:w="1662"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1.25</w:t>
                  </w:r>
                </w:p>
              </w:tc>
              <w:tc>
                <w:tcPr>
                  <w:tcW w:w="1886" w:type="pct"/>
                  <w:vAlign w:val="center"/>
                </w:tcPr>
                <w:p>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0.28</w:t>
                  </w:r>
                </w:p>
              </w:tc>
            </w:tr>
          </w:tbl>
          <w:p>
            <w:pPr>
              <w:spacing w:line="276" w:lineRule="auto"/>
              <w:ind w:firstLine="1147" w:firstLineChars="476"/>
              <w:jc w:val="left"/>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表7-9有组织污染物排放下风向预测最大地面浓度、占标率一览表</w:t>
            </w:r>
          </w:p>
          <w:tbl>
            <w:tblPr>
              <w:tblStyle w:val="43"/>
              <w:tblW w:w="8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925"/>
              <w:gridCol w:w="912"/>
              <w:gridCol w:w="2200"/>
              <w:gridCol w:w="1966"/>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类别</w:t>
                  </w:r>
                </w:p>
              </w:tc>
              <w:tc>
                <w:tcPr>
                  <w:tcW w:w="9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污染源</w:t>
                  </w:r>
                </w:p>
              </w:tc>
              <w:tc>
                <w:tcPr>
                  <w:tcW w:w="91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w:t>
                  </w:r>
                </w:p>
              </w:tc>
              <w:tc>
                <w:tcPr>
                  <w:tcW w:w="220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最大落地浓度（μg/m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p>
              </w:tc>
              <w:tc>
                <w:tcPr>
                  <w:tcW w:w="196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最大落地浓度占标率Pmax（%）</w:t>
                  </w:r>
                </w:p>
              </w:tc>
              <w:tc>
                <w:tcPr>
                  <w:tcW w:w="171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下风向最大浓度出现距离m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77" w:type="dxa"/>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有组织</w:t>
                  </w:r>
                </w:p>
              </w:tc>
              <w:tc>
                <w:tcPr>
                  <w:tcW w:w="925" w:type="dxa"/>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G合</w:t>
                  </w:r>
                </w:p>
              </w:tc>
              <w:tc>
                <w:tcPr>
                  <w:tcW w:w="912" w:type="dxa"/>
                  <w:tcBorders>
                    <w:top w:val="single" w:color="auto" w:sz="4" w:space="0"/>
                    <w:left w:val="single" w:color="auto" w:sz="4" w:space="0"/>
                    <w:right w:val="single" w:color="auto" w:sz="4" w:space="0"/>
                  </w:tcBorders>
                  <w:vAlign w:val="center"/>
                </w:tcPr>
                <w:p>
                  <w:pPr>
                    <w:tabs>
                      <w:tab w:val="left" w:pos="630"/>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PM</w:t>
                  </w:r>
                  <w:r>
                    <w:rPr>
                      <w:rFonts w:hint="default" w:ascii="Times New Roman" w:hAnsi="Times New Roman" w:cs="Times New Roman"/>
                      <w:color w:val="auto"/>
                      <w:sz w:val="21"/>
                      <w:szCs w:val="21"/>
                      <w:vertAlign w:val="subscript"/>
                    </w:rPr>
                    <w:t>10</w:t>
                  </w:r>
                </w:p>
              </w:tc>
              <w:tc>
                <w:tcPr>
                  <w:tcW w:w="2200" w:type="dxa"/>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3.93</w:t>
                  </w:r>
                </w:p>
              </w:tc>
              <w:tc>
                <w:tcPr>
                  <w:tcW w:w="1966" w:type="dxa"/>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0.87</w:t>
                  </w:r>
                </w:p>
              </w:tc>
              <w:tc>
                <w:tcPr>
                  <w:tcW w:w="171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321</w:t>
                  </w:r>
                </w:p>
              </w:tc>
            </w:tr>
          </w:tbl>
          <w:p>
            <w:pPr>
              <w:topLinePunct/>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由表7-9可知，项目区有组织PM</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rPr>
              <w:t>最大占标率为</w:t>
            </w:r>
            <w:r>
              <w:rPr>
                <w:rFonts w:hint="default" w:ascii="Times New Roman" w:hAnsi="Times New Roman" w:cs="Times New Roman"/>
                <w:color w:val="auto"/>
                <w:sz w:val="24"/>
                <w:szCs w:val="24"/>
                <w:lang w:val="en-US" w:eastAsia="zh-CN"/>
              </w:rPr>
              <w:t>0.87</w:t>
            </w:r>
            <w:r>
              <w:rPr>
                <w:rFonts w:hint="default" w:ascii="Times New Roman" w:hAnsi="Times New Roman" w:cs="Times New Roman"/>
                <w:color w:val="auto"/>
                <w:sz w:val="24"/>
                <w:szCs w:val="24"/>
              </w:rPr>
              <w:t>%，最大落地浓度为</w:t>
            </w:r>
            <w:r>
              <w:rPr>
                <w:rFonts w:hint="default" w:ascii="Times New Roman" w:hAnsi="Times New Roman" w:cs="Times New Roman"/>
                <w:color w:val="auto"/>
                <w:sz w:val="24"/>
                <w:szCs w:val="24"/>
                <w:lang w:val="en-US" w:eastAsia="zh-CN"/>
              </w:rPr>
              <w:t>3.93</w:t>
            </w:r>
            <w:r>
              <w:rPr>
                <w:rFonts w:hint="default" w:ascii="Times New Roman" w:hAnsi="Times New Roman" w:cs="Times New Roman"/>
                <w:color w:val="auto"/>
                <w:sz w:val="24"/>
                <w:szCs w:val="24"/>
              </w:rPr>
              <w:t>μg/m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，且最大落地浓度均出现在下风向</w:t>
            </w:r>
            <w:r>
              <w:rPr>
                <w:rFonts w:hint="default" w:ascii="Times New Roman" w:hAnsi="Times New Roman" w:cs="Times New Roman"/>
                <w:color w:val="auto"/>
                <w:sz w:val="24"/>
                <w:szCs w:val="24"/>
                <w:lang w:val="en-US" w:eastAsia="zh-CN"/>
              </w:rPr>
              <w:t>321</w:t>
            </w:r>
            <w:r>
              <w:rPr>
                <w:rFonts w:hint="default" w:ascii="Times New Roman" w:hAnsi="Times New Roman" w:cs="Times New Roman"/>
                <w:color w:val="auto"/>
                <w:sz w:val="24"/>
                <w:szCs w:val="24"/>
              </w:rPr>
              <w:t>m处。根据气象资料，项目区多年平均风向为西南风，距离项目区最近的保护目标为东南面500m的乐在村，且颗粒物排放浓度远远低于《大气污染物综合排放标准》（GB16297-1996）中颗粒物的浓度限值。由此可以判断，项目有组织排放粉尘PM</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rPr>
              <w:t>的浓度可以满足《大气污染物综合排放标准》（GB16297-1996）中的颗粒物无组织排放监控浓度限值的要求，对环境的影响较小。</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1.2无组织粉尘影响分析</w:t>
            </w:r>
          </w:p>
          <w:p>
            <w:pPr>
              <w:pStyle w:val="14"/>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预测结果见下表。</w:t>
            </w:r>
          </w:p>
          <w:p>
            <w:pPr>
              <w:spacing w:line="276" w:lineRule="auto"/>
              <w:ind w:firstLine="1147" w:firstLineChars="476"/>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表7-10项目区无组织预测结果情况</w:t>
            </w:r>
          </w:p>
          <w:tbl>
            <w:tblPr>
              <w:tblStyle w:val="43"/>
              <w:tblW w:w="8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1860"/>
              <w:gridCol w:w="1802"/>
              <w:gridCol w:w="1816"/>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299" w:type="dxa"/>
                  <w:vMerge w:val="restart"/>
                  <w:vAlign w:val="center"/>
                </w:tcPr>
                <w:p>
                  <w:pPr>
                    <w:pStyle w:val="28"/>
                    <w:pBdr>
                      <w:bottom w:val="none" w:color="auto" w:sz="0" w:space="0"/>
                    </w:pBd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预测点位（距离预测点位距离m）</w:t>
                  </w:r>
                </w:p>
              </w:tc>
              <w:tc>
                <w:tcPr>
                  <w:tcW w:w="3662" w:type="dxa"/>
                  <w:gridSpan w:val="2"/>
                  <w:tcBorders>
                    <w:right w:val="single" w:color="000000" w:sz="4" w:space="0"/>
                  </w:tcBorders>
                  <w:vAlign w:val="center"/>
                </w:tcPr>
                <w:p>
                  <w:pPr>
                    <w:pStyle w:val="28"/>
                    <w:pBdr>
                      <w:bottom w:val="none" w:color="auto" w:sz="0" w:space="0"/>
                    </w:pBd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混凝土拌和区（TSP）</w:t>
                  </w:r>
                </w:p>
              </w:tc>
              <w:tc>
                <w:tcPr>
                  <w:tcW w:w="3633" w:type="dxa"/>
                  <w:gridSpan w:val="2"/>
                  <w:tcBorders>
                    <w:right w:val="single" w:color="000000" w:sz="4" w:space="0"/>
                  </w:tcBorders>
                  <w:vAlign w:val="center"/>
                </w:tcPr>
                <w:p>
                  <w:pPr>
                    <w:pStyle w:val="28"/>
                    <w:pBdr>
                      <w:bottom w:val="none" w:color="auto" w:sz="0" w:space="0"/>
                    </w:pBd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钢筋加工厂（TSP）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Merge w:val="continue"/>
                  <w:vAlign w:val="center"/>
                </w:tcPr>
                <w:p>
                  <w:pPr>
                    <w:pStyle w:val="28"/>
                    <w:pBdr>
                      <w:bottom w:val="none" w:color="auto" w:sz="0" w:space="0"/>
                    </w:pBdr>
                    <w:rPr>
                      <w:rFonts w:hint="default" w:ascii="Times New Roman" w:hAnsi="Times New Roman" w:cs="Times New Roman"/>
                      <w:color w:val="auto"/>
                      <w:sz w:val="21"/>
                      <w:szCs w:val="21"/>
                    </w:rPr>
                  </w:pPr>
                </w:p>
              </w:tc>
              <w:tc>
                <w:tcPr>
                  <w:tcW w:w="1860"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小时预测浓度Cij/(μg/m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p>
              </w:tc>
              <w:tc>
                <w:tcPr>
                  <w:tcW w:w="1802"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小时浓度占标率Pij/%</w:t>
                  </w:r>
                </w:p>
              </w:tc>
              <w:tc>
                <w:tcPr>
                  <w:tcW w:w="1816"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小时预测浓度Cij/(μg/m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p>
              </w:tc>
              <w:tc>
                <w:tcPr>
                  <w:tcW w:w="1817"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小时浓度占标率Pij/%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50.47</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5.61</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22.16</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shd w:val="clear" w:color="auto" w:fill="FFFFFF"/>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25</w:t>
                  </w:r>
                </w:p>
              </w:tc>
              <w:tc>
                <w:tcPr>
                  <w:tcW w:w="1860" w:type="dxa"/>
                  <w:shd w:val="clear" w:color="auto" w:fill="FFFFFF"/>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55.02</w:t>
                  </w:r>
                </w:p>
              </w:tc>
              <w:tc>
                <w:tcPr>
                  <w:tcW w:w="1802" w:type="dxa"/>
                  <w:shd w:val="clear" w:color="auto" w:fill="FFFFFF"/>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6.11</w:t>
                  </w:r>
                </w:p>
              </w:tc>
              <w:tc>
                <w:tcPr>
                  <w:tcW w:w="1816" w:type="dxa"/>
                  <w:shd w:val="clear" w:color="auto" w:fill="FFFFFF"/>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32.03</w:t>
                  </w:r>
                </w:p>
              </w:tc>
              <w:tc>
                <w:tcPr>
                  <w:tcW w:w="1817" w:type="dxa"/>
                  <w:shd w:val="clear" w:color="auto" w:fill="FFFFFF"/>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60.94</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6.77</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32.27</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64</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64.3</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7.14</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25.27</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75</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59.66</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6.63</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21.47</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53.03</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5.89</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18.77</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125</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46.14</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5.13</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16.08</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39.88</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4.43</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13.94</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30.8</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3.42</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10.85</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22.04</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2.45</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17.91</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1.99</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6.5</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15.26</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1.7</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5.54</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600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13.4</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1.49</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4.86</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700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1.33</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4.36</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10.92</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1.21</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3.96</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10.04</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1.12</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3.64</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9.32</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1.04</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3.38</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1100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9.01</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3.27</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1200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8.74</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0.97</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3.17</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1300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8.5</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0.94</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3.09</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1400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8.28</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0.92</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3.01</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1500</w:t>
                  </w:r>
                </w:p>
              </w:tc>
              <w:tc>
                <w:tcPr>
                  <w:tcW w:w="1860"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8.08</w:t>
                  </w:r>
                </w:p>
              </w:tc>
              <w:tc>
                <w:tcPr>
                  <w:tcW w:w="1802"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0.9</w:t>
                  </w:r>
                </w:p>
              </w:tc>
              <w:tc>
                <w:tcPr>
                  <w:tcW w:w="1816"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2.93</w:t>
                  </w:r>
                </w:p>
              </w:tc>
              <w:tc>
                <w:tcPr>
                  <w:tcW w:w="1817" w:type="dxa"/>
                  <w:vAlign w:val="center"/>
                </w:tcPr>
                <w:p>
                  <w:pPr>
                    <w:keepNext w:val="0"/>
                    <w:keepLines w:val="0"/>
                    <w:widowControl/>
                    <w:suppressLineNumbers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0.33</w:t>
                  </w:r>
                </w:p>
              </w:tc>
            </w:tr>
          </w:tbl>
          <w:p>
            <w:pPr>
              <w:spacing w:line="276" w:lineRule="auto"/>
              <w:ind w:firstLine="1147" w:firstLineChars="476"/>
              <w:jc w:val="left"/>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表7-11无组织粉尘下风向预测最大地面浓度、占标率一览表</w:t>
            </w:r>
          </w:p>
          <w:tbl>
            <w:tblPr>
              <w:tblStyle w:val="43"/>
              <w:tblW w:w="8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15"/>
              <w:gridCol w:w="875"/>
              <w:gridCol w:w="1625"/>
              <w:gridCol w:w="1878"/>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8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类别</w:t>
                  </w:r>
                </w:p>
              </w:tc>
              <w:tc>
                <w:tcPr>
                  <w:tcW w:w="151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污染源</w:t>
                  </w:r>
                </w:p>
              </w:tc>
              <w:tc>
                <w:tcPr>
                  <w:tcW w:w="8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w:t>
                  </w:r>
                </w:p>
              </w:tc>
              <w:tc>
                <w:tcPr>
                  <w:tcW w:w="16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最大落地浓度（μg/m</w:t>
                  </w:r>
                  <w:r>
                    <w:rPr>
                      <w:rFonts w:hint="default" w:ascii="Times New Roman" w:hAnsi="Times New Roman" w:cs="Times New Roman"/>
                      <w:color w:val="auto"/>
                      <w:sz w:val="21"/>
                      <w:szCs w:val="21"/>
                      <w:vertAlign w:val="superscript"/>
                    </w:rPr>
                    <w:t>3</w:t>
                  </w:r>
                  <w:r>
                    <w:rPr>
                      <w:rFonts w:hint="default" w:ascii="Times New Roman" w:hAnsi="Times New Roman" w:cs="Times New Roman"/>
                      <w:color w:val="auto"/>
                      <w:sz w:val="21"/>
                      <w:szCs w:val="21"/>
                    </w:rPr>
                    <w:t>）</w:t>
                  </w:r>
                </w:p>
              </w:tc>
              <w:tc>
                <w:tcPr>
                  <w:tcW w:w="187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最大落地浓度占标率Pmax（%）</w:t>
                  </w:r>
                </w:p>
              </w:tc>
              <w:tc>
                <w:tcPr>
                  <w:tcW w:w="171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下风向最大浓度出现距离m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7" w:type="dxa"/>
                  <w:vMerge w:val="restar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无组织</w:t>
                  </w:r>
                </w:p>
              </w:tc>
              <w:tc>
                <w:tcPr>
                  <w:tcW w:w="1515" w:type="dxa"/>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混凝土拌和区</w:t>
                  </w:r>
                </w:p>
              </w:tc>
              <w:tc>
                <w:tcPr>
                  <w:tcW w:w="875" w:type="dxa"/>
                  <w:tcBorders>
                    <w:top w:val="single" w:color="auto" w:sz="4" w:space="0"/>
                    <w:left w:val="single" w:color="auto" w:sz="4" w:space="0"/>
                    <w:bottom w:val="single" w:color="auto" w:sz="4" w:space="0"/>
                    <w:right w:val="single" w:color="auto" w:sz="4" w:space="0"/>
                  </w:tcBorders>
                  <w:vAlign w:val="center"/>
                </w:tcPr>
                <w:p>
                  <w:pPr>
                    <w:tabs>
                      <w:tab w:val="left" w:pos="630"/>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TSP</w:t>
                  </w:r>
                </w:p>
              </w:tc>
              <w:tc>
                <w:tcPr>
                  <w:tcW w:w="16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64.3</w:t>
                  </w:r>
                </w:p>
              </w:tc>
              <w:tc>
                <w:tcPr>
                  <w:tcW w:w="187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7.14</w:t>
                  </w:r>
                </w:p>
              </w:tc>
              <w:tc>
                <w:tcPr>
                  <w:tcW w:w="171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7" w:type="dxa"/>
                  <w:vMerge w:val="continue"/>
                  <w:tcBorders>
                    <w:left w:val="single" w:color="auto" w:sz="4" w:space="0"/>
                    <w:right w:val="single" w:color="auto" w:sz="4" w:space="0"/>
                  </w:tcBorders>
                  <w:vAlign w:val="center"/>
                </w:tcPr>
                <w:p>
                  <w:pPr>
                    <w:jc w:val="center"/>
                    <w:rPr>
                      <w:rFonts w:hint="default" w:ascii="Times New Roman" w:hAnsi="Times New Roman" w:cs="Times New Roman"/>
                      <w:color w:val="auto"/>
                      <w:sz w:val="21"/>
                      <w:szCs w:val="21"/>
                    </w:rPr>
                  </w:pPr>
                </w:p>
              </w:tc>
              <w:tc>
                <w:tcPr>
                  <w:tcW w:w="1515" w:type="dxa"/>
                  <w:tcBorders>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钢筋加工厂</w:t>
                  </w:r>
                </w:p>
              </w:tc>
              <w:tc>
                <w:tcPr>
                  <w:tcW w:w="875" w:type="dxa"/>
                  <w:tcBorders>
                    <w:top w:val="single" w:color="auto" w:sz="4" w:space="0"/>
                    <w:left w:val="single" w:color="auto" w:sz="4" w:space="0"/>
                    <w:bottom w:val="single" w:color="auto" w:sz="4" w:space="0"/>
                    <w:right w:val="single" w:color="auto" w:sz="4" w:space="0"/>
                  </w:tcBorders>
                  <w:vAlign w:val="center"/>
                </w:tcPr>
                <w:p>
                  <w:pPr>
                    <w:tabs>
                      <w:tab w:val="left" w:pos="630"/>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TSP</w:t>
                  </w:r>
                </w:p>
              </w:tc>
              <w:tc>
                <w:tcPr>
                  <w:tcW w:w="16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32.27</w:t>
                  </w:r>
                </w:p>
              </w:tc>
              <w:tc>
                <w:tcPr>
                  <w:tcW w:w="187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3.59</w:t>
                  </w:r>
                </w:p>
              </w:tc>
              <w:tc>
                <w:tcPr>
                  <w:tcW w:w="171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r>
          </w:tbl>
          <w:p>
            <w:pPr>
              <w:tabs>
                <w:tab w:val="left" w:pos="2395"/>
              </w:tabs>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由表7-11可知，项目区混凝土拌和区无组织颗粒物（TSP）最大占标率为</w:t>
            </w:r>
            <w:r>
              <w:rPr>
                <w:rFonts w:hint="default" w:ascii="Times New Roman" w:hAnsi="Times New Roman" w:cs="Times New Roman"/>
                <w:color w:val="auto"/>
                <w:sz w:val="24"/>
                <w:szCs w:val="24"/>
                <w:lang w:val="en-US" w:eastAsia="zh-CN"/>
              </w:rPr>
              <w:t>7.14</w:t>
            </w:r>
            <w:r>
              <w:rPr>
                <w:rFonts w:hint="default" w:ascii="Times New Roman" w:hAnsi="Times New Roman" w:cs="Times New Roman"/>
                <w:color w:val="auto"/>
                <w:sz w:val="24"/>
                <w:szCs w:val="24"/>
              </w:rPr>
              <w:t>%，最大落地浓度为</w:t>
            </w:r>
            <w:r>
              <w:rPr>
                <w:rFonts w:hint="default" w:ascii="Times New Roman" w:hAnsi="Times New Roman" w:cs="Times New Roman"/>
                <w:color w:val="auto"/>
                <w:sz w:val="24"/>
                <w:szCs w:val="24"/>
                <w:lang w:val="en-US" w:eastAsia="zh-CN"/>
              </w:rPr>
              <w:t>64.3</w:t>
            </w:r>
            <w:r>
              <w:rPr>
                <w:rFonts w:hint="default" w:ascii="Times New Roman" w:hAnsi="Times New Roman" w:cs="Times New Roman"/>
                <w:color w:val="auto"/>
                <w:sz w:val="24"/>
                <w:szCs w:val="24"/>
              </w:rPr>
              <w:t>μg/m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，最大落地浓度出现位置为64m处；钢筋加工区无组织颗粒物（TSP）最大占标率为</w:t>
            </w:r>
            <w:r>
              <w:rPr>
                <w:rFonts w:hint="default" w:ascii="Times New Roman" w:hAnsi="Times New Roman" w:cs="Times New Roman"/>
                <w:color w:val="auto"/>
                <w:sz w:val="24"/>
                <w:szCs w:val="24"/>
                <w:lang w:val="en-US" w:eastAsia="zh-CN"/>
              </w:rPr>
              <w:t>3.59</w:t>
            </w:r>
            <w:r>
              <w:rPr>
                <w:rFonts w:hint="default" w:ascii="Times New Roman" w:hAnsi="Times New Roman" w:cs="Times New Roman"/>
                <w:color w:val="auto"/>
                <w:sz w:val="24"/>
                <w:szCs w:val="24"/>
              </w:rPr>
              <w:t>%，最大落地浓度为</w:t>
            </w:r>
            <w:r>
              <w:rPr>
                <w:rFonts w:hint="default" w:ascii="Times New Roman" w:hAnsi="Times New Roman" w:cs="Times New Roman"/>
                <w:color w:val="auto"/>
                <w:sz w:val="24"/>
                <w:szCs w:val="24"/>
                <w:lang w:val="en-US" w:eastAsia="zh-CN"/>
              </w:rPr>
              <w:t>32.27</w:t>
            </w:r>
            <w:r>
              <w:rPr>
                <w:rFonts w:hint="default" w:ascii="Times New Roman" w:hAnsi="Times New Roman" w:cs="Times New Roman"/>
                <w:color w:val="auto"/>
                <w:sz w:val="24"/>
                <w:szCs w:val="24"/>
              </w:rPr>
              <w:t>μg/m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最大落地浓度出现位置为50m处。由此可以判断，最大落地浓度均位于厂界内，项目无组织排放粉尘TSP的厂界浓度可以满足《大气污染物综合排放标准》（GB16297-1996）中的颗粒物无组织排放监控浓度限值的要求，对环境的影响较小。</w:t>
            </w:r>
          </w:p>
          <w:p>
            <w:pPr>
              <w:tabs>
                <w:tab w:val="left" w:pos="2395"/>
              </w:tabs>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1.3对关心点的影响分析</w:t>
            </w:r>
          </w:p>
          <w:p>
            <w:pPr>
              <w:tabs>
                <w:tab w:val="left" w:pos="2395"/>
              </w:tabs>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距离项目最近的关心点为东南面500m的乐在村，因此2500m范围内所有村庄均不在最大落地浓度内，根据预测，乐在村落地浓度最大为</w:t>
            </w:r>
            <w:r>
              <w:rPr>
                <w:rFonts w:hint="default" w:ascii="Times New Roman" w:hAnsi="Times New Roman" w:cs="Times New Roman"/>
                <w:color w:val="auto"/>
                <w:sz w:val="24"/>
                <w:szCs w:val="24"/>
                <w:lang w:val="en-US" w:eastAsia="zh-CN"/>
              </w:rPr>
              <w:t>15.26</w:t>
            </w:r>
            <w:r>
              <w:rPr>
                <w:rFonts w:hint="default" w:ascii="Times New Roman" w:hAnsi="Times New Roman" w:cs="Times New Roman"/>
                <w:color w:val="auto"/>
                <w:sz w:val="24"/>
                <w:szCs w:val="24"/>
              </w:rPr>
              <w:t>μg/m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贡献值远小于《环境空气质量标准》（GB3095－2012）二级标准限值，项目外排的大气污染物中的无组织粉尘对乐在村环境空气影响较小，项目距离周围其他村庄较远，因此项目排放的无组织粉尘对周围环境影响较小。</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1.4车辆行驶影响分析</w:t>
            </w:r>
          </w:p>
          <w:p>
            <w:pPr>
              <w:tabs>
                <w:tab w:val="left" w:pos="2395"/>
              </w:tabs>
              <w:adjustRightInd w:val="0"/>
              <w:snapToGrid w:val="0"/>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一般情况下，道路窄、自然风作用下产生的扬尘所影响的范围在100m以内。如果车辆行驶的路面实施洒水抑尘，对运输车辆进行清洗，</w:t>
            </w:r>
            <w:r>
              <w:rPr>
                <w:rFonts w:hint="eastAsia" w:ascii="Times New Roman" w:hAnsi="Times New Roman" w:cs="Times New Roman"/>
                <w:color w:val="auto"/>
                <w:sz w:val="24"/>
                <w:szCs w:val="24"/>
                <w:lang w:eastAsia="zh-CN"/>
              </w:rPr>
              <w:t>加盖篷布，</w:t>
            </w:r>
            <w:r>
              <w:rPr>
                <w:rFonts w:hint="default" w:ascii="Times New Roman" w:hAnsi="Times New Roman" w:cs="Times New Roman"/>
                <w:color w:val="auto"/>
                <w:sz w:val="24"/>
                <w:szCs w:val="24"/>
              </w:rPr>
              <w:t>减少运输扬尘，其扬尘造成的污染距离可缩小到20-50m范围。对本项目而言，项目主要是运输原材料及搅拌好的混凝土产品，运输车辆均为大型车辆，其中搅拌好的混泥土运输车辆使用罐车，在运输过程中减少混泥土的掉落，若管理不善会造成一定程度扬尘，污染环境。因此必须注意对运输车辆进行清洗，在大风干燥天气必须对场地道路实施洒水进行抑尘，对物料运输的车辆进行遮盖，降低车辆行驶扬尘对周围环境影响，杜绝砂石等物料对运输沿途造成污染。项目物料经过采取运输车辆遮盖和洒水降尘后粉尘对环境空气影响较小。项目距离周围村庄较远，项目排放的粉尘对周围环境影响较小。</w:t>
            </w:r>
          </w:p>
          <w:p>
            <w:pPr>
              <w:adjustRightInd w:val="0"/>
              <w:snapToGrid w:val="0"/>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本项目运输车辆采用大型车辆、混凝土罐车，项目地势开阔，扩散条件良好，产生的汽车尾气经过稀释扩散，对周围环境空气影响很小。</w:t>
            </w:r>
          </w:p>
          <w:p>
            <w:pPr>
              <w:pStyle w:val="2"/>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1.5柴油发电机</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为保证项目的应急用电，项目配套设置320kW柴油发电机组1台。根据计算产生污染物0.001938t/a，属无组织排放。由于使用次数较少，且污染物排放量较小，</w:t>
            </w:r>
            <w:r>
              <w:rPr>
                <w:rFonts w:hint="eastAsia" w:ascii="Times New Roman" w:hAnsi="Times New Roman" w:cs="Times New Roman"/>
                <w:color w:val="auto"/>
                <w:sz w:val="24"/>
                <w:szCs w:val="24"/>
                <w:lang w:val="en-US" w:eastAsia="zh-CN"/>
              </w:rPr>
              <w:t>满足《大气污染物综合排放标准》（GB16297-1996）表2二级标准，</w:t>
            </w:r>
            <w:r>
              <w:rPr>
                <w:rFonts w:hint="default" w:ascii="Times New Roman" w:hAnsi="Times New Roman" w:cs="Times New Roman"/>
                <w:color w:val="auto"/>
                <w:sz w:val="24"/>
                <w:szCs w:val="24"/>
                <w:lang w:val="en-US" w:eastAsia="zh-CN"/>
              </w:rPr>
              <w:t>周围大气环境影响较小。</w:t>
            </w:r>
          </w:p>
          <w:p>
            <w:pPr>
              <w:pStyle w:val="2"/>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1.6切割废气</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项目钢筋加工厂在焊接过程中会产生少量切割烟尘，主要污染物为颗粒物，无组织排放</w:t>
            </w:r>
            <w:r>
              <w:rPr>
                <w:rFonts w:hint="eastAsia" w:ascii="Times New Roman" w:hAnsi="Times New Roman" w:cs="Times New Roman"/>
                <w:color w:val="auto"/>
                <w:sz w:val="24"/>
                <w:szCs w:val="24"/>
                <w:lang w:val="en-US" w:eastAsia="zh-CN"/>
              </w:rPr>
              <w:t>。项目切割使用氧气助燃燃烧乙炔进行切割，且切切割时间间断，粉尘</w:t>
            </w:r>
            <w:r>
              <w:rPr>
                <w:rFonts w:hint="default" w:ascii="Times New Roman" w:hAnsi="Times New Roman" w:cs="Times New Roman"/>
                <w:color w:val="auto"/>
                <w:sz w:val="24"/>
                <w:szCs w:val="24"/>
                <w:lang w:val="en-US" w:eastAsia="zh-CN"/>
              </w:rPr>
              <w:t>产生量较少，通过车间通风排放</w:t>
            </w:r>
            <w:r>
              <w:rPr>
                <w:rFonts w:hint="eastAsia" w:ascii="Times New Roman" w:hAnsi="Times New Roman" w:cs="Times New Roman"/>
                <w:color w:val="auto"/>
                <w:sz w:val="24"/>
                <w:szCs w:val="24"/>
                <w:lang w:val="en-US" w:eastAsia="zh-CN"/>
              </w:rPr>
              <w:t>后，对周围环境影响较小。</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7</w:t>
            </w:r>
            <w:r>
              <w:rPr>
                <w:rFonts w:hint="default" w:ascii="Times New Roman" w:hAnsi="Times New Roman" w:cs="Times New Roman"/>
                <w:color w:val="auto"/>
                <w:sz w:val="24"/>
                <w:szCs w:val="24"/>
              </w:rPr>
              <w:t>食堂油烟</w:t>
            </w:r>
          </w:p>
          <w:p>
            <w:pPr>
              <w:pStyle w:val="170"/>
              <w:adjustRightInd w:val="0"/>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本项目建设有食堂，不可避免地产生一定的食堂油烟，本次环评要求食堂油烟使用效率为60%油烟净化器处理后外排，满足《饮食业油烟排放标准》（GB18483-2001）标准，通过自然稀释扩散，可以减轻对周围环境的影响。 </w:t>
            </w:r>
          </w:p>
          <w:p>
            <w:pPr>
              <w:tabs>
                <w:tab w:val="left" w:pos="2395"/>
              </w:tabs>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综上所述，只要加强对除尘设施、洒水降尘和运输车辆的管理，项目运营过程中产生的粉尘达到《水泥工业大气污染物排放标准》（GB4915-2013）中水泥制品无组织0.5mg/m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的排放标准，项目外排的大气污染物中的粉尘对环境空气影响较小。</w:t>
            </w:r>
          </w:p>
          <w:p>
            <w:pPr>
              <w:pStyle w:val="2"/>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8</w:t>
            </w:r>
            <w:r>
              <w:rPr>
                <w:rFonts w:hint="default" w:ascii="Times New Roman" w:hAnsi="Times New Roman" w:cs="Times New Roman"/>
                <w:color w:val="auto"/>
                <w:sz w:val="24"/>
                <w:szCs w:val="24"/>
              </w:rPr>
              <w:t>废气污染物防治措施可行性分析</w:t>
            </w:r>
          </w:p>
          <w:p>
            <w:pPr>
              <w:adjustRightInd w:val="0"/>
              <w:snapToGrid w:val="0"/>
              <w:spacing w:line="360" w:lineRule="auto"/>
              <w:ind w:firstLine="480" w:firstLineChars="200"/>
              <w:jc w:val="left"/>
              <w:rPr>
                <w:rFonts w:hint="eastAsia" w:ascii="Times New Roman" w:hAnsi="Times New Roman" w:cs="Times New Roman"/>
                <w:color w:val="auto"/>
                <w:sz w:val="24"/>
                <w:szCs w:val="24"/>
                <w:lang w:eastAsia="zh-CN"/>
              </w:rPr>
            </w:pPr>
            <w:r>
              <w:rPr>
                <w:rFonts w:hint="default" w:ascii="Times New Roman" w:hAnsi="Times New Roman" w:cs="Times New Roman"/>
                <w:color w:val="auto"/>
                <w:sz w:val="24"/>
                <w:szCs w:val="24"/>
              </w:rPr>
              <w:t>项目废气主要来源于砂石料堆棚、混凝土系统、钢筋焊接过程；针对堆棚采取彩钢瓦顶棚及三面挡墙，并定时采取喷雾洒水降尘措施；针对混凝土系统下料及转载点等</w:t>
            </w:r>
            <w:r>
              <w:rPr>
                <w:rFonts w:hint="eastAsia" w:ascii="Times New Roman" w:hAnsi="Times New Roman" w:cs="Times New Roman"/>
                <w:color w:val="auto"/>
                <w:sz w:val="24"/>
                <w:szCs w:val="24"/>
                <w:lang w:eastAsia="zh-CN"/>
              </w:rPr>
              <w:t>有组织</w:t>
            </w:r>
            <w:r>
              <w:rPr>
                <w:rFonts w:hint="default" w:ascii="Times New Roman" w:hAnsi="Times New Roman" w:cs="Times New Roman"/>
                <w:color w:val="auto"/>
                <w:sz w:val="24"/>
                <w:szCs w:val="24"/>
              </w:rPr>
              <w:t>废气采取集气罩收集后经布袋除尘器净化处理；针对混凝土系统输送、计量、投料无组织粉尘</w:t>
            </w:r>
            <w:r>
              <w:rPr>
                <w:rFonts w:hint="eastAsia" w:ascii="Times New Roman" w:hAnsi="Times New Roman" w:cs="Times New Roman"/>
                <w:color w:val="auto"/>
                <w:sz w:val="24"/>
                <w:szCs w:val="24"/>
                <w:lang w:eastAsia="zh-CN"/>
              </w:rPr>
              <w:t>运输车辆加盖篷布，半密闭输送；针对少量的柴油发电机废气经过自然扩散；</w:t>
            </w:r>
            <w:r>
              <w:rPr>
                <w:rFonts w:hint="default" w:ascii="Times New Roman" w:hAnsi="Times New Roman" w:cs="Times New Roman"/>
                <w:color w:val="auto"/>
                <w:sz w:val="24"/>
                <w:szCs w:val="24"/>
              </w:rPr>
              <w:t>针对焊接废气通过车间通风排放</w:t>
            </w:r>
            <w:r>
              <w:rPr>
                <w:rFonts w:hint="eastAsia" w:ascii="Times New Roman" w:hAnsi="Times New Roman" w:cs="Times New Roman"/>
                <w:color w:val="auto"/>
                <w:sz w:val="24"/>
                <w:szCs w:val="24"/>
                <w:lang w:eastAsia="zh-CN"/>
              </w:rPr>
              <w:t>；针对切割废气通过车间通风排放；食堂设置油烟净化器进行处理。</w:t>
            </w:r>
          </w:p>
          <w:p>
            <w:pPr>
              <w:adjustRightInd w:val="0"/>
              <w:snapToGrid w:val="0"/>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分析，项目采取各环保措施各污染物达标排放。根据预测结果，通过采取措施后正常情况下，项目区环境空气满足《环境空气质量标准》（GB3095-2012）二级标准限值，对周围环境空气质量影响较小。因此，其废气治理措施满足环保要求。其环保治理措施可行。</w:t>
            </w:r>
          </w:p>
          <w:p>
            <w:pPr>
              <w:adjustRightInd w:val="0"/>
              <w:snapToGrid w:val="0"/>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2、水环境影响分析</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2.1 车辆清洗废水产生情况</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项目区实行雨污分流，初期雨水经40m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初期雨水收集池收集后补充生产用水。生产上无生产废水产生，项目区废水主要为生活污水及车辆清洗废水。</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本项目运行期间车辆清洗废水产生量为9m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/d。生活污水产生量为6.653m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/d。</w:t>
            </w:r>
          </w:p>
          <w:p>
            <w:pPr>
              <w:pStyle w:val="2"/>
              <w:ind w:firstLine="480" w:firstLineChars="200"/>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rPr>
              <w:t>食堂废水经1m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隔油池处理后与</w:t>
            </w:r>
            <w:r>
              <w:rPr>
                <w:rFonts w:hint="default" w:ascii="Times New Roman" w:hAnsi="Times New Roman" w:cs="Times New Roman"/>
                <w:color w:val="auto"/>
                <w:sz w:val="24"/>
                <w:szCs w:val="24"/>
                <w:lang w:eastAsia="zh-CN"/>
              </w:rPr>
              <w:t>其他生活</w:t>
            </w:r>
            <w:r>
              <w:rPr>
                <w:rFonts w:hint="eastAsia" w:ascii="Times New Roman" w:hAnsi="Times New Roman" w:cs="Times New Roman"/>
                <w:color w:val="auto"/>
                <w:sz w:val="24"/>
                <w:szCs w:val="24"/>
                <w:lang w:eastAsia="zh-CN"/>
              </w:rPr>
              <w:t>污水</w:t>
            </w:r>
            <w:r>
              <w:rPr>
                <w:rFonts w:hint="default" w:ascii="Times New Roman" w:hAnsi="Times New Roman" w:cs="Times New Roman"/>
                <w:color w:val="auto"/>
                <w:sz w:val="24"/>
                <w:szCs w:val="24"/>
              </w:rPr>
              <w:t>排入项目区10m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化粪池，</w:t>
            </w:r>
            <w:r>
              <w:rPr>
                <w:rFonts w:hint="default" w:ascii="Times New Roman" w:hAnsi="Times New Roman" w:cs="Times New Roman"/>
                <w:color w:val="auto"/>
                <w:sz w:val="24"/>
                <w:szCs w:val="24"/>
                <w:lang w:eastAsia="zh-CN"/>
              </w:rPr>
              <w:t>预处理后排入中水处理站处理后由于厂区洒水抑尘。</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2.2生活</w:t>
            </w:r>
            <w:r>
              <w:rPr>
                <w:rFonts w:hint="eastAsia" w:ascii="Times New Roman" w:hAnsi="Times New Roman" w:cs="Times New Roman"/>
                <w:color w:val="auto"/>
                <w:sz w:val="24"/>
                <w:szCs w:val="24"/>
                <w:lang w:eastAsia="zh-CN"/>
              </w:rPr>
              <w:t>污水</w:t>
            </w:r>
            <w:r>
              <w:rPr>
                <w:rFonts w:hint="default" w:ascii="Times New Roman" w:hAnsi="Times New Roman" w:cs="Times New Roman"/>
                <w:color w:val="auto"/>
                <w:sz w:val="24"/>
                <w:szCs w:val="24"/>
              </w:rPr>
              <w:t>不外排可靠性分析</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（1）隔油池</w:t>
            </w:r>
            <w:r>
              <w:rPr>
                <w:rFonts w:hint="default" w:ascii="Times New Roman" w:hAnsi="Times New Roman" w:cs="Times New Roman"/>
                <w:color w:val="auto"/>
                <w:sz w:val="24"/>
                <w:szCs w:val="24"/>
                <w:lang w:eastAsia="zh-CN"/>
              </w:rPr>
              <w:t>设置</w:t>
            </w:r>
            <w:r>
              <w:rPr>
                <w:rFonts w:hint="default" w:ascii="Times New Roman" w:hAnsi="Times New Roman" w:cs="Times New Roman"/>
                <w:color w:val="auto"/>
                <w:sz w:val="24"/>
                <w:szCs w:val="24"/>
              </w:rPr>
              <w:t>合理性分析</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食堂污水产生量为1.768 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/d，项目建设一座1 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的隔油池，满足其停留时间要求，因此设置1 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的隔油池能满足食堂污水的产生要求，设置合理。</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（2）化粪池设置合理性分析</w:t>
            </w:r>
          </w:p>
          <w:p>
            <w:pPr>
              <w:pStyle w:val="2"/>
              <w:ind w:firstLine="480" w:firstLineChars="200"/>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rPr>
              <w:t>项目区内设置化粪池用于</w:t>
            </w:r>
            <w:r>
              <w:rPr>
                <w:rFonts w:hint="default" w:ascii="Times New Roman" w:hAnsi="Times New Roman" w:cs="Times New Roman"/>
                <w:color w:val="auto"/>
                <w:sz w:val="24"/>
                <w:szCs w:val="24"/>
                <w:lang w:eastAsia="zh-CN"/>
              </w:rPr>
              <w:t>生活污水预处理</w:t>
            </w:r>
            <w:r>
              <w:rPr>
                <w:rFonts w:hint="default" w:ascii="Times New Roman" w:hAnsi="Times New Roman" w:cs="Times New Roman"/>
                <w:color w:val="auto"/>
                <w:sz w:val="24"/>
                <w:szCs w:val="24"/>
              </w:rPr>
              <w:t>，化粪池的容积应满足污水在池内停留时间24h-48h要求，项目废水24小时产生量为</w:t>
            </w:r>
            <w:r>
              <w:rPr>
                <w:rFonts w:hint="default" w:ascii="Times New Roman" w:hAnsi="Times New Roman" w:cs="Times New Roman"/>
                <w:color w:val="auto"/>
                <w:sz w:val="24"/>
                <w:szCs w:val="24"/>
                <w:lang w:val="en-US" w:eastAsia="zh-CN"/>
              </w:rPr>
              <w:t>6.653</w:t>
            </w:r>
            <w:r>
              <w:rPr>
                <w:rFonts w:hint="default" w:ascii="Times New Roman" w:hAnsi="Times New Roman" w:cs="Times New Roman"/>
                <w:color w:val="auto"/>
                <w:sz w:val="24"/>
                <w:szCs w:val="24"/>
              </w:rPr>
              <w:t>m³/d，项目建设一座容积10m³化粪池，能满足生活污水</w:t>
            </w:r>
            <w:r>
              <w:rPr>
                <w:rFonts w:hint="default" w:ascii="Times New Roman" w:hAnsi="Times New Roman" w:cs="Times New Roman"/>
                <w:color w:val="auto"/>
                <w:sz w:val="24"/>
                <w:szCs w:val="24"/>
                <w:lang w:eastAsia="zh-CN"/>
              </w:rPr>
              <w:t>停留要求</w:t>
            </w:r>
            <w:r>
              <w:rPr>
                <w:rFonts w:hint="default" w:ascii="Times New Roman" w:hAnsi="Times New Roman" w:cs="Times New Roman"/>
                <w:color w:val="auto"/>
                <w:sz w:val="24"/>
                <w:szCs w:val="24"/>
              </w:rPr>
              <w:t>，设置合理。</w:t>
            </w:r>
          </w:p>
          <w:p>
            <w:pPr>
              <w:pStyle w:val="2"/>
              <w:numPr>
                <w:ilvl w:val="0"/>
                <w:numId w:val="10"/>
              </w:numPr>
              <w:ind w:left="0" w:leftChars="0" w:firstLine="480" w:firstLineChars="200"/>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蓄水池设置合理性分析</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eastAsia="zh-CN"/>
              </w:rPr>
              <w:t>项目污水产生量为</w:t>
            </w:r>
            <w:r>
              <w:rPr>
                <w:rFonts w:hint="default" w:ascii="Times New Roman" w:hAnsi="Times New Roman" w:cs="Times New Roman"/>
                <w:color w:val="auto"/>
                <w:sz w:val="24"/>
                <w:szCs w:val="24"/>
                <w:lang w:val="en-US" w:eastAsia="zh-CN"/>
              </w:rPr>
              <w:t>6.653</w:t>
            </w:r>
            <w:r>
              <w:rPr>
                <w:rFonts w:hint="default" w:ascii="Times New Roman" w:hAnsi="Times New Roman" w:cs="Times New Roman"/>
                <w:color w:val="auto"/>
                <w:sz w:val="24"/>
                <w:szCs w:val="24"/>
                <w:lang w:eastAsia="zh-CN"/>
              </w:rPr>
              <w:t>m³/d，设施一个</w:t>
            </w:r>
            <w:r>
              <w:rPr>
                <w:rFonts w:hint="default" w:ascii="Times New Roman" w:hAnsi="Times New Roman" w:cs="Times New Roman"/>
                <w:color w:val="auto"/>
                <w:sz w:val="24"/>
                <w:szCs w:val="24"/>
                <w:lang w:val="en-US" w:eastAsia="zh-CN"/>
              </w:rPr>
              <w:t>40m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蓄水池，用于雨天储存处理后的水，蓄水池容积能够储存五天水且满足1.2的安全序数，设置合理。</w:t>
            </w:r>
          </w:p>
          <w:p>
            <w:pPr>
              <w:pStyle w:val="2"/>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中水处理站设置合理性分析</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项目建设1座处理规模为8m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/d，采用“A/O”污水处理工艺的一体化中水处理站。项目区污水产生量为6.653m³/d，水污染物简单，中水处理站规模大于污水产生量，工艺成熟，设置合理。</w:t>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项目厂区洒水降尘用水量为</w:t>
            </w:r>
            <w:r>
              <w:rPr>
                <w:rFonts w:hint="default" w:ascii="Times New Roman" w:hAnsi="Times New Roman" w:cs="Times New Roman"/>
                <w:color w:val="auto"/>
                <w:sz w:val="24"/>
                <w:szCs w:val="24"/>
                <w:lang w:val="en-US" w:eastAsia="zh-CN"/>
              </w:rPr>
              <w:t>2</w:t>
            </w:r>
            <w:r>
              <w:rPr>
                <w:rFonts w:hint="eastAsia" w:ascii="Times New Roman" w:hAnsi="Times New Roman" w:cs="Times New Roman"/>
                <w:color w:val="auto"/>
                <w:sz w:val="24"/>
                <w:szCs w:val="24"/>
                <w:lang w:val="en-US" w:eastAsia="zh-CN"/>
              </w:rPr>
              <w:t>70</w:t>
            </w:r>
            <w:r>
              <w:rPr>
                <w:rFonts w:hint="default" w:ascii="Times New Roman" w:hAnsi="Times New Roman" w:cs="Times New Roman"/>
                <w:color w:val="auto"/>
                <w:sz w:val="24"/>
                <w:szCs w:val="24"/>
                <w:lang w:val="en-US" w:eastAsia="zh-CN"/>
              </w:rPr>
              <w:t>0</w:t>
            </w:r>
            <w:r>
              <w:rPr>
                <w:rFonts w:hint="default" w:ascii="Times New Roman" w:hAnsi="Times New Roman" w:cs="Times New Roman"/>
                <w:color w:val="auto"/>
                <w:sz w:val="24"/>
                <w:szCs w:val="24"/>
              </w:rPr>
              <w:t>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/a，而生活</w:t>
            </w:r>
            <w:r>
              <w:rPr>
                <w:rFonts w:hint="eastAsia" w:ascii="Times New Roman" w:hAnsi="Times New Roman" w:cs="Times New Roman"/>
                <w:color w:val="auto"/>
                <w:sz w:val="24"/>
                <w:szCs w:val="24"/>
                <w:lang w:eastAsia="zh-CN"/>
              </w:rPr>
              <w:t>污水</w:t>
            </w:r>
            <w:r>
              <w:rPr>
                <w:rFonts w:hint="default" w:ascii="Times New Roman" w:hAnsi="Times New Roman" w:cs="Times New Roman"/>
                <w:color w:val="auto"/>
                <w:sz w:val="24"/>
                <w:szCs w:val="24"/>
              </w:rPr>
              <w:t>产生量为</w:t>
            </w:r>
            <w:r>
              <w:rPr>
                <w:rFonts w:hint="default" w:ascii="Times New Roman" w:hAnsi="Times New Roman" w:cs="Times New Roman"/>
                <w:color w:val="auto"/>
                <w:sz w:val="24"/>
                <w:szCs w:val="24"/>
                <w:lang w:val="en-US" w:eastAsia="zh-CN"/>
              </w:rPr>
              <w:t>2395.08</w:t>
            </w:r>
            <w:r>
              <w:rPr>
                <w:rFonts w:hint="default" w:ascii="Times New Roman" w:hAnsi="Times New Roman" w:cs="Times New Roman"/>
                <w:color w:val="auto"/>
                <w:sz w:val="24"/>
                <w:szCs w:val="24"/>
              </w:rPr>
              <w:t>m³/a，洒水降尘用水量远远大于废水产生量。且废水经</w:t>
            </w:r>
            <w:r>
              <w:rPr>
                <w:rFonts w:hint="default" w:ascii="Times New Roman" w:hAnsi="Times New Roman" w:cs="Times New Roman"/>
                <w:color w:val="auto"/>
                <w:sz w:val="24"/>
                <w:szCs w:val="24"/>
                <w:lang w:eastAsia="zh-CN"/>
              </w:rPr>
              <w:t>中水处理站</w:t>
            </w:r>
            <w:r>
              <w:rPr>
                <w:rFonts w:hint="default" w:ascii="Times New Roman" w:hAnsi="Times New Roman" w:cs="Times New Roman"/>
                <w:color w:val="auto"/>
                <w:sz w:val="24"/>
                <w:szCs w:val="24"/>
              </w:rPr>
              <w:t>处理后可以有效降低废水中悬浮物浓度，同时项目洒水</w:t>
            </w:r>
            <w:r>
              <w:rPr>
                <w:rFonts w:hint="eastAsia" w:ascii="Times New Roman" w:hAnsi="Times New Roman" w:cs="Times New Roman"/>
                <w:color w:val="auto"/>
                <w:sz w:val="24"/>
                <w:szCs w:val="24"/>
                <w:lang w:eastAsia="zh-CN"/>
              </w:rPr>
              <w:t>抑尘</w:t>
            </w:r>
            <w:r>
              <w:rPr>
                <w:rFonts w:hint="default" w:ascii="Times New Roman" w:hAnsi="Times New Roman" w:cs="Times New Roman"/>
                <w:color w:val="auto"/>
                <w:sz w:val="24"/>
                <w:szCs w:val="24"/>
              </w:rPr>
              <w:t>用水对水质要求不高，</w:t>
            </w:r>
            <w:r>
              <w:rPr>
                <w:rFonts w:hint="eastAsia" w:ascii="Times New Roman" w:hAnsi="Times New Roman" w:cs="Times New Roman"/>
                <w:color w:val="auto"/>
                <w:sz w:val="24"/>
                <w:szCs w:val="24"/>
                <w:lang w:eastAsia="zh-CN"/>
              </w:rPr>
              <w:t>经过中水处理站处理后的生活污水水质较好，能够满足洒水抑尘水质要求，</w:t>
            </w:r>
            <w:r>
              <w:rPr>
                <w:rFonts w:hint="default" w:ascii="Times New Roman" w:hAnsi="Times New Roman" w:cs="Times New Roman"/>
                <w:color w:val="auto"/>
                <w:sz w:val="24"/>
                <w:szCs w:val="24"/>
              </w:rPr>
              <w:t>其回用于洒水降尘具有可行性。建设单位应委托具有环境工程设计、施工资质的单位，严格按照《建筑给水排水设计规范》（GB50015-2003）进行设计和施工。</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2.3车辆清洗废水不外排可行性及可靠性分析</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项目区车辆清洗废水污染物主要为SS，浓度约2000mg/L，废水产生量为9m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/d，设计该部分经20m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沉淀池沉淀处理后用于混凝土生产线生产补充水，不外排。经沉淀处理后可以有效降低废水中悬浮物浓度，同时项目混凝土生产线用水对水质要求不高，其回用于项目区具有可行性。同时项目车辆清洗废水产生量为9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/d，项目混凝土生产线用水用水量为47.6m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/d，项目用水量远远大于废水产生回用量，同时项目设置20 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废水收集沉淀池，其容积可以有效容纳至少2天的清洗废水暂存，满足项目废水暂存要求。因此项目车辆清洗废水</w:t>
            </w:r>
            <w:r>
              <w:rPr>
                <w:rFonts w:hint="default" w:ascii="Times New Roman" w:hAnsi="Times New Roman" w:cs="Times New Roman"/>
                <w:color w:val="auto"/>
                <w:sz w:val="24"/>
                <w:szCs w:val="24"/>
                <w:lang w:val="zh-CN"/>
              </w:rPr>
              <w:t>全部</w:t>
            </w:r>
            <w:r>
              <w:rPr>
                <w:rFonts w:hint="default" w:ascii="Times New Roman" w:hAnsi="Times New Roman" w:cs="Times New Roman"/>
                <w:color w:val="auto"/>
                <w:sz w:val="24"/>
                <w:szCs w:val="24"/>
              </w:rPr>
              <w:t>作为混凝土生产线生产补充水具有可靠性，废水不外排，对周围地表水环境影响小。</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2.4初期雨水不外排可行性及可靠性分析</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项目收集初期15min内的雨水量为32.4m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/次，建设一座40 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的初期雨水收集池，收集后的雨水经沉淀处理后可以有效降低废水中悬浮物浓度，同时项目混凝土生产线用水对水质要求不高，其回用于项目区具有可行性。同时初期雨水产生量为32.4m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/次，项目混凝土生产线用水用水量为47.6m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/d，项目用水量大于初期雨水产生回用量，同时项目设置40m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废水收集沉淀池，其容积可以有效容纳至少1天的初期雨水暂存，满足项目初期雨水暂存要求。因此项目初期雨水</w:t>
            </w:r>
            <w:r>
              <w:rPr>
                <w:rFonts w:hint="default" w:ascii="Times New Roman" w:hAnsi="Times New Roman" w:cs="Times New Roman"/>
                <w:color w:val="auto"/>
                <w:sz w:val="24"/>
                <w:szCs w:val="24"/>
                <w:lang w:val="zh-CN"/>
              </w:rPr>
              <w:t>全部</w:t>
            </w:r>
            <w:r>
              <w:rPr>
                <w:rFonts w:hint="default" w:ascii="Times New Roman" w:hAnsi="Times New Roman" w:cs="Times New Roman"/>
                <w:color w:val="auto"/>
                <w:sz w:val="24"/>
                <w:szCs w:val="24"/>
              </w:rPr>
              <w:t>作为混凝土生产线生产补充水具有可靠性，初期雨水不外排。</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通过以上分析，本项目车辆清洗废水、生活污水均得到妥善处置，不外排，采取的对策措施具有一定的可行性和可靠性。</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3、环境噪声影响分析</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3.1噪声产生情况</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噪声主要来源于生产过程中各设备如搅拌机、水泵、装载机、钢筋加工机、焊机等，水泵噪声强度85dB(A)，为低产噪设备，混凝土搅拌机在经过密闭隔声处理后，声源强度95dB(A)下降至80dB(A)。主要设备噪声源强见下表。</w:t>
            </w:r>
          </w:p>
          <w:p>
            <w:pPr>
              <w:keepNext w:val="0"/>
              <w:keepLines w:val="0"/>
              <w:pageBreakBefore w:val="0"/>
              <w:widowControl w:val="0"/>
              <w:tabs>
                <w:tab w:val="left" w:pos="2395"/>
              </w:tabs>
              <w:kinsoku/>
              <w:wordWrap/>
              <w:overflowPunct/>
              <w:topLinePunct w:val="0"/>
              <w:autoSpaceDE/>
              <w:autoSpaceDN/>
              <w:bidi w:val="0"/>
              <w:adjustRightInd w:val="0"/>
              <w:snapToGrid w:val="0"/>
              <w:spacing w:line="240" w:lineRule="auto"/>
              <w:ind w:firstLine="2289" w:firstLineChars="950"/>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表7-12  主要设备噪声源强    Leq dB(A)</w:t>
            </w:r>
          </w:p>
          <w:tbl>
            <w:tblPr>
              <w:tblStyle w:val="43"/>
              <w:tblW w:w="8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684"/>
              <w:gridCol w:w="1036"/>
              <w:gridCol w:w="1116"/>
              <w:gridCol w:w="2386"/>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168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噪声源</w:t>
                  </w: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台数</w:t>
                  </w: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噪声值</w:t>
                  </w:r>
                </w:p>
              </w:tc>
              <w:tc>
                <w:tcPr>
                  <w:tcW w:w="238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治理措施</w:t>
                  </w:r>
                </w:p>
              </w:tc>
              <w:tc>
                <w:tcPr>
                  <w:tcW w:w="162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68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装载机</w:t>
                  </w: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85</w:t>
                  </w:r>
                </w:p>
              </w:tc>
              <w:tc>
                <w:tcPr>
                  <w:tcW w:w="238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减震、厂房隔声</w:t>
                  </w:r>
                </w:p>
              </w:tc>
              <w:tc>
                <w:tcPr>
                  <w:tcW w:w="162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68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搅拌机</w:t>
                  </w: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w:t>
                  </w:r>
                </w:p>
              </w:tc>
              <w:tc>
                <w:tcPr>
                  <w:tcW w:w="238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减震、厂房隔声</w:t>
                  </w:r>
                </w:p>
              </w:tc>
              <w:tc>
                <w:tcPr>
                  <w:tcW w:w="162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168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泵</w:t>
                  </w:r>
                </w:p>
              </w:tc>
              <w:tc>
                <w:tcPr>
                  <w:tcW w:w="1036" w:type="dxa"/>
                  <w:tcBorders>
                    <w:top w:val="single" w:color="auto" w:sz="4" w:space="0"/>
                    <w:left w:val="single" w:color="auto" w:sz="4" w:space="0"/>
                    <w:bottom w:val="single" w:color="auto" w:sz="4" w:space="0"/>
                    <w:right w:val="single" w:color="auto" w:sz="4" w:space="0"/>
                  </w:tcBorders>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5台</w:t>
                  </w:r>
                </w:p>
              </w:tc>
              <w:tc>
                <w:tcPr>
                  <w:tcW w:w="1116" w:type="dxa"/>
                  <w:tcBorders>
                    <w:top w:val="single" w:color="auto" w:sz="4" w:space="0"/>
                    <w:left w:val="single" w:color="auto" w:sz="4" w:space="0"/>
                    <w:bottom w:val="single" w:color="auto" w:sz="4" w:space="0"/>
                    <w:right w:val="single" w:color="auto" w:sz="4" w:space="0"/>
                  </w:tcBorders>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85</w:t>
                  </w:r>
                </w:p>
              </w:tc>
              <w:tc>
                <w:tcPr>
                  <w:tcW w:w="238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减震、厂房隔声</w:t>
                  </w:r>
                </w:p>
              </w:tc>
              <w:tc>
                <w:tcPr>
                  <w:tcW w:w="162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168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风机</w:t>
                  </w: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12</w:t>
                  </w:r>
                </w:p>
              </w:tc>
              <w:tc>
                <w:tcPr>
                  <w:tcW w:w="111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95</w:t>
                  </w:r>
                </w:p>
              </w:tc>
              <w:tc>
                <w:tcPr>
                  <w:tcW w:w="238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消音、减震、封闭厂房</w:t>
                  </w:r>
                </w:p>
              </w:tc>
              <w:tc>
                <w:tcPr>
                  <w:tcW w:w="162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1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钢筋弯曲机</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1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w:t>
                  </w:r>
                </w:p>
              </w:tc>
              <w:tc>
                <w:tcPr>
                  <w:tcW w:w="2386" w:type="dxa"/>
                  <w:vMerge w:val="restart"/>
                  <w:tcBorders>
                    <w:top w:val="single" w:color="auto" w:sz="4" w:space="0"/>
                    <w:left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减震、厂房隔声</w:t>
                  </w:r>
                </w:p>
              </w:tc>
              <w:tc>
                <w:tcPr>
                  <w:tcW w:w="16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1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钢筋套丝机</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1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w:t>
                  </w:r>
                </w:p>
              </w:tc>
              <w:tc>
                <w:tcPr>
                  <w:tcW w:w="2386" w:type="dxa"/>
                  <w:vMerge w:val="continue"/>
                  <w:tcBorders>
                    <w:left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p>
              </w:tc>
              <w:tc>
                <w:tcPr>
                  <w:tcW w:w="16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1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焊机</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11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95</w:t>
                  </w:r>
                </w:p>
              </w:tc>
              <w:tc>
                <w:tcPr>
                  <w:tcW w:w="2386" w:type="dxa"/>
                  <w:vMerge w:val="continue"/>
                  <w:tcBorders>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p>
              </w:tc>
              <w:tc>
                <w:tcPr>
                  <w:tcW w:w="16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85</w:t>
                  </w:r>
                </w:p>
              </w:tc>
            </w:tr>
          </w:tbl>
          <w:p>
            <w:pPr>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3.2噪声预测</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（1）本项目采用下式对运营期噪声影响进行预测：</w:t>
            </w:r>
          </w:p>
          <w:p>
            <w:pPr>
              <w:autoSpaceDE w:val="0"/>
              <w:autoSpaceDN w:val="0"/>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根据《环境影响评价技术导则》（HJ/T2.4-2009）（声环境）中下述公式计算：</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Lp=Lp0-20lg(r/r0)-△L</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式中：Lp—预测声级值， dB（A）；</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Lpo—参考位置，r0处的声级值 dB（A）；</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r—预测点与声源之间的距离，m；</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ro—参考声级与点声源间的距离，m；</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△L—附加衰减量。</w:t>
            </w:r>
          </w:p>
          <w:p>
            <w:pPr>
              <w:autoSpaceDE w:val="0"/>
              <w:autoSpaceDN w:val="0"/>
              <w:spacing w:line="360" w:lineRule="auto"/>
              <w:ind w:firstLine="56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影响△L取值的因素很多，主要考虑厂房隔声，建筑物反射等影响，一般厂房隔声以及加装消声器后的△L一般在15～25dB(A) ,本报告计算时取△L=20dB(A)。空气吸收的衰减很少，在200m内近似为零。</w:t>
            </w:r>
          </w:p>
          <w:p>
            <w:pPr>
              <w:autoSpaceDE w:val="0"/>
              <w:autoSpaceDN w:val="0"/>
              <w:spacing w:line="360" w:lineRule="auto"/>
              <w:ind w:left="960" w:hanging="960" w:hangingChars="4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pict>
                <v:shape id="对象 140" o:spid="_x0000_s3264" o:spt="75" type="#_x0000_t75" style="position:absolute;left:0pt;margin-top:0.15pt;height:39.75pt;width:98.25pt;mso-position-horizontal:lef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37" o:title=""/>
                  <o:lock v:ext="edit" aspectratio="t"/>
                  <w10:wrap type="square" side="right"/>
                </v:shape>
                <o:OLEObject Type="Embed" ProgID="Equation.3" ShapeID="对象 140" DrawAspect="Content" ObjectID="_1468075738" r:id="rId42">
                  <o:LockedField>false</o:LockedField>
                </o:OLEObject>
              </w:pict>
            </w:r>
          </w:p>
          <w:p>
            <w:pPr>
              <w:autoSpaceDE w:val="0"/>
              <w:autoSpaceDN w:val="0"/>
              <w:spacing w:line="360" w:lineRule="auto"/>
              <w:ind w:left="960" w:hanging="960" w:hangingChars="400"/>
              <w:jc w:val="left"/>
              <w:rPr>
                <w:rFonts w:hint="default" w:ascii="Times New Roman" w:hAnsi="Times New Roman" w:cs="Times New Roman"/>
                <w:color w:val="auto"/>
                <w:sz w:val="24"/>
                <w:szCs w:val="24"/>
              </w:rPr>
            </w:pPr>
          </w:p>
          <w:p>
            <w:pPr>
              <w:autoSpaceDE w:val="0"/>
              <w:autoSpaceDN w:val="0"/>
              <w:spacing w:line="360" w:lineRule="auto"/>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式中：Li--- 第i个声源声值;</w:t>
            </w:r>
          </w:p>
          <w:p>
            <w:pPr>
              <w:autoSpaceDE w:val="0"/>
              <w:autoSpaceDN w:val="0"/>
              <w:spacing w:line="360" w:lineRule="auto"/>
              <w:ind w:firstLine="720" w:firstLineChars="3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LA---某点噪声总叠加值；</w:t>
            </w:r>
          </w:p>
          <w:p>
            <w:pPr>
              <w:autoSpaceDE w:val="0"/>
              <w:autoSpaceDN w:val="0"/>
              <w:spacing w:line="360" w:lineRule="auto"/>
              <w:ind w:firstLine="720" w:firstLineChars="3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n---声源个数</w:t>
            </w:r>
          </w:p>
          <w:p>
            <w:pPr>
              <w:autoSpaceDE w:val="0"/>
              <w:autoSpaceDN w:val="0"/>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本项目的预测点设置为距噪声源200m范围内。</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（2）预测结果及评价</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根据项目厂区总平面布置图，按照预测模式，考虑距离衰减及厂房隔音后。预测出200m范围内的贡献值见表7-13。</w:t>
            </w:r>
          </w:p>
          <w:p>
            <w:pPr>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 7-13  噪声源到各个距离的噪声贡献值      单位：dB（A）</w:t>
            </w:r>
          </w:p>
          <w:tbl>
            <w:tblPr>
              <w:tblStyle w:val="43"/>
              <w:tblW w:w="8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404"/>
              <w:gridCol w:w="715"/>
              <w:gridCol w:w="712"/>
              <w:gridCol w:w="712"/>
              <w:gridCol w:w="802"/>
              <w:gridCol w:w="799"/>
              <w:gridCol w:w="695"/>
              <w:gridCol w:w="714"/>
              <w:gridCol w:w="712"/>
              <w:gridCol w:w="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21"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1440"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名称</w:t>
                  </w:r>
                </w:p>
              </w:tc>
              <w:tc>
                <w:tcPr>
                  <w:tcW w:w="716"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10m</w:t>
                  </w:r>
                </w:p>
              </w:tc>
              <w:tc>
                <w:tcPr>
                  <w:tcW w:w="713"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20m</w:t>
                  </w:r>
                </w:p>
              </w:tc>
              <w:tc>
                <w:tcPr>
                  <w:tcW w:w="713"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50m</w:t>
                  </w:r>
                </w:p>
              </w:tc>
              <w:tc>
                <w:tcPr>
                  <w:tcW w:w="806"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60m</w:t>
                  </w:r>
                </w:p>
              </w:tc>
              <w:tc>
                <w:tcPr>
                  <w:tcW w:w="803"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100m</w:t>
                  </w:r>
                </w:p>
              </w:tc>
              <w:tc>
                <w:tcPr>
                  <w:tcW w:w="639"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120m</w:t>
                  </w:r>
                </w:p>
              </w:tc>
              <w:tc>
                <w:tcPr>
                  <w:tcW w:w="715"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150m</w:t>
                  </w:r>
                </w:p>
              </w:tc>
              <w:tc>
                <w:tcPr>
                  <w:tcW w:w="713"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180m</w:t>
                  </w:r>
                </w:p>
              </w:tc>
              <w:tc>
                <w:tcPr>
                  <w:tcW w:w="715"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21"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440"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搅拌站主机</w:t>
                  </w:r>
                </w:p>
              </w:tc>
              <w:tc>
                <w:tcPr>
                  <w:tcW w:w="71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55.00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48.98</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45.46</w:t>
                  </w:r>
                </w:p>
              </w:tc>
              <w:tc>
                <w:tcPr>
                  <w:tcW w:w="80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42.96</w:t>
                  </w:r>
                </w:p>
              </w:tc>
              <w:tc>
                <w:tcPr>
                  <w:tcW w:w="80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40.02</w:t>
                  </w:r>
                </w:p>
              </w:tc>
              <w:tc>
                <w:tcPr>
                  <w:tcW w:w="639"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37.44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33.20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31.24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21"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440"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风机</w:t>
                  </w:r>
                </w:p>
              </w:tc>
              <w:tc>
                <w:tcPr>
                  <w:tcW w:w="71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55.00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48.98</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45.46</w:t>
                  </w:r>
                </w:p>
              </w:tc>
              <w:tc>
                <w:tcPr>
                  <w:tcW w:w="80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42.96</w:t>
                  </w:r>
                </w:p>
              </w:tc>
              <w:tc>
                <w:tcPr>
                  <w:tcW w:w="80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40.02</w:t>
                  </w:r>
                </w:p>
              </w:tc>
              <w:tc>
                <w:tcPr>
                  <w:tcW w:w="639"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37.44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33.20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31.24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21"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1440"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泵</w:t>
                  </w:r>
                </w:p>
              </w:tc>
              <w:tc>
                <w:tcPr>
                  <w:tcW w:w="71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50.00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43.98</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40.46</w:t>
                  </w:r>
                </w:p>
              </w:tc>
              <w:tc>
                <w:tcPr>
                  <w:tcW w:w="80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37.96</w:t>
                  </w:r>
                </w:p>
              </w:tc>
              <w:tc>
                <w:tcPr>
                  <w:tcW w:w="80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35.02</w:t>
                  </w:r>
                </w:p>
              </w:tc>
              <w:tc>
                <w:tcPr>
                  <w:tcW w:w="639"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32.44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28.20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26.24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21"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1440"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装载机</w:t>
                  </w:r>
                </w:p>
              </w:tc>
              <w:tc>
                <w:tcPr>
                  <w:tcW w:w="71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55.00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48.98</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45.46</w:t>
                  </w:r>
                </w:p>
              </w:tc>
              <w:tc>
                <w:tcPr>
                  <w:tcW w:w="80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42.96</w:t>
                  </w:r>
                </w:p>
              </w:tc>
              <w:tc>
                <w:tcPr>
                  <w:tcW w:w="80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40.02</w:t>
                  </w:r>
                </w:p>
              </w:tc>
              <w:tc>
                <w:tcPr>
                  <w:tcW w:w="639"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37.44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33.20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31.24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21"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1440"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钢筋弯曲机</w:t>
                  </w:r>
                </w:p>
              </w:tc>
              <w:tc>
                <w:tcPr>
                  <w:tcW w:w="71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55</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48.98</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45.46</w:t>
                  </w:r>
                </w:p>
              </w:tc>
              <w:tc>
                <w:tcPr>
                  <w:tcW w:w="80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42.96</w:t>
                  </w:r>
                </w:p>
              </w:tc>
              <w:tc>
                <w:tcPr>
                  <w:tcW w:w="80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40.02</w:t>
                  </w:r>
                </w:p>
              </w:tc>
              <w:tc>
                <w:tcPr>
                  <w:tcW w:w="639"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37.44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33.20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31.24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21"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1440"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钢筋套丝机</w:t>
                  </w:r>
                </w:p>
              </w:tc>
              <w:tc>
                <w:tcPr>
                  <w:tcW w:w="71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55</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48.98</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45.46</w:t>
                  </w:r>
                </w:p>
              </w:tc>
              <w:tc>
                <w:tcPr>
                  <w:tcW w:w="80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42.96</w:t>
                  </w:r>
                </w:p>
              </w:tc>
              <w:tc>
                <w:tcPr>
                  <w:tcW w:w="80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40.02</w:t>
                  </w:r>
                </w:p>
              </w:tc>
              <w:tc>
                <w:tcPr>
                  <w:tcW w:w="639"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37.44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33.20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31.24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21"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1440" w:type="dxa"/>
                  <w:vAlign w:val="center"/>
                </w:tcPr>
                <w:p>
                  <w:pPr>
                    <w:tabs>
                      <w:tab w:val="left" w:pos="239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焊机</w:t>
                  </w:r>
                </w:p>
              </w:tc>
              <w:tc>
                <w:tcPr>
                  <w:tcW w:w="71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55</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48.98</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45.46</w:t>
                  </w:r>
                </w:p>
              </w:tc>
              <w:tc>
                <w:tcPr>
                  <w:tcW w:w="806"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42.96</w:t>
                  </w:r>
                </w:p>
              </w:tc>
              <w:tc>
                <w:tcPr>
                  <w:tcW w:w="80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40.02</w:t>
                  </w:r>
                </w:p>
              </w:tc>
              <w:tc>
                <w:tcPr>
                  <w:tcW w:w="639"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37.44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33.20</w:t>
                  </w:r>
                </w:p>
              </w:tc>
              <w:tc>
                <w:tcPr>
                  <w:tcW w:w="713"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31.24</w:t>
                  </w:r>
                </w:p>
              </w:tc>
              <w:tc>
                <w:tcPr>
                  <w:tcW w:w="715" w:type="dxa"/>
                  <w:vAlign w:val="center"/>
                </w:tcPr>
                <w:p>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28.94</w:t>
                  </w:r>
                </w:p>
              </w:tc>
            </w:tr>
          </w:tbl>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因此，噪声预测结果以各预测点噪声的叠加贡献值来做为噪声预测结果。则本项目200m范围内的环境噪声预测结果见表7-14。</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表 7-14   环境噪声预测结果       单位：dB（A）</w:t>
            </w:r>
            <w:r>
              <w:rPr>
                <w:rFonts w:hint="default" w:ascii="Times New Roman" w:hAnsi="Times New Roman" w:cs="Times New Roman"/>
                <w:color w:val="auto"/>
                <w:sz w:val="24"/>
                <w:szCs w:val="24"/>
              </w:rPr>
              <w:t xml:space="preserve"> </w:t>
            </w:r>
          </w:p>
          <w:tbl>
            <w:tblPr>
              <w:tblStyle w:val="43"/>
              <w:tblW w:w="8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5"/>
              <w:gridCol w:w="765"/>
              <w:gridCol w:w="694"/>
              <w:gridCol w:w="736"/>
              <w:gridCol w:w="971"/>
              <w:gridCol w:w="717"/>
              <w:gridCol w:w="895"/>
              <w:gridCol w:w="767"/>
              <w:gridCol w:w="767"/>
              <w:gridCol w:w="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5"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预测点</w:t>
                  </w:r>
                </w:p>
              </w:tc>
              <w:tc>
                <w:tcPr>
                  <w:tcW w:w="765"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10m</w:t>
                  </w:r>
                </w:p>
              </w:tc>
              <w:tc>
                <w:tcPr>
                  <w:tcW w:w="694"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20m</w:t>
                  </w:r>
                </w:p>
              </w:tc>
              <w:tc>
                <w:tcPr>
                  <w:tcW w:w="736"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50m</w:t>
                  </w:r>
                </w:p>
              </w:tc>
              <w:tc>
                <w:tcPr>
                  <w:tcW w:w="971"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60m</w:t>
                  </w:r>
                </w:p>
              </w:tc>
              <w:tc>
                <w:tcPr>
                  <w:tcW w:w="717"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100m</w:t>
                  </w:r>
                </w:p>
              </w:tc>
              <w:tc>
                <w:tcPr>
                  <w:tcW w:w="895"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120m</w:t>
                  </w:r>
                </w:p>
              </w:tc>
              <w:tc>
                <w:tcPr>
                  <w:tcW w:w="767"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150m</w:t>
                  </w:r>
                </w:p>
              </w:tc>
              <w:tc>
                <w:tcPr>
                  <w:tcW w:w="767"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180m</w:t>
                  </w:r>
                </w:p>
              </w:tc>
              <w:tc>
                <w:tcPr>
                  <w:tcW w:w="767"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5"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预测噪声值</w:t>
                  </w:r>
                </w:p>
              </w:tc>
              <w:tc>
                <w:tcPr>
                  <w:tcW w:w="765"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63.32</w:t>
                  </w:r>
                </w:p>
              </w:tc>
              <w:tc>
                <w:tcPr>
                  <w:tcW w:w="694"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57.30</w:t>
                  </w:r>
                </w:p>
              </w:tc>
              <w:tc>
                <w:tcPr>
                  <w:tcW w:w="736"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53.78</w:t>
                  </w:r>
                </w:p>
              </w:tc>
              <w:tc>
                <w:tcPr>
                  <w:tcW w:w="971"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51.28</w:t>
                  </w:r>
                </w:p>
              </w:tc>
              <w:tc>
                <w:tcPr>
                  <w:tcW w:w="717"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48.34</w:t>
                  </w:r>
                </w:p>
              </w:tc>
              <w:tc>
                <w:tcPr>
                  <w:tcW w:w="895"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45.76</w:t>
                  </w:r>
                </w:p>
              </w:tc>
              <w:tc>
                <w:tcPr>
                  <w:tcW w:w="767"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41.52</w:t>
                  </w:r>
                </w:p>
              </w:tc>
              <w:tc>
                <w:tcPr>
                  <w:tcW w:w="767"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39.56</w:t>
                  </w:r>
                </w:p>
              </w:tc>
              <w:tc>
                <w:tcPr>
                  <w:tcW w:w="767"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37.26</w:t>
                  </w:r>
                </w:p>
              </w:tc>
            </w:tr>
          </w:tbl>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项目占地面积55.35亩，产噪设备距离厂界的距离，大于50m，根据预测结果本项目厂界噪声达到《工业企业厂界环境噪声排放标准》（GB12348-2008）2类标准要求，因此，本项目噪声在厂界达标。</w:t>
            </w:r>
          </w:p>
          <w:p>
            <w:pPr>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3.3采取的噪声防护措施</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为了最大限度的减少噪声对周围环境的影响，本环评如下措施：</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①对噪声的控制从设备选型上尽量选择噪声低的设备或加装消声器和减震装置；</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②运输车辆在途经声环境敏感路段时要限速行驶、禁止鸣笛；</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③对动力机械设备定期进行维修和养护，避免因松动部件振动或消声器损坏而加大设备工作时的声级；</w:t>
            </w:r>
          </w:p>
          <w:p>
            <w:pPr>
              <w:spacing w:line="360" w:lineRule="auto"/>
              <w:ind w:right="226"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④另外对靠近噪声源工作的操作人员，采取配戴耳罩的方法，降低噪声对人体的危害。</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经采取以上措施后，本项目运行期间产生的噪声对厂界及周围敏感点声环境的影响较小。</w:t>
            </w:r>
          </w:p>
          <w:p>
            <w:pPr>
              <w:adjustRightInd w:val="0"/>
              <w:snapToGrid w:val="0"/>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4、固体废物影响分析</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4.1一般固废影响分析</w:t>
            </w:r>
          </w:p>
          <w:p>
            <w:pPr>
              <w:adjustRightInd w:val="0"/>
              <w:snapToGrid w:val="0"/>
              <w:spacing w:line="360" w:lineRule="auto"/>
              <w:ind w:firstLine="480" w:firstLineChars="200"/>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除尘器收尘灰为一般工业固体废物，除尘器收尘灰经收集后作为水泥混凝土生产原料返回生产工段，其可做到100%处置。</w:t>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废弃混凝土为一般工业固体废物，根据类比同类工程，废弃混凝土产生量为0.1t/d，36t/a，此部分固废经过收集后，作为原料返回生产线，其可做到100%处置。</w:t>
            </w:r>
          </w:p>
          <w:p>
            <w:pPr>
              <w:pStyle w:val="2"/>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钢筋加工过程中会产生一部分损耗量，约为总量的0.1%，则全年废钢筋产生量为8.5t/a，废弃钢筋全部外卖当地废品站，其可做到100%处置。</w:t>
            </w:r>
          </w:p>
          <w:p>
            <w:pPr>
              <w:pStyle w:val="2"/>
              <w:ind w:firstLine="480" w:firstLineChars="200"/>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实验室用于测试的混凝土以及钢筋测试完成后均返回各自的生产工序再生产利用。</w:t>
            </w:r>
          </w:p>
          <w:p>
            <w:pPr>
              <w:adjustRightInd w:val="0"/>
              <w:snapToGrid w:val="0"/>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4.2生活垃圾处置分析</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生活垃圾由垃圾</w:t>
            </w:r>
            <w:r>
              <w:rPr>
                <w:rFonts w:hint="eastAsia" w:ascii="Times New Roman" w:hAnsi="Times New Roman" w:cs="Times New Roman"/>
                <w:color w:val="auto"/>
                <w:sz w:val="24"/>
                <w:szCs w:val="24"/>
                <w:lang w:eastAsia="zh-CN"/>
              </w:rPr>
              <w:t>桶</w:t>
            </w:r>
            <w:r>
              <w:rPr>
                <w:rFonts w:hint="default" w:ascii="Times New Roman" w:hAnsi="Times New Roman" w:cs="Times New Roman"/>
                <w:color w:val="auto"/>
                <w:sz w:val="24"/>
                <w:szCs w:val="24"/>
              </w:rPr>
              <w:t>收集系统统一集中收集后，按环卫部门要求处理，处置率为100%。对周围环境影响较小。</w:t>
            </w:r>
          </w:p>
          <w:p>
            <w:pPr>
              <w:adjustRightInd w:val="0"/>
              <w:snapToGrid w:val="0"/>
              <w:spacing w:line="360" w:lineRule="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 xml:space="preserve">    生活污水处理系统、四级沉淀池、初期雨水收集池产生的污泥集中收集后与生活垃圾一起，按环卫部门要求处置，处置率为100%。对周围环境影响较小。</w:t>
            </w:r>
          </w:p>
          <w:p>
            <w:pPr>
              <w:adjustRightInd w:val="0"/>
              <w:snapToGrid w:val="0"/>
              <w:spacing w:line="360" w:lineRule="auto"/>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4.3危废处置合理性</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zh-CN"/>
              </w:rPr>
              <w:t>根据《国家危险废物</w:t>
            </w:r>
            <w:r>
              <w:rPr>
                <w:rFonts w:hint="default" w:ascii="Times New Roman" w:hAnsi="Times New Roman" w:cs="Times New Roman"/>
                <w:color w:val="auto"/>
                <w:sz w:val="24"/>
                <w:szCs w:val="24"/>
              </w:rPr>
              <w:t>名录》，项目产生废机油属于危废HW08（900-249-08）根据实际情况，项目仅设置一个用于暂存废机油的危废暂存间，废机油</w:t>
            </w:r>
            <w:r>
              <w:rPr>
                <w:rFonts w:hint="eastAsia" w:ascii="Times New Roman" w:hAnsi="Times New Roman" w:cs="Times New Roman"/>
                <w:color w:val="auto"/>
                <w:sz w:val="24"/>
                <w:szCs w:val="24"/>
                <w:lang w:eastAsia="zh-CN"/>
              </w:rPr>
              <w:t>、隔油池油脂</w:t>
            </w:r>
            <w:r>
              <w:rPr>
                <w:rFonts w:hint="default" w:ascii="Times New Roman" w:hAnsi="Times New Roman" w:cs="Times New Roman"/>
                <w:color w:val="auto"/>
                <w:sz w:val="24"/>
                <w:szCs w:val="24"/>
              </w:rPr>
              <w:t>用收集桶收集后暂存于暂存间中，定期委托有资质单位处置。本环评提出危废暂存间按《危险废物贮存污染控制标准》进行建设，同时按《危险废物贮存污染控制标准》运行与管理进行，危险废物转移执行国家环保总局第5号令《危险废物转移联单管理办法》。具体如下</w:t>
            </w:r>
          </w:p>
          <w:p>
            <w:pPr>
              <w:pStyle w:val="38"/>
              <w:widowControl w:val="0"/>
              <w:adjustRightInd w:val="0"/>
              <w:snapToGrid w:val="0"/>
              <w:spacing w:before="0" w:beforeAutospacing="0" w:after="0" w:afterAutospacing="0" w:line="360" w:lineRule="auto"/>
              <w:ind w:firstLine="480" w:firstLineChars="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建设要求</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1、废机油贮存容器要求</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（1）危险废物的容器必须设置危险废物标识；</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（2）装载危险废物的容器要完好无损，防渗漏；</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（3）盛装危险废物的容器材质和衬里要与危险废物相容（不相互反应）；</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（4）装载危险废物的容器及材质要满足相应的强度要求。</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2、项目废机油暂存间建设要求</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本环评要求建设单位单独设置废机油暂存间对项目废机油进行临时贮存。废机油暂存间的建设应满足以下要求：</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（1）地面与裙脚要用坚固、防渗的材料建造，建筑材料必须与危险废物相容；</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设施内要有安全照明设施和观察窗口；</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（3）基础必须防渗，防渗层为至少1米厚粘土层；</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（4）在衬里上设计、建造浸出液收集清除系统；</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（5）应设计建造径流疏导系统，保证能防止25年一遇的暴雨不会流到危险废物堆里。</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3、危险废物暂存管理制度</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按照《危险废物贮存处置管理规定》废机油暂存时应遵循以下管理制度：</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（1）废机油暂时贮存处应设有明显的危险废物识别标志</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（2）对危险废物暂时贮存场所要加强管理，定期巡检，确保危险废物不扩散、不渗漏、不丢失。</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（3）认真执行各项安全措施，防止渗漏和雨水冲刷。</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（4）必须定期对所贮存的危险废物包装容器及贮存设施进行检查，发现破损，应及时采取措施清理更换。</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（5）废机油暂存间周围应设置围墙或其它防护栅栏。</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综上，项目固废均得到妥善处置，处置率100%，对周围环境影响小。</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综上所述，本项目生产固废和生活垃圾均能得到合理处置，项目固废对环境的影响很小。</w:t>
            </w:r>
          </w:p>
          <w:p>
            <w:pPr>
              <w:adjustRightInd w:val="0"/>
              <w:snapToGrid w:val="0"/>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5、生态影响分析</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5.1植被</w:t>
            </w:r>
          </w:p>
          <w:p>
            <w:pPr>
              <w:adjustRightInd w:val="0"/>
              <w:snapToGrid w:val="0"/>
              <w:spacing w:line="360" w:lineRule="auto"/>
              <w:ind w:firstLine="600" w:firstLineChars="2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生产过程中产生的粉尘对厂区周围农作物生长情况有一定的影响。粉尘会阻塞植物气孔，降低植物蒸腾作用及光和作用，使农作物生长缓慢，降低其产量。根据大气影响分析预测，本项目产生的粉尘均达标排放，经过采取洒水降尘和加高厂界围墙等措施后粉尘对植被和农作物的影响很小。</w:t>
            </w:r>
          </w:p>
          <w:p>
            <w:pPr>
              <w:pStyle w:val="2"/>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5.2土壤</w:t>
            </w:r>
          </w:p>
          <w:p>
            <w:pPr>
              <w:pStyle w:val="2"/>
              <w:ind w:firstLine="48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项目位于富明县东村镇西村村，根据《环境影响评价技术导则-土壤环境（试行）》（HJ964-2018）</w:t>
            </w:r>
            <w:r>
              <w:rPr>
                <w:rFonts w:hint="eastAsia" w:ascii="Times New Roman" w:hAnsi="Times New Roman" w:cs="Times New Roman"/>
                <w:color w:val="auto"/>
                <w:sz w:val="24"/>
                <w:szCs w:val="24"/>
                <w:lang w:val="en-US" w:eastAsia="zh-CN"/>
              </w:rPr>
              <w:t>附录A</w:t>
            </w:r>
            <w:r>
              <w:rPr>
                <w:rFonts w:hint="default" w:ascii="Times New Roman" w:hAnsi="Times New Roman" w:cs="Times New Roman"/>
                <w:color w:val="auto"/>
                <w:sz w:val="24"/>
                <w:szCs w:val="24"/>
                <w:lang w:val="en-US" w:eastAsia="zh-CN"/>
              </w:rPr>
              <w:t>，项目行业类别为非金属矿物制造业中的其他项</w:t>
            </w:r>
            <w:r>
              <w:rPr>
                <w:rFonts w:hint="eastAsia" w:ascii="Times New Roman" w:hAnsi="Times New Roman" w:cs="Times New Roman"/>
                <w:color w:val="auto"/>
                <w:sz w:val="24"/>
                <w:szCs w:val="24"/>
                <w:lang w:val="en-US" w:eastAsia="zh-CN"/>
              </w:rPr>
              <w:t>以及金属制品中的其他项</w:t>
            </w:r>
            <w:r>
              <w:rPr>
                <w:rFonts w:hint="default" w:ascii="Times New Roman" w:hAnsi="Times New Roman" w:cs="Times New Roman"/>
                <w:color w:val="auto"/>
                <w:sz w:val="24"/>
                <w:szCs w:val="24"/>
                <w:lang w:val="en-US" w:eastAsia="zh-CN"/>
              </w:rPr>
              <w:t>，评价类别为Ⅲ类。项目对土壤的影响主要为淋滤水垂直入渗影响，其次是无组织粉尘沉降影响，属于污染影响型建设项目。具体评价等级划分依据如下：</w:t>
            </w:r>
          </w:p>
          <w:p>
            <w:pPr>
              <w:pStyle w:val="2"/>
              <w:ind w:firstLine="48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建设项目占地规模为大型（≥50hm</w:t>
            </w:r>
            <w:r>
              <w:rPr>
                <w:rFonts w:hint="default" w:ascii="Times New Roman" w:hAnsi="Times New Roman" w:cs="Times New Roman"/>
                <w:color w:val="auto"/>
                <w:sz w:val="24"/>
                <w:szCs w:val="24"/>
                <w:vertAlign w:val="superscript"/>
                <w:lang w:val="en-US" w:eastAsia="zh-CN"/>
              </w:rPr>
              <w:t>2</w:t>
            </w:r>
            <w:r>
              <w:rPr>
                <w:rFonts w:hint="default" w:ascii="Times New Roman" w:hAnsi="Times New Roman" w:cs="Times New Roman"/>
                <w:color w:val="auto"/>
                <w:sz w:val="24"/>
                <w:szCs w:val="24"/>
                <w:lang w:val="en-US" w:eastAsia="zh-CN"/>
              </w:rPr>
              <w:t>）、中型（5-50hm</w:t>
            </w:r>
            <w:r>
              <w:rPr>
                <w:rFonts w:hint="default" w:ascii="Times New Roman" w:hAnsi="Times New Roman" w:cs="Times New Roman"/>
                <w:color w:val="auto"/>
                <w:sz w:val="24"/>
                <w:szCs w:val="24"/>
                <w:vertAlign w:val="superscript"/>
                <w:lang w:val="en-US" w:eastAsia="zh-CN"/>
              </w:rPr>
              <w:t>2</w:t>
            </w:r>
            <w:r>
              <w:rPr>
                <w:rFonts w:hint="default" w:ascii="Times New Roman" w:hAnsi="Times New Roman" w:cs="Times New Roman"/>
                <w:color w:val="auto"/>
                <w:sz w:val="24"/>
                <w:szCs w:val="24"/>
                <w:lang w:val="en-US" w:eastAsia="zh-CN"/>
              </w:rPr>
              <w:t>）、小型（≤5hm</w:t>
            </w:r>
            <w:r>
              <w:rPr>
                <w:rFonts w:hint="default" w:ascii="Times New Roman" w:hAnsi="Times New Roman" w:cs="Times New Roman"/>
                <w:color w:val="auto"/>
                <w:sz w:val="24"/>
                <w:szCs w:val="24"/>
                <w:vertAlign w:val="superscript"/>
                <w:lang w:val="en-US" w:eastAsia="zh-CN"/>
              </w:rPr>
              <w:t>2</w:t>
            </w:r>
            <w:r>
              <w:rPr>
                <w:rFonts w:hint="default" w:ascii="Times New Roman" w:hAnsi="Times New Roman" w:cs="Times New Roman"/>
                <w:color w:val="auto"/>
                <w:sz w:val="24"/>
                <w:szCs w:val="24"/>
                <w:lang w:val="en-US" w:eastAsia="zh-CN"/>
              </w:rPr>
              <w:t>），项目占地3.56hm</w:t>
            </w:r>
            <w:r>
              <w:rPr>
                <w:rFonts w:hint="default" w:ascii="Times New Roman" w:hAnsi="Times New Roman" w:cs="Times New Roman"/>
                <w:color w:val="auto"/>
                <w:sz w:val="24"/>
                <w:szCs w:val="24"/>
                <w:vertAlign w:val="superscript"/>
                <w:lang w:val="en-US" w:eastAsia="zh-CN"/>
              </w:rPr>
              <w:t>2</w:t>
            </w:r>
            <w:r>
              <w:rPr>
                <w:rFonts w:hint="default" w:ascii="Times New Roman" w:hAnsi="Times New Roman" w:cs="Times New Roman"/>
                <w:color w:val="auto"/>
                <w:sz w:val="24"/>
                <w:szCs w:val="24"/>
                <w:lang w:val="en-US" w:eastAsia="zh-CN"/>
              </w:rPr>
              <w:t>，占地规模为小型；建设项目所在地周边土壤环境敏感程度分为敏感、较敏感、不敏感，判别依据见表7-15。</w:t>
            </w:r>
          </w:p>
          <w:p>
            <w:pPr>
              <w:pStyle w:val="2"/>
              <w:keepNext w:val="0"/>
              <w:keepLines w:val="0"/>
              <w:pageBreakBefore w:val="0"/>
              <w:widowControl w:val="0"/>
              <w:kinsoku/>
              <w:wordWrap/>
              <w:overflowPunct/>
              <w:topLinePunct w:val="0"/>
              <w:autoSpaceDE/>
              <w:autoSpaceDN/>
              <w:bidi w:val="0"/>
              <w:adjustRightInd/>
              <w:snapToGrid/>
              <w:spacing w:line="240" w:lineRule="auto"/>
              <w:ind w:firstLine="482"/>
              <w:jc w:val="center"/>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表7-15 污染影响型敏感程度分级表</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8"/>
              <w:gridCol w:w="6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敏感程度</w:t>
                  </w:r>
                </w:p>
              </w:tc>
              <w:tc>
                <w:tcPr>
                  <w:tcW w:w="6767"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判别依据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敏感</w:t>
                  </w:r>
                </w:p>
              </w:tc>
              <w:tc>
                <w:tcPr>
                  <w:tcW w:w="6767"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建设项目周边存在耕地、园地、牧草地、饮用水源或居民区、学校、医院、疗养院、养老院等土壤环境敏感目标的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较敏感</w:t>
                  </w:r>
                </w:p>
              </w:tc>
              <w:tc>
                <w:tcPr>
                  <w:tcW w:w="6767"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建设项目周边存在其他土壤环境敏感目标的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不敏感</w:t>
                  </w:r>
                </w:p>
              </w:tc>
              <w:tc>
                <w:tcPr>
                  <w:tcW w:w="6767" w:type="dxa"/>
                  <w:vAlign w:val="center"/>
                </w:tcPr>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其他情况</w:t>
                  </w:r>
                </w:p>
              </w:tc>
            </w:tr>
          </w:tbl>
          <w:p>
            <w:pPr>
              <w:pStyle w:val="2"/>
              <w:ind w:firstLine="48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项目周边存在耕地，敏感程度为敏感。但项目为高速公路建设附属项目，占地为临时占地。项目服务期限为</w:t>
            </w:r>
            <w:r>
              <w:rPr>
                <w:rFonts w:hint="eastAsia" w:ascii="Times New Roman" w:hAnsi="Times New Roman" w:cs="Times New Roman"/>
                <w:color w:val="auto"/>
                <w:sz w:val="24"/>
                <w:szCs w:val="24"/>
                <w:lang w:val="en-US" w:eastAsia="zh-CN"/>
              </w:rPr>
              <w:t>29个月</w:t>
            </w:r>
            <w:r>
              <w:rPr>
                <w:rFonts w:hint="default" w:ascii="Times New Roman" w:hAnsi="Times New Roman" w:cs="Times New Roman"/>
                <w:color w:val="auto"/>
                <w:sz w:val="24"/>
                <w:szCs w:val="24"/>
                <w:lang w:val="en-US" w:eastAsia="zh-CN"/>
              </w:rPr>
              <w:t>，高速公路竣工后项目进行拆除恢复生态处理，因此对土壤的影响只是暂时性的，且污染物都达标排放，对周围土壤环境影响较小。</w:t>
            </w:r>
          </w:p>
          <w:p>
            <w:pPr>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6、环境风险分析</w:t>
            </w:r>
          </w:p>
          <w:p>
            <w:pPr>
              <w:spacing w:line="360" w:lineRule="auto"/>
              <w:ind w:firstLine="480" w:firstLineChars="200"/>
              <w:rPr>
                <w:rFonts w:hint="default" w:ascii="Times New Roman" w:hAnsi="Times New Roman" w:cs="Times New Roman"/>
                <w:color w:val="auto"/>
                <w:sz w:val="24"/>
                <w:szCs w:val="24"/>
              </w:rPr>
            </w:pPr>
            <w:bookmarkStart w:id="31" w:name="_Toc232420866"/>
            <w:bookmarkStart w:id="32" w:name="_Toc143586619"/>
            <w:bookmarkStart w:id="33" w:name="_Toc156356330"/>
            <w:bookmarkStart w:id="34" w:name="_Toc141085659"/>
            <w:bookmarkStart w:id="35" w:name="_Toc141181948"/>
            <w:bookmarkStart w:id="36" w:name="_Toc143586696"/>
            <w:bookmarkStart w:id="37" w:name="_Toc141182021"/>
            <w:bookmarkStart w:id="38" w:name="_Toc145314502"/>
            <w:r>
              <w:rPr>
                <w:rFonts w:hint="default" w:ascii="Times New Roman" w:hAnsi="Times New Roman" w:cs="Times New Roman"/>
                <w:color w:val="auto"/>
                <w:sz w:val="24"/>
                <w:szCs w:val="24"/>
              </w:rPr>
              <w:t>6.1评价原则</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按照《建设项目环境风险评价技术导则》（HJ/T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项目使用氧气作为助燃剂燃烧乙炔，形成高温切割钢筋，氧气储存于氧气罐放置在氧气房内，过程中使用的量以及存储的量较少，且按照规范严格操作和管理，因此环境风险较小。</w:t>
            </w:r>
          </w:p>
          <w:p>
            <w:pPr>
              <w:pStyle w:val="2"/>
              <w:ind w:firstLine="240" w:firstLineChars="100"/>
              <w:rPr>
                <w:rFonts w:hint="default" w:ascii="Times New Roman" w:hAnsi="Times New Roman" w:cs="Times New Roman"/>
                <w:color w:val="auto"/>
                <w:sz w:val="24"/>
                <w:szCs w:val="24"/>
                <w:lang w:eastAsia="zh-CN"/>
              </w:rPr>
            </w:pPr>
            <w:bookmarkStart w:id="39" w:name="_Toc20658"/>
            <w:bookmarkStart w:id="40" w:name="_Toc25883"/>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2环境风险潜势初判</w:t>
            </w:r>
            <w:bookmarkEnd w:id="39"/>
            <w:bookmarkEnd w:id="40"/>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bookmarkStart w:id="41" w:name="_Toc5791"/>
            <w:bookmarkStart w:id="42" w:name="_Toc30804"/>
            <w:bookmarkStart w:id="43" w:name="_Toc258"/>
            <w:r>
              <w:rPr>
                <w:rFonts w:hint="default" w:ascii="Times New Roman" w:hAnsi="Times New Roman" w:cs="Times New Roman"/>
                <w:color w:val="auto"/>
                <w:sz w:val="24"/>
                <w:szCs w:val="24"/>
                <w:lang w:val="en-US" w:eastAsia="zh-CN"/>
              </w:rPr>
              <w:t>6.2.1项目环境敏感程度（E）的确定</w:t>
            </w:r>
            <w:bookmarkEnd w:id="41"/>
            <w:bookmarkEnd w:id="42"/>
            <w:bookmarkEnd w:id="43"/>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eastAsia="zh-CN"/>
              </w:rPr>
              <w:t>）大气环境</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rPr>
              <w:t>根据《建设项目环境风险评价技术导则》</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HJ 169-2018</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附录D，依据环境敏感目标环境敏感性及人口密度划分环境风险受体的敏感性，共分为三种类型， E1为环境高度敏感区，E2为环境中度敏感区，E3为环境低度敏感区，分级原则见表</w:t>
            </w:r>
            <w:r>
              <w:rPr>
                <w:rFonts w:hint="default" w:ascii="Times New Roman" w:hAnsi="Times New Roman" w:cs="Times New Roman"/>
                <w:color w:val="auto"/>
                <w:sz w:val="24"/>
                <w:szCs w:val="24"/>
                <w:lang w:val="en-US" w:eastAsia="zh-CN"/>
              </w:rPr>
              <w:t>7-16。</w:t>
            </w:r>
          </w:p>
          <w:p>
            <w:pPr>
              <w:pStyle w:val="2"/>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7-16</w:t>
            </w:r>
            <w:r>
              <w:rPr>
                <w:rFonts w:hint="default" w:ascii="Times New Roman" w:hAnsi="Times New Roman" w:cs="Times New Roman"/>
                <w:b/>
                <w:bCs/>
                <w:color w:val="auto"/>
                <w:sz w:val="24"/>
                <w:szCs w:val="24"/>
              </w:rPr>
              <w:t xml:space="preserve">  大气环境敏感程度分级</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7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tcBorders>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分级</w:t>
                  </w:r>
                </w:p>
              </w:tc>
              <w:tc>
                <w:tcPr>
                  <w:tcW w:w="7742" w:type="dxa"/>
                  <w:tcBorders>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大气环境敏感性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692" w:type="dxa"/>
                  <w:tcBorders>
                    <w:top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E1</w:t>
                  </w:r>
                </w:p>
              </w:tc>
              <w:tc>
                <w:tcPr>
                  <w:tcW w:w="7742"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周边5km范围内居住区、医疗卫生、文化教育、科研、行政办公等机构人口总数大于5万人，或其他需要特殊保护区域；或周边500m范围内人口总数大于1000人；油气、化 学品输送管线管段周边200m范围内，每千米管段人口数大于200人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tcBorders>
                    <w:top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E2</w:t>
                  </w:r>
                </w:p>
              </w:tc>
              <w:tc>
                <w:tcPr>
                  <w:tcW w:w="7742"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周边5 km 范围内居住区、医疗卫生、文化教育、科研、行政办公等机构人口总数大于1万人，小于</w:t>
                  </w:r>
                  <w:r>
                    <w:rPr>
                      <w:rFonts w:hint="default" w:ascii="Times New Roman" w:hAnsi="Times New Roman" w:cs="Times New Roman"/>
                      <w:color w:val="auto"/>
                      <w:sz w:val="21"/>
                      <w:szCs w:val="21"/>
                      <w:lang w:val="en-US" w:eastAsia="zh-CN"/>
                    </w:rPr>
                    <w:t>5</w:t>
                  </w:r>
                  <w:r>
                    <w:rPr>
                      <w:rFonts w:hint="default" w:ascii="Times New Roman" w:hAnsi="Times New Roman" w:cs="Times New Roman"/>
                      <w:color w:val="auto"/>
                      <w:sz w:val="21"/>
                      <w:szCs w:val="21"/>
                    </w:rPr>
                    <w:t>万人；或周边</w:t>
                  </w:r>
                  <w:r>
                    <w:rPr>
                      <w:rFonts w:hint="default" w:ascii="Times New Roman" w:hAnsi="Times New Roman" w:cs="Times New Roman"/>
                      <w:color w:val="auto"/>
                      <w:sz w:val="21"/>
                      <w:szCs w:val="21"/>
                      <w:lang w:val="en-US" w:eastAsia="zh-CN"/>
                    </w:rPr>
                    <w:t>500</w:t>
                  </w:r>
                  <w:r>
                    <w:rPr>
                      <w:rFonts w:hint="default" w:ascii="Times New Roman" w:hAnsi="Times New Roman" w:cs="Times New Roman"/>
                      <w:color w:val="auto"/>
                      <w:sz w:val="21"/>
                      <w:szCs w:val="21"/>
                    </w:rPr>
                    <w:t>m范围内人口总数大于500人，小于1000人；油气、化 学品输送管线管段周边200m范围内，每千米管段人口数大于100人，小于200人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tcBorders>
                    <w:top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E3</w:t>
                  </w:r>
                </w:p>
              </w:tc>
              <w:tc>
                <w:tcPr>
                  <w:tcW w:w="7742" w:type="dxa"/>
                  <w:tcBorders>
                    <w:top w:val="single" w:color="auto" w:sz="4" w:space="0"/>
                    <w:left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周边5km范围内居住区、医疗卫生、文化教育、科研、行政办公等机构人口总数小于1万人；或周边500m范围内人口总数小于500人；油气、化学品输送管线管段周边200m范围内，每千米管段人口数小于100人</w:t>
                  </w:r>
                </w:p>
              </w:tc>
            </w:tr>
          </w:tbl>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rPr>
              <w:t>本项目周边5km范围内居民区、医疗卫生、文化教育、科研</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行政办公</w:t>
            </w:r>
            <w:r>
              <w:rPr>
                <w:rFonts w:hint="default" w:ascii="Times New Roman" w:hAnsi="Times New Roman" w:cs="Times New Roman"/>
                <w:color w:val="auto"/>
                <w:sz w:val="24"/>
                <w:szCs w:val="24"/>
                <w:lang w:eastAsia="zh-CN"/>
              </w:rPr>
              <w:t>等</w:t>
            </w:r>
            <w:r>
              <w:rPr>
                <w:rFonts w:hint="default" w:ascii="Times New Roman" w:hAnsi="Times New Roman" w:cs="Times New Roman"/>
                <w:color w:val="auto"/>
                <w:sz w:val="24"/>
                <w:szCs w:val="24"/>
              </w:rPr>
              <w:t>机构总人数</w:t>
            </w:r>
            <w:r>
              <w:rPr>
                <w:rFonts w:hint="default" w:ascii="Times New Roman" w:hAnsi="Times New Roman" w:cs="Times New Roman"/>
                <w:color w:val="auto"/>
                <w:sz w:val="24"/>
                <w:szCs w:val="24"/>
                <w:lang w:eastAsia="zh-CN"/>
              </w:rPr>
              <w:t>小于</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rPr>
              <w:t>万人</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项目周边500m范围居民区、医疗卫生、文化教育、科研</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行政办公</w:t>
            </w:r>
            <w:r>
              <w:rPr>
                <w:rFonts w:hint="default" w:ascii="Times New Roman" w:hAnsi="Times New Roman" w:cs="Times New Roman"/>
                <w:color w:val="auto"/>
                <w:sz w:val="24"/>
                <w:szCs w:val="24"/>
                <w:lang w:eastAsia="zh-CN"/>
              </w:rPr>
              <w:t>等</w:t>
            </w:r>
            <w:r>
              <w:rPr>
                <w:rFonts w:hint="default" w:ascii="Times New Roman" w:hAnsi="Times New Roman" w:cs="Times New Roman"/>
                <w:color w:val="auto"/>
                <w:sz w:val="24"/>
                <w:szCs w:val="24"/>
              </w:rPr>
              <w:t>机构总人数</w:t>
            </w:r>
            <w:r>
              <w:rPr>
                <w:rFonts w:hint="default" w:ascii="Times New Roman" w:hAnsi="Times New Roman" w:cs="Times New Roman"/>
                <w:color w:val="auto"/>
                <w:sz w:val="24"/>
                <w:szCs w:val="24"/>
                <w:lang w:eastAsia="zh-CN"/>
              </w:rPr>
              <w:t>小于</w:t>
            </w:r>
            <w:r>
              <w:rPr>
                <w:rFonts w:hint="default" w:ascii="Times New Roman" w:hAnsi="Times New Roman" w:cs="Times New Roman"/>
                <w:color w:val="auto"/>
                <w:sz w:val="24"/>
                <w:szCs w:val="24"/>
                <w:lang w:val="en-US" w:eastAsia="zh-CN"/>
              </w:rPr>
              <w:t>500</w:t>
            </w:r>
            <w:r>
              <w:rPr>
                <w:rFonts w:hint="default" w:ascii="Times New Roman" w:hAnsi="Times New Roman" w:cs="Times New Roman"/>
                <w:color w:val="auto"/>
                <w:sz w:val="24"/>
                <w:szCs w:val="24"/>
              </w:rPr>
              <w:t>人，</w:t>
            </w:r>
            <w:r>
              <w:rPr>
                <w:rFonts w:hint="default" w:ascii="Times New Roman" w:hAnsi="Times New Roman" w:cs="Times New Roman"/>
                <w:color w:val="auto"/>
                <w:sz w:val="24"/>
                <w:szCs w:val="24"/>
                <w:lang w:eastAsia="zh-CN"/>
              </w:rPr>
              <w:t>因此，本</w:t>
            </w:r>
            <w:r>
              <w:rPr>
                <w:rFonts w:hint="default" w:ascii="Times New Roman" w:hAnsi="Times New Roman" w:cs="Times New Roman"/>
                <w:color w:val="auto"/>
                <w:sz w:val="24"/>
                <w:szCs w:val="24"/>
              </w:rPr>
              <w:t>项目大气环境敏感程度为环境</w:t>
            </w:r>
            <w:r>
              <w:rPr>
                <w:rFonts w:hint="default" w:ascii="Times New Roman" w:hAnsi="Times New Roman" w:cs="Times New Roman"/>
                <w:color w:val="auto"/>
                <w:sz w:val="24"/>
                <w:szCs w:val="24"/>
                <w:lang w:eastAsia="zh-CN"/>
              </w:rPr>
              <w:t>中</w:t>
            </w:r>
            <w:r>
              <w:rPr>
                <w:rFonts w:hint="default" w:ascii="Times New Roman" w:hAnsi="Times New Roman" w:cs="Times New Roman"/>
                <w:color w:val="auto"/>
                <w:sz w:val="24"/>
                <w:szCs w:val="24"/>
              </w:rPr>
              <w:t>度敏感区（E</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lang w:eastAsia="zh-CN"/>
              </w:rPr>
              <w:t>）地表水环境</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根据事故情况下危险物质泄漏到水体的排放点受纳地表水体功能敏感性，与下游环境敏感目标情况，共分为三种类型，E1为环境高度敏感区，E2为环境中度敏感区，E3为环境低度敏感区，分级原则见表</w:t>
            </w:r>
            <w:r>
              <w:rPr>
                <w:rFonts w:hint="default" w:ascii="Times New Roman" w:hAnsi="Times New Roman" w:cs="Times New Roman"/>
                <w:color w:val="auto"/>
                <w:sz w:val="24"/>
                <w:szCs w:val="24"/>
                <w:lang w:val="en-US" w:eastAsia="zh-CN"/>
              </w:rPr>
              <w:t>7-17。</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7-17</w:t>
            </w:r>
            <w:r>
              <w:rPr>
                <w:rFonts w:hint="default" w:ascii="Times New Roman" w:hAnsi="Times New Roman" w:cs="Times New Roman"/>
                <w:b/>
                <w:bCs/>
                <w:color w:val="auto"/>
                <w:sz w:val="24"/>
                <w:szCs w:val="24"/>
              </w:rPr>
              <w:t xml:space="preserve">  地表水环境敏感程度分级（E）</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7"/>
              <w:gridCol w:w="1862"/>
              <w:gridCol w:w="1864"/>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707"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环境敏感目标</w:t>
                  </w:r>
                </w:p>
              </w:tc>
              <w:tc>
                <w:tcPr>
                  <w:tcW w:w="5589" w:type="dxa"/>
                  <w:gridSpan w:val="3"/>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地表水功能敏感性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707"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p>
              </w:tc>
              <w:tc>
                <w:tcPr>
                  <w:tcW w:w="1862"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F1</w:t>
                  </w:r>
                </w:p>
              </w:tc>
              <w:tc>
                <w:tcPr>
                  <w:tcW w:w="186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F2</w:t>
                  </w:r>
                </w:p>
              </w:tc>
              <w:tc>
                <w:tcPr>
                  <w:tcW w:w="1863"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F3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707"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S1</w:t>
                  </w:r>
                </w:p>
              </w:tc>
              <w:tc>
                <w:tcPr>
                  <w:tcW w:w="1862"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E1</w:t>
                  </w:r>
                </w:p>
              </w:tc>
              <w:tc>
                <w:tcPr>
                  <w:tcW w:w="186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E1</w:t>
                  </w:r>
                </w:p>
              </w:tc>
              <w:tc>
                <w:tcPr>
                  <w:tcW w:w="1863"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707"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S2</w:t>
                  </w:r>
                </w:p>
              </w:tc>
              <w:tc>
                <w:tcPr>
                  <w:tcW w:w="1862"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E1</w:t>
                  </w:r>
                </w:p>
              </w:tc>
              <w:tc>
                <w:tcPr>
                  <w:tcW w:w="186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E2</w:t>
                  </w:r>
                </w:p>
              </w:tc>
              <w:tc>
                <w:tcPr>
                  <w:tcW w:w="1863"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707" w:type="dxa"/>
                  <w:shd w:val="clear" w:color="auto" w:fill="auto"/>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S3</w:t>
                  </w:r>
                </w:p>
              </w:tc>
              <w:tc>
                <w:tcPr>
                  <w:tcW w:w="1862" w:type="dxa"/>
                  <w:shd w:val="clear" w:color="auto" w:fill="auto"/>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E1</w:t>
                  </w:r>
                </w:p>
              </w:tc>
              <w:tc>
                <w:tcPr>
                  <w:tcW w:w="1864" w:type="dxa"/>
                  <w:shd w:val="clear" w:color="auto" w:fill="auto"/>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E2</w:t>
                  </w:r>
                </w:p>
              </w:tc>
              <w:tc>
                <w:tcPr>
                  <w:tcW w:w="1863" w:type="dxa"/>
                  <w:shd w:val="clear" w:color="auto" w:fill="D7D7D7"/>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E3</w:t>
                  </w:r>
                </w:p>
              </w:tc>
            </w:tr>
          </w:tbl>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 xml:space="preserve">7-18    </w:t>
            </w:r>
            <w:r>
              <w:rPr>
                <w:rFonts w:hint="default" w:ascii="Times New Roman" w:hAnsi="Times New Roman" w:cs="Times New Roman"/>
                <w:b/>
                <w:bCs/>
                <w:color w:val="auto"/>
                <w:sz w:val="24"/>
                <w:szCs w:val="24"/>
              </w:rPr>
              <w:t>地表水功能敏感性分区</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7"/>
              <w:gridCol w:w="7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87"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敏感性</w:t>
                  </w:r>
                </w:p>
              </w:tc>
              <w:tc>
                <w:tcPr>
                  <w:tcW w:w="7009"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地表水环境敏感特征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87"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敏感</w:t>
                  </w:r>
                  <w:r>
                    <w:rPr>
                      <w:rFonts w:hint="default" w:ascii="Times New Roman" w:hAnsi="Times New Roman" w:cs="Times New Roman"/>
                      <w:color w:val="auto"/>
                      <w:sz w:val="21"/>
                      <w:szCs w:val="21"/>
                      <w:lang w:val="en-US" w:eastAsia="zh-CN"/>
                    </w:rPr>
                    <w:t>F1</w:t>
                  </w:r>
                </w:p>
              </w:tc>
              <w:tc>
                <w:tcPr>
                  <w:tcW w:w="7009"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排放点进入地表水水域环境功能为Ⅱ类及以上，或海水水质分类第一类；</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或以发生事故时，危险物质泄漏到水体的排放点算起，排放进入受纳河流最大流速时，24h流经范围内涉跨国界的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87"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较敏感</w:t>
                  </w:r>
                  <w:r>
                    <w:rPr>
                      <w:rFonts w:hint="default" w:ascii="Times New Roman" w:hAnsi="Times New Roman" w:cs="Times New Roman"/>
                      <w:color w:val="auto"/>
                      <w:sz w:val="21"/>
                      <w:szCs w:val="21"/>
                      <w:lang w:val="en-US" w:eastAsia="zh-CN"/>
                    </w:rPr>
                    <w:t>F2</w:t>
                  </w:r>
                </w:p>
              </w:tc>
              <w:tc>
                <w:tcPr>
                  <w:tcW w:w="7009"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排放点进入地表水水域环境功能为Ⅲ类，或海水水质分类第二类；</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或以发生事故时，危险物质泄漏到水体的排放点算起，排放进入受纳河流最大流速时，24h流经范围内涉跨省界的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87"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低敏感</w:t>
                  </w:r>
                  <w:r>
                    <w:rPr>
                      <w:rFonts w:hint="default" w:ascii="Times New Roman" w:hAnsi="Times New Roman" w:cs="Times New Roman"/>
                      <w:color w:val="auto"/>
                      <w:sz w:val="21"/>
                      <w:szCs w:val="21"/>
                      <w:lang w:val="en-US" w:eastAsia="zh-CN"/>
                    </w:rPr>
                    <w:t>F3</w:t>
                  </w:r>
                </w:p>
              </w:tc>
              <w:tc>
                <w:tcPr>
                  <w:tcW w:w="7009"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上述地区之外的其他地区</w:t>
                  </w:r>
                </w:p>
              </w:tc>
            </w:tr>
          </w:tbl>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 xml:space="preserve">表7-19    </w:t>
            </w:r>
            <w:r>
              <w:rPr>
                <w:rFonts w:hint="default" w:ascii="Times New Roman" w:hAnsi="Times New Roman" w:cs="Times New Roman"/>
                <w:b/>
                <w:bCs/>
                <w:color w:val="auto"/>
                <w:sz w:val="24"/>
                <w:szCs w:val="24"/>
              </w:rPr>
              <w:t>环境敏感目标分级</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7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分级</w:t>
                  </w:r>
                </w:p>
              </w:tc>
              <w:tc>
                <w:tcPr>
                  <w:tcW w:w="76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环境敏感目标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S1</w:t>
                  </w:r>
                </w:p>
              </w:tc>
              <w:tc>
                <w:tcPr>
                  <w:tcW w:w="76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发生事故时，危险物质泄漏到内陆水体的排放点下游（顺水流向）10km范围内、近岸海域一个潮周期水质点可能达到的最大水平距离的两倍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S2</w:t>
                  </w:r>
                </w:p>
              </w:tc>
              <w:tc>
                <w:tcPr>
                  <w:tcW w:w="76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发生事故时，危险物质泄漏到内陆水体的排放点下游（顺水流向）10km范围内、近岸海域一个潮周期水质点可能达到的最大水平距离的两倍范围内，有如下一类或多类环境风险受体的：水产养殖区；天然渔场；森林公园；地质公园；海滨风景游览区；具有重要经济价值的海洋生物生存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8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S3</w:t>
                  </w:r>
                </w:p>
              </w:tc>
              <w:tc>
                <w:tcPr>
                  <w:tcW w:w="760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排放点下游（顺水流向）10km范围、近岸海域一个潮周期水质点可能达到的最大水平距离的两倍范围内无上述类型1和类型2包括的敏感保护目标</w:t>
                  </w:r>
                </w:p>
              </w:tc>
            </w:tr>
          </w:tbl>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项目涉及的地表水为项目</w:t>
            </w:r>
            <w:r>
              <w:rPr>
                <w:rFonts w:hint="default" w:ascii="Times New Roman" w:hAnsi="Times New Roman" w:cs="Times New Roman"/>
                <w:color w:val="auto"/>
                <w:sz w:val="24"/>
                <w:szCs w:val="24"/>
                <w:lang w:eastAsia="zh-CN"/>
              </w:rPr>
              <w:t>西面1380m处的普渡河，</w:t>
            </w:r>
            <w:r>
              <w:rPr>
                <w:rFonts w:hint="default" w:ascii="Times New Roman" w:hAnsi="Times New Roman" w:cs="Times New Roman"/>
                <w:color w:val="auto"/>
                <w:sz w:val="24"/>
                <w:szCs w:val="24"/>
              </w:rPr>
              <w:t>根据《云南省地表水水环境功能区划》（2010-2020年），该段水环境功能为工业用水，水质类别为Ⅳ类，</w:t>
            </w:r>
            <w:r>
              <w:rPr>
                <w:rFonts w:hint="default" w:ascii="Times New Roman" w:hAnsi="Times New Roman" w:cs="Times New Roman"/>
                <w:color w:val="auto"/>
                <w:sz w:val="24"/>
                <w:szCs w:val="24"/>
                <w:lang w:eastAsia="zh-CN"/>
              </w:rPr>
              <w:t>本项目废水不外排。</w:t>
            </w:r>
            <w:r>
              <w:rPr>
                <w:rFonts w:hint="default" w:ascii="Times New Roman" w:hAnsi="Times New Roman" w:cs="Times New Roman"/>
                <w:color w:val="auto"/>
                <w:sz w:val="24"/>
                <w:szCs w:val="24"/>
              </w:rPr>
              <w:t>根据《建设项目环境风险评价技术导则》</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HJ 169-2018</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附录D</w:t>
            </w:r>
            <w:r>
              <w:rPr>
                <w:rFonts w:hint="default" w:ascii="Times New Roman" w:hAnsi="Times New Roman" w:cs="Times New Roman"/>
                <w:color w:val="auto"/>
                <w:sz w:val="24"/>
                <w:szCs w:val="24"/>
                <w:lang w:eastAsia="zh-CN"/>
              </w:rPr>
              <w:t>（表</w:t>
            </w:r>
            <w:r>
              <w:rPr>
                <w:rFonts w:hint="default" w:ascii="Times New Roman" w:hAnsi="Times New Roman" w:cs="Times New Roman"/>
                <w:color w:val="auto"/>
                <w:sz w:val="24"/>
                <w:szCs w:val="24"/>
                <w:lang w:val="en-US" w:eastAsia="zh-CN"/>
              </w:rPr>
              <w:t>7-6</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的相关规定，本项目地表水功能敏感性为</w:t>
            </w:r>
            <w:r>
              <w:rPr>
                <w:rFonts w:hint="default" w:ascii="Times New Roman" w:hAnsi="Times New Roman" w:cs="Times New Roman"/>
                <w:color w:val="auto"/>
                <w:sz w:val="24"/>
                <w:szCs w:val="24"/>
                <w:lang w:eastAsia="zh-CN"/>
              </w:rPr>
              <w:t>低</w:t>
            </w:r>
            <w:r>
              <w:rPr>
                <w:rFonts w:hint="default" w:ascii="Times New Roman" w:hAnsi="Times New Roman" w:cs="Times New Roman"/>
                <w:color w:val="auto"/>
                <w:sz w:val="24"/>
                <w:szCs w:val="24"/>
              </w:rPr>
              <w:t>敏感F</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lang w:eastAsia="zh-CN"/>
              </w:rPr>
              <w:t>普渡河</w:t>
            </w:r>
            <w:r>
              <w:rPr>
                <w:rFonts w:hint="default" w:ascii="Times New Roman" w:hAnsi="Times New Roman" w:cs="Times New Roman"/>
                <w:color w:val="auto"/>
                <w:sz w:val="24"/>
                <w:szCs w:val="24"/>
              </w:rPr>
              <w:t>排放点下游（顺水流向）10km范围内无集中式地表水饮用水源保护区、农村及分散式饮用水水源保护区、自然保护区、重要湿地、珍稀濒危野生动植物天然集中分布区、重要水生生物的自然产卵场及索饵场、越冬场、洄游通道、世界文化和自然遗产地、红树林、珊瑚礁等滨海湿地生态系统、珍惜、濒危海洋生物的天然集中分布区、海洋特别保护区、海上自然保护区、盐场保护区、海水浴场、海洋自然历史遗迹、风景名胜区、或其他特殊重要保护区域，故本项目环境敏感目标分级为S3。依据表</w:t>
            </w:r>
            <w:r>
              <w:rPr>
                <w:rFonts w:hint="default" w:ascii="Times New Roman" w:hAnsi="Times New Roman" w:cs="Times New Roman"/>
                <w:color w:val="auto"/>
                <w:sz w:val="24"/>
                <w:szCs w:val="24"/>
                <w:lang w:val="en-US" w:eastAsia="zh-CN"/>
              </w:rPr>
              <w:t>7-5</w:t>
            </w:r>
            <w:r>
              <w:rPr>
                <w:rFonts w:hint="default" w:ascii="Times New Roman" w:hAnsi="Times New Roman" w:cs="Times New Roman"/>
                <w:color w:val="auto"/>
                <w:sz w:val="24"/>
                <w:szCs w:val="24"/>
              </w:rPr>
              <w:t>，本项目地表水环境敏感程度分级为E</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（3）地下水环境</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依据地下水功能敏感性与包气带防污性能，</w:t>
            </w:r>
            <w:r>
              <w:rPr>
                <w:rFonts w:hint="default" w:ascii="Times New Roman" w:hAnsi="Times New Roman" w:cs="Times New Roman"/>
                <w:color w:val="auto"/>
                <w:sz w:val="24"/>
                <w:szCs w:val="24"/>
                <w:lang w:eastAsia="zh-CN"/>
              </w:rPr>
              <w:t>其</w:t>
            </w:r>
            <w:r>
              <w:rPr>
                <w:rFonts w:hint="default" w:ascii="Times New Roman" w:hAnsi="Times New Roman" w:cs="Times New Roman"/>
                <w:color w:val="auto"/>
                <w:sz w:val="24"/>
                <w:szCs w:val="24"/>
              </w:rPr>
              <w:t>共分为三种类型，E1为环境高度敏感区，E2为环境中度敏感区，E3为环境低度敏感区，分级原则见表</w:t>
            </w:r>
            <w:r>
              <w:rPr>
                <w:rFonts w:hint="default" w:ascii="Times New Roman" w:hAnsi="Times New Roman" w:cs="Times New Roman"/>
                <w:color w:val="auto"/>
                <w:sz w:val="24"/>
                <w:szCs w:val="24"/>
                <w:lang w:val="en-US" w:eastAsia="zh-CN"/>
              </w:rPr>
              <w:t>7.7-5</w:t>
            </w:r>
            <w:r>
              <w:rPr>
                <w:rFonts w:hint="default" w:ascii="Times New Roman" w:hAnsi="Times New Roman" w:cs="Times New Roman"/>
                <w:color w:val="auto"/>
                <w:sz w:val="24"/>
                <w:szCs w:val="24"/>
              </w:rPr>
              <w:t>。其中地下水功能敏感性分区和包气带防污性能分级分别见表</w:t>
            </w:r>
            <w:r>
              <w:rPr>
                <w:rFonts w:hint="default" w:ascii="Times New Roman" w:hAnsi="Times New Roman" w:cs="Times New Roman"/>
                <w:color w:val="auto"/>
                <w:sz w:val="24"/>
                <w:szCs w:val="24"/>
                <w:lang w:val="en-US" w:eastAsia="zh-CN"/>
              </w:rPr>
              <w:t>7.7-6</w:t>
            </w:r>
            <w:r>
              <w:rPr>
                <w:rFonts w:hint="default" w:ascii="Times New Roman" w:hAnsi="Times New Roman" w:cs="Times New Roman"/>
                <w:color w:val="auto"/>
                <w:sz w:val="24"/>
                <w:szCs w:val="24"/>
              </w:rPr>
              <w:t>和表</w:t>
            </w:r>
            <w:r>
              <w:rPr>
                <w:rFonts w:hint="default" w:ascii="Times New Roman" w:hAnsi="Times New Roman" w:cs="Times New Roman"/>
                <w:color w:val="auto"/>
                <w:sz w:val="24"/>
                <w:szCs w:val="24"/>
                <w:lang w:val="en-US" w:eastAsia="zh-CN"/>
              </w:rPr>
              <w:t>7.7-</w:t>
            </w:r>
            <w:r>
              <w:rPr>
                <w:rFonts w:hint="default" w:ascii="Times New Roman" w:hAnsi="Times New Roman" w:cs="Times New Roman"/>
                <w:color w:val="auto"/>
                <w:sz w:val="24"/>
                <w:szCs w:val="24"/>
              </w:rPr>
              <w:t>7。当同一建设项目涉及两个G分区或D分级及以上时，取相对高值。</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7-20</w:t>
            </w:r>
            <w:r>
              <w:rPr>
                <w:rFonts w:hint="default" w:ascii="Times New Roman" w:hAnsi="Times New Roman" w:cs="Times New Roman"/>
                <w:b/>
                <w:bCs/>
                <w:color w:val="auto"/>
                <w:sz w:val="24"/>
                <w:szCs w:val="24"/>
              </w:rPr>
              <w:t xml:space="preserve">   地下水环境敏感程度分级（E）</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7"/>
              <w:gridCol w:w="1862"/>
              <w:gridCol w:w="1864"/>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exact"/>
                <w:jc w:val="center"/>
              </w:trPr>
              <w:tc>
                <w:tcPr>
                  <w:tcW w:w="2707"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环境敏感目标</w:t>
                  </w:r>
                </w:p>
              </w:tc>
              <w:tc>
                <w:tcPr>
                  <w:tcW w:w="5589" w:type="dxa"/>
                  <w:gridSpan w:val="3"/>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地下水功能敏感性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exact"/>
                <w:jc w:val="center"/>
              </w:trPr>
              <w:tc>
                <w:tcPr>
                  <w:tcW w:w="2707"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p>
              </w:tc>
              <w:tc>
                <w:tcPr>
                  <w:tcW w:w="1862"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G1</w:t>
                  </w:r>
                </w:p>
              </w:tc>
              <w:tc>
                <w:tcPr>
                  <w:tcW w:w="186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G2</w:t>
                  </w:r>
                </w:p>
              </w:tc>
              <w:tc>
                <w:tcPr>
                  <w:tcW w:w="1863"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G3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exact"/>
                <w:jc w:val="center"/>
              </w:trPr>
              <w:tc>
                <w:tcPr>
                  <w:tcW w:w="2707"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D1</w:t>
                  </w:r>
                </w:p>
              </w:tc>
              <w:tc>
                <w:tcPr>
                  <w:tcW w:w="1862"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E1</w:t>
                  </w:r>
                </w:p>
              </w:tc>
              <w:tc>
                <w:tcPr>
                  <w:tcW w:w="186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E1</w:t>
                  </w:r>
                </w:p>
              </w:tc>
              <w:tc>
                <w:tcPr>
                  <w:tcW w:w="1863"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exact"/>
                <w:jc w:val="center"/>
              </w:trPr>
              <w:tc>
                <w:tcPr>
                  <w:tcW w:w="2707" w:type="dxa"/>
                  <w:shd w:val="clear" w:color="auto" w:fill="auto"/>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D2</w:t>
                  </w:r>
                </w:p>
              </w:tc>
              <w:tc>
                <w:tcPr>
                  <w:tcW w:w="1862" w:type="dxa"/>
                  <w:shd w:val="clear" w:color="auto" w:fill="auto"/>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E1</w:t>
                  </w:r>
                </w:p>
              </w:tc>
              <w:tc>
                <w:tcPr>
                  <w:tcW w:w="1864" w:type="dxa"/>
                  <w:shd w:val="clear" w:color="auto" w:fill="auto"/>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E2</w:t>
                  </w:r>
                </w:p>
              </w:tc>
              <w:tc>
                <w:tcPr>
                  <w:tcW w:w="1863" w:type="dxa"/>
                  <w:shd w:val="clear" w:color="auto" w:fill="D7D7D7"/>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exact"/>
                <w:jc w:val="center"/>
              </w:trPr>
              <w:tc>
                <w:tcPr>
                  <w:tcW w:w="2707"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D3</w:t>
                  </w:r>
                </w:p>
              </w:tc>
              <w:tc>
                <w:tcPr>
                  <w:tcW w:w="1862"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E2</w:t>
                  </w:r>
                </w:p>
              </w:tc>
              <w:tc>
                <w:tcPr>
                  <w:tcW w:w="186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E3</w:t>
                  </w:r>
                </w:p>
              </w:tc>
              <w:tc>
                <w:tcPr>
                  <w:tcW w:w="1863"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E3</w:t>
                  </w:r>
                </w:p>
              </w:tc>
            </w:tr>
          </w:tbl>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表7-21     地下水功能敏感性分区</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7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敏感性</w:t>
                  </w:r>
                </w:p>
              </w:tc>
              <w:tc>
                <w:tcPr>
                  <w:tcW w:w="7138" w:type="dxa"/>
                  <w:noWrap w:val="0"/>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地下水环境敏感特征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敏感</w:t>
                  </w:r>
                  <w:r>
                    <w:rPr>
                      <w:rFonts w:hint="default" w:ascii="Times New Roman" w:hAnsi="Times New Roman" w:cs="Times New Roman"/>
                      <w:color w:val="auto"/>
                      <w:sz w:val="21"/>
                      <w:szCs w:val="21"/>
                      <w:lang w:val="en-US" w:eastAsia="zh-CN"/>
                    </w:rPr>
                    <w:t>G1</w:t>
                  </w:r>
                </w:p>
              </w:tc>
              <w:tc>
                <w:tcPr>
                  <w:tcW w:w="7138" w:type="dxa"/>
                  <w:noWrap w:val="0"/>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较敏感</w:t>
                  </w:r>
                  <w:r>
                    <w:rPr>
                      <w:rFonts w:hint="default" w:ascii="Times New Roman" w:hAnsi="Times New Roman" w:cs="Times New Roman"/>
                      <w:color w:val="auto"/>
                      <w:sz w:val="21"/>
                      <w:szCs w:val="21"/>
                      <w:lang w:val="en-US" w:eastAsia="zh-CN"/>
                    </w:rPr>
                    <w:t>G2</w:t>
                  </w:r>
                </w:p>
              </w:tc>
              <w:tc>
                <w:tcPr>
                  <w:tcW w:w="7138" w:type="dxa"/>
                  <w:noWrap w:val="0"/>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集中式饮用水水源（包括已建成的在用、备用、应急水源，在建和规划的饮用水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低敏感</w:t>
                  </w:r>
                  <w:r>
                    <w:rPr>
                      <w:rFonts w:hint="default" w:ascii="Times New Roman" w:hAnsi="Times New Roman" w:cs="Times New Roman"/>
                      <w:color w:val="auto"/>
                      <w:sz w:val="21"/>
                      <w:szCs w:val="21"/>
                      <w:lang w:val="en-US" w:eastAsia="zh-CN"/>
                    </w:rPr>
                    <w:t>G3</w:t>
                  </w:r>
                </w:p>
              </w:tc>
              <w:tc>
                <w:tcPr>
                  <w:tcW w:w="7138" w:type="dxa"/>
                  <w:noWrap w:val="0"/>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上述地区之外的其他地区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2"/>
                  <w:noWrap w:val="0"/>
                  <w:vAlign w:val="top"/>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a“环境敏感区”是指《建设项目环境影响评价分类管理名录》中所界定的涉及地下水的环境敏感区</w:t>
                  </w:r>
                </w:p>
              </w:tc>
            </w:tr>
          </w:tbl>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b/>
                <w:bCs/>
                <w:color w:val="auto"/>
                <w:sz w:val="24"/>
                <w:szCs w:val="24"/>
                <w:lang w:val="en-US" w:eastAsia="zh-CN"/>
              </w:rPr>
              <w:t>表7-22   包气带防污性能分级</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7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5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分级</w:t>
                  </w:r>
                </w:p>
              </w:tc>
              <w:tc>
                <w:tcPr>
                  <w:tcW w:w="713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包气带岩土的渗透性能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5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D3</w:t>
                  </w:r>
                </w:p>
              </w:tc>
              <w:tc>
                <w:tcPr>
                  <w:tcW w:w="713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Mb≥1.0m，K≤1.0×10-6cm/s，且分布连续、稳定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5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D2</w:t>
                  </w:r>
                </w:p>
              </w:tc>
              <w:tc>
                <w:tcPr>
                  <w:tcW w:w="713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0.5m≤Mb&lt;1.0m，K≤1.0×10-6cm/s，且分布连续、稳定</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Mb≥1.0m，1.0×10-6cm/s＜K≤1.0×10-4cm/s，且分布连续、稳定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5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D1</w:t>
                  </w:r>
                </w:p>
              </w:tc>
              <w:tc>
                <w:tcPr>
                  <w:tcW w:w="713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岩（土）层不满足上述“D2”和“D3”条件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6"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Mb：岩土层单层厚度。</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K：渗透系数。</w:t>
                  </w:r>
                </w:p>
              </w:tc>
            </w:tr>
          </w:tbl>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由于本项目不涉及集中式饮用水源准保护区和准保护区以外的补给径流区、除集中式饮用水水源以外的国家或地方政府设定的与地下水环境相关的其他保护区、未划定准保护区的集中式饮用水源、分散式饮用水源地、特殊地下水资源保护区以外的分布区等其他未列入上述敏感分级的环境敏感区，故本项目地下水功能敏感性为不敏感G3。根</w:t>
            </w:r>
            <w:r>
              <w:rPr>
                <w:rFonts w:hint="default" w:ascii="Times New Roman" w:hAnsi="Times New Roman" w:cs="Times New Roman"/>
                <w:color w:val="auto"/>
                <w:sz w:val="24"/>
                <w:szCs w:val="24"/>
              </w:rPr>
              <w:t>据</w:t>
            </w:r>
            <w:r>
              <w:rPr>
                <w:rFonts w:hint="default" w:ascii="Times New Roman" w:hAnsi="Times New Roman" w:cs="Times New Roman"/>
                <w:color w:val="auto"/>
                <w:sz w:val="24"/>
                <w:szCs w:val="24"/>
                <w:lang w:eastAsia="zh-CN"/>
              </w:rPr>
              <w:t>资料调查</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项目所在地</w:t>
            </w:r>
            <w:r>
              <w:rPr>
                <w:rFonts w:hint="default" w:ascii="Times New Roman" w:hAnsi="Times New Roman" w:cs="Times New Roman"/>
                <w:color w:val="auto"/>
                <w:sz w:val="24"/>
                <w:szCs w:val="24"/>
              </w:rPr>
              <w:t>平均渗透系数为</w:t>
            </w:r>
            <w:r>
              <w:rPr>
                <w:rFonts w:hint="default" w:ascii="Times New Roman" w:hAnsi="Times New Roman" w:cs="Times New Roman"/>
                <w:color w:val="auto"/>
                <w:sz w:val="24"/>
                <w:szCs w:val="24"/>
                <w:lang w:val="en-US" w:eastAsia="zh-CN"/>
              </w:rPr>
              <w:t>3.88</w:t>
            </w:r>
            <w:r>
              <w:rPr>
                <w:rFonts w:hint="default" w:ascii="Times New Roman" w:hAnsi="Times New Roman" w:cs="Times New Roman"/>
                <w:color w:val="auto"/>
                <w:sz w:val="24"/>
                <w:szCs w:val="24"/>
              </w:rPr>
              <w:t>×10-</w:t>
            </w:r>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rPr>
              <w:t>cm/s</w:t>
            </w:r>
            <w:r>
              <w:rPr>
                <w:rFonts w:hint="default" w:ascii="Times New Roman" w:hAnsi="Times New Roman" w:cs="Times New Roman"/>
                <w:color w:val="auto"/>
                <w:sz w:val="24"/>
                <w:szCs w:val="24"/>
                <w:lang w:eastAsia="zh-CN"/>
              </w:rPr>
              <w:t>；因此</w:t>
            </w:r>
            <w:r>
              <w:rPr>
                <w:rFonts w:hint="default" w:ascii="Times New Roman" w:hAnsi="Times New Roman" w:cs="Times New Roman"/>
                <w:color w:val="auto"/>
                <w:sz w:val="24"/>
                <w:szCs w:val="24"/>
              </w:rPr>
              <w:t>项目区包气带防污性能分级为D</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，依据</w:t>
            </w:r>
            <w:r>
              <w:rPr>
                <w:rFonts w:hint="default" w:ascii="Times New Roman" w:hAnsi="Times New Roman" w:cs="Times New Roman"/>
                <w:color w:val="auto"/>
                <w:sz w:val="24"/>
                <w:szCs w:val="24"/>
                <w:lang w:eastAsia="zh-CN"/>
              </w:rPr>
              <w:t>表</w:t>
            </w:r>
            <w:r>
              <w:rPr>
                <w:rFonts w:hint="default" w:ascii="Times New Roman" w:hAnsi="Times New Roman" w:cs="Times New Roman"/>
                <w:color w:val="auto"/>
                <w:sz w:val="24"/>
                <w:szCs w:val="24"/>
                <w:lang w:val="en-US" w:eastAsia="zh-CN"/>
              </w:rPr>
              <w:t>7-20</w:t>
            </w:r>
            <w:r>
              <w:rPr>
                <w:rFonts w:hint="default" w:ascii="Times New Roman" w:hAnsi="Times New Roman" w:cs="Times New Roman"/>
                <w:color w:val="auto"/>
                <w:sz w:val="24"/>
                <w:szCs w:val="24"/>
              </w:rPr>
              <w:t>，本项目地下水环境敏感程度分级为E</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bookmarkStart w:id="44" w:name="_Toc2635"/>
            <w:bookmarkStart w:id="45" w:name="_Toc24786"/>
            <w:bookmarkStart w:id="46" w:name="_Toc16825"/>
            <w:r>
              <w:rPr>
                <w:rFonts w:hint="default" w:ascii="Times New Roman" w:hAnsi="Times New Roman" w:cs="Times New Roman"/>
                <w:color w:val="auto"/>
                <w:sz w:val="24"/>
                <w:szCs w:val="24"/>
                <w:lang w:val="en-US" w:eastAsia="zh-CN"/>
              </w:rPr>
              <w:t>6.2.2危险物质及工艺系统危险性（P）的确定</w:t>
            </w:r>
            <w:bookmarkEnd w:id="44"/>
            <w:bookmarkEnd w:id="45"/>
            <w:bookmarkEnd w:id="46"/>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根据《建设项目环境风险评价技术导则》（HJ/T169－2018），危险物质及工艺系统危害性（P）应根据危险物质数量与临界量的比值（Q）和行业及生产工艺（M）确定。</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①危险物质数量与临界量的比值（Q）的确定</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根据《建设项目环境风险评价技术导则》（HJ 169-2018）附录C，当只涉及一种危险物质时，计算该物质总量与临界量的比值，即为Q；当存在多种危险物质时，按照下列公示计算物质总量与临界量的比值（Q）；</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1965960" cy="559435"/>
                  <wp:effectExtent l="0" t="0" r="15240" b="12065"/>
                  <wp:docPr id="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pic:cNvPicPr>
                            <a:picLocks noChangeAspect="1"/>
                          </pic:cNvPicPr>
                        </pic:nvPicPr>
                        <pic:blipFill>
                          <a:blip r:embed="rId43"/>
                          <a:stretch>
                            <a:fillRect/>
                          </a:stretch>
                        </pic:blipFill>
                        <pic:spPr>
                          <a:xfrm>
                            <a:off x="0" y="0"/>
                            <a:ext cx="1965960" cy="559435"/>
                          </a:xfrm>
                          <a:prstGeom prst="rect">
                            <a:avLst/>
                          </a:prstGeom>
                          <a:noFill/>
                          <a:ln>
                            <a:noFill/>
                          </a:ln>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式中：q1、q2····qn—每种危险物质</w:t>
            </w:r>
            <w:r>
              <w:rPr>
                <w:rFonts w:hint="default" w:ascii="Times New Roman" w:hAnsi="Times New Roman" w:cs="Times New Roman"/>
                <w:color w:val="auto"/>
                <w:sz w:val="24"/>
                <w:szCs w:val="24"/>
                <w:lang w:eastAsia="zh-CN"/>
              </w:rPr>
              <w:t>最大存在总量</w:t>
            </w:r>
            <w:r>
              <w:rPr>
                <w:rFonts w:hint="default" w:ascii="Times New Roman" w:hAnsi="Times New Roman" w:cs="Times New Roman"/>
                <w:color w:val="auto"/>
                <w:sz w:val="24"/>
                <w:szCs w:val="24"/>
              </w:rPr>
              <w:t>（t）。</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Q1、Q2····Qn—</w:t>
            </w:r>
            <w:r>
              <w:rPr>
                <w:rFonts w:hint="default" w:ascii="Times New Roman" w:hAnsi="Times New Roman" w:cs="Times New Roman"/>
                <w:color w:val="auto"/>
                <w:sz w:val="24"/>
                <w:szCs w:val="24"/>
                <w:lang w:eastAsia="zh-CN"/>
              </w:rPr>
              <w:t>每种物质的临界量</w:t>
            </w:r>
            <w:r>
              <w:rPr>
                <w:rFonts w:hint="default" w:ascii="Times New Roman" w:hAnsi="Times New Roman" w:cs="Times New Roman"/>
                <w:color w:val="auto"/>
                <w:sz w:val="24"/>
                <w:szCs w:val="24"/>
              </w:rPr>
              <w:t>（t）。</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当＜1时，该项目环境风险潜势划为Ⅰ。</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当Q≥1时，将Q值划分为：（1）1≤Q＜10；（2）10≤Q＜100；（2）Q≥100。</w:t>
            </w:r>
            <w:bookmarkStart w:id="47" w:name="bookmark0"/>
            <w:bookmarkEnd w:id="47"/>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w:t>
            </w:r>
            <w:r>
              <w:rPr>
                <w:rFonts w:hint="default" w:ascii="Times New Roman" w:hAnsi="Times New Roman" w:cs="Times New Roman"/>
                <w:color w:val="auto"/>
                <w:sz w:val="24"/>
                <w:szCs w:val="24"/>
              </w:rPr>
              <w:t>《建设项目环境风险评价技术导则》</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HJ</w:t>
            </w: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rPr>
              <w:t>169-20</w:t>
            </w:r>
            <w:r>
              <w:rPr>
                <w:rFonts w:hint="default" w:ascii="Times New Roman" w:hAnsi="Times New Roman" w:cs="Times New Roman"/>
                <w:color w:val="auto"/>
                <w:sz w:val="24"/>
                <w:szCs w:val="24"/>
                <w:lang w:val="en-US" w:eastAsia="zh-CN"/>
              </w:rPr>
              <w:t>18</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附录</w:t>
            </w:r>
            <w:r>
              <w:rPr>
                <w:rFonts w:hint="default" w:ascii="Times New Roman" w:hAnsi="Times New Roman" w:cs="Times New Roman"/>
                <w:color w:val="auto"/>
                <w:sz w:val="24"/>
                <w:szCs w:val="24"/>
                <w:lang w:val="en-US" w:eastAsia="zh-CN"/>
              </w:rPr>
              <w:t>B项目涉及的风险物储存量、临界量及Q值详见下表。</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 xml:space="preserve">7-23 </w:t>
            </w:r>
            <w:r>
              <w:rPr>
                <w:rFonts w:hint="default" w:ascii="Times New Roman" w:hAnsi="Times New Roman" w:cs="Times New Roman"/>
                <w:b/>
                <w:bCs/>
                <w:color w:val="auto"/>
                <w:sz w:val="24"/>
                <w:szCs w:val="24"/>
              </w:rPr>
              <w:t xml:space="preserve"> 项目Q值核算表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2354"/>
              <w:gridCol w:w="1838"/>
              <w:gridCol w:w="1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86"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危险物质</w:t>
                  </w:r>
                </w:p>
              </w:tc>
              <w:tc>
                <w:tcPr>
                  <w:tcW w:w="235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在线量（t）</w:t>
                  </w:r>
                </w:p>
              </w:tc>
              <w:tc>
                <w:tcPr>
                  <w:tcW w:w="183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临界量（t）</w:t>
                  </w:r>
                </w:p>
              </w:tc>
              <w:tc>
                <w:tcPr>
                  <w:tcW w:w="151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Q值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jc w:val="center"/>
              </w:trPr>
              <w:tc>
                <w:tcPr>
                  <w:tcW w:w="2586"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eastAsia="zh-CN"/>
                    </w:rPr>
                    <w:t>氧气</w:t>
                  </w:r>
                </w:p>
              </w:tc>
              <w:tc>
                <w:tcPr>
                  <w:tcW w:w="235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0.000257</w:t>
                  </w:r>
                </w:p>
              </w:tc>
              <w:tc>
                <w:tcPr>
                  <w:tcW w:w="183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val="en-US" w:eastAsia="zh-CN"/>
                    </w:rPr>
                    <w:t>200</w:t>
                  </w:r>
                </w:p>
              </w:tc>
              <w:tc>
                <w:tcPr>
                  <w:tcW w:w="151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0.000001285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jc w:val="center"/>
              </w:trPr>
              <w:tc>
                <w:tcPr>
                  <w:tcW w:w="2586"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乙炔</w:t>
                  </w:r>
                </w:p>
              </w:tc>
              <w:tc>
                <w:tcPr>
                  <w:tcW w:w="235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0.0496</w:t>
                  </w:r>
                </w:p>
              </w:tc>
              <w:tc>
                <w:tcPr>
                  <w:tcW w:w="183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10</w:t>
                  </w:r>
                </w:p>
              </w:tc>
              <w:tc>
                <w:tcPr>
                  <w:tcW w:w="151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0.00496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494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合计</w:t>
                  </w:r>
                </w:p>
              </w:tc>
              <w:tc>
                <w:tcPr>
                  <w:tcW w:w="183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51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0.004961285</w:t>
                  </w:r>
                </w:p>
              </w:tc>
            </w:tr>
          </w:tbl>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根据上述计算，本项目Q值为0.004961285。</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②行业及生产工艺（M）的确定</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eastAsia="zh-CN"/>
              </w:rPr>
            </w:pPr>
            <w:r>
              <w:rPr>
                <w:rFonts w:hint="default" w:ascii="Times New Roman" w:hAnsi="Times New Roman" w:cs="Times New Roman"/>
                <w:color w:val="auto"/>
                <w:sz w:val="24"/>
                <w:szCs w:val="24"/>
                <w:lang w:eastAsia="zh-CN"/>
              </w:rPr>
              <w:t>根据《建设项目环境风险评价技术导则》（HJ 169-2018）附录C，按照表</w:t>
            </w:r>
            <w:r>
              <w:rPr>
                <w:rFonts w:hint="default" w:ascii="Times New Roman" w:hAnsi="Times New Roman" w:cs="Times New Roman"/>
                <w:color w:val="auto"/>
                <w:sz w:val="24"/>
                <w:szCs w:val="24"/>
                <w:lang w:val="en-US" w:eastAsia="zh-CN"/>
              </w:rPr>
              <w:t>12-3-5评估本项目生产工艺情况，</w:t>
            </w:r>
            <w:r>
              <w:rPr>
                <w:rFonts w:hint="default" w:ascii="Times New Roman" w:hAnsi="Times New Roman" w:cs="Times New Roman"/>
                <w:color w:val="auto"/>
                <w:sz w:val="24"/>
                <w:szCs w:val="24"/>
                <w:lang w:eastAsia="zh-CN"/>
              </w:rPr>
              <w:t>具有多套工艺单元的项目，对每套生产工艺分别评分并求和。将 M 划分为（1）M＞20；（2）10＜M≤20；（3）5＜ M≤10；（4）M=5，分别以 M1、M2、M3 和 M4 表示。</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7-24</w:t>
            </w:r>
            <w:r>
              <w:rPr>
                <w:rFonts w:hint="default" w:ascii="Times New Roman" w:hAnsi="Times New Roman" w:cs="Times New Roman"/>
                <w:b/>
                <w:bCs/>
                <w:color w:val="auto"/>
                <w:sz w:val="24"/>
                <w:szCs w:val="24"/>
              </w:rPr>
              <w:t xml:space="preserve">  行业及生产工艺（M）</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0"/>
              <w:gridCol w:w="5296"/>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Borders>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行业</w:t>
                  </w:r>
                </w:p>
              </w:tc>
              <w:tc>
                <w:tcPr>
                  <w:tcW w:w="5296" w:type="dxa"/>
                  <w:tcBorders>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评估依据</w:t>
                  </w:r>
                </w:p>
              </w:tc>
              <w:tc>
                <w:tcPr>
                  <w:tcW w:w="1070" w:type="dxa"/>
                  <w:tcBorders>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vMerge w:val="restart"/>
                  <w:tcBorders>
                    <w:top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石化、化工、医药、 轻工、化纤、有色冶炼等</w:t>
                  </w:r>
                </w:p>
              </w:tc>
              <w:tc>
                <w:tcPr>
                  <w:tcW w:w="5296"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涉及光气及光气化工艺、电解工艺（氯碱）、氯化工艺、硝化工艺、合成 氨工艺、裂解（裂化）工艺、氟化工艺、加氢工艺、重氮化工艺、氧化 工艺、过氧化工艺、胺基化工艺、磺化工艺、聚合工艺、烷基化工艺、 新型煤化工工艺、电石生产工艺、偶氮化工艺</w:t>
                  </w:r>
                </w:p>
              </w:tc>
              <w:tc>
                <w:tcPr>
                  <w:tcW w:w="1070"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vMerge w:val="continue"/>
                  <w:tcBorders>
                    <w:top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p>
              </w:tc>
              <w:tc>
                <w:tcPr>
                  <w:tcW w:w="5296"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无机酸制酸工艺、焦化工艺</w:t>
                  </w:r>
                </w:p>
              </w:tc>
              <w:tc>
                <w:tcPr>
                  <w:tcW w:w="1070"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vMerge w:val="continue"/>
                  <w:tcBorders>
                    <w:top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p>
              </w:tc>
              <w:tc>
                <w:tcPr>
                  <w:tcW w:w="5296"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其他高温或高压，且涉及危险物质的工艺过程a 、危险物质贮存罐区</w:t>
                  </w:r>
                </w:p>
              </w:tc>
              <w:tc>
                <w:tcPr>
                  <w:tcW w:w="1070"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5/套（罐区）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Borders>
                    <w:top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管道、港口/码头等</w:t>
                  </w:r>
                </w:p>
              </w:tc>
              <w:tc>
                <w:tcPr>
                  <w:tcW w:w="5296"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涉及危险物质管道运输项目、港口/码头等</w:t>
                  </w:r>
                </w:p>
              </w:tc>
              <w:tc>
                <w:tcPr>
                  <w:tcW w:w="1070"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Borders>
                    <w:top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石油天然气</w:t>
                  </w:r>
                </w:p>
              </w:tc>
              <w:tc>
                <w:tcPr>
                  <w:tcW w:w="5296"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石油、天然气、页岩气开采（含净化），气库（不含加气站的气库），油 库（不含加气站的油库）、油气管线b（不含城镇燃气管线）</w:t>
                  </w:r>
                </w:p>
              </w:tc>
              <w:tc>
                <w:tcPr>
                  <w:tcW w:w="1070"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Borders>
                    <w:top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其他</w:t>
                  </w:r>
                </w:p>
              </w:tc>
              <w:tc>
                <w:tcPr>
                  <w:tcW w:w="5296"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涉及危险物质使用、贮存的项目</w:t>
                  </w:r>
                </w:p>
              </w:tc>
              <w:tc>
                <w:tcPr>
                  <w:tcW w:w="1070"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3"/>
                  <w:tcBorders>
                    <w:top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 高温指工艺温度≥300℃，高压指压力容器的设计压力（P）≥10.0 MPa；</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b 长输管道运输项目应按站场、管线分段进行评价。</w:t>
                  </w:r>
                </w:p>
              </w:tc>
            </w:tr>
          </w:tbl>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本项目为混凝土生产及加工项目，根据表3-5确定，本项目M=5，根据依据划分为M1，M值确定表详见表7-24。</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7-25</w:t>
            </w:r>
            <w:r>
              <w:rPr>
                <w:rFonts w:hint="default" w:ascii="Times New Roman" w:hAnsi="Times New Roman" w:cs="Times New Roman"/>
                <w:b/>
                <w:bCs/>
                <w:color w:val="auto"/>
                <w:sz w:val="24"/>
                <w:szCs w:val="24"/>
              </w:rPr>
              <w:t xml:space="preserve">  </w:t>
            </w:r>
            <w:r>
              <w:rPr>
                <w:rFonts w:hint="default" w:ascii="Times New Roman" w:hAnsi="Times New Roman" w:cs="Times New Roman"/>
                <w:b/>
                <w:bCs/>
                <w:color w:val="auto"/>
                <w:sz w:val="24"/>
                <w:szCs w:val="24"/>
                <w:lang w:eastAsia="zh-CN"/>
              </w:rPr>
              <w:t>本项目</w:t>
            </w:r>
            <w:r>
              <w:rPr>
                <w:rFonts w:hint="default" w:ascii="Times New Roman" w:hAnsi="Times New Roman" w:cs="Times New Roman"/>
                <w:b/>
                <w:bCs/>
                <w:color w:val="auto"/>
                <w:sz w:val="24"/>
                <w:szCs w:val="24"/>
                <w:lang w:val="en-US" w:eastAsia="zh-CN"/>
              </w:rPr>
              <w:t>M值确定表</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3433"/>
              <w:gridCol w:w="1836"/>
              <w:gridCol w:w="1351"/>
              <w:gridCol w:w="1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5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序号</w:t>
                  </w:r>
                </w:p>
              </w:tc>
              <w:tc>
                <w:tcPr>
                  <w:tcW w:w="3433"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评估依据</w:t>
                  </w:r>
                </w:p>
              </w:tc>
              <w:tc>
                <w:tcPr>
                  <w:tcW w:w="1836"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生产单元及工艺</w:t>
                  </w:r>
                </w:p>
              </w:tc>
              <w:tc>
                <w:tcPr>
                  <w:tcW w:w="1351"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数量</w:t>
                  </w:r>
                  <w:r>
                    <w:rPr>
                      <w:rFonts w:hint="default" w:ascii="Times New Roman" w:hAnsi="Times New Roman" w:cs="Times New Roman"/>
                      <w:color w:val="auto"/>
                      <w:sz w:val="21"/>
                      <w:szCs w:val="21"/>
                      <w:lang w:val="en-US" w:eastAsia="zh-CN"/>
                    </w:rPr>
                    <w:t>/套</w:t>
                  </w:r>
                </w:p>
              </w:tc>
              <w:tc>
                <w:tcPr>
                  <w:tcW w:w="1022"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5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3433"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涉及危险物质使用、贮存的项目</w:t>
                  </w:r>
                </w:p>
              </w:tc>
              <w:tc>
                <w:tcPr>
                  <w:tcW w:w="1836"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乙炔氧气切割</w:t>
                  </w:r>
                </w:p>
              </w:tc>
              <w:tc>
                <w:tcPr>
                  <w:tcW w:w="1351"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p>
              </w:tc>
              <w:tc>
                <w:tcPr>
                  <w:tcW w:w="1022"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5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p>
              </w:tc>
              <w:tc>
                <w:tcPr>
                  <w:tcW w:w="5269"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项目 M 值∑</w:t>
                  </w:r>
                </w:p>
              </w:tc>
              <w:tc>
                <w:tcPr>
                  <w:tcW w:w="1351"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022"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w:t>
                  </w:r>
                </w:p>
              </w:tc>
            </w:tr>
          </w:tbl>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③项目危险物质及工艺系统危险性（P）分级确定</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根据《建设项目环境风险评价技术导则》（HJ 169-2018）附录C，危险物质及工艺系统危害性等级判断见表7-26。</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7-26</w:t>
            </w:r>
            <w:r>
              <w:rPr>
                <w:rFonts w:hint="default" w:ascii="Times New Roman" w:hAnsi="Times New Roman" w:cs="Times New Roman"/>
                <w:b/>
                <w:bCs/>
                <w:color w:val="auto"/>
                <w:sz w:val="24"/>
                <w:szCs w:val="24"/>
              </w:rPr>
              <w:t xml:space="preserve">   危险物质及工艺系统危险性等级判断（P）</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8"/>
              <w:gridCol w:w="1521"/>
              <w:gridCol w:w="1522"/>
              <w:gridCol w:w="1521"/>
              <w:gridCol w:w="1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08" w:type="dxa"/>
                  <w:vMerge w:val="restart"/>
                  <w:tcBorders>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危险物质数量 与临界量比值（Q）</w:t>
                  </w:r>
                </w:p>
              </w:tc>
              <w:tc>
                <w:tcPr>
                  <w:tcW w:w="6088" w:type="dxa"/>
                  <w:gridSpan w:val="4"/>
                  <w:tcBorders>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行业及生产工艺（M）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08" w:type="dxa"/>
                  <w:vMerge w:val="continue"/>
                  <w:tcBorders>
                    <w:top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p>
              </w:tc>
              <w:tc>
                <w:tcPr>
                  <w:tcW w:w="1521"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M1</w:t>
                  </w:r>
                </w:p>
              </w:tc>
              <w:tc>
                <w:tcPr>
                  <w:tcW w:w="1522"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M2</w:t>
                  </w:r>
                </w:p>
              </w:tc>
              <w:tc>
                <w:tcPr>
                  <w:tcW w:w="1521"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M3</w:t>
                  </w:r>
                </w:p>
              </w:tc>
              <w:tc>
                <w:tcPr>
                  <w:tcW w:w="1524"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M4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08" w:type="dxa"/>
                  <w:tcBorders>
                    <w:top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Q≥100</w:t>
                  </w:r>
                </w:p>
              </w:tc>
              <w:tc>
                <w:tcPr>
                  <w:tcW w:w="1521"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P1</w:t>
                  </w:r>
                </w:p>
              </w:tc>
              <w:tc>
                <w:tcPr>
                  <w:tcW w:w="1522"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P1</w:t>
                  </w:r>
                </w:p>
              </w:tc>
              <w:tc>
                <w:tcPr>
                  <w:tcW w:w="1521"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P2</w:t>
                  </w:r>
                </w:p>
              </w:tc>
              <w:tc>
                <w:tcPr>
                  <w:tcW w:w="1524"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08" w:type="dxa"/>
                  <w:tcBorders>
                    <w:top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10≤Q＜100</w:t>
                  </w:r>
                </w:p>
              </w:tc>
              <w:tc>
                <w:tcPr>
                  <w:tcW w:w="1521"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P1</w:t>
                  </w:r>
                </w:p>
              </w:tc>
              <w:tc>
                <w:tcPr>
                  <w:tcW w:w="1522"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P2</w:t>
                  </w:r>
                </w:p>
              </w:tc>
              <w:tc>
                <w:tcPr>
                  <w:tcW w:w="1521" w:type="dxa"/>
                  <w:tcBorders>
                    <w:top w:val="single" w:color="auto" w:sz="4" w:space="0"/>
                    <w:left w:val="nil"/>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P3</w:t>
                  </w:r>
                </w:p>
              </w:tc>
              <w:tc>
                <w:tcPr>
                  <w:tcW w:w="1524" w:type="dxa"/>
                  <w:tcBorders>
                    <w:top w:val="single" w:color="auto" w:sz="4" w:space="0"/>
                    <w:left w:val="nil"/>
                    <w:bottom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208" w:type="dxa"/>
                  <w:tcBorders>
                    <w:top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1≤Q＜10</w:t>
                  </w:r>
                </w:p>
              </w:tc>
              <w:tc>
                <w:tcPr>
                  <w:tcW w:w="1521" w:type="dxa"/>
                  <w:tcBorders>
                    <w:top w:val="single" w:color="auto" w:sz="4" w:space="0"/>
                    <w:left w:val="nil"/>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P2</w:t>
                  </w:r>
                </w:p>
              </w:tc>
              <w:tc>
                <w:tcPr>
                  <w:tcW w:w="1522" w:type="dxa"/>
                  <w:tcBorders>
                    <w:top w:val="single" w:color="auto" w:sz="4" w:space="0"/>
                    <w:left w:val="nil"/>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P3</w:t>
                  </w:r>
                </w:p>
              </w:tc>
              <w:tc>
                <w:tcPr>
                  <w:tcW w:w="1521" w:type="dxa"/>
                  <w:tcBorders>
                    <w:top w:val="single" w:color="auto" w:sz="4" w:space="0"/>
                    <w:left w:val="nil"/>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P4</w:t>
                  </w:r>
                </w:p>
              </w:tc>
              <w:tc>
                <w:tcPr>
                  <w:tcW w:w="1524" w:type="dxa"/>
                  <w:tcBorders>
                    <w:top w:val="single" w:color="auto" w:sz="4" w:space="0"/>
                    <w:left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P4</w:t>
                  </w:r>
                </w:p>
              </w:tc>
            </w:tr>
          </w:tbl>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根据上表判定，本项目危险物质工艺系统危险性等级为无。</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bookmarkStart w:id="48" w:name="_Toc7483"/>
            <w:r>
              <w:rPr>
                <w:rFonts w:hint="default" w:ascii="Times New Roman" w:hAnsi="Times New Roman" w:cs="Times New Roman"/>
                <w:color w:val="auto"/>
                <w:sz w:val="24"/>
                <w:szCs w:val="24"/>
                <w:lang w:val="en-US" w:eastAsia="zh-CN"/>
              </w:rPr>
              <w:t>③环境风险潜势初判</w:t>
            </w:r>
            <w:bookmarkEnd w:id="48"/>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根据《建设项目环境风险评价技术导则》（HJ 169-2018）环境风险潜势划分为Ⅰ、Ⅱ、Ⅲ、Ⅳ/Ⅳ+级。环境风险潜势划分依据下表划分。</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eastAsia="zh-CN"/>
              </w:rPr>
              <w:t>表</w:t>
            </w:r>
            <w:r>
              <w:rPr>
                <w:rFonts w:hint="default" w:ascii="Times New Roman" w:hAnsi="Times New Roman" w:cs="Times New Roman"/>
                <w:b/>
                <w:bCs/>
                <w:color w:val="auto"/>
                <w:sz w:val="24"/>
                <w:szCs w:val="24"/>
                <w:lang w:val="en-US" w:eastAsia="zh-CN"/>
              </w:rPr>
              <w:t>7-27    建设项目环境风险潜势划分表</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4"/>
              <w:gridCol w:w="1474"/>
              <w:gridCol w:w="1569"/>
              <w:gridCol w:w="156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114" w:type="dxa"/>
                  <w:vMerge w:val="restart"/>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环境敏感程度（E）</w:t>
                  </w:r>
                </w:p>
              </w:tc>
              <w:tc>
                <w:tcPr>
                  <w:tcW w:w="6182" w:type="dxa"/>
                  <w:gridSpan w:val="4"/>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114" w:type="dxa"/>
                  <w:vMerge w:val="continue"/>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p>
              </w:tc>
              <w:tc>
                <w:tcPr>
                  <w:tcW w:w="1474"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极高危害（P1）</w:t>
                  </w:r>
                </w:p>
              </w:tc>
              <w:tc>
                <w:tcPr>
                  <w:tcW w:w="1569"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极高危害（P2）</w:t>
                  </w:r>
                </w:p>
              </w:tc>
              <w:tc>
                <w:tcPr>
                  <w:tcW w:w="1569"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极高危害（P3）</w:t>
                  </w:r>
                </w:p>
              </w:tc>
              <w:tc>
                <w:tcPr>
                  <w:tcW w:w="1570"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极高危害（P4）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114"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环境高度敏感区（E1）</w:t>
                  </w:r>
                </w:p>
              </w:tc>
              <w:tc>
                <w:tcPr>
                  <w:tcW w:w="1474"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Ⅳ+</w:t>
                  </w:r>
                </w:p>
              </w:tc>
              <w:tc>
                <w:tcPr>
                  <w:tcW w:w="1569"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Ⅳ</w:t>
                  </w:r>
                </w:p>
              </w:tc>
              <w:tc>
                <w:tcPr>
                  <w:tcW w:w="1569"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Ⅲ</w:t>
                  </w:r>
                </w:p>
              </w:tc>
              <w:tc>
                <w:tcPr>
                  <w:tcW w:w="1570"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114"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环境中度敏感区（E2）</w:t>
                  </w:r>
                </w:p>
              </w:tc>
              <w:tc>
                <w:tcPr>
                  <w:tcW w:w="1474"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Ⅳ</w:t>
                  </w:r>
                </w:p>
              </w:tc>
              <w:tc>
                <w:tcPr>
                  <w:tcW w:w="1569"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Ⅲ</w:t>
                  </w:r>
                </w:p>
              </w:tc>
              <w:tc>
                <w:tcPr>
                  <w:tcW w:w="1569"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Ⅲ</w:t>
                  </w:r>
                </w:p>
              </w:tc>
              <w:tc>
                <w:tcPr>
                  <w:tcW w:w="1570"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114"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环境低度敏感区（E3）</w:t>
                  </w:r>
                </w:p>
              </w:tc>
              <w:tc>
                <w:tcPr>
                  <w:tcW w:w="1474"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Ⅲ</w:t>
                  </w:r>
                </w:p>
              </w:tc>
              <w:tc>
                <w:tcPr>
                  <w:tcW w:w="1569"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Ⅲ</w:t>
                  </w:r>
                </w:p>
              </w:tc>
              <w:tc>
                <w:tcPr>
                  <w:tcW w:w="1569"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eastAsia="zh-CN"/>
                    </w:rPr>
                    <w:t>Ⅱ</w:t>
                  </w:r>
                </w:p>
              </w:tc>
              <w:tc>
                <w:tcPr>
                  <w:tcW w:w="1570" w:type="dxa"/>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296" w:type="dxa"/>
                  <w:gridSpan w:val="5"/>
                  <w:tcBorders>
                    <w:tl2br w:val="nil"/>
                    <w:tr2bl w:val="nil"/>
                  </w:tcBorders>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注：Ⅳ+极高环境风险</w:t>
                  </w:r>
                </w:p>
              </w:tc>
            </w:tr>
          </w:tbl>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上表划分，本项目危险物质工艺系统危险性等级为高度危害（无），大气环境敏感程度分级为E3，因此项目大气环境风险潜势为Ⅰ；地表水环境敏感程度分级为E3，项目地表水环境风险潜势为Ⅰ；地下水环境敏感程度分级为E3，项目地下水环境风险潜势为Ⅰ。</w:t>
            </w:r>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eastAsia="zh-CN"/>
              </w:rPr>
            </w:pPr>
            <w:bookmarkStart w:id="49" w:name="_Toc14405"/>
            <w:r>
              <w:rPr>
                <w:rFonts w:hint="default" w:ascii="Times New Roman" w:hAnsi="Times New Roman" w:cs="Times New Roman"/>
                <w:color w:val="auto"/>
                <w:sz w:val="24"/>
                <w:szCs w:val="24"/>
                <w:lang w:val="en-US" w:eastAsia="zh-CN"/>
              </w:rPr>
              <w:t>④</w:t>
            </w:r>
            <w:r>
              <w:rPr>
                <w:rFonts w:hint="default" w:ascii="Times New Roman" w:hAnsi="Times New Roman" w:cs="Times New Roman"/>
                <w:color w:val="auto"/>
                <w:sz w:val="24"/>
                <w:szCs w:val="24"/>
                <w:lang w:eastAsia="zh-CN"/>
              </w:rPr>
              <w:t>环境风险评价等级及范围</w:t>
            </w:r>
            <w:bookmarkEnd w:id="49"/>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bookmarkStart w:id="50" w:name="_Toc8328"/>
            <w:r>
              <w:rPr>
                <w:rFonts w:hint="default" w:ascii="Times New Roman" w:hAnsi="Times New Roman" w:cs="Times New Roman"/>
                <w:color w:val="auto"/>
                <w:sz w:val="24"/>
                <w:szCs w:val="24"/>
                <w:lang w:val="en-US" w:eastAsia="zh-CN"/>
              </w:rPr>
              <w:t>A、评价等级</w:t>
            </w:r>
            <w:bookmarkEnd w:id="50"/>
          </w:p>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根据《建设项目环境风险评价技术导则》（HJ 169-2018）评价等级划分，环境风险评价等级划分见表7-28。</w:t>
            </w:r>
          </w:p>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7-28</w:t>
            </w:r>
            <w:r>
              <w:rPr>
                <w:rFonts w:hint="default" w:ascii="Times New Roman" w:hAnsi="Times New Roman" w:cs="Times New Roman"/>
                <w:b/>
                <w:bCs/>
                <w:color w:val="auto"/>
                <w:sz w:val="24"/>
                <w:szCs w:val="24"/>
              </w:rPr>
              <w:t xml:space="preserve">   环境风险评价工作等级划分表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8"/>
              <w:gridCol w:w="1660"/>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环境风险潜势</w:t>
                  </w:r>
                </w:p>
              </w:tc>
              <w:tc>
                <w:tcPr>
                  <w:tcW w:w="165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IV、IV+</w:t>
                  </w:r>
                </w:p>
              </w:tc>
              <w:tc>
                <w:tcPr>
                  <w:tcW w:w="16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III</w:t>
                  </w:r>
                </w:p>
              </w:tc>
              <w:tc>
                <w:tcPr>
                  <w:tcW w:w="1659"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II</w:t>
                  </w:r>
                </w:p>
              </w:tc>
              <w:tc>
                <w:tcPr>
                  <w:tcW w:w="16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评价工作等级</w:t>
                  </w:r>
                </w:p>
              </w:tc>
              <w:tc>
                <w:tcPr>
                  <w:tcW w:w="1658"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w:t>
                  </w:r>
                </w:p>
              </w:tc>
              <w:tc>
                <w:tcPr>
                  <w:tcW w:w="16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w:t>
                  </w:r>
                </w:p>
              </w:tc>
              <w:tc>
                <w:tcPr>
                  <w:tcW w:w="1659"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w:t>
                  </w:r>
                </w:p>
              </w:tc>
              <w:tc>
                <w:tcPr>
                  <w:tcW w:w="16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5"/>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是相对于详细评价工作内容而言，在描述危险物质、环境影响途径、环境危害后果、风险防范措施等方面给 出定性的说明</w:t>
                  </w:r>
                </w:p>
              </w:tc>
            </w:tr>
          </w:tbl>
          <w:p>
            <w:pPr>
              <w:pStyle w:val="2"/>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根据表</w:t>
            </w:r>
            <w:r>
              <w:rPr>
                <w:rFonts w:hint="default" w:ascii="Times New Roman" w:hAnsi="Times New Roman" w:cs="Times New Roman"/>
                <w:color w:val="auto"/>
                <w:sz w:val="24"/>
                <w:szCs w:val="24"/>
                <w:lang w:val="en-US" w:eastAsia="zh-CN"/>
              </w:rPr>
              <w:t>7-28，本项目风险评价工作等级为简单分析。</w:t>
            </w:r>
          </w:p>
          <w:p>
            <w:pPr>
              <w:spacing w:line="360" w:lineRule="auto"/>
              <w:ind w:firstLine="480" w:firstLineChars="200"/>
              <w:rPr>
                <w:rFonts w:hint="default" w:ascii="Times New Roman" w:hAnsi="Times New Roman" w:cs="Times New Roman"/>
                <w:color w:val="auto"/>
                <w:sz w:val="24"/>
                <w:szCs w:val="24"/>
              </w:rPr>
            </w:pPr>
            <w:bookmarkStart w:id="51" w:name="_Toc15634"/>
            <w:bookmarkStart w:id="52" w:name="_Toc30931"/>
            <w:r>
              <w:rPr>
                <w:rFonts w:hint="default" w:ascii="Times New Roman" w:hAnsi="Times New Roman" w:cs="Times New Roman"/>
                <w:color w:val="auto"/>
                <w:sz w:val="24"/>
                <w:szCs w:val="24"/>
              </w:rPr>
              <w:t>6.2环境风险影响分析</w:t>
            </w:r>
            <w:bookmarkEnd w:id="51"/>
            <w:bookmarkEnd w:id="52"/>
          </w:p>
          <w:p>
            <w:pPr>
              <w:spacing w:line="360" w:lineRule="auto"/>
              <w:ind w:firstLine="480" w:firstLineChars="200"/>
              <w:rPr>
                <w:rFonts w:hint="default" w:ascii="Times New Roman" w:hAnsi="Times New Roman" w:cs="Times New Roman"/>
                <w:color w:val="auto"/>
                <w:sz w:val="24"/>
                <w:szCs w:val="24"/>
              </w:rPr>
            </w:pPr>
            <w:bookmarkStart w:id="53" w:name="_Toc18443"/>
            <w:bookmarkStart w:id="54" w:name="_Toc23863"/>
            <w:r>
              <w:rPr>
                <w:rFonts w:hint="default" w:ascii="Times New Roman" w:hAnsi="Times New Roman" w:cs="Times New Roman"/>
                <w:color w:val="auto"/>
                <w:sz w:val="24"/>
                <w:szCs w:val="24"/>
              </w:rPr>
              <w:t>（1）氧气罐爆炸风险分析</w:t>
            </w:r>
            <w:bookmarkEnd w:id="53"/>
            <w:bookmarkEnd w:id="54"/>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选址和总图布置有利于安全生产；建设场地界区内各系统区域、设施、建（构）筑物按功能分区，整体布局合理；工艺技术简单、成熟可靠，采用成套装置，工艺装置设备、设施的配置方案合理，提出的安全设施、安全条件方案、措施基本符合要求。项目可行性研究报告提出的项目设立方案基本符合有关安全法律、法规、标准和要求。</w:t>
            </w:r>
          </w:p>
          <w:p>
            <w:pPr>
              <w:spacing w:line="360" w:lineRule="auto"/>
              <w:ind w:firstLine="480" w:firstLineChars="200"/>
              <w:rPr>
                <w:rFonts w:hint="default" w:ascii="Times New Roman" w:hAnsi="Times New Roman" w:cs="Times New Roman"/>
                <w:color w:val="auto"/>
                <w:sz w:val="24"/>
                <w:szCs w:val="24"/>
              </w:rPr>
            </w:pPr>
            <w:bookmarkStart w:id="55" w:name="_Toc29342"/>
            <w:bookmarkStart w:id="56" w:name="_Toc5925"/>
            <w:r>
              <w:rPr>
                <w:rFonts w:hint="default" w:ascii="Times New Roman" w:hAnsi="Times New Roman" w:cs="Times New Roman"/>
                <w:color w:val="auto"/>
                <w:sz w:val="24"/>
                <w:szCs w:val="24"/>
              </w:rPr>
              <w:t>（2）火灾爆炸环境风险分析</w:t>
            </w:r>
            <w:bookmarkEnd w:id="55"/>
            <w:bookmarkEnd w:id="56"/>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本项目一旦发生火灾爆炸时将会产生废气及消防废水，将会对环境空气及地表水产生影响。</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（1）环境空气影响分析</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火灾事故发生，空气中CO、CO</w:t>
            </w:r>
            <w:r>
              <w:rPr>
                <w:rFonts w:hint="default" w:ascii="Times New Roman" w:hAnsi="Times New Roman" w:cs="Times New Roman"/>
                <w:color w:val="auto"/>
                <w:sz w:val="24"/>
                <w:szCs w:val="24"/>
                <w:vertAlign w:val="subscript"/>
              </w:rPr>
              <w:t>2</w:t>
            </w:r>
            <w:r>
              <w:rPr>
                <w:rFonts w:hint="default" w:ascii="Times New Roman" w:hAnsi="Times New Roman" w:cs="Times New Roman"/>
                <w:color w:val="auto"/>
                <w:sz w:val="24"/>
                <w:szCs w:val="24"/>
              </w:rPr>
              <w:t>等将急剧增加，将会对下风向居民产生影响。由于项目周边空旷，空气扩散条件好，随着空气扩散，火灾产生的废气浓度慢慢降低，对环境空气影响也越来越小，慢慢消失，火灾对环境空气的影响是短暂的，影响不大。</w:t>
            </w:r>
          </w:p>
          <w:p>
            <w:pPr>
              <w:spacing w:line="360" w:lineRule="auto"/>
              <w:ind w:firstLine="480" w:firstLineChars="200"/>
              <w:rPr>
                <w:rFonts w:hint="default" w:ascii="Times New Roman" w:hAnsi="Times New Roman" w:cs="Times New Roman"/>
                <w:color w:val="auto"/>
                <w:sz w:val="24"/>
                <w:szCs w:val="24"/>
              </w:rPr>
            </w:pPr>
            <w:bookmarkStart w:id="57" w:name="_Toc3061"/>
            <w:bookmarkStart w:id="58" w:name="_Toc2975"/>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风险事故防范措施</w:t>
            </w:r>
            <w:bookmarkEnd w:id="57"/>
            <w:bookmarkEnd w:id="58"/>
          </w:p>
          <w:p>
            <w:pPr>
              <w:spacing w:line="360" w:lineRule="auto"/>
              <w:ind w:firstLine="480" w:firstLineChars="200"/>
              <w:rPr>
                <w:rFonts w:hint="default" w:ascii="Times New Roman" w:hAnsi="Times New Roman" w:cs="Times New Roman"/>
                <w:color w:val="auto"/>
                <w:sz w:val="24"/>
                <w:szCs w:val="24"/>
              </w:rPr>
            </w:pPr>
            <w:bookmarkStart w:id="59" w:name="_Toc12450"/>
            <w:bookmarkStart w:id="60" w:name="_Toc4652"/>
            <w:r>
              <w:rPr>
                <w:rFonts w:hint="default" w:ascii="Times New Roman" w:hAnsi="Times New Roman" w:cs="Times New Roman"/>
                <w:color w:val="auto"/>
                <w:sz w:val="24"/>
                <w:szCs w:val="24"/>
              </w:rPr>
              <w:t>（1）防范措施</w:t>
            </w:r>
            <w:bookmarkEnd w:id="59"/>
            <w:bookmarkEnd w:id="60"/>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加强对氧气、乙炔的管理，合理布置乙炔、氧气房，按规范制度严格使用与管理。</w:t>
            </w:r>
          </w:p>
          <w:p>
            <w:pPr>
              <w:spacing w:line="360" w:lineRule="auto"/>
              <w:ind w:firstLine="480" w:firstLineChars="200"/>
              <w:rPr>
                <w:rFonts w:hint="default" w:ascii="Times New Roman" w:hAnsi="Times New Roman" w:cs="Times New Roman"/>
                <w:color w:val="auto"/>
                <w:sz w:val="24"/>
                <w:szCs w:val="24"/>
              </w:rPr>
            </w:pPr>
            <w:bookmarkStart w:id="61" w:name="_Toc6898"/>
            <w:bookmarkStart w:id="62" w:name="_Toc18564"/>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rPr>
              <w:t>环境风险突发事故应急预案</w:t>
            </w:r>
            <w:bookmarkEnd w:id="61"/>
            <w:bookmarkEnd w:id="62"/>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为保证企业及人民生命财产的安全，防止突发性重大化学事故发生，并在发生事故时，能迅速有序地开展救援工作，尽最大努力减少事故的危害和损失。根据工程分析，本项目生产过程中的环境风险主要考虑布袋除尘器出现故障，产生非正常排放。由于项目生产过程容易控制，当出现非正常排放时，立即停止生产，并采取紧急措施，除尘器恢复正常后才继续生产，因此项目风险性较小。</w:t>
            </w:r>
          </w:p>
          <w:bookmarkEnd w:id="31"/>
          <w:bookmarkEnd w:id="32"/>
          <w:bookmarkEnd w:id="33"/>
          <w:bookmarkEnd w:id="34"/>
          <w:bookmarkEnd w:id="35"/>
          <w:bookmarkEnd w:id="36"/>
          <w:bookmarkEnd w:id="37"/>
          <w:bookmarkEnd w:id="38"/>
          <w:p>
            <w:pPr>
              <w:pStyle w:val="25"/>
              <w:numPr>
                <w:ilvl w:val="0"/>
                <w:numId w:val="11"/>
              </w:numPr>
              <w:adjustRightInd w:val="0"/>
              <w:snapToGrid w:val="0"/>
              <w:spacing w:line="360" w:lineRule="auto"/>
              <w:ind w:left="0" w:leftChars="0"/>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环境相容性分析</w:t>
            </w:r>
          </w:p>
          <w:p>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 本项目位于富明县东村镇西村村境内，距离项目区最近的保护目标为东南面500m的乐在村，周围2500m范围内无大型企业分布。根据分析，项目有组织排放粉尘PM</w:t>
            </w:r>
            <w:r>
              <w:rPr>
                <w:rFonts w:hint="default" w:ascii="Times New Roman" w:hAnsi="Times New Roman" w:cs="Times New Roman"/>
                <w:color w:val="auto"/>
                <w:sz w:val="24"/>
                <w:szCs w:val="24"/>
                <w:vertAlign w:val="subscript"/>
                <w:lang w:val="en-US" w:eastAsia="zh-CN"/>
              </w:rPr>
              <w:t>10</w:t>
            </w:r>
            <w:r>
              <w:rPr>
                <w:rFonts w:hint="default" w:ascii="Times New Roman" w:hAnsi="Times New Roman" w:cs="Times New Roman"/>
                <w:color w:val="auto"/>
                <w:sz w:val="24"/>
                <w:szCs w:val="24"/>
                <w:lang w:val="en-US" w:eastAsia="zh-CN"/>
              </w:rPr>
              <w:t>的浓度可以满足《大气污染物综合排放标准》（GB16297-1996）中的颗粒物无组织排放监控浓度限值的要求；项目无组织排放粉尘TSP的厂界浓度可以满足《大气污染物综合排放标准》（GB16297-1996）中的颗粒物无组织排放监控浓度限值的要求；物料运输过程中产生的扬尘经过采取运输车辆篷布遮盖和洒水降尘后粉尘排放量极少；食堂油烟经油烟净化器处理后外排量较小。且项目建设为临时性，综上，项目外排的大气污染物中的粉尘对当地环境空气影响较小，不会改变当地大气环境质量状况。</w:t>
            </w:r>
          </w:p>
          <w:p>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车辆清洗废水全部作为混凝土生产线生产补充水具有可靠性，废水不外排；项目生活污水进入化粪池预处理后排入中水处理站处理达标后用于厂区洒水抑尘，雨天暂存于蓄水池中，不外排；项目初期雨水进入初期雨水收集池，沉淀后补充项目生产用水，不外排。综上，本项目无废水外排，不会使当地水环境质量下降。</w:t>
            </w:r>
          </w:p>
          <w:p>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本项目运行过程中会产生一定噪声，项目区200m范围内无环境保护目标分布，且生产时间合理，噪声经过距离衰减以及厂房隔音后对区域噪声环境影响较小。</w:t>
            </w:r>
          </w:p>
          <w:p>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项目除尘器收尘灰返回生产工段；废气混凝土作为原料返回生产线；废钢筋外卖当地废品站；实验室固废返回各自生产工序再生产利用；生活垃圾</w:t>
            </w:r>
            <w:r>
              <w:rPr>
                <w:rFonts w:hint="eastAsia" w:ascii="Times New Roman" w:hAnsi="Times New Roman" w:cs="Times New Roman"/>
                <w:color w:val="auto"/>
                <w:sz w:val="24"/>
                <w:szCs w:val="24"/>
                <w:lang w:val="en-US" w:eastAsia="zh-CN"/>
              </w:rPr>
              <w:t>与生活污水处理系统、四级沉淀池、初期雨水收集池污泥一同</w:t>
            </w:r>
            <w:r>
              <w:rPr>
                <w:rFonts w:hint="default" w:ascii="Times New Roman" w:hAnsi="Times New Roman" w:cs="Times New Roman"/>
                <w:color w:val="auto"/>
                <w:sz w:val="24"/>
                <w:szCs w:val="24"/>
                <w:lang w:val="en-US" w:eastAsia="zh-CN"/>
              </w:rPr>
              <w:t>集中收集后按环卫部门要求处置；废机油</w:t>
            </w:r>
            <w:r>
              <w:rPr>
                <w:rFonts w:hint="eastAsia" w:ascii="Times New Roman" w:hAnsi="Times New Roman" w:cs="Times New Roman"/>
                <w:color w:val="auto"/>
                <w:sz w:val="24"/>
                <w:szCs w:val="24"/>
                <w:lang w:val="en-US" w:eastAsia="zh-CN"/>
              </w:rPr>
              <w:t>、隔油池油脂</w:t>
            </w:r>
            <w:r>
              <w:rPr>
                <w:rFonts w:hint="default" w:ascii="Times New Roman" w:hAnsi="Times New Roman" w:cs="Times New Roman"/>
                <w:color w:val="auto"/>
                <w:sz w:val="24"/>
                <w:szCs w:val="24"/>
                <w:lang w:val="en-US" w:eastAsia="zh-CN"/>
              </w:rPr>
              <w:t>暂存于项目区危废暂存间后由有资质单位处置。综上，项目区固废处置率100%，不会新增当地环境污染。</w:t>
            </w:r>
          </w:p>
          <w:p>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拟建项目区为旱地，种植玉米矮瓜等农作物，无大型植被以及珍稀动植物资源分布，本项目服务年限为</w:t>
            </w:r>
            <w:r>
              <w:rPr>
                <w:rFonts w:hint="eastAsia" w:ascii="Times New Roman" w:hAnsi="Times New Roman" w:cs="Times New Roman"/>
                <w:color w:val="auto"/>
                <w:sz w:val="24"/>
                <w:szCs w:val="24"/>
                <w:lang w:val="en-US" w:eastAsia="zh-CN"/>
              </w:rPr>
              <w:t>29个月</w:t>
            </w:r>
            <w:r>
              <w:rPr>
                <w:rFonts w:hint="default" w:ascii="Times New Roman" w:hAnsi="Times New Roman" w:cs="Times New Roman"/>
                <w:color w:val="auto"/>
                <w:sz w:val="24"/>
                <w:szCs w:val="24"/>
                <w:lang w:val="en-US" w:eastAsia="zh-CN"/>
              </w:rPr>
              <w:t>，高速公路建设完成后进行相应的拆除恢复工程。对当地生态环境影响较小，且该影响是可恢复的。</w:t>
            </w:r>
          </w:p>
          <w:p>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总的来说，该项目对周围自然环境影响较小，</w:t>
            </w:r>
            <w:r>
              <w:rPr>
                <w:rFonts w:hint="eastAsia" w:ascii="Times New Roman" w:hAnsi="Times New Roman" w:cs="Times New Roman"/>
                <w:color w:val="auto"/>
                <w:sz w:val="24"/>
                <w:szCs w:val="24"/>
                <w:lang w:val="en-US" w:eastAsia="zh-CN"/>
              </w:rPr>
              <w:t>不会新增区域环境污染物，不会导致区环境环境质量状况下降，</w:t>
            </w:r>
            <w:r>
              <w:rPr>
                <w:rFonts w:hint="default" w:ascii="Times New Roman" w:hAnsi="Times New Roman" w:cs="Times New Roman"/>
                <w:color w:val="auto"/>
                <w:sz w:val="24"/>
                <w:szCs w:val="24"/>
                <w:lang w:val="en-US" w:eastAsia="zh-CN"/>
              </w:rPr>
              <w:t>且该项目的建设有利于高速公路的建设，带动当地发展。</w:t>
            </w:r>
          </w:p>
          <w:p>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8</w:t>
            </w:r>
            <w:r>
              <w:rPr>
                <w:rFonts w:hint="default" w:ascii="Times New Roman" w:hAnsi="Times New Roman" w:cs="Times New Roman"/>
                <w:b/>
                <w:bCs/>
                <w:color w:val="auto"/>
                <w:sz w:val="24"/>
                <w:szCs w:val="24"/>
              </w:rPr>
              <w:t>、社会环境影响分析</w:t>
            </w:r>
          </w:p>
          <w:p>
            <w:pPr>
              <w:adjustRightInd w:val="0"/>
              <w:snapToGrid w:val="0"/>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本项目的建成有利于加快昆倘高速公路的建设进程，带动当地经济发展，使当地交通更加便捷。但是运营期会对环境产生一定影响，在采取相应的环保措施后，对环境影响很小，对居民影响很小。</w:t>
            </w:r>
          </w:p>
          <w:p>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综上所述，本项目正效应突出，通过采取环保措施后，负面效应很小，项目建设的正效应远远大于产生的负面效应，对社会环境的正面影响较突出。</w:t>
            </w:r>
          </w:p>
          <w:p>
            <w:pPr>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9</w:t>
            </w:r>
            <w:r>
              <w:rPr>
                <w:rFonts w:hint="default" w:ascii="Times New Roman" w:hAnsi="Times New Roman" w:cs="Times New Roman"/>
                <w:b/>
                <w:bCs/>
                <w:color w:val="auto"/>
                <w:sz w:val="24"/>
                <w:szCs w:val="24"/>
              </w:rPr>
              <w:t>、项目平面布置合理性分析</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根据总平面布置， 本次建设是在保证生产运营和消防安全基础上，将用地分为3个区域，分别混凝土生产区、钢筋加工区和办公生活区。自南向北依次布置钢筋加工厂、办公区和混凝土生产区，生活区和实验室在混凝土生产区东侧，宿舍楼位于实验室的北面，食堂位于宿舍楼北面。</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混凝土生产区在项目区北侧位置，便于生产和运出，自北向南依次布置砂石料堆棚、砂石料配料仓、搅拌楼、搅拌楼就近布置水泥及粉煤灰筒仓、回车场，东面建设机修车间。办公区紧邻拌合站，生活区由北向南分别设置食堂、职工宿舍楼、实验室。综上，厂区用地地势较平整，厂区中生产区、辅助区和行政办公区分割明确，整个生产过程从原料到产品物料输送顺畅便利，节约输送能耗，减少了物料运输距离，减小了运输粉尘的产生从而降低了对周围环境的影响。各区之间由绿地、道路分割，达到分区清晰，布局合理，人流、物流流向明确。同时各功能区之间既有联系，又相对集中，形成一个较完整的体系。因此，项目总平面布置合理。</w:t>
            </w:r>
          </w:p>
          <w:p>
            <w:pPr>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10</w:t>
            </w:r>
            <w:r>
              <w:rPr>
                <w:rFonts w:hint="default" w:ascii="Times New Roman" w:hAnsi="Times New Roman" w:cs="Times New Roman"/>
                <w:b/>
                <w:bCs/>
                <w:color w:val="auto"/>
                <w:sz w:val="24"/>
                <w:szCs w:val="24"/>
              </w:rPr>
              <w:t>、项目选址及规划合理性分析</w:t>
            </w:r>
          </w:p>
          <w:p>
            <w:pPr>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10</w:t>
            </w:r>
            <w:r>
              <w:rPr>
                <w:rFonts w:hint="default" w:ascii="Times New Roman" w:hAnsi="Times New Roman" w:cs="Times New Roman"/>
                <w:color w:val="auto"/>
                <w:sz w:val="24"/>
                <w:szCs w:val="24"/>
              </w:rPr>
              <w:t>.1与城市规划符合性</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本项目位于富明县东村镇西村村，项目所在地区域尚未进行城市规划，因此项目建设不违背的规划。</w:t>
            </w:r>
          </w:p>
          <w:p>
            <w:pPr>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10</w:t>
            </w:r>
            <w:r>
              <w:rPr>
                <w:rFonts w:hint="default" w:ascii="Times New Roman" w:hAnsi="Times New Roman" w:cs="Times New Roman"/>
                <w:color w:val="auto"/>
                <w:sz w:val="24"/>
                <w:szCs w:val="24"/>
              </w:rPr>
              <w:t>.2选址合理性分析</w:t>
            </w:r>
          </w:p>
          <w:p>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建设区不涉及基本农田、不涉及国务院、国家有关部门、省（自治区、直辖市）人民政府、市、县人民政府规定的饮用水水源保护区、自然保护区、风景名胜区、生态功能保护区、水土流失重点防治区、森林公园、地质公园、世界遗产地、国家重点文物保护单位、历史文化保护地，区内无国家规定的保护动植物。本项目为高速公路临时修建项目，高速公路修建完成后对该建设项目进行拆除并恢复场地处理，因此本项目选址合理。</w:t>
            </w:r>
          </w:p>
          <w:p>
            <w:pPr>
              <w:adjustRightInd w:val="0"/>
              <w:snapToGrid w:val="0"/>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11</w:t>
            </w:r>
            <w:r>
              <w:rPr>
                <w:rFonts w:hint="default" w:ascii="Times New Roman" w:hAnsi="Times New Roman" w:cs="Times New Roman"/>
                <w:b/>
                <w:bCs/>
                <w:color w:val="auto"/>
                <w:sz w:val="24"/>
                <w:szCs w:val="24"/>
              </w:rPr>
              <w:t>与相关政策的符合性</w:t>
            </w:r>
          </w:p>
          <w:p>
            <w:pPr>
              <w:pStyle w:val="111"/>
              <w:spacing w:line="360" w:lineRule="auto"/>
              <w:ind w:firstLine="48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主要为混凝土生产项目，属于“非金属矿物制品业中50砼结构构件制造、商品混凝土加工”，根据《产业结构调整指导目录(2011年本)》（2013年修正），本项目不属于其中的鼓励、限制和淘汰类项目，为允许类项目。</w:t>
            </w:r>
          </w:p>
          <w:p>
            <w:pPr>
              <w:pStyle w:val="111"/>
              <w:ind w:firstLine="48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根据“国家明令淘汰用能、产品目录”可知，本项目采用的设备不属于国家规定的淘汰类、限制类设备，能够满足生产的需要。</w:t>
            </w:r>
          </w:p>
          <w:p>
            <w:pPr>
              <w:pStyle w:val="111"/>
              <w:spacing w:line="360" w:lineRule="auto"/>
              <w:ind w:firstLine="48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同时，富明县发展和改革局于2019年5月13以“富发改企业备案[2019]10024号”同意项目备案。</w:t>
            </w:r>
          </w:p>
          <w:p>
            <w:pPr>
              <w:pStyle w:val="111"/>
              <w:spacing w:line="360" w:lineRule="auto"/>
              <w:ind w:firstLine="48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因此，本项目建设与国家现行产业政策相符。</w:t>
            </w:r>
          </w:p>
          <w:p>
            <w:pPr>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12</w:t>
            </w:r>
            <w:r>
              <w:rPr>
                <w:rFonts w:hint="default" w:ascii="Times New Roman" w:hAnsi="Times New Roman" w:cs="Times New Roman"/>
                <w:b/>
                <w:bCs/>
                <w:color w:val="auto"/>
                <w:sz w:val="24"/>
                <w:szCs w:val="24"/>
              </w:rPr>
              <w:t>与管理机构、防治行动相符性</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（1）与水污染防治行动计划相符性</w:t>
            </w:r>
          </w:p>
          <w:p>
            <w:pPr>
              <w:spacing w:line="480" w:lineRule="exact"/>
              <w:ind w:firstLine="482" w:firstLineChars="200"/>
              <w:jc w:val="center"/>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表7-</w:t>
            </w:r>
            <w:r>
              <w:rPr>
                <w:rFonts w:hint="default" w:ascii="Times New Roman" w:hAnsi="Times New Roman" w:cs="Times New Roman"/>
                <w:b/>
                <w:bCs/>
                <w:color w:val="auto"/>
                <w:sz w:val="24"/>
                <w:szCs w:val="24"/>
                <w:lang w:val="en-US" w:eastAsia="zh-CN"/>
              </w:rPr>
              <w:t>29</w:t>
            </w:r>
            <w:r>
              <w:rPr>
                <w:rFonts w:hint="default" w:ascii="Times New Roman" w:hAnsi="Times New Roman" w:cs="Times New Roman"/>
                <w:b/>
                <w:bCs/>
                <w:color w:val="auto"/>
                <w:sz w:val="24"/>
                <w:szCs w:val="24"/>
              </w:rPr>
              <w:t xml:space="preserve"> 本项目与水污染防治行动计划相符性对照表</w:t>
            </w:r>
          </w:p>
          <w:tbl>
            <w:tblPr>
              <w:tblStyle w:val="43"/>
              <w:tblW w:w="8556"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4446"/>
              <w:gridCol w:w="2588"/>
              <w:gridCol w:w="874"/>
            </w:tblGrid>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54"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水污染防治行动计划</w:t>
                  </w:r>
                </w:p>
              </w:tc>
              <w:tc>
                <w:tcPr>
                  <w:tcW w:w="258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w:t>
                  </w:r>
                </w:p>
              </w:tc>
              <w:tc>
                <w:tcPr>
                  <w:tcW w:w="874"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符合性</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一、全面控制污染物排放</w:t>
                  </w:r>
                </w:p>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1、全部取缔不符合国家产业政策的小型造纸、制革、印染、染料、炼焦、炼硫、炼砷、炼油、电镀、农药等严重污染水环境的生产项目。</w:t>
                  </w:r>
                </w:p>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2、专项整治十大重点行业。制定造纸、焦化、氮肥、有色金属、印染、农副食品加工、原料药制造、制革、农药、电镀等行业专项治理方案，实施清洁化改造。</w:t>
                  </w:r>
                </w:p>
              </w:tc>
              <w:tc>
                <w:tcPr>
                  <w:tcW w:w="258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本项目不属于取缔及专项整治范围内项目</w:t>
                  </w:r>
                </w:p>
              </w:tc>
              <w:tc>
                <w:tcPr>
                  <w:tcW w:w="874"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二、推动经济结构转型升级</w:t>
                  </w:r>
                </w:p>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1、调整产业结构。依法淘汰落后产能。</w:t>
                  </w:r>
                </w:p>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2、优化空间布局。合理确定发展布局、结构和规模。</w:t>
                  </w:r>
                </w:p>
              </w:tc>
              <w:tc>
                <w:tcPr>
                  <w:tcW w:w="258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本项目不属于部分工业行业淘汰落后生产工艺装备和产品指导目录淘汰类</w:t>
                  </w:r>
                </w:p>
              </w:tc>
              <w:tc>
                <w:tcPr>
                  <w:tcW w:w="874"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三、着力节约保护水资源</w:t>
                  </w:r>
                </w:p>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1、严控地下水超采。在地面沉降、地裂缝、岩溶塌陷等地质灾害易发区开发利用地下水，应进行地质灾害危险性评估。严格控制开采深层承压水，地热水、矿泉水开发应严格实行取水许可和采矿许可。</w:t>
                  </w:r>
                </w:p>
              </w:tc>
              <w:tc>
                <w:tcPr>
                  <w:tcW w:w="258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本项目用水引自矿山供水管网，不涉及开采地下水。</w:t>
                  </w:r>
                </w:p>
              </w:tc>
              <w:tc>
                <w:tcPr>
                  <w:tcW w:w="874"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四、强化科技支撑</w:t>
                  </w:r>
                </w:p>
              </w:tc>
              <w:tc>
                <w:tcPr>
                  <w:tcW w:w="3462" w:type="dxa"/>
                  <w:gridSpan w:val="2"/>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与本项目无关</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五、充分发挥市场机制作用</w:t>
                  </w:r>
                </w:p>
              </w:tc>
              <w:tc>
                <w:tcPr>
                  <w:tcW w:w="3462" w:type="dxa"/>
                  <w:gridSpan w:val="2"/>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与本项目无关</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严格环境执法监管</w:t>
                  </w:r>
                </w:p>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1、加大执法力度。所有排污单位必须依法实现全面达标排放。逐一排查工业企业排污情况，达标企业应采取措施确保稳定达标。</w:t>
                  </w:r>
                </w:p>
              </w:tc>
              <w:tc>
                <w:tcPr>
                  <w:tcW w:w="258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项目废水为生活污水，其经收集后回用于项目区，不外排</w:t>
                  </w:r>
                </w:p>
              </w:tc>
              <w:tc>
                <w:tcPr>
                  <w:tcW w:w="874"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七、切实加强水环境管理</w:t>
                  </w:r>
                </w:p>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1、全面推行排污许可。依法核发排污许可证。</w:t>
                  </w:r>
                </w:p>
              </w:tc>
              <w:tc>
                <w:tcPr>
                  <w:tcW w:w="258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本项目不涉及废水排放</w:t>
                  </w:r>
                </w:p>
              </w:tc>
              <w:tc>
                <w:tcPr>
                  <w:tcW w:w="874"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八、全力保障水生态环境安全</w:t>
                  </w:r>
                </w:p>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1、防治地下水污染。定期调查评估集中式地下水型饮用水水源补给区等区域环境状况。</w:t>
                  </w:r>
                </w:p>
              </w:tc>
              <w:tc>
                <w:tcPr>
                  <w:tcW w:w="258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本项目对地下水不产生影响</w:t>
                  </w:r>
                </w:p>
              </w:tc>
              <w:tc>
                <w:tcPr>
                  <w:tcW w:w="874"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九、明确和落实各方责任</w:t>
                  </w:r>
                </w:p>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1.落实排污单位主体责任。各类排污单位要严格执行环保法律法规和制度，加强污染治理设施建设和运行管理，开展自行监测，落实治污减排、环境风险防范等责任。</w:t>
                  </w:r>
                </w:p>
              </w:tc>
              <w:tc>
                <w:tcPr>
                  <w:tcW w:w="258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按要求进行</w:t>
                  </w:r>
                </w:p>
              </w:tc>
              <w:tc>
                <w:tcPr>
                  <w:tcW w:w="874"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4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4446"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十、强化公众参与和社会监督</w:t>
                  </w:r>
                </w:p>
              </w:tc>
              <w:tc>
                <w:tcPr>
                  <w:tcW w:w="258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按要求进行</w:t>
                  </w:r>
                </w:p>
              </w:tc>
              <w:tc>
                <w:tcPr>
                  <w:tcW w:w="874"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pPr>
              <w:spacing w:line="360" w:lineRule="auto"/>
              <w:ind w:firstLine="480" w:firstLineChars="200"/>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由表</w:t>
            </w:r>
            <w:r>
              <w:rPr>
                <w:rFonts w:hint="default" w:ascii="Times New Roman" w:hAnsi="Times New Roman" w:cs="Times New Roman"/>
                <w:color w:val="auto"/>
                <w:sz w:val="24"/>
                <w:szCs w:val="24"/>
              </w:rPr>
              <w:t>7-</w:t>
            </w:r>
            <w:r>
              <w:rPr>
                <w:rFonts w:hint="default" w:ascii="Times New Roman" w:hAnsi="Times New Roman" w:cs="Times New Roman"/>
                <w:color w:val="auto"/>
                <w:sz w:val="24"/>
                <w:szCs w:val="24"/>
                <w:lang w:val="en-US" w:eastAsia="zh-CN"/>
              </w:rPr>
              <w:t>29</w:t>
            </w:r>
            <w:r>
              <w:rPr>
                <w:rFonts w:hint="default" w:ascii="Times New Roman" w:hAnsi="Times New Roman" w:cs="Times New Roman"/>
                <w:color w:val="auto"/>
                <w:sz w:val="24"/>
                <w:szCs w:val="24"/>
                <w:lang w:val="zh-CN"/>
              </w:rPr>
              <w:t>可知，本项目符合水污染防治行动计划中相关要求。</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（2）与大气污染防治行动计划相符性</w:t>
            </w:r>
          </w:p>
          <w:p>
            <w:pPr>
              <w:ind w:firstLine="472" w:firstLineChars="196"/>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表7-</w:t>
            </w:r>
            <w:r>
              <w:rPr>
                <w:rFonts w:hint="default" w:ascii="Times New Roman" w:hAnsi="Times New Roman" w:cs="Times New Roman"/>
                <w:b/>
                <w:bCs/>
                <w:color w:val="auto"/>
                <w:sz w:val="24"/>
                <w:szCs w:val="24"/>
                <w:lang w:val="en-US" w:eastAsia="zh-CN"/>
              </w:rPr>
              <w:t>30</w:t>
            </w:r>
            <w:r>
              <w:rPr>
                <w:rFonts w:hint="default" w:ascii="Times New Roman" w:hAnsi="Times New Roman" w:cs="Times New Roman"/>
                <w:b/>
                <w:bCs/>
                <w:color w:val="auto"/>
                <w:sz w:val="24"/>
                <w:szCs w:val="24"/>
              </w:rPr>
              <w:t xml:space="preserve"> 本项目与“气十条”相符性对照表</w:t>
            </w:r>
          </w:p>
          <w:tbl>
            <w:tblPr>
              <w:tblStyle w:val="43"/>
              <w:tblW w:w="859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99"/>
              <w:gridCol w:w="4388"/>
              <w:gridCol w:w="2120"/>
              <w:gridCol w:w="149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tblHeader/>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4388"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大气污染防治行动计划</w:t>
                  </w:r>
                </w:p>
              </w:tc>
              <w:tc>
                <w:tcPr>
                  <w:tcW w:w="2120"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w:t>
                  </w:r>
                </w:p>
              </w:tc>
              <w:tc>
                <w:tcPr>
                  <w:tcW w:w="1491"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符合性</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4388" w:type="dxa"/>
                  <w:tcMar>
                    <w:top w:w="57" w:type="dxa"/>
                    <w:left w:w="108" w:type="dxa"/>
                    <w:bottom w:w="57" w:type="dxa"/>
                    <w:right w:w="108" w:type="dxa"/>
                  </w:tcMar>
                  <w:vAlign w:val="center"/>
                </w:tcPr>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一、加大综合治理力度，减少多污染物排放</w:t>
                  </w:r>
                </w:p>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全面整治燃煤小锅炉。加快推进集中供热、“煤改气”、“煤改电”工程建设，到2017年，除必要保留的以外，地级及以上城市建成区基本淘汰每小时10蒸吨及以下的燃煤锅炉，禁止新建每小时20蒸吨以下的燃煤锅炉；其他地区原则上不再新建每小时10蒸吨以下的燃煤锅炉。在供热供气管网不能覆盖的地区，改用电、新能源或洁净煤，推广应用高效节能环保型锅炉。在化工、造纸、印染、制革、制药等产业集聚区，通过集中建设热电联产机组逐步淘汰分散燃煤锅炉。</w:t>
                  </w:r>
                </w:p>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2、深化面源污染治理。综合整治城市扬尘。大型煤堆、料堆要实现封闭储存或建设防风抑尘设施</w:t>
                  </w:r>
                </w:p>
              </w:tc>
              <w:tc>
                <w:tcPr>
                  <w:tcW w:w="2120" w:type="dxa"/>
                  <w:tcMar>
                    <w:top w:w="57" w:type="dxa"/>
                    <w:left w:w="108" w:type="dxa"/>
                    <w:bottom w:w="57" w:type="dxa"/>
                    <w:right w:w="108" w:type="dxa"/>
                  </w:tcMar>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1、本项目使用电作为加热，不是用煤。</w:t>
                  </w:r>
                </w:p>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2、本项目生产原料及过程全部位于生产车间内，车间设备顶棚及三面围墙。</w:t>
                  </w:r>
                </w:p>
              </w:tc>
              <w:tc>
                <w:tcPr>
                  <w:tcW w:w="1491"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4388" w:type="dxa"/>
                  <w:tcMar>
                    <w:top w:w="57" w:type="dxa"/>
                    <w:left w:w="108" w:type="dxa"/>
                    <w:bottom w:w="57" w:type="dxa"/>
                    <w:right w:w="108" w:type="dxa"/>
                  </w:tcMar>
                  <w:vAlign w:val="center"/>
                </w:tcPr>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二、调整优化产业结构，推动产业转型升级</w:t>
                  </w:r>
                </w:p>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1、加快淘汰落后产能。结合产业发展实际和环境质量状况，进一步提高环保、能耗、安全、质量等标准，分区域明确落后产能淘汰任务，倒逼产业转型升级。</w:t>
                  </w:r>
                </w:p>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2、对未批先建、边批边建、越权核准的违规项目，尚未开工建设的，不准开工；正在建设的，要停止建设。</w:t>
                  </w:r>
                </w:p>
              </w:tc>
              <w:tc>
                <w:tcPr>
                  <w:tcW w:w="2120"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1、本项目不涉及。</w:t>
                  </w:r>
                </w:p>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2、项目为新建项目，不属于违规项目。</w:t>
                  </w:r>
                </w:p>
              </w:tc>
              <w:tc>
                <w:tcPr>
                  <w:tcW w:w="1491" w:type="dxa"/>
                  <w:tcMar>
                    <w:top w:w="57" w:type="dxa"/>
                    <w:left w:w="108" w:type="dxa"/>
                    <w:bottom w:w="57" w:type="dxa"/>
                    <w:right w:w="108" w:type="dxa"/>
                  </w:tcMar>
                  <w:vAlign w:val="center"/>
                </w:tcPr>
                <w:p>
                  <w:pPr>
                    <w:adjustRightInd w:val="0"/>
                    <w:snapToGrid w:val="0"/>
                    <w:jc w:val="left"/>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1、符合</w:t>
                  </w:r>
                </w:p>
                <w:p>
                  <w:pPr>
                    <w:adjustRightInd w:val="0"/>
                    <w:snapToGrid w:val="0"/>
                    <w:jc w:val="left"/>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4388" w:type="dxa"/>
                  <w:tcMar>
                    <w:top w:w="57" w:type="dxa"/>
                    <w:left w:w="108" w:type="dxa"/>
                    <w:bottom w:w="57" w:type="dxa"/>
                    <w:right w:w="108" w:type="dxa"/>
                  </w:tcMar>
                  <w:vAlign w:val="center"/>
                </w:tcPr>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三、加快企业技术改造，提高科技创新能力</w:t>
                  </w:r>
                </w:p>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1、全面推行清洁生产</w:t>
                  </w:r>
                </w:p>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2、大力发展循环经济。鼓励产业集聚发展，实施园区循环化改造。</w:t>
                  </w:r>
                </w:p>
              </w:tc>
              <w:tc>
                <w:tcPr>
                  <w:tcW w:w="2120" w:type="dxa"/>
                  <w:tcMar>
                    <w:top w:w="57" w:type="dxa"/>
                    <w:left w:w="108" w:type="dxa"/>
                    <w:bottom w:w="57" w:type="dxa"/>
                    <w:right w:w="108" w:type="dxa"/>
                  </w:tcMar>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本项目不涉及</w:t>
                  </w:r>
                </w:p>
              </w:tc>
              <w:tc>
                <w:tcPr>
                  <w:tcW w:w="1491"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4388" w:type="dxa"/>
                  <w:tcMar>
                    <w:top w:w="57" w:type="dxa"/>
                    <w:left w:w="108" w:type="dxa"/>
                    <w:bottom w:w="57" w:type="dxa"/>
                    <w:right w:w="108" w:type="dxa"/>
                  </w:tcMar>
                  <w:vAlign w:val="center"/>
                </w:tcPr>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四、加快调整能源结构，增加清洁能源供应</w:t>
                  </w:r>
                </w:p>
              </w:tc>
              <w:tc>
                <w:tcPr>
                  <w:tcW w:w="2120"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本项目使用燃料为电，食堂采用液化天然气，均为清洁能源</w:t>
                  </w:r>
                </w:p>
              </w:tc>
              <w:tc>
                <w:tcPr>
                  <w:tcW w:w="1491"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4388" w:type="dxa"/>
                  <w:tcMar>
                    <w:top w:w="57" w:type="dxa"/>
                    <w:left w:w="108" w:type="dxa"/>
                    <w:bottom w:w="57" w:type="dxa"/>
                    <w:right w:w="108" w:type="dxa"/>
                  </w:tcMar>
                  <w:vAlign w:val="center"/>
                </w:tcPr>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五、严格节能环保准入，优化产业空间布局</w:t>
                  </w:r>
                </w:p>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1、所有新、改、扩建项目，必须全部进行环境影响评价；未通过环境影响评价审批的，一律不准开工建设。</w:t>
                  </w:r>
                </w:p>
              </w:tc>
              <w:tc>
                <w:tcPr>
                  <w:tcW w:w="2120"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本次为项目环评</w:t>
                  </w:r>
                </w:p>
              </w:tc>
              <w:tc>
                <w:tcPr>
                  <w:tcW w:w="1491"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w:t>
                  </w:r>
                </w:p>
              </w:tc>
              <w:tc>
                <w:tcPr>
                  <w:tcW w:w="4388" w:type="dxa"/>
                  <w:tcMar>
                    <w:top w:w="57" w:type="dxa"/>
                    <w:left w:w="108" w:type="dxa"/>
                    <w:bottom w:w="57" w:type="dxa"/>
                    <w:right w:w="108" w:type="dxa"/>
                  </w:tcMar>
                  <w:vAlign w:val="center"/>
                </w:tcPr>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六、发挥市场机制作用，完善环境经济政策</w:t>
                  </w:r>
                </w:p>
              </w:tc>
              <w:tc>
                <w:tcPr>
                  <w:tcW w:w="3611" w:type="dxa"/>
                  <w:gridSpan w:val="2"/>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与本项目无关</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w:t>
                  </w:r>
                </w:p>
              </w:tc>
              <w:tc>
                <w:tcPr>
                  <w:tcW w:w="4388" w:type="dxa"/>
                  <w:tcMar>
                    <w:top w:w="57" w:type="dxa"/>
                    <w:left w:w="108" w:type="dxa"/>
                    <w:bottom w:w="57" w:type="dxa"/>
                    <w:right w:w="108" w:type="dxa"/>
                  </w:tcMar>
                  <w:vAlign w:val="center"/>
                </w:tcPr>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七、健全法律法规体系，严格依法监督管理</w:t>
                  </w:r>
                </w:p>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1、各级环保部门和企业要主动公开新建项目环境影响评价、接受社会监督。涉及群众利益的建设项目，应充分听取公众意见。</w:t>
                  </w:r>
                </w:p>
              </w:tc>
              <w:tc>
                <w:tcPr>
                  <w:tcW w:w="2120" w:type="dxa"/>
                  <w:tcMar>
                    <w:top w:w="57" w:type="dxa"/>
                    <w:left w:w="108" w:type="dxa"/>
                    <w:bottom w:w="57" w:type="dxa"/>
                    <w:right w:w="108" w:type="dxa"/>
                  </w:tcMar>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不涉及</w:t>
                  </w:r>
                </w:p>
              </w:tc>
              <w:tc>
                <w:tcPr>
                  <w:tcW w:w="1491"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w:t>
                  </w:r>
                </w:p>
              </w:tc>
              <w:tc>
                <w:tcPr>
                  <w:tcW w:w="4388" w:type="dxa"/>
                  <w:tcMar>
                    <w:top w:w="57" w:type="dxa"/>
                    <w:left w:w="108" w:type="dxa"/>
                    <w:bottom w:w="57" w:type="dxa"/>
                    <w:right w:w="108" w:type="dxa"/>
                  </w:tcMar>
                  <w:vAlign w:val="center"/>
                </w:tcPr>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八、建立区域协作机制，统筹区域环境治理</w:t>
                  </w:r>
                </w:p>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1、实行严格责任追究。对未通过年度考核的，由环保部门会同组织部门、监察机关等部门约谈省级人民政府及其相关部门有关负责人，提出整改意见，予以督促。</w:t>
                  </w:r>
                </w:p>
              </w:tc>
              <w:tc>
                <w:tcPr>
                  <w:tcW w:w="2120" w:type="dxa"/>
                  <w:tcMar>
                    <w:top w:w="57" w:type="dxa"/>
                    <w:left w:w="108" w:type="dxa"/>
                    <w:bottom w:w="57" w:type="dxa"/>
                    <w:right w:w="108" w:type="dxa"/>
                  </w:tcMar>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本项目废气排放量不大，可以使废气达标稳定排放</w:t>
                  </w:r>
                </w:p>
              </w:tc>
              <w:tc>
                <w:tcPr>
                  <w:tcW w:w="1491"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w:t>
                  </w:r>
                </w:p>
              </w:tc>
              <w:tc>
                <w:tcPr>
                  <w:tcW w:w="4388" w:type="dxa"/>
                  <w:tcMar>
                    <w:top w:w="57" w:type="dxa"/>
                    <w:left w:w="108" w:type="dxa"/>
                    <w:bottom w:w="57" w:type="dxa"/>
                    <w:right w:w="108" w:type="dxa"/>
                  </w:tcMar>
                  <w:vAlign w:val="center"/>
                </w:tcPr>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九、建立监测预警应急体系，妥善应对重污染天气</w:t>
                  </w:r>
                </w:p>
              </w:tc>
              <w:tc>
                <w:tcPr>
                  <w:tcW w:w="2120" w:type="dxa"/>
                  <w:tcMar>
                    <w:top w:w="57" w:type="dxa"/>
                    <w:left w:w="108" w:type="dxa"/>
                    <w:bottom w:w="57" w:type="dxa"/>
                    <w:right w:w="108" w:type="dxa"/>
                  </w:tcMar>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本项目的废气排放量不大，可以使废气达标稳定排放。</w:t>
                  </w:r>
                </w:p>
              </w:tc>
              <w:tc>
                <w:tcPr>
                  <w:tcW w:w="1491"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5" w:hRule="atLeast"/>
                <w:jc w:val="center"/>
              </w:trPr>
              <w:tc>
                <w:tcPr>
                  <w:tcW w:w="599"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4388" w:type="dxa"/>
                  <w:tcMar>
                    <w:top w:w="57" w:type="dxa"/>
                    <w:left w:w="108" w:type="dxa"/>
                    <w:bottom w:w="57" w:type="dxa"/>
                    <w:right w:w="108" w:type="dxa"/>
                  </w:tcMar>
                  <w:vAlign w:val="center"/>
                </w:tcPr>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十、明确政府企业和社会的责任，动员全民参与环境保护</w:t>
                  </w:r>
                </w:p>
                <w:p>
                  <w:pPr>
                    <w:adjustRightInd w:val="0"/>
                    <w:snapToGrid w:val="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1、强化企业施治。要按照环保规范要求，加强内部管理，增加资金投入，采用先进的生产工艺和治理技术，确保达标排放。</w:t>
                  </w:r>
                </w:p>
              </w:tc>
              <w:tc>
                <w:tcPr>
                  <w:tcW w:w="2120" w:type="dxa"/>
                  <w:tcMar>
                    <w:top w:w="57" w:type="dxa"/>
                    <w:left w:w="108" w:type="dxa"/>
                    <w:bottom w:w="57" w:type="dxa"/>
                    <w:right w:w="108" w:type="dxa"/>
                  </w:tcMar>
                  <w:vAlign w:val="center"/>
                </w:tcPr>
                <w:p>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本项目热源为柴油，属于清洁能源，污染物达标排放</w:t>
                  </w:r>
                </w:p>
              </w:tc>
              <w:tc>
                <w:tcPr>
                  <w:tcW w:w="1491" w:type="dxa"/>
                  <w:tcMar>
                    <w:top w:w="57" w:type="dxa"/>
                    <w:left w:w="108" w:type="dxa"/>
                    <w:bottom w:w="57" w:type="dxa"/>
                    <w:right w:w="108" w:type="dxa"/>
                  </w:tcMar>
                  <w:vAlign w:val="center"/>
                </w:tcPr>
                <w:p>
                  <w:pPr>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pPr>
              <w:adjustRightInd w:val="0"/>
              <w:snapToGrid w:val="0"/>
              <w:spacing w:line="360" w:lineRule="auto"/>
              <w:ind w:firstLine="480" w:firstLineChars="200"/>
              <w:rPr>
                <w:rFonts w:hint="default" w:ascii="Times New Roman" w:hAnsi="Times New Roman" w:cs="Times New Roman"/>
                <w:color w:val="auto"/>
                <w:sz w:val="24"/>
                <w:szCs w:val="24"/>
                <w:lang w:val="zh-CN"/>
              </w:rPr>
            </w:pPr>
            <w:r>
              <w:rPr>
                <w:rFonts w:hint="default" w:ascii="Times New Roman" w:hAnsi="Times New Roman" w:cs="Times New Roman"/>
                <w:color w:val="auto"/>
                <w:sz w:val="24"/>
                <w:szCs w:val="24"/>
                <w:lang w:val="zh-CN"/>
              </w:rPr>
              <w:t>由上表可知，本项目符合大气污染防治行动计划中相关要求。</w:t>
            </w:r>
          </w:p>
          <w:p>
            <w:pPr>
              <w:pStyle w:val="2"/>
              <w:numPr>
                <w:ilvl w:val="0"/>
                <w:numId w:val="12"/>
              </w:numP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拆除工程</w:t>
            </w:r>
            <w:r>
              <w:rPr>
                <w:rFonts w:hint="eastAsia" w:ascii="Times New Roman" w:hAnsi="Times New Roman" w:cs="Times New Roman"/>
                <w:b/>
                <w:bCs/>
                <w:color w:val="auto"/>
                <w:sz w:val="24"/>
                <w:szCs w:val="24"/>
                <w:lang w:val="en-US" w:eastAsia="zh-CN"/>
              </w:rPr>
              <w:t>影响</w:t>
            </w:r>
            <w:r>
              <w:rPr>
                <w:rFonts w:hint="default" w:ascii="Times New Roman" w:hAnsi="Times New Roman" w:cs="Times New Roman"/>
                <w:b/>
                <w:bCs/>
                <w:color w:val="auto"/>
                <w:sz w:val="24"/>
                <w:szCs w:val="24"/>
                <w:lang w:val="en-US" w:eastAsia="zh-CN"/>
              </w:rPr>
              <w:t>分析</w:t>
            </w:r>
            <w:r>
              <w:rPr>
                <w:rFonts w:hint="eastAsia" w:ascii="Times New Roman" w:hAnsi="Times New Roman" w:cs="Times New Roman"/>
                <w:b/>
                <w:bCs/>
                <w:color w:val="auto"/>
                <w:sz w:val="24"/>
                <w:szCs w:val="24"/>
                <w:lang w:val="en-US" w:eastAsia="zh-CN"/>
              </w:rPr>
              <w:t>及措施</w:t>
            </w:r>
          </w:p>
          <w:p>
            <w:pPr>
              <w:pStyle w:val="2"/>
              <w:numPr>
                <w:ilvl w:val="0"/>
                <w:numId w:val="0"/>
              </w:numP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    本项目为昆倘高速公路4标段附属建设项目，项目生产的混凝土以及钢筋全部服务于高速公路建设，服务年限</w:t>
            </w:r>
            <w:r>
              <w:rPr>
                <w:rFonts w:hint="eastAsia" w:ascii="Times New Roman" w:hAnsi="Times New Roman" w:cs="Times New Roman"/>
                <w:color w:val="auto"/>
                <w:sz w:val="24"/>
                <w:szCs w:val="24"/>
                <w:lang w:val="en-US" w:eastAsia="zh-CN"/>
              </w:rPr>
              <w:t>29个月</w:t>
            </w:r>
            <w:r>
              <w:rPr>
                <w:rFonts w:hint="default" w:ascii="Times New Roman" w:hAnsi="Times New Roman" w:cs="Times New Roman"/>
                <w:color w:val="auto"/>
                <w:sz w:val="24"/>
                <w:szCs w:val="24"/>
                <w:lang w:val="en-US" w:eastAsia="zh-CN"/>
              </w:rPr>
              <w:t>。高速公路建设完成后，进行拆除恢复处置。拆除过程中会产生大量固废以及少量粉尘，对当地环境造成一定影响。</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（1）项目各设备由建设单位运走，建筑物由专业公司进行拆除。</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（2）拆除过程中会产生一定量粉尘，但由于拆除时间较短，粉尘排放量较小且为间断排放，通过</w:t>
            </w:r>
            <w:r>
              <w:rPr>
                <w:rFonts w:hint="eastAsia" w:ascii="Times New Roman" w:hAnsi="Times New Roman" w:cs="Times New Roman"/>
                <w:color w:val="auto"/>
                <w:sz w:val="24"/>
                <w:szCs w:val="24"/>
                <w:lang w:val="en-US" w:eastAsia="zh-CN"/>
              </w:rPr>
              <w:t>洒水降尘以及</w:t>
            </w:r>
            <w:r>
              <w:rPr>
                <w:rFonts w:hint="default" w:ascii="Times New Roman" w:hAnsi="Times New Roman" w:cs="Times New Roman"/>
                <w:color w:val="auto"/>
                <w:sz w:val="24"/>
                <w:szCs w:val="24"/>
                <w:lang w:val="en-US" w:eastAsia="zh-CN"/>
              </w:rPr>
              <w:t>自然扩散，对周围环境影响较小。</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（3）拆除过程中会产生大量固体废物，其中涉及到危险废物的请有资质单位进行清运处置，其他建筑垃圾按当地城建部门要求进行处置。</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（4）拆除完成后，破除混凝土面层，</w:t>
            </w:r>
            <w:r>
              <w:rPr>
                <w:rFonts w:hint="eastAsia" w:ascii="Times New Roman" w:hAnsi="Times New Roman" w:cs="Times New Roman"/>
                <w:color w:val="auto"/>
                <w:sz w:val="24"/>
                <w:szCs w:val="24"/>
                <w:lang w:val="en-US" w:eastAsia="zh-CN"/>
              </w:rPr>
              <w:t>复上前期剥离表土并外购</w:t>
            </w:r>
            <w:r>
              <w:rPr>
                <w:rFonts w:hint="default" w:ascii="Times New Roman" w:hAnsi="Times New Roman" w:cs="Times New Roman"/>
                <w:color w:val="auto"/>
                <w:sz w:val="24"/>
                <w:szCs w:val="24"/>
                <w:lang w:val="en-US" w:eastAsia="zh-CN"/>
              </w:rPr>
              <w:t>种植土铺设1米厚左右，恢复土地属性，复植</w:t>
            </w:r>
            <w:r>
              <w:rPr>
                <w:rFonts w:hint="eastAsia" w:ascii="Times New Roman" w:hAnsi="Times New Roman" w:cs="Times New Roman"/>
                <w:color w:val="auto"/>
                <w:sz w:val="24"/>
                <w:szCs w:val="24"/>
                <w:lang w:val="en-US" w:eastAsia="zh-CN"/>
              </w:rPr>
              <w:t>当地</w:t>
            </w:r>
            <w:r>
              <w:rPr>
                <w:rFonts w:hint="default" w:ascii="Times New Roman" w:hAnsi="Times New Roman" w:cs="Times New Roman"/>
                <w:color w:val="auto"/>
                <w:sz w:val="24"/>
                <w:szCs w:val="24"/>
                <w:lang w:val="en-US" w:eastAsia="zh-CN"/>
              </w:rPr>
              <w:t>常见</w:t>
            </w:r>
            <w:r>
              <w:rPr>
                <w:rFonts w:hint="eastAsia" w:ascii="Times New Roman" w:hAnsi="Times New Roman" w:cs="Times New Roman"/>
                <w:color w:val="auto"/>
                <w:sz w:val="24"/>
                <w:szCs w:val="24"/>
                <w:lang w:val="en-US" w:eastAsia="zh-CN"/>
              </w:rPr>
              <w:t>易存活植被</w:t>
            </w:r>
            <w:r>
              <w:rPr>
                <w:rFonts w:hint="default" w:ascii="Times New Roman" w:hAnsi="Times New Roman" w:cs="Times New Roman"/>
                <w:color w:val="auto"/>
                <w:sz w:val="24"/>
                <w:szCs w:val="24"/>
                <w:lang w:val="en-US" w:eastAsia="zh-CN"/>
              </w:rPr>
              <w:t>，将土地归还给当地村民，继续种植</w:t>
            </w:r>
            <w:r>
              <w:rPr>
                <w:rFonts w:hint="eastAsia" w:ascii="Times New Roman" w:hAnsi="Times New Roman" w:cs="Times New Roman"/>
                <w:color w:val="auto"/>
                <w:sz w:val="24"/>
                <w:szCs w:val="24"/>
                <w:lang w:val="en-US" w:eastAsia="zh-CN"/>
              </w:rPr>
              <w:t>农作物</w:t>
            </w:r>
            <w:r>
              <w:rPr>
                <w:rFonts w:hint="default" w:ascii="Times New Roman" w:hAnsi="Times New Roman" w:cs="Times New Roman"/>
                <w:color w:val="auto"/>
                <w:sz w:val="24"/>
                <w:szCs w:val="24"/>
                <w:lang w:val="en-US" w:eastAsia="zh-CN"/>
              </w:rPr>
              <w:t>。</w:t>
            </w:r>
          </w:p>
        </w:tc>
      </w:tr>
    </w:tbl>
    <w:p>
      <w:pPr>
        <w:pStyle w:val="3"/>
        <w:pageBreakBefore/>
        <w:spacing w:before="0" w:after="0" w:line="240" w:lineRule="auto"/>
        <w:rPr>
          <w:rFonts w:ascii="Times New Roman" w:hAnsi="Times New Roman"/>
          <w:color w:val="auto"/>
          <w:spacing w:val="2"/>
          <w:sz w:val="28"/>
          <w:szCs w:val="28"/>
        </w:rPr>
      </w:pPr>
      <w:bookmarkStart w:id="63" w:name="_Toc513627205"/>
      <w:r>
        <w:rPr>
          <w:rFonts w:ascii="Times New Roman" w:hAnsi="Times New Roman"/>
          <w:color w:val="auto"/>
          <w:spacing w:val="2"/>
          <w:sz w:val="28"/>
          <w:szCs w:val="28"/>
        </w:rPr>
        <w:t>表八、建设项目拟采取的防治措施及预期治理效果</w:t>
      </w:r>
      <w:bookmarkEnd w:id="63"/>
    </w:p>
    <w:tbl>
      <w:tblPr>
        <w:tblStyle w:val="43"/>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533"/>
        <w:gridCol w:w="1488"/>
        <w:gridCol w:w="912"/>
        <w:gridCol w:w="2410"/>
        <w:gridCol w:w="2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98"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种类</w:t>
            </w:r>
          </w:p>
        </w:tc>
        <w:tc>
          <w:tcPr>
            <w:tcW w:w="533"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时期</w:t>
            </w:r>
          </w:p>
        </w:tc>
        <w:tc>
          <w:tcPr>
            <w:tcW w:w="1488"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排放源</w:t>
            </w:r>
          </w:p>
        </w:tc>
        <w:tc>
          <w:tcPr>
            <w:tcW w:w="912"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污染物名称</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防治措施</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98"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大气污染物</w:t>
            </w:r>
          </w:p>
        </w:tc>
        <w:tc>
          <w:tcPr>
            <w:tcW w:w="533"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施工期</w:t>
            </w:r>
          </w:p>
        </w:tc>
        <w:tc>
          <w:tcPr>
            <w:tcW w:w="1488"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施工场地</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无组织粉尘</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及时洒水降尘</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施工场地粉尘满足《大气污染物综合排放标准》</w:t>
            </w:r>
            <w:r>
              <w:rPr>
                <w:rFonts w:hint="eastAsia" w:ascii="Times New Roman" w:hAnsi="Times New Roman"/>
                <w:color w:val="auto"/>
                <w:sz w:val="21"/>
                <w:szCs w:val="21"/>
              </w:rPr>
              <w:t>（</w:t>
            </w:r>
            <w:r>
              <w:rPr>
                <w:rFonts w:ascii="Times New Roman" w:hAnsi="Times New Roman"/>
                <w:color w:val="auto"/>
                <w:sz w:val="21"/>
                <w:szCs w:val="21"/>
              </w:rPr>
              <w:t>GB16297-1996</w:t>
            </w:r>
            <w:r>
              <w:rPr>
                <w:rFonts w:hint="eastAsia" w:ascii="Times New Roman" w:hAnsi="Times New Roman"/>
                <w:color w:val="auto"/>
                <w:sz w:val="21"/>
                <w:szCs w:val="21"/>
              </w:rPr>
              <w:t>）</w:t>
            </w:r>
            <w:r>
              <w:rPr>
                <w:rFonts w:ascii="Times New Roman" w:hAnsi="Times New Roman"/>
                <w:color w:val="auto"/>
                <w:sz w:val="21"/>
                <w:szCs w:val="21"/>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燃油施工设备</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kern w:val="0"/>
                <w:sz w:val="21"/>
                <w:szCs w:val="21"/>
              </w:rPr>
              <w:t>燃油废气</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自然稀释扩散</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对环境影响小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运营期</w:t>
            </w:r>
          </w:p>
        </w:tc>
        <w:tc>
          <w:tcPr>
            <w:tcW w:w="1488"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Times New Roman" w:hAnsi="Times New Roman" w:eastAsia="宋体"/>
                <w:color w:val="auto"/>
                <w:sz w:val="21"/>
                <w:szCs w:val="21"/>
                <w:lang w:eastAsia="zh-CN"/>
              </w:rPr>
            </w:pPr>
            <w:r>
              <w:rPr>
                <w:rFonts w:ascii="Times New Roman" w:hAnsi="Times New Roman"/>
                <w:color w:val="auto"/>
                <w:kern w:val="0"/>
                <w:sz w:val="21"/>
                <w:szCs w:val="21"/>
              </w:rPr>
              <w:t>水泥</w:t>
            </w:r>
            <w:r>
              <w:rPr>
                <w:rFonts w:hint="eastAsia" w:ascii="Times New Roman" w:hAnsi="Times New Roman"/>
                <w:color w:val="auto"/>
                <w:kern w:val="0"/>
                <w:sz w:val="21"/>
                <w:szCs w:val="21"/>
                <w:lang w:eastAsia="zh-CN"/>
              </w:rPr>
              <w:t>仓</w:t>
            </w:r>
            <w:r>
              <w:rPr>
                <w:rFonts w:ascii="Times New Roman" w:hAnsi="Times New Roman"/>
                <w:color w:val="auto"/>
                <w:kern w:val="0"/>
                <w:sz w:val="21"/>
                <w:szCs w:val="21"/>
              </w:rPr>
              <w:t>G1</w:t>
            </w:r>
            <w:r>
              <w:rPr>
                <w:rFonts w:hint="eastAsia" w:ascii="Times New Roman" w:hAnsi="Times New Roman"/>
                <w:color w:val="auto"/>
                <w:kern w:val="0"/>
                <w:sz w:val="21"/>
                <w:szCs w:val="21"/>
                <w:lang w:val="en-US" w:eastAsia="zh-CN"/>
              </w:rPr>
              <w:t>-</w:t>
            </w:r>
            <w:r>
              <w:rPr>
                <w:rFonts w:hint="eastAsia" w:ascii="Times New Roman" w:hAnsi="Times New Roman"/>
                <w:color w:val="auto"/>
                <w:kern w:val="0"/>
                <w:sz w:val="21"/>
                <w:szCs w:val="21"/>
              </w:rPr>
              <w:t>G</w:t>
            </w:r>
            <w:r>
              <w:rPr>
                <w:rFonts w:hint="eastAsia" w:ascii="Times New Roman" w:hAnsi="Times New Roman"/>
                <w:color w:val="auto"/>
                <w:kern w:val="0"/>
                <w:sz w:val="21"/>
                <w:szCs w:val="21"/>
                <w:lang w:val="en-US" w:eastAsia="zh-CN"/>
              </w:rPr>
              <w:t>8</w:t>
            </w:r>
          </w:p>
        </w:tc>
        <w:tc>
          <w:tcPr>
            <w:tcW w:w="912"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有组织粉尘</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Times New Roman" w:hAnsi="Times New Roman" w:eastAsia="宋体"/>
                <w:color w:val="auto"/>
                <w:sz w:val="21"/>
                <w:szCs w:val="21"/>
                <w:lang w:eastAsia="zh-CN"/>
              </w:rPr>
            </w:pPr>
            <w:r>
              <w:rPr>
                <w:rFonts w:hint="eastAsia" w:ascii="Times New Roman" w:hAnsi="Times New Roman"/>
                <w:color w:val="auto"/>
                <w:sz w:val="21"/>
                <w:szCs w:val="21"/>
                <w:lang w:val="en-US" w:eastAsia="zh-CN"/>
              </w:rPr>
              <w:t>8</w:t>
            </w:r>
            <w:r>
              <w:rPr>
                <w:rFonts w:hint="eastAsia" w:ascii="Times New Roman" w:hAnsi="Times New Roman"/>
                <w:color w:val="auto"/>
                <w:sz w:val="21"/>
                <w:szCs w:val="21"/>
              </w:rPr>
              <w:t>套效率99.8%布袋除尘，风量</w:t>
            </w:r>
            <w:r>
              <w:rPr>
                <w:rFonts w:hint="eastAsia" w:ascii="Times New Roman" w:hAnsi="Times New Roman"/>
                <w:color w:val="auto"/>
                <w:sz w:val="21"/>
                <w:szCs w:val="21"/>
                <w:lang w:val="en-US" w:eastAsia="zh-CN"/>
              </w:rPr>
              <w:t>2</w:t>
            </w:r>
            <w:r>
              <w:rPr>
                <w:rFonts w:hint="eastAsia" w:ascii="Times New Roman" w:hAnsi="Times New Roman"/>
                <w:color w:val="auto"/>
                <w:sz w:val="21"/>
                <w:szCs w:val="21"/>
              </w:rPr>
              <w:t>000Nm</w:t>
            </w:r>
            <w:r>
              <w:rPr>
                <w:rFonts w:hint="eastAsia" w:ascii="Times New Roman" w:hAnsi="Times New Roman"/>
                <w:color w:val="auto"/>
                <w:sz w:val="21"/>
                <w:szCs w:val="21"/>
                <w:vertAlign w:val="superscript"/>
              </w:rPr>
              <w:t>3</w:t>
            </w:r>
            <w:r>
              <w:rPr>
                <w:rFonts w:hint="eastAsia" w:ascii="Times New Roman" w:hAnsi="Times New Roman"/>
                <w:color w:val="auto"/>
                <w:sz w:val="21"/>
                <w:szCs w:val="21"/>
              </w:rPr>
              <w:t>/h，水泥仓高13.5m+排气筒1.5m，∮=0.3m</w:t>
            </w:r>
            <w:r>
              <w:rPr>
                <w:rFonts w:hint="eastAsia" w:ascii="Times New Roman" w:hAnsi="Times New Roman"/>
                <w:color w:val="auto"/>
                <w:sz w:val="21"/>
                <w:szCs w:val="21"/>
                <w:lang w:eastAsia="zh-CN"/>
              </w:rPr>
              <w:t>。</w:t>
            </w:r>
          </w:p>
        </w:tc>
        <w:tc>
          <w:tcPr>
            <w:tcW w:w="2427" w:type="dxa"/>
            <w:vMerge w:val="restart"/>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项目有组织粉尘满足《水泥工业大气污染物排放标准》</w:t>
            </w:r>
            <w:r>
              <w:rPr>
                <w:rFonts w:hint="eastAsia" w:ascii="Times New Roman" w:hAnsi="Times New Roman"/>
                <w:color w:val="auto"/>
                <w:sz w:val="21"/>
                <w:szCs w:val="21"/>
              </w:rPr>
              <w:t>（</w:t>
            </w:r>
            <w:r>
              <w:rPr>
                <w:rFonts w:ascii="Times New Roman" w:hAnsi="Times New Roman"/>
                <w:color w:val="auto"/>
                <w:sz w:val="21"/>
                <w:szCs w:val="21"/>
              </w:rPr>
              <w:t>GB4915-2013</w:t>
            </w:r>
            <w:r>
              <w:rPr>
                <w:rFonts w:hint="eastAsia" w:ascii="Times New Roman" w:hAnsi="Times New Roman"/>
                <w:color w:val="auto"/>
                <w:sz w:val="21"/>
                <w:szCs w:val="21"/>
              </w:rPr>
              <w:t>）</w:t>
            </w:r>
            <w:r>
              <w:rPr>
                <w:rFonts w:ascii="Times New Roman" w:hAnsi="Times New Roman"/>
                <w:color w:val="auto"/>
                <w:sz w:val="21"/>
                <w:szCs w:val="21"/>
              </w:rPr>
              <w:t>表1标准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default" w:ascii="Times New Roman" w:hAnsi="Times New Roman"/>
                <w:color w:val="auto"/>
                <w:kern w:val="0"/>
                <w:sz w:val="21"/>
                <w:szCs w:val="21"/>
                <w:lang w:val="en-US"/>
              </w:rPr>
            </w:pPr>
            <w:r>
              <w:rPr>
                <w:rFonts w:hint="eastAsia" w:ascii="Times New Roman" w:hAnsi="Times New Roman"/>
                <w:color w:val="auto"/>
                <w:kern w:val="0"/>
                <w:sz w:val="21"/>
                <w:szCs w:val="21"/>
                <w:lang w:eastAsia="zh-CN"/>
              </w:rPr>
              <w:t>粉煤灰仓</w:t>
            </w:r>
            <w:r>
              <w:rPr>
                <w:rFonts w:ascii="Times New Roman" w:hAnsi="Times New Roman"/>
                <w:color w:val="auto"/>
                <w:kern w:val="0"/>
                <w:sz w:val="21"/>
                <w:szCs w:val="21"/>
              </w:rPr>
              <w:t>G</w:t>
            </w:r>
            <w:r>
              <w:rPr>
                <w:rFonts w:hint="eastAsia" w:ascii="Times New Roman" w:hAnsi="Times New Roman"/>
                <w:color w:val="auto"/>
                <w:kern w:val="0"/>
                <w:sz w:val="21"/>
                <w:szCs w:val="21"/>
                <w:lang w:val="en-US" w:eastAsia="zh-CN"/>
              </w:rPr>
              <w:t>9-</w:t>
            </w:r>
            <w:r>
              <w:rPr>
                <w:rFonts w:hint="eastAsia" w:ascii="Times New Roman" w:hAnsi="Times New Roman"/>
                <w:color w:val="auto"/>
                <w:kern w:val="0"/>
                <w:sz w:val="21"/>
                <w:szCs w:val="21"/>
              </w:rPr>
              <w:t>G</w:t>
            </w:r>
            <w:r>
              <w:rPr>
                <w:rFonts w:hint="eastAsia" w:ascii="Times New Roman" w:hAnsi="Times New Roman"/>
                <w:color w:val="auto"/>
                <w:kern w:val="0"/>
                <w:sz w:val="21"/>
                <w:szCs w:val="21"/>
                <w:lang w:val="en-US" w:eastAsia="zh-CN"/>
              </w:rPr>
              <w:t>12</w:t>
            </w:r>
          </w:p>
        </w:tc>
        <w:tc>
          <w:tcPr>
            <w:tcW w:w="912"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有组织粉尘</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Times New Roman" w:hAnsi="Times New Roman" w:eastAsia="宋体"/>
                <w:color w:val="auto"/>
                <w:sz w:val="21"/>
                <w:szCs w:val="21"/>
                <w:lang w:val="en-US" w:eastAsia="zh-CN"/>
              </w:rPr>
            </w:pPr>
            <w:r>
              <w:rPr>
                <w:rFonts w:hint="eastAsia" w:ascii="Times New Roman" w:hAnsi="Times New Roman"/>
                <w:color w:val="auto"/>
                <w:sz w:val="21"/>
                <w:szCs w:val="21"/>
                <w:lang w:val="en-US" w:eastAsia="zh-CN"/>
              </w:rPr>
              <w:t>4</w:t>
            </w:r>
            <w:r>
              <w:rPr>
                <w:rFonts w:hint="eastAsia" w:ascii="Times New Roman" w:hAnsi="Times New Roman"/>
                <w:color w:val="auto"/>
                <w:sz w:val="21"/>
                <w:szCs w:val="21"/>
              </w:rPr>
              <w:t>套效率99.8%布袋除尘，风量</w:t>
            </w:r>
            <w:r>
              <w:rPr>
                <w:rFonts w:hint="eastAsia" w:ascii="Times New Roman" w:hAnsi="Times New Roman"/>
                <w:color w:val="auto"/>
                <w:sz w:val="21"/>
                <w:szCs w:val="21"/>
                <w:lang w:val="en-US" w:eastAsia="zh-CN"/>
              </w:rPr>
              <w:t>2</w:t>
            </w:r>
            <w:r>
              <w:rPr>
                <w:rFonts w:hint="eastAsia" w:ascii="Times New Roman" w:hAnsi="Times New Roman"/>
                <w:color w:val="auto"/>
                <w:sz w:val="21"/>
                <w:szCs w:val="21"/>
              </w:rPr>
              <w:t>000Nm</w:t>
            </w:r>
            <w:r>
              <w:rPr>
                <w:rFonts w:hint="eastAsia" w:ascii="Times New Roman" w:hAnsi="Times New Roman"/>
                <w:color w:val="auto"/>
                <w:sz w:val="21"/>
                <w:szCs w:val="21"/>
                <w:vertAlign w:val="superscript"/>
              </w:rPr>
              <w:t>3</w:t>
            </w:r>
            <w:r>
              <w:rPr>
                <w:rFonts w:hint="eastAsia" w:ascii="Times New Roman" w:hAnsi="Times New Roman"/>
                <w:color w:val="auto"/>
                <w:sz w:val="21"/>
                <w:szCs w:val="21"/>
              </w:rPr>
              <w:t>/h，水泥仓高13.5m+排气筒1.5m，∮=0.3m</w:t>
            </w:r>
            <w:r>
              <w:rPr>
                <w:rFonts w:hint="eastAsia" w:ascii="Times New Roman" w:hAnsi="Times New Roman"/>
                <w:color w:val="auto"/>
                <w:sz w:val="21"/>
                <w:szCs w:val="21"/>
                <w:lang w:val="en-US" w:eastAsia="zh-CN"/>
              </w:rPr>
              <w:t>.。</w:t>
            </w:r>
          </w:p>
        </w:tc>
        <w:tc>
          <w:tcPr>
            <w:tcW w:w="2427"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sz w:val="21"/>
                <w:szCs w:val="21"/>
              </w:rPr>
            </w:pPr>
            <w:r>
              <w:rPr>
                <w:rFonts w:hint="eastAsia" w:ascii="Times New Roman" w:hAnsi="Times New Roman"/>
                <w:color w:val="auto"/>
                <w:sz w:val="21"/>
                <w:szCs w:val="21"/>
              </w:rPr>
              <w:t>砂石料堆棚</w:t>
            </w:r>
            <w:r>
              <w:rPr>
                <w:rFonts w:ascii="Times New Roman" w:hAnsi="Times New Roman"/>
                <w:color w:val="auto"/>
                <w:sz w:val="21"/>
                <w:szCs w:val="21"/>
              </w:rPr>
              <w:t>WG1</w:t>
            </w:r>
          </w:p>
        </w:tc>
        <w:tc>
          <w:tcPr>
            <w:tcW w:w="912"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无组织粉尘</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hint="eastAsia" w:ascii="Times New Roman" w:hAnsi="Times New Roman"/>
                <w:color w:val="auto"/>
                <w:sz w:val="21"/>
                <w:szCs w:val="21"/>
              </w:rPr>
              <w:t>彩钢瓦顶棚加三面围挡</w:t>
            </w:r>
            <w:r>
              <w:rPr>
                <w:rFonts w:ascii="Times New Roman" w:hAnsi="Times New Roman"/>
                <w:color w:val="auto"/>
                <w:sz w:val="21"/>
                <w:szCs w:val="21"/>
              </w:rPr>
              <w:t>及洒水降尘</w:t>
            </w:r>
          </w:p>
        </w:tc>
        <w:tc>
          <w:tcPr>
            <w:tcW w:w="2427"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厂界无组织粉尘达到《水泥工业大气污染物排放标准》</w:t>
            </w:r>
            <w:r>
              <w:rPr>
                <w:rFonts w:hint="eastAsia" w:ascii="Times New Roman" w:hAnsi="Times New Roman"/>
                <w:color w:val="auto"/>
                <w:sz w:val="21"/>
                <w:szCs w:val="21"/>
              </w:rPr>
              <w:t>（</w:t>
            </w:r>
            <w:r>
              <w:rPr>
                <w:rFonts w:ascii="Times New Roman" w:hAnsi="Times New Roman"/>
                <w:color w:val="auto"/>
                <w:sz w:val="21"/>
                <w:szCs w:val="21"/>
              </w:rPr>
              <w:t>GB4915-2013</w:t>
            </w:r>
            <w:r>
              <w:rPr>
                <w:rFonts w:hint="eastAsia" w:ascii="Times New Roman" w:hAnsi="Times New Roman"/>
                <w:color w:val="auto"/>
                <w:sz w:val="21"/>
                <w:szCs w:val="21"/>
              </w:rPr>
              <w:t>）</w:t>
            </w:r>
            <w:r>
              <w:rPr>
                <w:rFonts w:ascii="Times New Roman" w:hAnsi="Times New Roman"/>
                <w:color w:val="auto"/>
                <w:sz w:val="21"/>
                <w:szCs w:val="21"/>
              </w:rPr>
              <w:t>中水泥制品有组织排放限值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输送、计量、投料无组织粉尘WG2</w:t>
            </w:r>
          </w:p>
        </w:tc>
        <w:tc>
          <w:tcPr>
            <w:tcW w:w="912"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无组织粉尘</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hint="eastAsia" w:ascii="Times New Roman" w:hAnsi="Times New Roman"/>
                <w:color w:val="auto"/>
                <w:sz w:val="21"/>
                <w:szCs w:val="21"/>
              </w:rPr>
              <w:t>拌合站阻隔</w:t>
            </w:r>
          </w:p>
        </w:tc>
        <w:tc>
          <w:tcPr>
            <w:tcW w:w="2427"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运输扬尘WG3</w:t>
            </w:r>
          </w:p>
        </w:tc>
        <w:tc>
          <w:tcPr>
            <w:tcW w:w="912"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kern w:val="0"/>
                <w:sz w:val="21"/>
                <w:szCs w:val="21"/>
              </w:rPr>
            </w:pPr>
            <w:r>
              <w:rPr>
                <w:rFonts w:ascii="Times New Roman" w:hAnsi="Times New Roman"/>
                <w:color w:val="auto"/>
                <w:kern w:val="0"/>
                <w:sz w:val="21"/>
                <w:szCs w:val="21"/>
              </w:rPr>
              <w:t>无组织粉尘</w:t>
            </w:r>
          </w:p>
        </w:tc>
        <w:tc>
          <w:tcPr>
            <w:tcW w:w="2410"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kern w:val="0"/>
                <w:sz w:val="21"/>
                <w:szCs w:val="21"/>
              </w:rPr>
            </w:pPr>
            <w:r>
              <w:rPr>
                <w:rFonts w:ascii="Times New Roman" w:hAnsi="Times New Roman"/>
                <w:color w:val="auto"/>
                <w:kern w:val="0"/>
                <w:sz w:val="21"/>
                <w:szCs w:val="21"/>
              </w:rPr>
              <w:t>加强路面养护、及时洒水和做好运输车辆车厢防漏</w:t>
            </w:r>
          </w:p>
        </w:tc>
        <w:tc>
          <w:tcPr>
            <w:tcW w:w="2427"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bCs/>
                <w:color w:val="auto"/>
                <w:sz w:val="21"/>
                <w:szCs w:val="21"/>
              </w:rPr>
            </w:pPr>
            <w:r>
              <w:rPr>
                <w:rFonts w:ascii="Times New Roman" w:hAnsi="Times New Roman"/>
                <w:bCs/>
                <w:color w:val="auto"/>
                <w:sz w:val="21"/>
                <w:szCs w:val="21"/>
              </w:rPr>
              <w:t>影响小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sz w:val="21"/>
                <w:szCs w:val="21"/>
              </w:rPr>
            </w:pPr>
            <w:r>
              <w:rPr>
                <w:rFonts w:hint="eastAsia" w:ascii="Times New Roman" w:hAnsi="Times New Roman"/>
                <w:color w:val="auto"/>
                <w:sz w:val="21"/>
                <w:szCs w:val="21"/>
                <w:lang w:eastAsia="zh-CN"/>
              </w:rPr>
              <w:t>柴油发电机废气WG</w:t>
            </w:r>
            <w:r>
              <w:rPr>
                <w:rFonts w:hint="eastAsia" w:ascii="Times New Roman" w:hAnsi="Times New Roman"/>
                <w:color w:val="auto"/>
                <w:sz w:val="21"/>
                <w:szCs w:val="21"/>
                <w:lang w:val="en-US" w:eastAsia="zh-CN"/>
              </w:rPr>
              <w:t>4</w:t>
            </w:r>
          </w:p>
        </w:tc>
        <w:tc>
          <w:tcPr>
            <w:tcW w:w="912"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kern w:val="0"/>
                <w:sz w:val="21"/>
                <w:szCs w:val="21"/>
              </w:rPr>
            </w:pPr>
            <w:r>
              <w:rPr>
                <w:rFonts w:ascii="Times New Roman" w:hAnsi="Times New Roman"/>
                <w:color w:val="auto"/>
                <w:kern w:val="0"/>
                <w:sz w:val="21"/>
                <w:szCs w:val="21"/>
              </w:rPr>
              <w:t>无组织粉尘</w:t>
            </w:r>
          </w:p>
        </w:tc>
        <w:tc>
          <w:tcPr>
            <w:tcW w:w="2410"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olor w:val="auto"/>
                <w:kern w:val="0"/>
                <w:sz w:val="21"/>
                <w:szCs w:val="21"/>
                <w:lang w:eastAsia="zh-CN"/>
              </w:rPr>
            </w:pPr>
            <w:r>
              <w:rPr>
                <w:rFonts w:hint="eastAsia" w:ascii="Times New Roman" w:hAnsi="Times New Roman"/>
                <w:color w:val="auto"/>
                <w:kern w:val="0"/>
                <w:sz w:val="21"/>
                <w:szCs w:val="21"/>
                <w:lang w:eastAsia="zh-CN"/>
              </w:rPr>
              <w:t>自然扩散</w:t>
            </w:r>
          </w:p>
        </w:tc>
        <w:tc>
          <w:tcPr>
            <w:tcW w:w="2427"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bCs/>
                <w:color w:val="auto"/>
                <w:sz w:val="21"/>
                <w:szCs w:val="21"/>
                <w:lang w:eastAsia="zh-CN"/>
              </w:rPr>
            </w:pPr>
            <w:r>
              <w:rPr>
                <w:rFonts w:hint="eastAsia" w:ascii="Times New Roman" w:hAnsi="Times New Roman"/>
                <w:bCs/>
                <w:color w:val="auto"/>
                <w:sz w:val="21"/>
                <w:szCs w:val="21"/>
                <w:lang w:eastAsia="zh-CN"/>
              </w:rPr>
              <w:t>影响小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color w:val="auto"/>
                <w:kern w:val="0"/>
                <w:sz w:val="21"/>
                <w:szCs w:val="21"/>
              </w:rPr>
            </w:pPr>
            <w:r>
              <w:rPr>
                <w:rFonts w:ascii="Times New Roman" w:hAnsi="Times New Roman"/>
                <w:color w:val="auto"/>
                <w:sz w:val="21"/>
                <w:szCs w:val="21"/>
              </w:rPr>
              <w:t>食堂</w:t>
            </w:r>
          </w:p>
        </w:tc>
        <w:tc>
          <w:tcPr>
            <w:tcW w:w="912"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sz w:val="21"/>
                <w:szCs w:val="21"/>
              </w:rPr>
            </w:pPr>
            <w:r>
              <w:rPr>
                <w:rFonts w:ascii="Times New Roman" w:hAnsi="Times New Roman"/>
                <w:color w:val="auto"/>
                <w:kern w:val="0"/>
                <w:sz w:val="21"/>
                <w:szCs w:val="21"/>
              </w:rPr>
              <w:t>油烟</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hint="eastAsia" w:ascii="Times New Roman" w:hAnsi="Times New Roman"/>
                <w:color w:val="auto"/>
                <w:sz w:val="21"/>
                <w:szCs w:val="21"/>
              </w:rPr>
              <w:t>一套净化效率60%的</w:t>
            </w:r>
            <w:r>
              <w:rPr>
                <w:rFonts w:ascii="Times New Roman" w:hAnsi="Times New Roman"/>
                <w:color w:val="auto"/>
                <w:sz w:val="21"/>
                <w:szCs w:val="21"/>
              </w:rPr>
              <w:t>油烟净化器</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满足《饮食业油烟排放标准》</w:t>
            </w:r>
            <w:r>
              <w:rPr>
                <w:rFonts w:hint="eastAsia" w:ascii="Times New Roman" w:hAnsi="Times New Roman"/>
                <w:color w:val="auto"/>
                <w:sz w:val="21"/>
                <w:szCs w:val="21"/>
              </w:rPr>
              <w:t>（</w:t>
            </w:r>
            <w:r>
              <w:rPr>
                <w:rFonts w:ascii="Times New Roman" w:hAnsi="Times New Roman"/>
                <w:color w:val="auto"/>
                <w:sz w:val="21"/>
                <w:szCs w:val="21"/>
              </w:rPr>
              <w:t>GB18483-2001</w:t>
            </w:r>
            <w:r>
              <w:rPr>
                <w:rFonts w:hint="eastAsia" w:ascii="Times New Roman" w:hAnsi="Times New Roman"/>
                <w:color w:val="auto"/>
                <w:sz w:val="21"/>
                <w:szCs w:val="21"/>
              </w:rPr>
              <w:t>）</w:t>
            </w:r>
            <w:r>
              <w:rPr>
                <w:rFonts w:ascii="Times New Roman" w:hAnsi="Times New Roman"/>
                <w:color w:val="auto"/>
                <w:sz w:val="21"/>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color w:val="auto"/>
                <w:sz w:val="21"/>
                <w:szCs w:val="21"/>
              </w:rPr>
            </w:pPr>
            <w:r>
              <w:rPr>
                <w:rFonts w:hint="eastAsia" w:ascii="Times New Roman" w:hAnsi="Times New Roman"/>
                <w:color w:val="auto"/>
                <w:sz w:val="21"/>
                <w:szCs w:val="21"/>
              </w:rPr>
              <w:t>焊接</w:t>
            </w:r>
          </w:p>
        </w:tc>
        <w:tc>
          <w:tcPr>
            <w:tcW w:w="912"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kern w:val="0"/>
                <w:sz w:val="21"/>
                <w:szCs w:val="21"/>
              </w:rPr>
            </w:pPr>
            <w:r>
              <w:rPr>
                <w:rFonts w:hint="eastAsia" w:ascii="Times New Roman" w:hAnsi="Times New Roman"/>
                <w:color w:val="auto"/>
                <w:kern w:val="0"/>
                <w:sz w:val="21"/>
                <w:szCs w:val="21"/>
              </w:rPr>
              <w:t>焊接废气</w:t>
            </w:r>
          </w:p>
        </w:tc>
        <w:tc>
          <w:tcPr>
            <w:tcW w:w="2410"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车间通风排放</w:t>
            </w:r>
          </w:p>
        </w:tc>
        <w:tc>
          <w:tcPr>
            <w:tcW w:w="2427" w:type="dxa"/>
            <w:vMerge w:val="restart"/>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满足</w:t>
            </w:r>
            <w:r>
              <w:rPr>
                <w:rFonts w:ascii="Times New Roman" w:hAnsi="Times New Roman"/>
                <w:bCs/>
                <w:color w:val="auto"/>
                <w:sz w:val="21"/>
                <w:szCs w:val="21"/>
              </w:rPr>
              <w:t>《大气污染物综合排放标准》（GB16297-1996）无组织排放监控浓度限值。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切割</w:t>
            </w:r>
          </w:p>
        </w:tc>
        <w:tc>
          <w:tcPr>
            <w:tcW w:w="912"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olor w:val="auto"/>
                <w:kern w:val="0"/>
                <w:sz w:val="21"/>
                <w:szCs w:val="21"/>
                <w:lang w:eastAsia="zh-CN"/>
              </w:rPr>
            </w:pPr>
            <w:r>
              <w:rPr>
                <w:rFonts w:hint="eastAsia" w:ascii="Times New Roman" w:hAnsi="Times New Roman"/>
                <w:color w:val="auto"/>
                <w:kern w:val="0"/>
                <w:sz w:val="21"/>
                <w:szCs w:val="21"/>
                <w:lang w:eastAsia="zh-CN"/>
              </w:rPr>
              <w:t>切割废气</w:t>
            </w:r>
          </w:p>
        </w:tc>
        <w:tc>
          <w:tcPr>
            <w:tcW w:w="2410"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Times New Roman" w:hAnsi="Times New Roman" w:eastAsia="宋体"/>
                <w:color w:val="auto"/>
                <w:sz w:val="21"/>
                <w:szCs w:val="21"/>
                <w:lang w:eastAsia="zh-CN"/>
              </w:rPr>
            </w:pPr>
          </w:p>
        </w:tc>
        <w:tc>
          <w:tcPr>
            <w:tcW w:w="2427" w:type="dxa"/>
            <w:vMerge w:val="continue"/>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98"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水污染物</w:t>
            </w:r>
          </w:p>
        </w:tc>
        <w:tc>
          <w:tcPr>
            <w:tcW w:w="533"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施工期</w:t>
            </w:r>
          </w:p>
        </w:tc>
        <w:tc>
          <w:tcPr>
            <w:tcW w:w="1488"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施工废水</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SS</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设</w:t>
            </w:r>
            <w:r>
              <w:rPr>
                <w:rFonts w:hint="eastAsia" w:ascii="Times New Roman" w:hAnsi="Times New Roman"/>
                <w:color w:val="auto"/>
                <w:sz w:val="21"/>
                <w:szCs w:val="21"/>
              </w:rPr>
              <w:t>2m</w:t>
            </w:r>
            <w:r>
              <w:rPr>
                <w:rFonts w:hint="eastAsia" w:ascii="Times New Roman" w:hAnsi="Times New Roman"/>
                <w:color w:val="auto"/>
                <w:sz w:val="21"/>
                <w:szCs w:val="21"/>
                <w:vertAlign w:val="superscript"/>
              </w:rPr>
              <w:t>3</w:t>
            </w:r>
            <w:r>
              <w:rPr>
                <w:rFonts w:ascii="Times New Roman" w:hAnsi="Times New Roman"/>
                <w:color w:val="auto"/>
                <w:sz w:val="21"/>
                <w:szCs w:val="21"/>
              </w:rPr>
              <w:t>临时收集池收集后回用混凝土拌合</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废水不外排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施工人员生活污水</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CODcr</w:t>
            </w:r>
          </w:p>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BOD</w:t>
            </w:r>
            <w:r>
              <w:rPr>
                <w:rFonts w:ascii="Times New Roman" w:hAnsi="Times New Roman"/>
                <w:color w:val="auto"/>
                <w:sz w:val="21"/>
                <w:szCs w:val="21"/>
                <w:vertAlign w:val="subscript"/>
              </w:rPr>
              <w:t>5、</w:t>
            </w:r>
            <w:r>
              <w:rPr>
                <w:rFonts w:ascii="Times New Roman" w:hAnsi="Times New Roman"/>
                <w:color w:val="auto"/>
                <w:sz w:val="21"/>
                <w:szCs w:val="21"/>
              </w:rPr>
              <w:t>SS</w:t>
            </w:r>
          </w:p>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氨氮等</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设</w:t>
            </w:r>
            <w:r>
              <w:rPr>
                <w:rFonts w:hint="eastAsia" w:ascii="Times New Roman" w:hAnsi="Times New Roman"/>
                <w:color w:val="auto"/>
                <w:sz w:val="21"/>
                <w:szCs w:val="21"/>
              </w:rPr>
              <w:t>2m</w:t>
            </w:r>
            <w:r>
              <w:rPr>
                <w:rFonts w:hint="eastAsia" w:ascii="Times New Roman" w:hAnsi="Times New Roman"/>
                <w:color w:val="auto"/>
                <w:sz w:val="21"/>
                <w:szCs w:val="21"/>
                <w:vertAlign w:val="superscript"/>
              </w:rPr>
              <w:t>3</w:t>
            </w:r>
            <w:r>
              <w:rPr>
                <w:rFonts w:ascii="Times New Roman" w:hAnsi="Times New Roman"/>
                <w:color w:val="auto"/>
                <w:sz w:val="21"/>
                <w:szCs w:val="21"/>
              </w:rPr>
              <w:t>临时收集池收集后，回用于施工地区域内的洒水降尘</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废水不外排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restart"/>
            <w:vAlign w:val="center"/>
          </w:tcPr>
          <w:p>
            <w:pPr>
              <w:keepNext w:val="0"/>
              <w:keepLines w:val="0"/>
              <w:pageBreakBefore w:val="0"/>
              <w:widowControl/>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运营期</w:t>
            </w:r>
          </w:p>
        </w:tc>
        <w:tc>
          <w:tcPr>
            <w:tcW w:w="1488"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车辆清洗废水</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SS</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沉淀池处理后回用生产</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废水不外排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生活污水</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SS</w:t>
            </w:r>
          </w:p>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CODcr</w:t>
            </w:r>
          </w:p>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BOD</w:t>
            </w:r>
            <w:r>
              <w:rPr>
                <w:rFonts w:ascii="Times New Roman" w:hAnsi="Times New Roman"/>
                <w:color w:val="auto"/>
                <w:sz w:val="21"/>
                <w:szCs w:val="21"/>
                <w:vertAlign w:val="subscript"/>
              </w:rPr>
              <w:t>5</w:t>
            </w:r>
            <w:r>
              <w:rPr>
                <w:rFonts w:ascii="Times New Roman" w:hAnsi="Times New Roman"/>
                <w:color w:val="auto"/>
                <w:sz w:val="21"/>
                <w:szCs w:val="21"/>
              </w:rPr>
              <w:t>等</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Times New Roman" w:hAnsi="Times New Roman" w:eastAsia="宋体"/>
                <w:color w:val="auto"/>
                <w:sz w:val="21"/>
                <w:szCs w:val="21"/>
                <w:lang w:eastAsia="zh-CN"/>
              </w:rPr>
            </w:pPr>
            <w:r>
              <w:rPr>
                <w:rFonts w:hint="eastAsia" w:ascii="Times New Roman" w:hAnsi="Times New Roman"/>
                <w:color w:val="auto"/>
                <w:sz w:val="21"/>
                <w:szCs w:val="21"/>
              </w:rPr>
              <w:t>食堂废水经隔油池处理后和</w:t>
            </w:r>
            <w:r>
              <w:rPr>
                <w:rFonts w:hint="eastAsia" w:ascii="Times New Roman" w:hAnsi="Times New Roman"/>
                <w:color w:val="auto"/>
                <w:sz w:val="21"/>
                <w:szCs w:val="21"/>
                <w:lang w:eastAsia="zh-CN"/>
              </w:rPr>
              <w:t>其他生活污水</w:t>
            </w:r>
            <w:r>
              <w:rPr>
                <w:rFonts w:hint="eastAsia" w:ascii="Times New Roman" w:hAnsi="Times New Roman"/>
                <w:color w:val="auto"/>
                <w:sz w:val="21"/>
                <w:szCs w:val="21"/>
              </w:rPr>
              <w:t>进入化粪池，</w:t>
            </w:r>
            <w:r>
              <w:rPr>
                <w:rFonts w:hint="eastAsia" w:ascii="Times New Roman" w:hAnsi="Times New Roman"/>
                <w:color w:val="auto"/>
                <w:sz w:val="21"/>
                <w:szCs w:val="21"/>
                <w:lang w:eastAsia="zh-CN"/>
              </w:rPr>
              <w:t>预处理后排入中水处理站处理后</w:t>
            </w:r>
            <w:r>
              <w:rPr>
                <w:rFonts w:hint="eastAsia" w:ascii="Times New Roman" w:hAnsi="Times New Roman"/>
                <w:color w:val="auto"/>
                <w:sz w:val="21"/>
                <w:szCs w:val="21"/>
              </w:rPr>
              <w:t>用于</w:t>
            </w:r>
            <w:r>
              <w:rPr>
                <w:rFonts w:hint="eastAsia" w:ascii="Times New Roman" w:hAnsi="Times New Roman"/>
                <w:color w:val="auto"/>
                <w:sz w:val="21"/>
                <w:szCs w:val="21"/>
                <w:lang w:eastAsia="zh-CN"/>
              </w:rPr>
              <w:t>洒水抑尘。</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hint="eastAsia" w:ascii="Times New Roman" w:hAnsi="Times New Roman"/>
                <w:color w:val="auto"/>
                <w:sz w:val="21"/>
                <w:szCs w:val="21"/>
              </w:rPr>
              <w:t>废水不外排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98"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固体废物</w:t>
            </w:r>
          </w:p>
        </w:tc>
        <w:tc>
          <w:tcPr>
            <w:tcW w:w="533"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施工期</w:t>
            </w:r>
          </w:p>
        </w:tc>
        <w:tc>
          <w:tcPr>
            <w:tcW w:w="1488"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主体结构建设</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建筑垃圾</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回填场地</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不外排，对环境影响小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施工人员工作生活产生</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生活垃圾</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统一收集后</w:t>
            </w:r>
            <w:r>
              <w:rPr>
                <w:rFonts w:hint="eastAsia" w:ascii="Times New Roman" w:hAnsi="Times New Roman"/>
                <w:color w:val="auto"/>
                <w:sz w:val="21"/>
                <w:szCs w:val="21"/>
              </w:rPr>
              <w:t>按</w:t>
            </w:r>
            <w:r>
              <w:rPr>
                <w:rFonts w:ascii="Times New Roman" w:hAnsi="Times New Roman"/>
                <w:color w:val="auto"/>
                <w:sz w:val="21"/>
                <w:szCs w:val="21"/>
              </w:rPr>
              <w:t>环卫部门</w:t>
            </w:r>
            <w:r>
              <w:rPr>
                <w:rFonts w:hint="eastAsia" w:ascii="Times New Roman" w:hAnsi="Times New Roman"/>
                <w:color w:val="auto"/>
                <w:sz w:val="21"/>
                <w:szCs w:val="21"/>
              </w:rPr>
              <w:t>要求妥善处置</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不外排，对环境影响小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运营期</w:t>
            </w:r>
          </w:p>
        </w:tc>
        <w:tc>
          <w:tcPr>
            <w:tcW w:w="1488"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rPr>
            </w:pPr>
            <w:r>
              <w:rPr>
                <w:rFonts w:hint="eastAsia" w:ascii="宋体" w:hAnsi="宋体" w:cs="宋体"/>
                <w:color w:val="auto"/>
                <w:sz w:val="21"/>
                <w:szCs w:val="21"/>
              </w:rPr>
              <w:t>布袋除尘器</w:t>
            </w:r>
          </w:p>
        </w:tc>
        <w:tc>
          <w:tcPr>
            <w:tcW w:w="912"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rPr>
            </w:pPr>
            <w:r>
              <w:rPr>
                <w:rFonts w:hint="eastAsia" w:ascii="宋体" w:hAnsi="宋体" w:cs="宋体"/>
                <w:color w:val="auto"/>
                <w:sz w:val="21"/>
                <w:szCs w:val="21"/>
              </w:rPr>
              <w:t>除尘器收集粉尘</w:t>
            </w:r>
          </w:p>
        </w:tc>
        <w:tc>
          <w:tcPr>
            <w:tcW w:w="2410"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rPr>
            </w:pPr>
            <w:r>
              <w:rPr>
                <w:rFonts w:hint="eastAsia" w:ascii="宋体" w:hAnsi="宋体" w:cs="宋体"/>
                <w:color w:val="auto"/>
                <w:sz w:val="21"/>
                <w:szCs w:val="21"/>
                <w:lang w:val="zh-CN"/>
              </w:rPr>
              <w:t>回用于水泥混凝土工序</w:t>
            </w:r>
          </w:p>
        </w:tc>
        <w:tc>
          <w:tcPr>
            <w:tcW w:w="2427"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rPr>
            </w:pPr>
            <w:r>
              <w:rPr>
                <w:rFonts w:hint="eastAsia" w:ascii="宋体" w:hAnsi="宋体" w:cs="宋体"/>
                <w:color w:val="auto"/>
                <w:sz w:val="21"/>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rPr>
            </w:pPr>
            <w:r>
              <w:rPr>
                <w:rFonts w:hint="eastAsia" w:ascii="宋体" w:hAnsi="宋体" w:cs="宋体"/>
                <w:color w:val="auto"/>
                <w:sz w:val="21"/>
                <w:szCs w:val="21"/>
              </w:rPr>
              <w:t>混凝土拌合楼</w:t>
            </w:r>
          </w:p>
        </w:tc>
        <w:tc>
          <w:tcPr>
            <w:tcW w:w="912"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rPr>
            </w:pPr>
            <w:r>
              <w:rPr>
                <w:rFonts w:hint="eastAsia" w:ascii="宋体" w:hAnsi="宋体" w:cs="宋体"/>
                <w:color w:val="auto"/>
                <w:sz w:val="21"/>
                <w:szCs w:val="21"/>
              </w:rPr>
              <w:t>废混凝土</w:t>
            </w:r>
          </w:p>
        </w:tc>
        <w:tc>
          <w:tcPr>
            <w:tcW w:w="2410"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lang w:val="zh-CN"/>
              </w:rPr>
            </w:pPr>
            <w:r>
              <w:rPr>
                <w:rFonts w:hint="eastAsia" w:ascii="宋体" w:hAnsi="宋体" w:cs="宋体"/>
                <w:color w:val="auto"/>
                <w:sz w:val="21"/>
                <w:szCs w:val="21"/>
                <w:lang w:val="zh-CN"/>
              </w:rPr>
              <w:t>作为原料返回生产线</w:t>
            </w:r>
          </w:p>
        </w:tc>
        <w:tc>
          <w:tcPr>
            <w:tcW w:w="2427"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rPr>
            </w:pPr>
            <w:r>
              <w:rPr>
                <w:rFonts w:hint="eastAsia" w:ascii="宋体" w:hAnsi="宋体" w:cs="宋体"/>
                <w:color w:val="auto"/>
                <w:sz w:val="21"/>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rPr>
            </w:pPr>
            <w:r>
              <w:rPr>
                <w:rFonts w:hint="eastAsia" w:ascii="宋体" w:hAnsi="宋体" w:cs="宋体"/>
                <w:color w:val="auto"/>
                <w:sz w:val="21"/>
                <w:szCs w:val="21"/>
              </w:rPr>
              <w:t>钢筋加工厂</w:t>
            </w:r>
          </w:p>
        </w:tc>
        <w:tc>
          <w:tcPr>
            <w:tcW w:w="912"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rPr>
            </w:pPr>
            <w:r>
              <w:rPr>
                <w:rFonts w:hint="eastAsia" w:ascii="宋体" w:hAnsi="宋体" w:cs="宋体"/>
                <w:color w:val="auto"/>
                <w:sz w:val="21"/>
                <w:szCs w:val="21"/>
              </w:rPr>
              <w:t>废钢筋</w:t>
            </w:r>
          </w:p>
        </w:tc>
        <w:tc>
          <w:tcPr>
            <w:tcW w:w="2410"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lang w:val="zh-CN"/>
              </w:rPr>
            </w:pPr>
            <w:r>
              <w:rPr>
                <w:rFonts w:hint="eastAsia" w:ascii="宋体" w:hAnsi="宋体" w:cs="宋体"/>
                <w:color w:val="auto"/>
                <w:sz w:val="21"/>
                <w:szCs w:val="21"/>
                <w:lang w:val="zh-CN"/>
              </w:rPr>
              <w:t>外卖到当地废品站</w:t>
            </w:r>
          </w:p>
        </w:tc>
        <w:tc>
          <w:tcPr>
            <w:tcW w:w="2427"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宋体" w:hAnsi="宋体" w:cs="宋体"/>
                <w:color w:val="auto"/>
                <w:sz w:val="21"/>
                <w:szCs w:val="21"/>
              </w:rPr>
            </w:pPr>
            <w:r>
              <w:rPr>
                <w:rFonts w:hint="eastAsia" w:ascii="宋体" w:hAnsi="宋体" w:cs="宋体"/>
                <w:color w:val="auto"/>
                <w:sz w:val="21"/>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实验室</w:t>
            </w:r>
          </w:p>
        </w:tc>
        <w:tc>
          <w:tcPr>
            <w:tcW w:w="912"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钢筋、混凝土</w:t>
            </w:r>
          </w:p>
        </w:tc>
        <w:tc>
          <w:tcPr>
            <w:tcW w:w="2410"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cs="宋体"/>
                <w:color w:val="auto"/>
                <w:sz w:val="21"/>
                <w:szCs w:val="21"/>
                <w:lang w:val="zh-CN"/>
              </w:rPr>
            </w:pPr>
            <w:r>
              <w:rPr>
                <w:rFonts w:hint="eastAsia" w:ascii="宋体" w:hAnsi="宋体" w:cs="宋体"/>
                <w:color w:val="auto"/>
                <w:sz w:val="21"/>
                <w:szCs w:val="21"/>
                <w:lang w:val="zh-CN"/>
              </w:rPr>
              <w:t>返回各自生产工序在生产利用</w:t>
            </w:r>
          </w:p>
        </w:tc>
        <w:tc>
          <w:tcPr>
            <w:tcW w:w="2427"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宋体" w:hAnsi="宋体" w:cs="宋体"/>
                <w:color w:val="auto"/>
                <w:sz w:val="21"/>
                <w:szCs w:val="21"/>
              </w:rPr>
            </w:pPr>
            <w:r>
              <w:rPr>
                <w:rFonts w:hint="eastAsia" w:ascii="宋体" w:hAnsi="宋体" w:cs="宋体"/>
                <w:color w:val="auto"/>
                <w:sz w:val="21"/>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工作人员工作生活产生</w:t>
            </w:r>
          </w:p>
        </w:tc>
        <w:tc>
          <w:tcPr>
            <w:tcW w:w="912" w:type="dxa"/>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ascii="Times New Roman" w:hAnsi="Times New Roman"/>
                <w:color w:val="auto"/>
                <w:sz w:val="21"/>
                <w:szCs w:val="21"/>
                <w:lang w:val="zh-CN"/>
              </w:rPr>
            </w:pPr>
            <w:r>
              <w:rPr>
                <w:rFonts w:ascii="Times New Roman" w:hAnsi="Times New Roman"/>
                <w:color w:val="auto"/>
                <w:sz w:val="21"/>
                <w:szCs w:val="21"/>
              </w:rPr>
              <w:t>生活垃圾</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hint="eastAsia" w:ascii="Times New Roman" w:hAnsi="Times New Roman"/>
                <w:color w:val="auto"/>
                <w:sz w:val="21"/>
                <w:szCs w:val="21"/>
              </w:rPr>
              <w:t>收集后按环卫部门要求处置</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hint="eastAsia" w:ascii="宋体" w:hAnsi="宋体" w:cs="宋体"/>
                <w:color w:val="auto"/>
                <w:sz w:val="21"/>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机修车间</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废机油</w:t>
            </w:r>
          </w:p>
        </w:tc>
        <w:tc>
          <w:tcPr>
            <w:tcW w:w="2410"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hint="eastAsia" w:ascii="Times New Roman" w:hAnsi="Times New Roman"/>
                <w:color w:val="auto"/>
                <w:sz w:val="21"/>
                <w:szCs w:val="21"/>
              </w:rPr>
              <w:t>委托有资质单位处置</w:t>
            </w:r>
          </w:p>
        </w:tc>
        <w:tc>
          <w:tcPr>
            <w:tcW w:w="2427"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hint="eastAsia" w:ascii="宋体" w:hAnsi="宋体" w:cs="宋体"/>
                <w:color w:val="auto"/>
                <w:sz w:val="21"/>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olor w:val="auto"/>
                <w:sz w:val="21"/>
                <w:szCs w:val="21"/>
                <w:lang w:eastAsia="zh-CN"/>
              </w:rPr>
              <w:t>隔油池</w:t>
            </w:r>
          </w:p>
        </w:tc>
        <w:tc>
          <w:tcPr>
            <w:tcW w:w="912" w:type="dxa"/>
            <w:vAlign w:val="center"/>
          </w:tcPr>
          <w:p>
            <w:pPr>
              <w:keepNext w:val="0"/>
              <w:keepLines w:val="0"/>
              <w:pageBreakBefore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olor w:val="auto"/>
                <w:sz w:val="21"/>
                <w:szCs w:val="21"/>
                <w:lang w:eastAsia="zh-CN"/>
              </w:rPr>
              <w:t>油脂</w:t>
            </w:r>
          </w:p>
        </w:tc>
        <w:tc>
          <w:tcPr>
            <w:tcW w:w="2410"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Times New Roman" w:hAnsi="Times New Roman"/>
                <w:color w:val="auto"/>
                <w:sz w:val="21"/>
                <w:szCs w:val="21"/>
              </w:rPr>
            </w:pPr>
          </w:p>
        </w:tc>
        <w:tc>
          <w:tcPr>
            <w:tcW w:w="2427"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eastAsia="zh-CN"/>
              </w:rPr>
              <w:t>生活污水处理系统</w:t>
            </w:r>
          </w:p>
        </w:tc>
        <w:tc>
          <w:tcPr>
            <w:tcW w:w="912" w:type="dxa"/>
            <w:vMerge w:val="restart"/>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olor w:val="auto"/>
                <w:sz w:val="21"/>
                <w:szCs w:val="21"/>
                <w:lang w:eastAsia="zh-CN"/>
              </w:rPr>
            </w:pPr>
            <w:r>
              <w:rPr>
                <w:rFonts w:hint="eastAsia" w:ascii="Times New Roman" w:hAnsi="Times New Roman"/>
                <w:color w:val="auto"/>
                <w:sz w:val="21"/>
                <w:szCs w:val="21"/>
                <w:lang w:eastAsia="zh-CN"/>
              </w:rPr>
              <w:t>污泥</w:t>
            </w:r>
          </w:p>
        </w:tc>
        <w:tc>
          <w:tcPr>
            <w:tcW w:w="2410"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Times New Roman" w:hAnsi="Times New Roman"/>
                <w:color w:val="auto"/>
                <w:sz w:val="21"/>
                <w:szCs w:val="21"/>
              </w:rPr>
            </w:pPr>
            <w:r>
              <w:rPr>
                <w:rFonts w:hint="eastAsia" w:ascii="Times New Roman" w:hAnsi="Times New Roman"/>
                <w:color w:val="auto"/>
                <w:sz w:val="21"/>
                <w:szCs w:val="21"/>
              </w:rPr>
              <w:t>收集后按环卫部门要求处置</w:t>
            </w:r>
          </w:p>
        </w:tc>
        <w:tc>
          <w:tcPr>
            <w:tcW w:w="2427"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宋体" w:hAnsi="宋体" w:cs="宋体"/>
                <w:color w:val="auto"/>
                <w:sz w:val="21"/>
                <w:szCs w:val="21"/>
              </w:rPr>
            </w:pPr>
            <w:r>
              <w:rPr>
                <w:rFonts w:hint="eastAsia" w:ascii="宋体" w:hAnsi="宋体" w:cs="宋体"/>
                <w:color w:val="auto"/>
                <w:sz w:val="21"/>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eastAsia="zh-CN"/>
              </w:rPr>
              <w:t>沉淀池</w:t>
            </w:r>
          </w:p>
        </w:tc>
        <w:tc>
          <w:tcPr>
            <w:tcW w:w="912" w:type="dxa"/>
            <w:vMerge w:val="continue"/>
            <w:vAlign w:val="center"/>
          </w:tcPr>
          <w:p>
            <w:pPr>
              <w:keepNext w:val="0"/>
              <w:keepLines w:val="0"/>
              <w:pageBreakBefore w:val="0"/>
              <w:kinsoku/>
              <w:wordWrap/>
              <w:overflowPunct/>
              <w:topLinePunct w:val="0"/>
              <w:autoSpaceDE/>
              <w:autoSpaceDN/>
              <w:bidi w:val="0"/>
              <w:spacing w:line="240" w:lineRule="auto"/>
              <w:ind w:firstLine="0" w:firstLineChars="0"/>
              <w:jc w:val="center"/>
              <w:rPr>
                <w:rFonts w:hint="eastAsia" w:ascii="Times New Roman" w:hAnsi="Times New Roman" w:eastAsia="宋体"/>
                <w:color w:val="auto"/>
                <w:sz w:val="21"/>
                <w:szCs w:val="21"/>
                <w:lang w:eastAsia="zh-CN"/>
              </w:rPr>
            </w:pPr>
          </w:p>
        </w:tc>
        <w:tc>
          <w:tcPr>
            <w:tcW w:w="2410"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Times New Roman" w:hAnsi="Times New Roman"/>
                <w:color w:val="auto"/>
                <w:sz w:val="21"/>
                <w:szCs w:val="21"/>
              </w:rPr>
            </w:pPr>
          </w:p>
        </w:tc>
        <w:tc>
          <w:tcPr>
            <w:tcW w:w="2427"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1488"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color w:val="auto"/>
                <w:sz w:val="21"/>
                <w:szCs w:val="21"/>
              </w:rPr>
            </w:pPr>
            <w:r>
              <w:rPr>
                <w:rFonts w:hint="eastAsia" w:ascii="Times New Roman" w:hAnsi="Times New Roman"/>
                <w:color w:val="auto"/>
                <w:sz w:val="21"/>
                <w:szCs w:val="21"/>
                <w:lang w:eastAsia="zh-CN"/>
              </w:rPr>
              <w:t>初期雨水收集池</w:t>
            </w:r>
          </w:p>
        </w:tc>
        <w:tc>
          <w:tcPr>
            <w:tcW w:w="912" w:type="dxa"/>
            <w:vMerge w:val="continue"/>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2410"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Times New Roman" w:hAnsi="Times New Roman"/>
                <w:color w:val="auto"/>
                <w:sz w:val="21"/>
                <w:szCs w:val="21"/>
              </w:rPr>
            </w:pPr>
          </w:p>
        </w:tc>
        <w:tc>
          <w:tcPr>
            <w:tcW w:w="2427"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hint="eastAsia" w:ascii="宋体" w:hAnsi="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98" w:type="dxa"/>
            <w:vMerge w:val="restart"/>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噪声</w:t>
            </w:r>
          </w:p>
        </w:tc>
        <w:tc>
          <w:tcPr>
            <w:tcW w:w="533"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施工期</w:t>
            </w:r>
          </w:p>
        </w:tc>
        <w:tc>
          <w:tcPr>
            <w:tcW w:w="1488"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施工设备、运输车辆</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噪声</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合理安排施工时间</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施工期噪声满足《建筑施工场界环境噪声排放标准》</w:t>
            </w:r>
            <w:r>
              <w:rPr>
                <w:rFonts w:hint="eastAsia" w:ascii="Times New Roman" w:hAnsi="Times New Roman"/>
                <w:color w:val="auto"/>
                <w:sz w:val="21"/>
                <w:szCs w:val="21"/>
              </w:rPr>
              <w:t>（</w:t>
            </w:r>
            <w:r>
              <w:rPr>
                <w:rFonts w:ascii="Times New Roman" w:hAnsi="Times New Roman"/>
                <w:color w:val="auto"/>
                <w:sz w:val="21"/>
                <w:szCs w:val="21"/>
              </w:rPr>
              <w:t>GB12523-2011</w:t>
            </w:r>
            <w:r>
              <w:rPr>
                <w:rFonts w:hint="eastAsia" w:ascii="Times New Roman" w:hAnsi="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798" w:type="dxa"/>
            <w:vMerge w:val="continue"/>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c>
          <w:tcPr>
            <w:tcW w:w="533"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运营期</w:t>
            </w:r>
          </w:p>
        </w:tc>
        <w:tc>
          <w:tcPr>
            <w:tcW w:w="1488"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搅拌机、水泵、交通等</w:t>
            </w:r>
          </w:p>
        </w:tc>
        <w:tc>
          <w:tcPr>
            <w:tcW w:w="912" w:type="dxa"/>
            <w:vAlign w:val="center"/>
          </w:tcPr>
          <w:p>
            <w:pPr>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噪声</w:t>
            </w:r>
          </w:p>
        </w:tc>
        <w:tc>
          <w:tcPr>
            <w:tcW w:w="2410"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选用低噪声设备及全封闭厂房隔音</w:t>
            </w:r>
          </w:p>
        </w:tc>
        <w:tc>
          <w:tcPr>
            <w:tcW w:w="2427" w:type="dxa"/>
            <w:vAlign w:val="center"/>
          </w:tcPr>
          <w:p>
            <w:pPr>
              <w:keepNext w:val="0"/>
              <w:keepLines w:val="0"/>
              <w:pageBreakBefore w:val="0"/>
              <w:tabs>
                <w:tab w:val="left" w:pos="3960"/>
              </w:tabs>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r>
              <w:rPr>
                <w:rFonts w:ascii="Times New Roman" w:hAnsi="Times New Roman"/>
                <w:color w:val="auto"/>
                <w:sz w:val="21"/>
                <w:szCs w:val="21"/>
              </w:rPr>
              <w:t>运营期厂界噪声满足《工业企业厂界环境噪声排放标准》</w:t>
            </w:r>
            <w:r>
              <w:rPr>
                <w:rFonts w:hint="eastAsia" w:ascii="Times New Roman" w:hAnsi="Times New Roman"/>
                <w:color w:val="auto"/>
                <w:sz w:val="21"/>
                <w:szCs w:val="21"/>
              </w:rPr>
              <w:t>（</w:t>
            </w:r>
            <w:r>
              <w:rPr>
                <w:rFonts w:ascii="Times New Roman" w:hAnsi="Times New Roman"/>
                <w:color w:val="auto"/>
                <w:sz w:val="21"/>
                <w:szCs w:val="21"/>
              </w:rPr>
              <w:t>GB12348-2008</w:t>
            </w:r>
            <w:r>
              <w:rPr>
                <w:rFonts w:hint="eastAsia" w:ascii="Times New Roman" w:hAnsi="Times New Roman"/>
                <w:color w:val="auto"/>
                <w:sz w:val="21"/>
                <w:szCs w:val="21"/>
              </w:rPr>
              <w:t>）</w:t>
            </w:r>
            <w:r>
              <w:rPr>
                <w:rFonts w:ascii="Times New Roman" w:hAnsi="Times New Roman"/>
                <w:color w:val="auto"/>
                <w:sz w:val="21"/>
                <w:szCs w:val="21"/>
              </w:rPr>
              <w:t>中</w:t>
            </w:r>
            <w:r>
              <w:rPr>
                <w:rFonts w:hint="eastAsia" w:ascii="Times New Roman" w:hAnsi="Times New Roman"/>
                <w:color w:val="auto"/>
                <w:sz w:val="21"/>
                <w:szCs w:val="21"/>
              </w:rPr>
              <w:t>2</w:t>
            </w:r>
            <w:r>
              <w:rPr>
                <w:rFonts w:ascii="Times New Roman" w:hAnsi="Times New Roman"/>
                <w:color w:val="auto"/>
                <w:sz w:val="21"/>
                <w:szCs w:val="21"/>
              </w:rPr>
              <w:t>类标准限值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8568" w:type="dxa"/>
            <w:gridSpan w:val="6"/>
          </w:tcPr>
          <w:p>
            <w:pPr>
              <w:keepNext w:val="0"/>
              <w:keepLines w:val="0"/>
              <w:pageBreakBefore w:val="0"/>
              <w:widowControl w:val="0"/>
              <w:tabs>
                <w:tab w:val="left" w:pos="3960"/>
              </w:tabs>
              <w:kinsoku/>
              <w:wordWrap/>
              <w:overflowPunct/>
              <w:topLinePunct w:val="0"/>
              <w:autoSpaceDE/>
              <w:autoSpaceDN/>
              <w:bidi w:val="0"/>
              <w:snapToGrid/>
              <w:spacing w:line="360" w:lineRule="auto"/>
              <w:ind w:firstLine="480" w:firstLineChars="200"/>
              <w:jc w:val="both"/>
              <w:rPr>
                <w:color w:val="auto"/>
                <w:sz w:val="24"/>
                <w:szCs w:val="24"/>
              </w:rPr>
            </w:pPr>
            <w:r>
              <w:rPr>
                <w:color w:val="auto"/>
                <w:sz w:val="24"/>
                <w:szCs w:val="24"/>
              </w:rPr>
              <w:t>生态保护措施及预期效果</w:t>
            </w:r>
          </w:p>
          <w:p>
            <w:pPr>
              <w:keepNext w:val="0"/>
              <w:keepLines w:val="0"/>
              <w:pageBreakBefore w:val="0"/>
              <w:widowControl w:val="0"/>
              <w:tabs>
                <w:tab w:val="left" w:pos="5580"/>
              </w:tabs>
              <w:kinsoku/>
              <w:wordWrap/>
              <w:overflowPunct/>
              <w:topLinePunct w:val="0"/>
              <w:autoSpaceDE/>
              <w:autoSpaceDN/>
              <w:bidi w:val="0"/>
              <w:adjustRightInd w:val="0"/>
              <w:snapToGrid/>
              <w:spacing w:line="360" w:lineRule="auto"/>
              <w:ind w:firstLine="480" w:firstLineChars="200"/>
              <w:jc w:val="both"/>
              <w:textAlignment w:val="baseline"/>
              <w:rPr>
                <w:color w:val="auto"/>
                <w:sz w:val="24"/>
                <w:szCs w:val="24"/>
              </w:rPr>
            </w:pPr>
            <w:r>
              <w:rPr>
                <w:color w:val="auto"/>
                <w:sz w:val="24"/>
                <w:szCs w:val="24"/>
              </w:rPr>
              <w:t>本项目为新建项目，工程的建设必然改变现有地表结构，现状</w:t>
            </w:r>
            <w:r>
              <w:rPr>
                <w:rFonts w:hint="eastAsia"/>
                <w:color w:val="auto"/>
                <w:sz w:val="24"/>
                <w:szCs w:val="24"/>
                <w:lang w:eastAsia="zh-CN"/>
              </w:rPr>
              <w:t>为旱地</w:t>
            </w:r>
            <w:r>
              <w:rPr>
                <w:color w:val="auto"/>
                <w:sz w:val="24"/>
                <w:szCs w:val="24"/>
              </w:rPr>
              <w:t>，用地范围内无保护类动、植物分布，项目建设不会对当地群落结构、生态平衡造成不利影响。</w:t>
            </w:r>
            <w:r>
              <w:rPr>
                <w:rFonts w:hint="eastAsia"/>
                <w:color w:val="auto"/>
                <w:sz w:val="24"/>
                <w:szCs w:val="24"/>
              </w:rPr>
              <w:t>项目建设为临时占地，高速公路完成后进行拆除，场地恢复处理，因此对生态环境的影响为暂时性的，是可恢复的。</w:t>
            </w:r>
          </w:p>
          <w:p>
            <w:pPr>
              <w:keepNext w:val="0"/>
              <w:keepLines w:val="0"/>
              <w:pageBreakBefore w:val="0"/>
              <w:widowControl w:val="0"/>
              <w:tabs>
                <w:tab w:val="left" w:pos="5580"/>
              </w:tabs>
              <w:kinsoku/>
              <w:wordWrap/>
              <w:overflowPunct/>
              <w:topLinePunct w:val="0"/>
              <w:autoSpaceDE/>
              <w:autoSpaceDN/>
              <w:bidi w:val="0"/>
              <w:adjustRightInd w:val="0"/>
              <w:snapToGrid/>
              <w:spacing w:line="360" w:lineRule="auto"/>
              <w:ind w:firstLine="480" w:firstLineChars="200"/>
              <w:jc w:val="both"/>
              <w:textAlignment w:val="baseline"/>
              <w:rPr>
                <w:color w:val="auto"/>
                <w:sz w:val="24"/>
                <w:szCs w:val="24"/>
              </w:rPr>
            </w:pPr>
            <w:r>
              <w:rPr>
                <w:color w:val="auto"/>
                <w:sz w:val="24"/>
                <w:szCs w:val="24"/>
              </w:rPr>
              <w:t>本项目针对废气产生环节均采取了相应的除尘等控制措施，做到了有组织排放源全部达标排放；通过工艺设计上减少扬尘环节、采用密闭式输送设备、降低物料落差、洒水降尘等措施后，可做到无组织粉尘排放达标。因此，项目建成后废气污染物的排放对评价区空气环境影响不大，不会对周围植被及农作物的生长造成不利影响。</w:t>
            </w:r>
          </w:p>
          <w:p>
            <w:pPr>
              <w:keepNext w:val="0"/>
              <w:keepLines w:val="0"/>
              <w:pageBreakBefore w:val="0"/>
              <w:widowControl w:val="0"/>
              <w:tabs>
                <w:tab w:val="left" w:pos="5580"/>
              </w:tabs>
              <w:kinsoku/>
              <w:wordWrap/>
              <w:overflowPunct/>
              <w:topLinePunct w:val="0"/>
              <w:autoSpaceDE/>
              <w:autoSpaceDN/>
              <w:bidi w:val="0"/>
              <w:adjustRightInd w:val="0"/>
              <w:snapToGrid/>
              <w:spacing w:line="360" w:lineRule="auto"/>
              <w:ind w:firstLine="480" w:firstLineChars="200"/>
              <w:jc w:val="both"/>
              <w:textAlignment w:val="baseline"/>
              <w:rPr>
                <w:color w:val="auto"/>
                <w:sz w:val="24"/>
                <w:szCs w:val="24"/>
              </w:rPr>
            </w:pPr>
            <w:r>
              <w:rPr>
                <w:color w:val="auto"/>
                <w:sz w:val="24"/>
                <w:szCs w:val="24"/>
              </w:rPr>
              <w:t>综上所述，在采取了相应的措施后，可使该地的生态环境得到恢复和补偿，不会对周围植被及农作物的生长造成影响。项目的建设生产不会对周围生态环境造成不利影响。</w:t>
            </w:r>
          </w:p>
          <w:p>
            <w:pPr>
              <w:pStyle w:val="2"/>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p>
            <w:pPr>
              <w:pStyle w:val="2"/>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p>
            <w:pPr>
              <w:pStyle w:val="2"/>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p>
            <w:pPr>
              <w:pStyle w:val="2"/>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p>
            <w:pPr>
              <w:pStyle w:val="2"/>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p>
            <w:pPr>
              <w:pStyle w:val="2"/>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p>
            <w:pPr>
              <w:pStyle w:val="2"/>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p>
            <w:pPr>
              <w:pStyle w:val="2"/>
              <w:keepNext w:val="0"/>
              <w:keepLines w:val="0"/>
              <w:pageBreakBefore w:val="0"/>
              <w:kinsoku/>
              <w:wordWrap/>
              <w:overflowPunct/>
              <w:topLinePunct w:val="0"/>
              <w:autoSpaceDE/>
              <w:autoSpaceDN/>
              <w:bidi w:val="0"/>
              <w:spacing w:line="240" w:lineRule="auto"/>
              <w:ind w:firstLine="0" w:firstLineChars="0"/>
              <w:jc w:val="center"/>
              <w:rPr>
                <w:rFonts w:ascii="Times New Roman" w:hAnsi="Times New Roman"/>
                <w:color w:val="auto"/>
                <w:sz w:val="21"/>
                <w:szCs w:val="21"/>
              </w:rPr>
            </w:pPr>
          </w:p>
        </w:tc>
      </w:tr>
    </w:tbl>
    <w:p>
      <w:pPr>
        <w:pStyle w:val="3"/>
        <w:pageBreakBefore/>
        <w:spacing w:before="0" w:after="0" w:line="240" w:lineRule="auto"/>
        <w:ind w:firstLine="285" w:firstLineChars="100"/>
        <w:rPr>
          <w:rFonts w:ascii="Times New Roman" w:hAnsi="Times New Roman"/>
          <w:color w:val="auto"/>
          <w:spacing w:val="2"/>
          <w:sz w:val="28"/>
          <w:szCs w:val="28"/>
        </w:rPr>
      </w:pPr>
      <w:bookmarkStart w:id="64" w:name="_Toc513627206"/>
      <w:r>
        <w:rPr>
          <w:rFonts w:ascii="Times New Roman" w:hAnsi="Times New Roman"/>
          <w:color w:val="auto"/>
          <w:spacing w:val="2"/>
          <w:sz w:val="28"/>
          <w:szCs w:val="28"/>
        </w:rPr>
        <w:t>表九、结论与建议</w:t>
      </w:r>
      <w:bookmarkEnd w:id="64"/>
    </w:p>
    <w:tbl>
      <w:tblPr>
        <w:tblStyle w:val="43"/>
        <w:tblW w:w="86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40" w:type="dxa"/>
          </w:tcPr>
          <w:p>
            <w:pPr>
              <w:pStyle w:val="25"/>
              <w:tabs>
                <w:tab w:val="left" w:pos="2395"/>
              </w:tabs>
              <w:spacing w:after="0" w:line="360" w:lineRule="auto"/>
              <w:ind w:left="0" w:leftChars="0"/>
              <w:rPr>
                <w:rFonts w:ascii="Times New Roman" w:hAnsi="Times New Roman"/>
                <w:b/>
                <w:color w:val="auto"/>
              </w:rPr>
            </w:pPr>
            <w:r>
              <w:rPr>
                <w:rFonts w:ascii="Times New Roman" w:hAnsi="Times New Roman"/>
                <w:b/>
                <w:color w:val="auto"/>
              </w:rPr>
              <w:t>一、评价结论</w:t>
            </w:r>
          </w:p>
          <w:p>
            <w:pPr>
              <w:pStyle w:val="25"/>
              <w:tabs>
                <w:tab w:val="left" w:pos="2395"/>
              </w:tabs>
              <w:spacing w:after="0" w:line="360" w:lineRule="auto"/>
              <w:ind w:left="0" w:leftChars="0"/>
              <w:rPr>
                <w:rFonts w:ascii="Times New Roman" w:hAnsi="Times New Roman"/>
                <w:b/>
                <w:color w:val="auto"/>
              </w:rPr>
            </w:pPr>
            <w:r>
              <w:rPr>
                <w:rFonts w:ascii="Times New Roman" w:hAnsi="Times New Roman"/>
                <w:b/>
                <w:color w:val="auto"/>
              </w:rPr>
              <w:t>1、产业政策</w:t>
            </w:r>
          </w:p>
          <w:p>
            <w:pPr>
              <w:pStyle w:val="111"/>
              <w:spacing w:line="360" w:lineRule="auto"/>
              <w:ind w:firstLine="480"/>
              <w:jc w:val="both"/>
              <w:rPr>
                <w:rFonts w:ascii="Times New Roman" w:cs="Times New Roman"/>
                <w:color w:val="auto"/>
              </w:rPr>
            </w:pPr>
            <w:r>
              <w:rPr>
                <w:rFonts w:ascii="Times New Roman" w:cs="Times New Roman"/>
                <w:color w:val="auto"/>
              </w:rPr>
              <w:t>本项目主要为混凝土生产</w:t>
            </w:r>
            <w:r>
              <w:rPr>
                <w:rFonts w:hint="eastAsia" w:ascii="Times New Roman" w:cs="Times New Roman"/>
                <w:color w:val="auto"/>
              </w:rPr>
              <w:t>以及简单钢筋加工</w:t>
            </w:r>
            <w:r>
              <w:rPr>
                <w:rFonts w:ascii="Times New Roman" w:cs="Times New Roman"/>
                <w:color w:val="auto"/>
              </w:rPr>
              <w:t>项目，属于</w:t>
            </w:r>
            <w:r>
              <w:rPr>
                <w:rFonts w:ascii="Times New Roman" w:eastAsia="Times New Roman" w:cs="Times New Roman"/>
                <w:color w:val="auto"/>
              </w:rPr>
              <w:t>“</w:t>
            </w:r>
            <w:r>
              <w:rPr>
                <w:rFonts w:hint="eastAsia" w:ascii="Times New Roman" w:cs="Times New Roman"/>
                <w:color w:val="auto"/>
              </w:rPr>
              <w:t>非金属矿物制品业中50砼结构构件制造</w:t>
            </w:r>
            <w:r>
              <w:rPr>
                <w:rFonts w:ascii="Times New Roman" w:eastAsia="Times New Roman" w:cs="Times New Roman"/>
                <w:color w:val="auto"/>
              </w:rPr>
              <w:t>”</w:t>
            </w:r>
            <w:r>
              <w:rPr>
                <w:rFonts w:ascii="Times New Roman" w:cs="Times New Roman"/>
                <w:color w:val="auto"/>
              </w:rPr>
              <w:t>，根据《产业结构调整指导目录</w:t>
            </w:r>
            <w:r>
              <w:rPr>
                <w:rFonts w:ascii="Times New Roman" w:eastAsia="Times New Roman" w:cs="Times New Roman"/>
                <w:color w:val="auto"/>
              </w:rPr>
              <w:t>(2011</w:t>
            </w:r>
            <w:r>
              <w:rPr>
                <w:rFonts w:ascii="Times New Roman" w:cs="Times New Roman"/>
                <w:color w:val="auto"/>
              </w:rPr>
              <w:t>年本</w:t>
            </w:r>
            <w:r>
              <w:rPr>
                <w:rFonts w:ascii="Times New Roman" w:eastAsia="Times New Roman" w:cs="Times New Roman"/>
                <w:color w:val="auto"/>
              </w:rPr>
              <w:t>)</w:t>
            </w:r>
            <w:r>
              <w:rPr>
                <w:rFonts w:ascii="Times New Roman" w:cs="Times New Roman"/>
                <w:color w:val="auto"/>
              </w:rPr>
              <w:t>》（</w:t>
            </w:r>
            <w:r>
              <w:rPr>
                <w:rFonts w:ascii="Times New Roman" w:eastAsia="Times New Roman" w:cs="Times New Roman"/>
                <w:color w:val="auto"/>
              </w:rPr>
              <w:t>2013</w:t>
            </w:r>
            <w:r>
              <w:rPr>
                <w:rFonts w:ascii="Times New Roman" w:cs="Times New Roman"/>
                <w:color w:val="auto"/>
              </w:rPr>
              <w:t>年修正），本项目不属于其中的鼓励、限制和淘汰类项目。同时，根据《产业结构调整指导目录（</w:t>
            </w:r>
            <w:r>
              <w:rPr>
                <w:rFonts w:ascii="Times New Roman" w:eastAsia="Times New Roman" w:cs="Times New Roman"/>
                <w:color w:val="auto"/>
              </w:rPr>
              <w:t>2011</w:t>
            </w:r>
            <w:r>
              <w:rPr>
                <w:rFonts w:ascii="Times New Roman" w:cs="Times New Roman"/>
                <w:color w:val="auto"/>
              </w:rPr>
              <w:t>本）修订解读》中规定：</w:t>
            </w:r>
            <w:r>
              <w:rPr>
                <w:rFonts w:ascii="Times New Roman" w:eastAsia="Times New Roman" w:cs="Times New Roman"/>
                <w:color w:val="auto"/>
              </w:rPr>
              <w:t>“</w:t>
            </w:r>
            <w:r>
              <w:rPr>
                <w:rFonts w:ascii="Times New Roman" w:cs="Times New Roman"/>
                <w:color w:val="auto"/>
              </w:rPr>
              <w:t>《目录（</w:t>
            </w:r>
            <w:r>
              <w:rPr>
                <w:rFonts w:ascii="Times New Roman" w:eastAsia="Times New Roman" w:cs="Times New Roman"/>
                <w:color w:val="auto"/>
              </w:rPr>
              <w:t>2011</w:t>
            </w:r>
            <w:r>
              <w:rPr>
                <w:rFonts w:ascii="Times New Roman" w:cs="Times New Roman"/>
                <w:color w:val="auto"/>
              </w:rPr>
              <w:t>年本）》维持</w:t>
            </w:r>
            <w:r>
              <w:rPr>
                <w:rFonts w:ascii="Times New Roman" w:eastAsia="Times New Roman" w:cs="Times New Roman"/>
                <w:color w:val="auto"/>
              </w:rPr>
              <w:t>2005</w:t>
            </w:r>
            <w:r>
              <w:rPr>
                <w:rFonts w:ascii="Times New Roman" w:cs="Times New Roman"/>
                <w:color w:val="auto"/>
              </w:rPr>
              <w:t>年本分类不变，仍分为鼓励类、限制类和淘汰类。不属于上述三类，但符合国家法律、法规和政策规定的，为允许类，允许类不列入目录。</w:t>
            </w:r>
            <w:r>
              <w:rPr>
                <w:rFonts w:ascii="Times New Roman" w:eastAsia="Times New Roman" w:cs="Times New Roman"/>
                <w:color w:val="auto"/>
              </w:rPr>
              <w:t>”</w:t>
            </w:r>
            <w:r>
              <w:rPr>
                <w:rFonts w:ascii="Times New Roman" w:cs="Times New Roman"/>
                <w:color w:val="auto"/>
              </w:rPr>
              <w:t>则本项目为允许类项目。</w:t>
            </w:r>
          </w:p>
          <w:p>
            <w:pPr>
              <w:pStyle w:val="111"/>
              <w:spacing w:line="360" w:lineRule="auto"/>
              <w:ind w:firstLine="480"/>
              <w:jc w:val="both"/>
              <w:rPr>
                <w:rFonts w:ascii="Times New Roman" w:cs="Times New Roman"/>
                <w:color w:val="auto"/>
              </w:rPr>
            </w:pPr>
            <w:r>
              <w:rPr>
                <w:rFonts w:ascii="Times New Roman" w:cs="Times New Roman"/>
                <w:color w:val="auto"/>
              </w:rPr>
              <w:t>同时，</w:t>
            </w:r>
            <w:r>
              <w:rPr>
                <w:rFonts w:hint="eastAsia" w:ascii="Times New Roman" w:cs="Times New Roman"/>
                <w:color w:val="auto"/>
              </w:rPr>
              <w:t>富明</w:t>
            </w:r>
            <w:r>
              <w:rPr>
                <w:rFonts w:ascii="Times New Roman" w:cs="Times New Roman"/>
                <w:color w:val="auto"/>
              </w:rPr>
              <w:t>县发展和改革局于</w:t>
            </w:r>
            <w:r>
              <w:rPr>
                <w:rFonts w:hint="eastAsia" w:ascii="Times New Roman" w:cs="Times New Roman"/>
                <w:color w:val="auto"/>
              </w:rPr>
              <w:t>2019</w:t>
            </w:r>
            <w:r>
              <w:rPr>
                <w:rFonts w:ascii="Times New Roman" w:cs="Times New Roman"/>
                <w:color w:val="auto"/>
              </w:rPr>
              <w:t>年</w:t>
            </w:r>
            <w:r>
              <w:rPr>
                <w:rFonts w:hint="eastAsia" w:ascii="Times New Roman" w:cs="Times New Roman"/>
                <w:color w:val="auto"/>
              </w:rPr>
              <w:t>5</w:t>
            </w:r>
            <w:r>
              <w:rPr>
                <w:rFonts w:ascii="Times New Roman" w:cs="Times New Roman"/>
                <w:color w:val="auto"/>
              </w:rPr>
              <w:t>月</w:t>
            </w:r>
            <w:r>
              <w:rPr>
                <w:rFonts w:hint="eastAsia" w:ascii="Times New Roman" w:cs="Times New Roman"/>
                <w:color w:val="auto"/>
              </w:rPr>
              <w:t>13</w:t>
            </w:r>
            <w:r>
              <w:rPr>
                <w:rFonts w:ascii="Times New Roman" w:cs="Times New Roman"/>
                <w:color w:val="auto"/>
              </w:rPr>
              <w:t>以“</w:t>
            </w:r>
            <w:r>
              <w:rPr>
                <w:rFonts w:hint="eastAsia"/>
                <w:color w:val="auto"/>
              </w:rPr>
              <w:t>富发改企业备案[2019]10024号</w:t>
            </w:r>
            <w:r>
              <w:rPr>
                <w:rFonts w:ascii="Times New Roman" w:cs="Times New Roman"/>
                <w:color w:val="auto"/>
              </w:rPr>
              <w:t>”同意项目备案。</w:t>
            </w:r>
          </w:p>
          <w:p>
            <w:pPr>
              <w:pStyle w:val="111"/>
              <w:spacing w:line="360" w:lineRule="auto"/>
              <w:ind w:firstLine="480"/>
              <w:jc w:val="both"/>
              <w:rPr>
                <w:rFonts w:ascii="Times New Roman" w:cs="Times New Roman"/>
                <w:color w:val="auto"/>
              </w:rPr>
            </w:pPr>
            <w:r>
              <w:rPr>
                <w:rFonts w:ascii="Times New Roman" w:cs="Times New Roman"/>
                <w:color w:val="auto"/>
              </w:rPr>
              <w:t>因此，本项目建设与国家现行产业政策相符。</w:t>
            </w:r>
          </w:p>
          <w:p>
            <w:pPr>
              <w:adjustRightInd w:val="0"/>
              <w:snapToGrid w:val="0"/>
              <w:spacing w:line="360" w:lineRule="auto"/>
              <w:rPr>
                <w:rFonts w:ascii="Times New Roman" w:hAnsi="Times New Roman"/>
                <w:b/>
                <w:bCs/>
                <w:color w:val="auto"/>
                <w:sz w:val="24"/>
              </w:rPr>
            </w:pPr>
            <w:r>
              <w:rPr>
                <w:rFonts w:ascii="Times New Roman" w:hAnsi="Times New Roman"/>
                <w:b/>
                <w:bCs/>
                <w:color w:val="auto"/>
                <w:sz w:val="24"/>
              </w:rPr>
              <w:t>2、选址合理性</w:t>
            </w:r>
            <w:bookmarkStart w:id="65" w:name="_Toc283821837"/>
          </w:p>
          <w:p>
            <w:pPr>
              <w:spacing w:line="360" w:lineRule="auto"/>
              <w:ind w:firstLine="480" w:firstLineChars="200"/>
              <w:rPr>
                <w:color w:val="auto"/>
                <w:sz w:val="24"/>
                <w:szCs w:val="24"/>
              </w:rPr>
            </w:pPr>
            <w:r>
              <w:rPr>
                <w:rFonts w:ascii="Times New Roman" w:hAnsi="Times New Roman"/>
                <w:color w:val="auto"/>
                <w:sz w:val="24"/>
                <w:szCs w:val="24"/>
              </w:rPr>
              <w:t>项目所在地位于</w:t>
            </w:r>
            <w:r>
              <w:rPr>
                <w:rFonts w:hint="eastAsia" w:ascii="Times New Roman" w:hAnsi="Times New Roman"/>
                <w:color w:val="auto"/>
                <w:sz w:val="24"/>
                <w:szCs w:val="24"/>
              </w:rPr>
              <w:t>富明县东村镇西村村</w:t>
            </w:r>
            <w:r>
              <w:rPr>
                <w:rFonts w:ascii="Times New Roman" w:hAnsi="Times New Roman"/>
                <w:color w:val="auto"/>
                <w:sz w:val="24"/>
                <w:szCs w:val="24"/>
              </w:rPr>
              <w:t>，</w:t>
            </w:r>
            <w:bookmarkEnd w:id="65"/>
            <w:bookmarkStart w:id="66" w:name="_Toc283821838"/>
            <w:r>
              <w:rPr>
                <w:rFonts w:hint="eastAsia"/>
                <w:color w:val="auto"/>
                <w:sz w:val="24"/>
                <w:szCs w:val="24"/>
              </w:rPr>
              <w:t>拌合站选址于此主要考虑靠近梁场；位于本标段中心位置，运距经济；不占用基本农田，场地平整工程量较小；远离村庄，没有干扰。</w:t>
            </w:r>
          </w:p>
          <w:p>
            <w:pPr>
              <w:spacing w:line="360" w:lineRule="auto"/>
              <w:ind w:firstLine="480" w:firstLineChars="200"/>
              <w:rPr>
                <w:rFonts w:ascii="Times New Roman" w:hAnsi="Times New Roman"/>
                <w:color w:val="auto"/>
                <w:sz w:val="24"/>
              </w:rPr>
            </w:pPr>
            <w:r>
              <w:rPr>
                <w:rFonts w:ascii="Times New Roman" w:hAnsi="Times New Roman"/>
                <w:color w:val="auto"/>
                <w:sz w:val="24"/>
              </w:rPr>
              <w:t>项目选址不涉及国务院、国家有关部门、省（自治区、直辖市）人民政府、市、县人民政府规定的饮用水水源保护区、自然保护区、风景名胜区、生态功能保护区、水土流失重点防治区、森林公园、地质公园、世界遗产地、国家重点文物保护单位、历史文化保护地，区内无国家规定的保护动植物。</w:t>
            </w:r>
            <w:r>
              <w:rPr>
                <w:rFonts w:ascii="Times New Roman" w:hAnsi="Times New Roman"/>
                <w:color w:val="auto"/>
                <w:sz w:val="24"/>
                <w:szCs w:val="24"/>
              </w:rPr>
              <w:t>根据现场调查，本项目占地范围内没有珍</w:t>
            </w:r>
            <w:r>
              <w:rPr>
                <w:rFonts w:hint="eastAsia" w:ascii="Times New Roman" w:hAnsi="Times New Roman"/>
                <w:color w:val="auto"/>
                <w:sz w:val="24"/>
                <w:szCs w:val="24"/>
              </w:rPr>
              <w:t>稀</w:t>
            </w:r>
            <w:r>
              <w:rPr>
                <w:rFonts w:ascii="Times New Roman" w:hAnsi="Times New Roman"/>
                <w:color w:val="auto"/>
                <w:sz w:val="24"/>
                <w:szCs w:val="24"/>
              </w:rPr>
              <w:t>保护植物和名</w:t>
            </w:r>
            <w:r>
              <w:rPr>
                <w:rFonts w:hint="eastAsia" w:ascii="Times New Roman" w:hAnsi="Times New Roman"/>
                <w:color w:val="auto"/>
                <w:sz w:val="24"/>
                <w:szCs w:val="24"/>
              </w:rPr>
              <w:t>木</w:t>
            </w:r>
            <w:r>
              <w:rPr>
                <w:rFonts w:ascii="Times New Roman" w:hAnsi="Times New Roman"/>
                <w:color w:val="auto"/>
                <w:sz w:val="24"/>
                <w:szCs w:val="24"/>
              </w:rPr>
              <w:t>古树分布。</w:t>
            </w:r>
          </w:p>
          <w:p>
            <w:pPr>
              <w:spacing w:line="360" w:lineRule="auto"/>
              <w:ind w:firstLine="480" w:firstLineChars="200"/>
              <w:rPr>
                <w:rFonts w:ascii="Times New Roman" w:hAnsi="Times New Roman"/>
                <w:color w:val="auto"/>
                <w:sz w:val="24"/>
              </w:rPr>
            </w:pPr>
            <w:r>
              <w:rPr>
                <w:rFonts w:ascii="Times New Roman" w:hAnsi="Times New Roman"/>
                <w:color w:val="auto"/>
                <w:sz w:val="24"/>
              </w:rPr>
              <w:t>因此，从环保角度讲，项目建设厂址选址合理。</w:t>
            </w:r>
            <w:bookmarkEnd w:id="66"/>
          </w:p>
          <w:p>
            <w:pPr>
              <w:pStyle w:val="25"/>
              <w:tabs>
                <w:tab w:val="left" w:pos="2395"/>
              </w:tabs>
              <w:adjustRightInd w:val="0"/>
              <w:snapToGrid w:val="0"/>
              <w:spacing w:after="0" w:line="360" w:lineRule="auto"/>
              <w:ind w:left="0" w:leftChars="0"/>
              <w:rPr>
                <w:rFonts w:ascii="Times New Roman" w:hAnsi="Times New Roman"/>
                <w:b/>
                <w:color w:val="auto"/>
              </w:rPr>
            </w:pPr>
            <w:r>
              <w:rPr>
                <w:rFonts w:ascii="Times New Roman" w:hAnsi="Times New Roman"/>
                <w:b/>
                <w:color w:val="auto"/>
              </w:rPr>
              <w:t>3、环境影响分析结论</w:t>
            </w:r>
          </w:p>
          <w:p>
            <w:pPr>
              <w:pStyle w:val="2"/>
              <w:adjustRightInd w:val="0"/>
              <w:snapToGrid w:val="0"/>
              <w:rPr>
                <w:rFonts w:ascii="Times New Roman" w:hAnsi="Times New Roman"/>
                <w:b/>
                <w:color w:val="auto"/>
                <w:sz w:val="24"/>
                <w:szCs w:val="24"/>
              </w:rPr>
            </w:pPr>
            <w:r>
              <w:rPr>
                <w:rFonts w:ascii="Times New Roman" w:hAnsi="Times New Roman"/>
                <w:b/>
                <w:color w:val="auto"/>
                <w:sz w:val="24"/>
                <w:szCs w:val="24"/>
              </w:rPr>
              <w:t>3.1施工期</w:t>
            </w:r>
          </w:p>
          <w:p>
            <w:pPr>
              <w:tabs>
                <w:tab w:val="left" w:pos="2395"/>
              </w:tabs>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（1）施工期废气有施工场地无组织扬尘、燃油机械废气。</w:t>
            </w:r>
          </w:p>
          <w:p>
            <w:pPr>
              <w:tabs>
                <w:tab w:val="left" w:pos="2395"/>
              </w:tabs>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施工场地的无组织扬尘通过采取设专人及时对产尘区域洒水降尘，建设前先建设厂址围墙，加强施工管理，规范施工，砂石集中堆放，堆体适当遮盖，进出施工场地的车辆减速慢行，对运输车辆进行车身密闭或是对车身进行遮盖等措施后，施工场地无组织扬尘影响范围小，对外环境影响小；</w:t>
            </w:r>
          </w:p>
          <w:p>
            <w:pPr>
              <w:tabs>
                <w:tab w:val="left" w:pos="2395"/>
              </w:tabs>
              <w:adjustRightInd w:val="0"/>
              <w:snapToGrid w:val="0"/>
              <w:spacing w:line="360" w:lineRule="auto"/>
              <w:ind w:firstLine="600" w:firstLineChars="250"/>
              <w:rPr>
                <w:rFonts w:ascii="Times New Roman" w:hAnsi="Times New Roman"/>
                <w:color w:val="auto"/>
                <w:sz w:val="24"/>
              </w:rPr>
            </w:pPr>
            <w:r>
              <w:rPr>
                <w:rFonts w:ascii="Times New Roman" w:hAnsi="Times New Roman"/>
                <w:color w:val="auto"/>
                <w:sz w:val="24"/>
              </w:rPr>
              <w:t>施工场地虽然使用燃油机械，但使用设备数量少，每天运行时间不长，产生的少量燃油废气通过自然稀释扩散后，对环境空气影响小；</w:t>
            </w:r>
          </w:p>
          <w:p>
            <w:pPr>
              <w:tabs>
                <w:tab w:val="left" w:pos="2395"/>
              </w:tabs>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（2）施工废水经临时收集池收集后，经沉淀回用到混泥土拌合中对水质要求不高的施工工序中，不外排，生活污水经沉淀处理后用作道路洒水，不外排；</w:t>
            </w:r>
          </w:p>
          <w:p>
            <w:pPr>
              <w:tabs>
                <w:tab w:val="left" w:pos="2395"/>
              </w:tabs>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（3）施工期产生的建筑垃圾全部用于铺路，施工弃土一部分用于回填地基，剩余部分运到指定地点堆存，生活垃圾经收集后送环卫部门指定地点堆存；</w:t>
            </w:r>
          </w:p>
          <w:p>
            <w:pPr>
              <w:tabs>
                <w:tab w:val="left" w:pos="2395"/>
              </w:tabs>
              <w:adjustRightInd w:val="0"/>
              <w:snapToGrid w:val="0"/>
              <w:spacing w:line="360" w:lineRule="auto"/>
              <w:ind w:firstLine="480" w:firstLineChars="200"/>
              <w:rPr>
                <w:rFonts w:ascii="Times New Roman" w:hAnsi="Times New Roman"/>
                <w:color w:val="auto"/>
                <w:sz w:val="24"/>
              </w:rPr>
            </w:pPr>
            <w:r>
              <w:rPr>
                <w:rFonts w:ascii="Times New Roman" w:hAnsi="Times New Roman"/>
                <w:color w:val="auto"/>
                <w:sz w:val="24"/>
              </w:rPr>
              <w:t>（4）在施工过程中采取选用噪声较低设备，加强一线操作人员环保意识，禁止夜间施工等措施后，产生的噪声对周围环境影响不大，且改影响是暂时的，随着工程的结束，其影响也随之消失。</w:t>
            </w:r>
          </w:p>
          <w:p>
            <w:pPr>
              <w:tabs>
                <w:tab w:val="left" w:pos="2395"/>
              </w:tabs>
              <w:adjustRightInd w:val="0"/>
              <w:snapToGrid w:val="0"/>
              <w:spacing w:line="360" w:lineRule="auto"/>
              <w:ind w:firstLine="600" w:firstLineChars="250"/>
              <w:rPr>
                <w:rFonts w:ascii="Times New Roman" w:hAnsi="Times New Roman"/>
                <w:color w:val="auto"/>
                <w:sz w:val="24"/>
              </w:rPr>
            </w:pPr>
            <w:r>
              <w:rPr>
                <w:rFonts w:ascii="Times New Roman" w:hAnsi="Times New Roman"/>
                <w:color w:val="auto"/>
                <w:sz w:val="24"/>
              </w:rPr>
              <w:t>因此，施工期采取报告提出的措施后，项目建设对环境影响小。</w:t>
            </w:r>
          </w:p>
          <w:p>
            <w:pPr>
              <w:pStyle w:val="2"/>
              <w:adjustRightInd w:val="0"/>
              <w:snapToGrid w:val="0"/>
              <w:rPr>
                <w:rFonts w:ascii="Times New Roman" w:hAnsi="Times New Roman"/>
                <w:b/>
                <w:color w:val="auto"/>
                <w:sz w:val="24"/>
                <w:szCs w:val="24"/>
              </w:rPr>
            </w:pPr>
            <w:r>
              <w:rPr>
                <w:rFonts w:ascii="Times New Roman" w:hAnsi="Times New Roman"/>
                <w:b/>
                <w:color w:val="auto"/>
                <w:sz w:val="24"/>
                <w:szCs w:val="24"/>
              </w:rPr>
              <w:t>3.2运行期</w:t>
            </w:r>
          </w:p>
          <w:p>
            <w:pPr>
              <w:pStyle w:val="2"/>
              <w:adjustRightInd w:val="0"/>
              <w:snapToGrid w:val="0"/>
              <w:ind w:firstLine="480" w:firstLineChars="200"/>
              <w:rPr>
                <w:rFonts w:ascii="Times New Roman" w:hAnsi="Times New Roman"/>
                <w:color w:val="auto"/>
                <w:sz w:val="24"/>
                <w:szCs w:val="24"/>
              </w:rPr>
            </w:pPr>
            <w:r>
              <w:rPr>
                <w:rFonts w:ascii="Times New Roman" w:hAnsi="Times New Roman"/>
                <w:color w:val="auto"/>
                <w:sz w:val="24"/>
                <w:szCs w:val="24"/>
              </w:rPr>
              <w:t>（1）环境空气影响分析</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项目废气主要来源于</w:t>
            </w:r>
            <w:r>
              <w:rPr>
                <w:rFonts w:hint="eastAsia" w:ascii="Times New Roman" w:hAnsi="Times New Roman"/>
                <w:color w:val="auto"/>
                <w:sz w:val="24"/>
                <w:szCs w:val="24"/>
              </w:rPr>
              <w:t>砂石料堆棚</w:t>
            </w:r>
            <w:r>
              <w:rPr>
                <w:rFonts w:ascii="Times New Roman" w:hAnsi="Times New Roman"/>
                <w:color w:val="auto"/>
                <w:sz w:val="24"/>
                <w:szCs w:val="24"/>
              </w:rPr>
              <w:t>、</w:t>
            </w:r>
            <w:r>
              <w:rPr>
                <w:rFonts w:ascii="Times New Roman" w:hAnsi="Times New Roman"/>
                <w:color w:val="auto"/>
                <w:kern w:val="0"/>
                <w:sz w:val="24"/>
                <w:szCs w:val="24"/>
              </w:rPr>
              <w:t>混凝土系统</w:t>
            </w:r>
            <w:r>
              <w:rPr>
                <w:rFonts w:hint="eastAsia" w:ascii="Times New Roman" w:hAnsi="Times New Roman"/>
                <w:color w:val="auto"/>
                <w:kern w:val="0"/>
                <w:sz w:val="24"/>
                <w:szCs w:val="24"/>
              </w:rPr>
              <w:t>、钢筋焊接、食堂油烟</w:t>
            </w:r>
            <w:r>
              <w:rPr>
                <w:rFonts w:ascii="Times New Roman" w:hAnsi="Times New Roman"/>
                <w:color w:val="auto"/>
                <w:sz w:val="24"/>
                <w:szCs w:val="24"/>
              </w:rPr>
              <w:t>；针对</w:t>
            </w:r>
            <w:r>
              <w:rPr>
                <w:rFonts w:hint="eastAsia" w:ascii="Times New Roman" w:hAnsi="Times New Roman"/>
                <w:color w:val="auto"/>
                <w:sz w:val="24"/>
                <w:szCs w:val="24"/>
              </w:rPr>
              <w:t>堆棚</w:t>
            </w:r>
            <w:r>
              <w:rPr>
                <w:rFonts w:ascii="Times New Roman" w:hAnsi="Times New Roman"/>
                <w:color w:val="auto"/>
                <w:sz w:val="24"/>
                <w:szCs w:val="24"/>
              </w:rPr>
              <w:t>采取</w:t>
            </w:r>
            <w:r>
              <w:rPr>
                <w:rFonts w:hint="eastAsia" w:ascii="Times New Roman" w:hAnsi="Times New Roman"/>
                <w:color w:val="auto"/>
                <w:sz w:val="24"/>
                <w:szCs w:val="24"/>
              </w:rPr>
              <w:t>彩钢瓦</w:t>
            </w:r>
            <w:r>
              <w:rPr>
                <w:rFonts w:ascii="Times New Roman" w:hAnsi="Times New Roman"/>
                <w:color w:val="auto"/>
                <w:sz w:val="24"/>
                <w:szCs w:val="24"/>
              </w:rPr>
              <w:t>顶棚及三面挡墙，并定时</w:t>
            </w:r>
            <w:r>
              <w:rPr>
                <w:rFonts w:ascii="Times New Roman" w:hAnsi="Times New Roman"/>
                <w:color w:val="auto"/>
                <w:kern w:val="0"/>
                <w:sz w:val="24"/>
                <w:szCs w:val="24"/>
              </w:rPr>
              <w:t>采取喷雾洒水降尘措</w:t>
            </w:r>
            <w:r>
              <w:rPr>
                <w:rFonts w:ascii="Times New Roman" w:hAnsi="Times New Roman"/>
                <w:color w:val="auto"/>
                <w:sz w:val="24"/>
                <w:szCs w:val="24"/>
              </w:rPr>
              <w:t>施；</w:t>
            </w:r>
            <w:r>
              <w:rPr>
                <w:rFonts w:hint="default" w:ascii="Times New Roman" w:hAnsi="Times New Roman"/>
                <w:color w:val="auto"/>
                <w:sz w:val="24"/>
                <w:szCs w:val="24"/>
              </w:rPr>
              <w:t>针对混凝土系统下料及转载点等</w:t>
            </w:r>
            <w:r>
              <w:rPr>
                <w:rFonts w:hint="eastAsia" w:ascii="Times New Roman" w:hAnsi="Times New Roman"/>
                <w:color w:val="auto"/>
                <w:sz w:val="24"/>
                <w:szCs w:val="24"/>
                <w:lang w:eastAsia="zh-CN"/>
              </w:rPr>
              <w:t>有组织</w:t>
            </w:r>
            <w:r>
              <w:rPr>
                <w:rFonts w:hint="default" w:ascii="Times New Roman" w:hAnsi="Times New Roman"/>
                <w:color w:val="auto"/>
                <w:sz w:val="24"/>
                <w:szCs w:val="24"/>
              </w:rPr>
              <w:t>废气采取集气罩收集后经布袋除尘器净化处理；针对混凝土系统输送、计量、投料无组织粉尘</w:t>
            </w:r>
            <w:r>
              <w:rPr>
                <w:rFonts w:hint="eastAsia" w:ascii="Times New Roman" w:hAnsi="Times New Roman"/>
                <w:color w:val="auto"/>
                <w:sz w:val="24"/>
                <w:szCs w:val="24"/>
                <w:lang w:eastAsia="zh-CN"/>
              </w:rPr>
              <w:t>运输车辆加盖篷布，半密闭输送；</w:t>
            </w:r>
            <w:r>
              <w:rPr>
                <w:rFonts w:hint="eastAsia" w:ascii="Times New Roman" w:hAnsi="Times New Roman"/>
                <w:color w:val="auto"/>
                <w:kern w:val="0"/>
                <w:sz w:val="24"/>
                <w:szCs w:val="24"/>
                <w:lang w:eastAsia="zh-CN"/>
              </w:rPr>
              <w:t>针对少量的柴油发电机废气经过自然扩散；</w:t>
            </w:r>
            <w:r>
              <w:rPr>
                <w:rFonts w:hint="eastAsia" w:ascii="Times New Roman" w:hAnsi="Times New Roman"/>
                <w:color w:val="auto"/>
                <w:kern w:val="0"/>
                <w:sz w:val="24"/>
                <w:szCs w:val="24"/>
              </w:rPr>
              <w:t>针对焊接废气采取车间通风排放；</w:t>
            </w:r>
            <w:r>
              <w:rPr>
                <w:rFonts w:hint="eastAsia" w:ascii="Times New Roman" w:hAnsi="Times New Roman"/>
                <w:color w:val="auto"/>
                <w:kern w:val="0"/>
                <w:sz w:val="24"/>
                <w:szCs w:val="24"/>
                <w:lang w:eastAsia="zh-CN"/>
              </w:rPr>
              <w:t>针对切割废气采取车间通风排放；</w:t>
            </w:r>
            <w:r>
              <w:rPr>
                <w:rFonts w:hint="eastAsia" w:ascii="Times New Roman" w:hAnsi="Times New Roman"/>
                <w:color w:val="auto"/>
                <w:sz w:val="24"/>
                <w:szCs w:val="24"/>
              </w:rPr>
              <w:t>食堂设置油烟净化器进行处理。</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根据预测结果，通过采取措施后正常情况下，各最大贡献值远小于《环境空气质量标准》</w:t>
            </w:r>
            <w:r>
              <w:rPr>
                <w:rFonts w:hint="eastAsia" w:ascii="Times New Roman" w:hAnsi="Times New Roman"/>
                <w:color w:val="auto"/>
                <w:sz w:val="24"/>
                <w:szCs w:val="24"/>
              </w:rPr>
              <w:t>（GB3096－2012）</w:t>
            </w:r>
            <w:r>
              <w:rPr>
                <w:rFonts w:ascii="Times New Roman" w:hAnsi="Times New Roman"/>
                <w:color w:val="auto"/>
                <w:sz w:val="24"/>
                <w:szCs w:val="24"/>
              </w:rPr>
              <w:t>二级标准限值，对周围环境空气质量影响较小</w:t>
            </w:r>
            <w:r>
              <w:rPr>
                <w:rFonts w:hint="eastAsia" w:ascii="Times New Roman" w:hAnsi="Times New Roman"/>
                <w:color w:val="auto"/>
                <w:sz w:val="24"/>
                <w:szCs w:val="24"/>
              </w:rPr>
              <w:t>。</w:t>
            </w:r>
          </w:p>
          <w:p>
            <w:pPr>
              <w:pStyle w:val="2"/>
              <w:adjustRightInd w:val="0"/>
              <w:snapToGrid w:val="0"/>
              <w:ind w:firstLine="480" w:firstLineChars="200"/>
              <w:rPr>
                <w:rFonts w:ascii="Times New Roman" w:hAnsi="Times New Roman"/>
                <w:color w:val="auto"/>
                <w:sz w:val="24"/>
                <w:szCs w:val="24"/>
              </w:rPr>
            </w:pPr>
            <w:r>
              <w:rPr>
                <w:rFonts w:ascii="Times New Roman" w:hAnsi="Times New Roman"/>
                <w:color w:val="auto"/>
                <w:sz w:val="24"/>
                <w:szCs w:val="24"/>
              </w:rPr>
              <w:t>（2）地表水环境影响分析</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运营期实行雨污分流</w:t>
            </w:r>
            <w:r>
              <w:rPr>
                <w:rFonts w:hint="eastAsia" w:ascii="Times New Roman" w:hAnsi="Times New Roman"/>
                <w:color w:val="auto"/>
                <w:sz w:val="24"/>
                <w:szCs w:val="24"/>
                <w:lang w:eastAsia="zh-CN"/>
              </w:rPr>
              <w:t>，</w:t>
            </w:r>
            <w:r>
              <w:rPr>
                <w:rFonts w:ascii="Times New Roman" w:hAnsi="Times New Roman"/>
                <w:color w:val="auto"/>
                <w:sz w:val="24"/>
                <w:szCs w:val="24"/>
              </w:rPr>
              <w:t>项目区废水主要为生活污水及车辆清洗废水。食堂废水经</w:t>
            </w:r>
            <w:r>
              <w:rPr>
                <w:rFonts w:hint="eastAsia" w:ascii="Times New Roman" w:hAnsi="Times New Roman"/>
                <w:color w:val="auto"/>
                <w:sz w:val="24"/>
                <w:szCs w:val="24"/>
              </w:rPr>
              <w:t>1</w:t>
            </w:r>
            <w:r>
              <w:rPr>
                <w:rFonts w:ascii="Times New Roman" w:hAnsi="Times New Roman"/>
                <w:color w:val="auto"/>
                <w:sz w:val="24"/>
                <w:szCs w:val="24"/>
              </w:rPr>
              <w:t>m</w:t>
            </w:r>
            <w:r>
              <w:rPr>
                <w:rFonts w:ascii="Times New Roman" w:hAnsi="Times New Roman"/>
                <w:color w:val="auto"/>
                <w:sz w:val="24"/>
                <w:szCs w:val="24"/>
                <w:vertAlign w:val="superscript"/>
              </w:rPr>
              <w:t>3</w:t>
            </w:r>
            <w:r>
              <w:rPr>
                <w:rFonts w:ascii="Times New Roman" w:hAnsi="Times New Roman"/>
                <w:color w:val="auto"/>
                <w:sz w:val="24"/>
                <w:szCs w:val="24"/>
              </w:rPr>
              <w:t>隔油池处理后与</w:t>
            </w:r>
            <w:r>
              <w:rPr>
                <w:rFonts w:hint="eastAsia" w:ascii="Times New Roman" w:hAnsi="Times New Roman"/>
                <w:color w:val="auto"/>
                <w:sz w:val="24"/>
                <w:szCs w:val="24"/>
                <w:lang w:eastAsia="zh-CN"/>
              </w:rPr>
              <w:t>其他生活污水</w:t>
            </w:r>
            <w:r>
              <w:rPr>
                <w:rFonts w:ascii="Times New Roman" w:hAnsi="Times New Roman"/>
                <w:color w:val="auto"/>
                <w:sz w:val="24"/>
                <w:szCs w:val="24"/>
              </w:rPr>
              <w:t>进入化粪池，</w:t>
            </w:r>
            <w:r>
              <w:rPr>
                <w:rFonts w:hint="eastAsia" w:ascii="Times New Roman" w:hAnsi="Times New Roman"/>
                <w:color w:val="auto"/>
                <w:sz w:val="24"/>
                <w:szCs w:val="24"/>
                <w:lang w:eastAsia="zh-CN"/>
              </w:rPr>
              <w:t>预处理后排入中水处理站处理达标后</w:t>
            </w:r>
            <w:r>
              <w:rPr>
                <w:rFonts w:hint="eastAsia" w:ascii="Times New Roman" w:hAnsi="Times New Roman"/>
                <w:color w:val="auto"/>
                <w:sz w:val="24"/>
                <w:szCs w:val="24"/>
              </w:rPr>
              <w:t>项目区洒水</w:t>
            </w:r>
            <w:r>
              <w:rPr>
                <w:rFonts w:hint="eastAsia" w:ascii="Times New Roman" w:hAnsi="Times New Roman"/>
                <w:color w:val="auto"/>
                <w:sz w:val="24"/>
                <w:szCs w:val="24"/>
                <w:lang w:eastAsia="zh-CN"/>
              </w:rPr>
              <w:t>抑尘</w:t>
            </w:r>
            <w:r>
              <w:rPr>
                <w:rFonts w:hint="eastAsia" w:ascii="Times New Roman" w:hAnsi="Times New Roman"/>
                <w:color w:val="auto"/>
                <w:sz w:val="24"/>
                <w:szCs w:val="24"/>
              </w:rPr>
              <w:t>。车辆清洗废水排入生产区20m</w:t>
            </w:r>
            <w:r>
              <w:rPr>
                <w:rFonts w:hint="eastAsia" w:ascii="Times New Roman" w:hAnsi="Times New Roman"/>
                <w:color w:val="auto"/>
                <w:sz w:val="24"/>
                <w:szCs w:val="24"/>
                <w:vertAlign w:val="superscript"/>
              </w:rPr>
              <w:t>3</w:t>
            </w:r>
            <w:r>
              <w:rPr>
                <w:rFonts w:hint="eastAsia" w:ascii="Times New Roman" w:hAnsi="Times New Roman"/>
                <w:color w:val="auto"/>
                <w:sz w:val="24"/>
                <w:szCs w:val="24"/>
              </w:rPr>
              <w:t>四级沉淀池处理后回用于混凝土生产。因此本项目不涉及废水外排，</w:t>
            </w:r>
            <w:r>
              <w:rPr>
                <w:rFonts w:ascii="Times New Roman" w:hAnsi="Times New Roman"/>
                <w:color w:val="auto"/>
                <w:sz w:val="24"/>
                <w:szCs w:val="24"/>
              </w:rPr>
              <w:t>对周围水环境影响小。</w:t>
            </w:r>
          </w:p>
          <w:p>
            <w:pPr>
              <w:tabs>
                <w:tab w:val="left" w:pos="9392"/>
              </w:tabs>
              <w:autoSpaceDE w:val="0"/>
              <w:autoSpaceDN w:val="0"/>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rPr>
              <w:t>（</w:t>
            </w:r>
            <w:r>
              <w:rPr>
                <w:rFonts w:ascii="Times New Roman" w:hAnsi="Times New Roman"/>
                <w:color w:val="auto"/>
                <w:sz w:val="24"/>
                <w:szCs w:val="24"/>
              </w:rPr>
              <w:t>3）声环境影响</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本项目主要噪声源为机械设备噪声，据类比，其机械噪声约为85dB(A)~90dB(A)，通过采取选用低噪声的设备、密闭隔声、安装消声器、减震垫等措施，以降低对环境的影响。根据预测结果，项目厂界噪声满足《工业企业厂界环境噪声排放标准》</w:t>
            </w:r>
            <w:r>
              <w:rPr>
                <w:rFonts w:hint="eastAsia" w:ascii="Times New Roman" w:hAnsi="Times New Roman"/>
                <w:color w:val="auto"/>
                <w:sz w:val="24"/>
                <w:szCs w:val="24"/>
              </w:rPr>
              <w:t>（</w:t>
            </w:r>
            <w:r>
              <w:rPr>
                <w:rFonts w:ascii="Times New Roman" w:hAnsi="Times New Roman"/>
                <w:color w:val="auto"/>
                <w:sz w:val="24"/>
                <w:szCs w:val="24"/>
              </w:rPr>
              <w:t>GB12348-2008</w:t>
            </w:r>
            <w:r>
              <w:rPr>
                <w:rFonts w:hint="eastAsia" w:ascii="Times New Roman" w:hAnsi="Times New Roman"/>
                <w:color w:val="auto"/>
                <w:sz w:val="24"/>
                <w:szCs w:val="24"/>
              </w:rPr>
              <w:t>）</w:t>
            </w:r>
            <w:r>
              <w:rPr>
                <w:rFonts w:ascii="Times New Roman" w:hAnsi="Times New Roman"/>
                <w:color w:val="auto"/>
                <w:sz w:val="24"/>
                <w:szCs w:val="24"/>
              </w:rPr>
              <w:t>中</w:t>
            </w:r>
            <w:r>
              <w:rPr>
                <w:rFonts w:hint="eastAsia" w:ascii="Times New Roman" w:hAnsi="Times New Roman"/>
                <w:color w:val="auto"/>
                <w:sz w:val="24"/>
                <w:szCs w:val="24"/>
              </w:rPr>
              <w:t>2</w:t>
            </w:r>
            <w:r>
              <w:rPr>
                <w:rFonts w:ascii="Times New Roman" w:hAnsi="Times New Roman"/>
                <w:color w:val="auto"/>
                <w:sz w:val="24"/>
                <w:szCs w:val="24"/>
              </w:rPr>
              <w:t>类标准要求，项目区距离关心点较远，且中间有山体阻，项目运行不会对其造成影响。</w:t>
            </w:r>
          </w:p>
          <w:p>
            <w:pPr>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（4）固体废弃物环境影响分析</w:t>
            </w:r>
          </w:p>
          <w:p>
            <w:pPr>
              <w:tabs>
                <w:tab w:val="left" w:pos="9392"/>
              </w:tabs>
              <w:autoSpaceDE w:val="0"/>
              <w:autoSpaceDN w:val="0"/>
              <w:adjustRightInd w:val="0"/>
              <w:snapToGrid w:val="0"/>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项目固废主要为</w:t>
            </w:r>
            <w:r>
              <w:rPr>
                <w:rFonts w:hint="eastAsia" w:ascii="Times New Roman" w:hAnsi="Times New Roman"/>
                <w:color w:val="auto"/>
                <w:sz w:val="24"/>
                <w:szCs w:val="24"/>
              </w:rPr>
              <w:t>除尘器收尘灰、废气混凝土、废钢筋、废机油</w:t>
            </w:r>
            <w:r>
              <w:rPr>
                <w:rFonts w:ascii="Times New Roman" w:hAnsi="Times New Roman"/>
                <w:color w:val="auto"/>
                <w:sz w:val="24"/>
                <w:szCs w:val="24"/>
              </w:rPr>
              <w:t>及生活垃圾</w:t>
            </w:r>
            <w:r>
              <w:rPr>
                <w:rFonts w:hint="eastAsia" w:ascii="Times New Roman" w:hAnsi="Times New Roman"/>
                <w:color w:val="auto"/>
                <w:sz w:val="24"/>
                <w:szCs w:val="24"/>
              </w:rPr>
              <w:t>。</w:t>
            </w:r>
            <w:r>
              <w:rPr>
                <w:rFonts w:hint="eastAsia" w:ascii="Times New Roman" w:hAnsi="Times New Roman"/>
                <w:color w:val="auto"/>
                <w:sz w:val="24"/>
                <w:szCs w:val="24"/>
                <w:lang w:val="zh-CN"/>
              </w:rPr>
              <w:t>除尘器收尘灰作为水泥混凝土生产原料返回生产工段；废弃混凝土作为原料返回生产线；废弃钢筋全部外卖当地废品站；实验室测试用混凝土、钢筋返回各自生产工序再生产利用；</w:t>
            </w:r>
            <w:r>
              <w:rPr>
                <w:rFonts w:ascii="Times New Roman" w:hAnsi="Times New Roman"/>
                <w:color w:val="auto"/>
                <w:sz w:val="24"/>
                <w:szCs w:val="24"/>
              </w:rPr>
              <w:t>废机油</w:t>
            </w:r>
            <w:r>
              <w:rPr>
                <w:rFonts w:hint="eastAsia" w:ascii="Times New Roman" w:hAnsi="Times New Roman"/>
                <w:color w:val="auto"/>
                <w:sz w:val="24"/>
                <w:szCs w:val="24"/>
                <w:lang w:eastAsia="zh-CN"/>
              </w:rPr>
              <w:t>、隔油池油脂</w:t>
            </w:r>
            <w:r>
              <w:rPr>
                <w:rFonts w:ascii="Times New Roman" w:hAnsi="Times New Roman"/>
                <w:color w:val="auto"/>
                <w:sz w:val="24"/>
                <w:szCs w:val="24"/>
              </w:rPr>
              <w:t>用收集桶收集后暂存于暂存间中，定期委托有资质单位处置。</w:t>
            </w:r>
            <w:r>
              <w:rPr>
                <w:rFonts w:hint="eastAsia" w:ascii="Times New Roman" w:hAnsi="Times New Roman"/>
                <w:color w:val="auto"/>
                <w:sz w:val="24"/>
                <w:szCs w:val="24"/>
              </w:rPr>
              <w:t>生活垃圾</w:t>
            </w:r>
            <w:r>
              <w:rPr>
                <w:rFonts w:hint="eastAsia" w:ascii="Times New Roman" w:hAnsi="Times New Roman"/>
                <w:color w:val="auto"/>
                <w:sz w:val="24"/>
                <w:szCs w:val="24"/>
                <w:lang w:eastAsia="zh-CN"/>
              </w:rPr>
              <w:t>与</w:t>
            </w:r>
            <w:r>
              <w:rPr>
                <w:rFonts w:hint="eastAsia" w:ascii="Times New Roman" w:hAnsi="Times New Roman"/>
                <w:color w:val="auto"/>
                <w:sz w:val="24"/>
                <w:szCs w:val="24"/>
                <w:lang w:val="en-US" w:eastAsia="zh-CN"/>
              </w:rPr>
              <w:t>生活污水处理系统、四级沉淀池、初期雨水收集池产生的污泥</w:t>
            </w:r>
            <w:r>
              <w:rPr>
                <w:rFonts w:hint="eastAsia" w:ascii="Times New Roman" w:hAnsi="Times New Roman"/>
                <w:color w:val="auto"/>
                <w:sz w:val="24"/>
                <w:szCs w:val="24"/>
              </w:rPr>
              <w:t>按照环卫部门要求处置。项目固废</w:t>
            </w:r>
            <w:r>
              <w:rPr>
                <w:rFonts w:ascii="Times New Roman" w:hAnsi="Times New Roman"/>
                <w:color w:val="auto"/>
                <w:sz w:val="24"/>
                <w:szCs w:val="24"/>
              </w:rPr>
              <w:t>均有妥善的处置，处置率100%</w:t>
            </w:r>
            <w:r>
              <w:rPr>
                <w:rFonts w:hint="eastAsia" w:ascii="Times New Roman" w:hAnsi="Times New Roman"/>
                <w:color w:val="auto"/>
                <w:sz w:val="24"/>
                <w:szCs w:val="24"/>
              </w:rPr>
              <w:t>，</w:t>
            </w:r>
            <w:r>
              <w:rPr>
                <w:rFonts w:ascii="Times New Roman" w:hAnsi="Times New Roman"/>
                <w:color w:val="auto"/>
                <w:sz w:val="24"/>
                <w:szCs w:val="24"/>
              </w:rPr>
              <w:t>对周围环境影响较小。</w:t>
            </w:r>
          </w:p>
          <w:p>
            <w:pPr>
              <w:pStyle w:val="2"/>
              <w:adjustRightInd w:val="0"/>
              <w:snapToGrid w:val="0"/>
              <w:ind w:firstLine="480" w:firstLineChars="200"/>
              <w:rPr>
                <w:rFonts w:ascii="Times New Roman" w:hAnsi="Times New Roman"/>
                <w:color w:val="auto"/>
                <w:sz w:val="24"/>
                <w:szCs w:val="24"/>
              </w:rPr>
            </w:pPr>
            <w:r>
              <w:rPr>
                <w:rFonts w:ascii="Times New Roman" w:hAnsi="Times New Roman"/>
                <w:color w:val="auto"/>
                <w:sz w:val="24"/>
                <w:szCs w:val="24"/>
              </w:rPr>
              <w:t>总之，本项目运营期在不会对外环境造成明显不良影响。</w:t>
            </w:r>
          </w:p>
          <w:p>
            <w:pPr>
              <w:pStyle w:val="25"/>
              <w:tabs>
                <w:tab w:val="left" w:pos="2395"/>
              </w:tabs>
              <w:adjustRightInd w:val="0"/>
              <w:snapToGrid w:val="0"/>
              <w:spacing w:after="0" w:line="360" w:lineRule="auto"/>
              <w:ind w:left="0" w:leftChars="0"/>
              <w:rPr>
                <w:rFonts w:ascii="Times New Roman" w:hAnsi="Times New Roman"/>
                <w:b/>
                <w:color w:val="auto"/>
              </w:rPr>
            </w:pPr>
            <w:r>
              <w:rPr>
                <w:rFonts w:ascii="Times New Roman" w:hAnsi="Times New Roman"/>
                <w:b/>
                <w:color w:val="auto"/>
              </w:rPr>
              <w:t>4、总结论</w:t>
            </w:r>
          </w:p>
          <w:p>
            <w:pPr>
              <w:adjustRightInd w:val="0"/>
              <w:snapToGrid w:val="0"/>
              <w:spacing w:line="360" w:lineRule="auto"/>
              <w:ind w:firstLine="480"/>
              <w:rPr>
                <w:rFonts w:ascii="Times New Roman" w:hAnsi="Times New Roman"/>
                <w:color w:val="auto"/>
                <w:sz w:val="24"/>
              </w:rPr>
            </w:pPr>
            <w:r>
              <w:rPr>
                <w:rFonts w:ascii="Times New Roman" w:hAnsi="Times New Roman"/>
                <w:color w:val="auto"/>
                <w:sz w:val="24"/>
              </w:rPr>
              <w:t>评价认为，项目符合国家现行有关产业政策，符合当地城市发展规划，项目选址合理</w:t>
            </w:r>
            <w:r>
              <w:rPr>
                <w:rFonts w:hint="eastAsia" w:ascii="Times New Roman" w:hAnsi="Times New Roman"/>
                <w:color w:val="auto"/>
                <w:sz w:val="24"/>
              </w:rPr>
              <w:t>，</w:t>
            </w:r>
            <w:r>
              <w:rPr>
                <w:rFonts w:ascii="Times New Roman" w:hAnsi="Times New Roman"/>
                <w:color w:val="auto"/>
                <w:sz w:val="24"/>
              </w:rPr>
              <w:t>项目采取环保措施后对</w:t>
            </w:r>
            <w:r>
              <w:rPr>
                <w:rFonts w:ascii="Times New Roman" w:hAnsi="Times New Roman"/>
                <w:color w:val="auto"/>
                <w:sz w:val="24"/>
                <w:lang w:val="en-IE"/>
              </w:rPr>
              <w:t>周围环境影响较小</w:t>
            </w:r>
            <w:r>
              <w:rPr>
                <w:rFonts w:ascii="Times New Roman" w:hAnsi="Times New Roman"/>
                <w:color w:val="auto"/>
                <w:sz w:val="24"/>
              </w:rPr>
              <w:t>。项目采取的污染防治措施经济、技术可行，项目建成后满足当地环境质量要求。只要本项目严格按照评价中提出的环保治理措施要求，在执行“三同时”和污染物达标排放的前提下，本项目的建设从环保角度是可行的。</w:t>
            </w:r>
          </w:p>
          <w:p>
            <w:pPr>
              <w:pStyle w:val="25"/>
              <w:tabs>
                <w:tab w:val="left" w:pos="2395"/>
              </w:tabs>
              <w:spacing w:after="0" w:line="360" w:lineRule="auto"/>
              <w:ind w:left="0" w:leftChars="0"/>
              <w:rPr>
                <w:rFonts w:ascii="Times New Roman" w:hAnsi="Times New Roman"/>
                <w:b/>
                <w:color w:val="auto"/>
              </w:rPr>
            </w:pPr>
            <w:r>
              <w:rPr>
                <w:rFonts w:ascii="Times New Roman" w:hAnsi="Times New Roman"/>
                <w:b/>
                <w:color w:val="auto"/>
              </w:rPr>
              <w:t>二、对策措施</w:t>
            </w:r>
          </w:p>
          <w:p>
            <w:pPr>
              <w:spacing w:line="360" w:lineRule="auto"/>
              <w:ind w:firstLine="480"/>
              <w:rPr>
                <w:rFonts w:ascii="Times New Roman" w:hAnsi="Times New Roman"/>
                <w:color w:val="auto"/>
                <w:sz w:val="24"/>
              </w:rPr>
            </w:pPr>
            <w:r>
              <w:rPr>
                <w:rFonts w:ascii="Times New Roman" w:hAnsi="Times New Roman"/>
                <w:color w:val="auto"/>
                <w:sz w:val="24"/>
              </w:rPr>
              <w:t>项目施工期主要进行设备安装，因此本次主要针对运营期提出环境影响对策措施，主要如下</w:t>
            </w:r>
          </w:p>
          <w:p>
            <w:pPr>
              <w:ind w:firstLine="2289" w:firstLineChars="950"/>
              <w:rPr>
                <w:rFonts w:ascii="Times New Roman" w:hAnsi="Times New Roman"/>
                <w:b/>
                <w:bCs/>
                <w:color w:val="auto"/>
                <w:sz w:val="24"/>
              </w:rPr>
            </w:pPr>
            <w:r>
              <w:rPr>
                <w:rFonts w:ascii="Times New Roman" w:hAnsi="Times New Roman"/>
                <w:b/>
                <w:bCs/>
                <w:color w:val="auto"/>
                <w:sz w:val="24"/>
              </w:rPr>
              <w:t>表9-1  对策措施一览表</w:t>
            </w:r>
          </w:p>
          <w:tbl>
            <w:tblPr>
              <w:tblStyle w:val="43"/>
              <w:tblW w:w="84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3"/>
              <w:gridCol w:w="640"/>
              <w:gridCol w:w="71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rPr>
                      <w:rFonts w:ascii="Times New Roman" w:hAnsi="Times New Roman"/>
                      <w:color w:val="auto"/>
                      <w:szCs w:val="21"/>
                    </w:rPr>
                  </w:pPr>
                  <w:r>
                    <w:rPr>
                      <w:rFonts w:ascii="Times New Roman" w:hAnsi="Times New Roman"/>
                      <w:color w:val="auto"/>
                      <w:szCs w:val="21"/>
                    </w:rPr>
                    <w:t>一</w:t>
                  </w:r>
                </w:p>
              </w:tc>
              <w:tc>
                <w:tcPr>
                  <w:tcW w:w="7811" w:type="dxa"/>
                  <w:gridSpan w:val="2"/>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施工期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1</w:t>
                  </w:r>
                </w:p>
              </w:tc>
              <w:tc>
                <w:tcPr>
                  <w:tcW w:w="640" w:type="dxa"/>
                  <w:tcBorders>
                    <w:right w:val="single" w:color="auto" w:sz="4" w:space="0"/>
                  </w:tcBorders>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大气环境</w:t>
                  </w:r>
                </w:p>
              </w:tc>
              <w:tc>
                <w:tcPr>
                  <w:tcW w:w="7171" w:type="dxa"/>
                  <w:tcBorders>
                    <w:left w:val="single" w:color="auto" w:sz="4" w:space="0"/>
                  </w:tcBorders>
                  <w:vAlign w:val="center"/>
                </w:tcPr>
                <w:p>
                  <w:pPr>
                    <w:adjustRightInd w:val="0"/>
                    <w:snapToGrid w:val="0"/>
                    <w:rPr>
                      <w:rFonts w:ascii="Times New Roman" w:hAnsi="Times New Roman"/>
                      <w:color w:val="auto"/>
                      <w:szCs w:val="21"/>
                    </w:rPr>
                  </w:pPr>
                  <w:r>
                    <w:rPr>
                      <w:rFonts w:ascii="Times New Roman" w:hAnsi="Times New Roman"/>
                      <w:color w:val="auto"/>
                      <w:szCs w:val="21"/>
                    </w:rPr>
                    <w:t>（1）加强对施工机械、施工车辆的维修保养，禁止以柴油为燃料的施工机械超负荷工作，减少施工机械废气、运输车辆尾气的排放；</w:t>
                  </w:r>
                </w:p>
                <w:p>
                  <w:pPr>
                    <w:adjustRightInd w:val="0"/>
                    <w:snapToGrid w:val="0"/>
                    <w:rPr>
                      <w:rFonts w:ascii="Times New Roman" w:hAnsi="Times New Roman"/>
                      <w:color w:val="auto"/>
                      <w:szCs w:val="21"/>
                    </w:rPr>
                  </w:pPr>
                  <w:r>
                    <w:rPr>
                      <w:rFonts w:ascii="Times New Roman" w:hAnsi="Times New Roman"/>
                      <w:color w:val="auto"/>
                      <w:szCs w:val="21"/>
                    </w:rPr>
                    <w:t>（2）项目施工场地洒水降尘。四级或四级以上大风天气，应停止土方作业，同时作业处覆以防尘网；</w:t>
                  </w:r>
                </w:p>
                <w:p>
                  <w:pPr>
                    <w:adjustRightInd w:val="0"/>
                    <w:snapToGrid w:val="0"/>
                    <w:rPr>
                      <w:rFonts w:ascii="Times New Roman" w:hAnsi="Times New Roman"/>
                      <w:color w:val="auto"/>
                      <w:szCs w:val="21"/>
                    </w:rPr>
                  </w:pPr>
                  <w:r>
                    <w:rPr>
                      <w:rFonts w:ascii="Times New Roman" w:hAnsi="Times New Roman"/>
                      <w:color w:val="auto"/>
                      <w:szCs w:val="21"/>
                    </w:rPr>
                    <w:t>（3）施工场地内运输通道应及时清扫和平整，以尽量减少运输车辆行驶产生的扬尘；</w:t>
                  </w:r>
                </w:p>
                <w:p>
                  <w:pPr>
                    <w:adjustRightInd w:val="0"/>
                    <w:snapToGrid w:val="0"/>
                    <w:rPr>
                      <w:rFonts w:ascii="Times New Roman" w:hAnsi="Times New Roman"/>
                      <w:color w:val="auto"/>
                      <w:szCs w:val="21"/>
                    </w:rPr>
                  </w:pPr>
                  <w:r>
                    <w:rPr>
                      <w:rFonts w:ascii="Times New Roman" w:hAnsi="Times New Roman"/>
                      <w:color w:val="auto"/>
                      <w:szCs w:val="21"/>
                    </w:rPr>
                    <w:t>（4）施工过程中使用水泥、石灰、砂石、涂料、铺装材料等易产生扬尘建筑材料，应采取密封存储、设置围挡或堆砌围墙、用防尘布苫盖等措施；</w:t>
                  </w:r>
                </w:p>
                <w:p>
                  <w:pPr>
                    <w:adjustRightInd w:val="0"/>
                    <w:snapToGrid w:val="0"/>
                    <w:rPr>
                      <w:rFonts w:ascii="Times New Roman" w:hAnsi="Times New Roman"/>
                      <w:color w:val="auto"/>
                      <w:szCs w:val="21"/>
                    </w:rPr>
                  </w:pPr>
                  <w:r>
                    <w:rPr>
                      <w:rFonts w:ascii="Times New Roman" w:hAnsi="Times New Roman"/>
                      <w:color w:val="auto"/>
                      <w:szCs w:val="21"/>
                    </w:rPr>
                    <w:t>（5）施工过程中产生的建筑垃圾，应及时清运；</w:t>
                  </w:r>
                </w:p>
                <w:p>
                  <w:pPr>
                    <w:adjustRightInd w:val="0"/>
                    <w:snapToGrid w:val="0"/>
                    <w:rPr>
                      <w:rFonts w:ascii="Times New Roman" w:hAnsi="Times New Roman"/>
                      <w:color w:val="auto"/>
                      <w:szCs w:val="21"/>
                    </w:rPr>
                  </w:pPr>
                  <w:r>
                    <w:rPr>
                      <w:rFonts w:ascii="Times New Roman" w:hAnsi="Times New Roman"/>
                      <w:color w:val="auto"/>
                      <w:szCs w:val="21"/>
                    </w:rPr>
                    <w:t>（6）运输车辆尽可能采用密闭车斗，加盖篷布，保证物料不撒落。车辆应按照批准的路线和时间进行运输；</w:t>
                  </w:r>
                </w:p>
                <w:p>
                  <w:pPr>
                    <w:adjustRightInd w:val="0"/>
                    <w:snapToGrid w:val="0"/>
                    <w:rPr>
                      <w:rFonts w:ascii="Times New Roman" w:hAnsi="Times New Roman"/>
                      <w:color w:val="auto"/>
                      <w:szCs w:val="21"/>
                    </w:rPr>
                  </w:pPr>
                  <w:r>
                    <w:rPr>
                      <w:rFonts w:ascii="Times New Roman" w:hAnsi="Times New Roman"/>
                      <w:color w:val="auto"/>
                      <w:szCs w:val="21"/>
                    </w:rPr>
                    <w:t>（7）施工场地裸地要覆盖防尘布或防尘网、洒水抑尘，实行科学施工、文明施工、并采取行之有效的措施，以减少扬尘的污染。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2</w:t>
                  </w:r>
                </w:p>
              </w:tc>
              <w:tc>
                <w:tcPr>
                  <w:tcW w:w="640" w:type="dxa"/>
                  <w:tcBorders>
                    <w:right w:val="single" w:color="auto" w:sz="4" w:space="0"/>
                  </w:tcBorders>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水环境</w:t>
                  </w:r>
                </w:p>
              </w:tc>
              <w:tc>
                <w:tcPr>
                  <w:tcW w:w="7171" w:type="dxa"/>
                  <w:tcBorders>
                    <w:left w:val="single" w:color="auto" w:sz="4" w:space="0"/>
                  </w:tcBorders>
                  <w:vAlign w:val="center"/>
                </w:tcPr>
                <w:p>
                  <w:pPr>
                    <w:adjustRightInd w:val="0"/>
                    <w:snapToGrid w:val="0"/>
                    <w:jc w:val="left"/>
                    <w:rPr>
                      <w:rFonts w:ascii="Times New Roman" w:hAnsi="Times New Roman"/>
                      <w:color w:val="auto"/>
                      <w:szCs w:val="21"/>
                    </w:rPr>
                  </w:pPr>
                  <w:r>
                    <w:rPr>
                      <w:rFonts w:ascii="Times New Roman" w:hAnsi="Times New Roman"/>
                      <w:color w:val="auto"/>
                      <w:szCs w:val="21"/>
                    </w:rPr>
                    <w:t>（1）施工期产生的生活污水、施工废水经过简单沉淀处理后，用于施工场地的降尘洒水，不外排。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3</w:t>
                  </w:r>
                </w:p>
              </w:tc>
              <w:tc>
                <w:tcPr>
                  <w:tcW w:w="640" w:type="dxa"/>
                  <w:tcBorders>
                    <w:right w:val="single" w:color="auto" w:sz="4" w:space="0"/>
                  </w:tcBorders>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声环境</w:t>
                  </w:r>
                </w:p>
              </w:tc>
              <w:tc>
                <w:tcPr>
                  <w:tcW w:w="7171" w:type="dxa"/>
                  <w:tcBorders>
                    <w:left w:val="single" w:color="auto" w:sz="4" w:space="0"/>
                  </w:tcBorders>
                  <w:vAlign w:val="center"/>
                </w:tcPr>
                <w:p>
                  <w:pPr>
                    <w:adjustRightInd w:val="0"/>
                    <w:snapToGrid w:val="0"/>
                    <w:jc w:val="left"/>
                    <w:rPr>
                      <w:rFonts w:ascii="Times New Roman" w:hAnsi="Times New Roman"/>
                      <w:color w:val="auto"/>
                      <w:szCs w:val="21"/>
                    </w:rPr>
                  </w:pPr>
                  <w:r>
                    <w:rPr>
                      <w:rFonts w:ascii="Times New Roman" w:hAnsi="Times New Roman"/>
                      <w:color w:val="auto"/>
                      <w:szCs w:val="21"/>
                    </w:rPr>
                    <w:t>（1）</w:t>
                  </w:r>
                  <w:r>
                    <w:rPr>
                      <w:rFonts w:ascii="Times New Roman" w:hAnsi="Times New Roman"/>
                      <w:color w:val="auto"/>
                      <w:spacing w:val="-2"/>
                      <w:szCs w:val="21"/>
                    </w:rPr>
                    <w:t>施工过程中，应根据机械设备产生噪声的特点，合理安排施工时间</w:t>
                  </w:r>
                  <w:r>
                    <w:rPr>
                      <w:rFonts w:ascii="Times New Roman" w:hAnsi="Times New Roman"/>
                      <w:color w:val="auto"/>
                      <w:szCs w:val="21"/>
                    </w:rPr>
                    <w:t>，避免在夜间施工；</w:t>
                  </w:r>
                </w:p>
                <w:p>
                  <w:pPr>
                    <w:adjustRightInd w:val="0"/>
                    <w:snapToGrid w:val="0"/>
                    <w:jc w:val="left"/>
                    <w:rPr>
                      <w:rFonts w:ascii="Times New Roman" w:hAnsi="Times New Roman"/>
                      <w:color w:val="auto"/>
                      <w:szCs w:val="21"/>
                    </w:rPr>
                  </w:pPr>
                  <w:r>
                    <w:rPr>
                      <w:rFonts w:ascii="Times New Roman" w:hAnsi="Times New Roman"/>
                      <w:color w:val="auto"/>
                      <w:szCs w:val="21"/>
                    </w:rPr>
                    <w:t>（2）尽量避免夜间施工；</w:t>
                  </w:r>
                </w:p>
                <w:p>
                  <w:pPr>
                    <w:adjustRightInd w:val="0"/>
                    <w:snapToGrid w:val="0"/>
                    <w:jc w:val="left"/>
                    <w:rPr>
                      <w:rFonts w:ascii="Times New Roman" w:hAnsi="Times New Roman"/>
                      <w:color w:val="auto"/>
                      <w:szCs w:val="21"/>
                    </w:rPr>
                  </w:pPr>
                  <w:r>
                    <w:rPr>
                      <w:rFonts w:ascii="Times New Roman" w:hAnsi="Times New Roman"/>
                      <w:color w:val="auto"/>
                      <w:szCs w:val="21"/>
                    </w:rPr>
                    <w:t>（3）运输车辆在途经声环境敏感路段时要限速行驶、禁止鸣笛；</w:t>
                  </w:r>
                </w:p>
                <w:p>
                  <w:pPr>
                    <w:pStyle w:val="2"/>
                    <w:adjustRightInd w:val="0"/>
                    <w:snapToGrid w:val="0"/>
                    <w:spacing w:line="240" w:lineRule="auto"/>
                    <w:jc w:val="left"/>
                    <w:rPr>
                      <w:rFonts w:ascii="Times New Roman" w:hAnsi="Times New Roman"/>
                      <w:color w:val="auto"/>
                      <w:sz w:val="21"/>
                    </w:rPr>
                  </w:pPr>
                  <w:r>
                    <w:rPr>
                      <w:rFonts w:ascii="Times New Roman" w:hAnsi="Times New Roman"/>
                      <w:color w:val="auto"/>
                      <w:sz w:val="21"/>
                    </w:rPr>
                    <w:t>（4）对钢管、摸板等构件装卸、搬运应该轻拿轻放，严禁抛掷，并辅以一定的减缓措施，如铺设草包等；</w:t>
                  </w:r>
                </w:p>
                <w:p>
                  <w:pPr>
                    <w:adjustRightInd w:val="0"/>
                    <w:snapToGrid w:val="0"/>
                    <w:jc w:val="left"/>
                    <w:rPr>
                      <w:rFonts w:ascii="Times New Roman" w:hAnsi="Times New Roman"/>
                      <w:color w:val="auto"/>
                      <w:szCs w:val="21"/>
                    </w:rPr>
                  </w:pPr>
                  <w:r>
                    <w:rPr>
                      <w:rFonts w:ascii="Times New Roman" w:hAnsi="Times New Roman"/>
                      <w:color w:val="auto"/>
                      <w:szCs w:val="21"/>
                    </w:rPr>
                    <w:t>（5）对动力机械设备定期进行维修和养护，避免因松动部件振动或消声器损坏而加大设备工作时的声级。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4</w:t>
                  </w:r>
                </w:p>
              </w:tc>
              <w:tc>
                <w:tcPr>
                  <w:tcW w:w="640" w:type="dxa"/>
                  <w:tcBorders>
                    <w:right w:val="single" w:color="auto" w:sz="4" w:space="0"/>
                  </w:tcBorders>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固废</w:t>
                  </w:r>
                </w:p>
              </w:tc>
              <w:tc>
                <w:tcPr>
                  <w:tcW w:w="7171" w:type="dxa"/>
                  <w:tcBorders>
                    <w:left w:val="single" w:color="auto" w:sz="4" w:space="0"/>
                  </w:tcBorders>
                  <w:vAlign w:val="center"/>
                </w:tcPr>
                <w:p>
                  <w:pPr>
                    <w:adjustRightInd w:val="0"/>
                    <w:snapToGrid w:val="0"/>
                    <w:jc w:val="left"/>
                    <w:rPr>
                      <w:rFonts w:ascii="Times New Roman" w:hAnsi="Times New Roman"/>
                      <w:color w:val="auto"/>
                      <w:szCs w:val="21"/>
                    </w:rPr>
                  </w:pPr>
                  <w:r>
                    <w:rPr>
                      <w:rFonts w:ascii="Times New Roman" w:hAnsi="Times New Roman"/>
                      <w:color w:val="auto"/>
                      <w:szCs w:val="21"/>
                    </w:rPr>
                    <w:t>（1）开挖土石方及时回填，禁止随意堆放；</w:t>
                  </w:r>
                </w:p>
                <w:p>
                  <w:pPr>
                    <w:pStyle w:val="2"/>
                    <w:adjustRightInd w:val="0"/>
                    <w:snapToGrid w:val="0"/>
                    <w:spacing w:line="240" w:lineRule="auto"/>
                    <w:jc w:val="left"/>
                    <w:rPr>
                      <w:rFonts w:ascii="Times New Roman" w:hAnsi="Times New Roman"/>
                      <w:color w:val="auto"/>
                      <w:sz w:val="21"/>
                    </w:rPr>
                  </w:pPr>
                  <w:r>
                    <w:rPr>
                      <w:rFonts w:ascii="Times New Roman" w:hAnsi="Times New Roman"/>
                      <w:color w:val="auto"/>
                      <w:sz w:val="21"/>
                    </w:rPr>
                    <w:t>（2）具有回收价值的建筑垃圾送废品收购站回收利用，不可回收部分按当地建设主管部门要求处置，禁止随意倾倒；</w:t>
                  </w:r>
                </w:p>
                <w:p>
                  <w:pPr>
                    <w:pStyle w:val="2"/>
                    <w:adjustRightInd w:val="0"/>
                    <w:snapToGrid w:val="0"/>
                    <w:spacing w:line="240" w:lineRule="auto"/>
                    <w:jc w:val="left"/>
                    <w:rPr>
                      <w:rFonts w:ascii="Times New Roman" w:hAnsi="Times New Roman"/>
                      <w:color w:val="auto"/>
                      <w:sz w:val="21"/>
                    </w:rPr>
                  </w:pPr>
                  <w:r>
                    <w:rPr>
                      <w:rFonts w:ascii="Times New Roman" w:hAnsi="Times New Roman"/>
                      <w:color w:val="auto"/>
                      <w:sz w:val="21"/>
                    </w:rPr>
                    <w:t>（3）生活垃圾经收集后按当地环卫部门要求处理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rPr>
                      <w:rFonts w:ascii="Times New Roman" w:hAnsi="Times New Roman"/>
                      <w:color w:val="auto"/>
                      <w:szCs w:val="21"/>
                    </w:rPr>
                  </w:pPr>
                  <w:r>
                    <w:rPr>
                      <w:rFonts w:ascii="Times New Roman" w:hAnsi="Times New Roman"/>
                      <w:color w:val="auto"/>
                      <w:szCs w:val="21"/>
                    </w:rPr>
                    <w:t>二</w:t>
                  </w:r>
                </w:p>
              </w:tc>
              <w:tc>
                <w:tcPr>
                  <w:tcW w:w="7811" w:type="dxa"/>
                  <w:gridSpan w:val="2"/>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运营期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1</w:t>
                  </w:r>
                </w:p>
              </w:tc>
              <w:tc>
                <w:tcPr>
                  <w:tcW w:w="640" w:type="dxa"/>
                  <w:tcBorders>
                    <w:right w:val="single" w:color="auto" w:sz="4" w:space="0"/>
                  </w:tcBorders>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大气环境</w:t>
                  </w:r>
                </w:p>
              </w:tc>
              <w:tc>
                <w:tcPr>
                  <w:tcW w:w="7171" w:type="dxa"/>
                  <w:tcBorders>
                    <w:left w:val="single" w:color="auto" w:sz="4" w:space="0"/>
                  </w:tcBorders>
                </w:tcPr>
                <w:p>
                  <w:pPr>
                    <w:adjustRightInd w:val="0"/>
                    <w:snapToGrid w:val="0"/>
                    <w:rPr>
                      <w:color w:val="auto"/>
                    </w:rPr>
                  </w:pPr>
                  <w:r>
                    <w:rPr>
                      <w:color w:val="auto"/>
                    </w:rPr>
                    <w:t>（1）</w:t>
                  </w:r>
                  <w:r>
                    <w:rPr>
                      <w:rFonts w:hint="eastAsia"/>
                      <w:color w:val="auto"/>
                    </w:rPr>
                    <w:t>砂石料堆棚</w:t>
                  </w:r>
                  <w:r>
                    <w:rPr>
                      <w:color w:val="auto"/>
                    </w:rPr>
                    <w:t>采取</w:t>
                  </w:r>
                  <w:r>
                    <w:rPr>
                      <w:rFonts w:hint="eastAsia"/>
                      <w:color w:val="auto"/>
                    </w:rPr>
                    <w:t>彩钢瓦</w:t>
                  </w:r>
                  <w:r>
                    <w:rPr>
                      <w:color w:val="auto"/>
                    </w:rPr>
                    <w:t>顶棚及三面挡墙，并定时采取喷雾洒水降尘措施；</w:t>
                  </w:r>
                </w:p>
                <w:p>
                  <w:pPr>
                    <w:adjustRightInd w:val="0"/>
                    <w:snapToGrid w:val="0"/>
                    <w:rPr>
                      <w:color w:val="auto"/>
                    </w:rPr>
                  </w:pPr>
                  <w:r>
                    <w:rPr>
                      <w:color w:val="auto"/>
                    </w:rPr>
                    <w:t>（2）</w:t>
                  </w:r>
                  <w:r>
                    <w:rPr>
                      <w:rFonts w:hint="eastAsia"/>
                      <w:color w:val="auto"/>
                      <w:lang w:eastAsia="zh-CN"/>
                    </w:rPr>
                    <w:t>水泥、粉煤灰</w:t>
                  </w:r>
                  <w:r>
                    <w:rPr>
                      <w:color w:val="auto"/>
                    </w:rPr>
                    <w:t>仓顶、下料及转载点等废气采取集气罩收集后经布袋除尘器净化处理；</w:t>
                  </w:r>
                </w:p>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sz w:val="21"/>
                      <w:szCs w:val="21"/>
                      <w:lang w:eastAsia="zh-CN"/>
                    </w:rPr>
                  </w:pPr>
                  <w:r>
                    <w:rPr>
                      <w:rFonts w:hint="eastAsia"/>
                      <w:color w:val="auto"/>
                      <w:sz w:val="21"/>
                      <w:szCs w:val="21"/>
                      <w:lang w:eastAsia="zh-CN"/>
                    </w:rPr>
                    <w:t>（</w:t>
                  </w:r>
                  <w:r>
                    <w:rPr>
                      <w:rFonts w:hint="eastAsia"/>
                      <w:color w:val="auto"/>
                      <w:sz w:val="21"/>
                      <w:szCs w:val="21"/>
                      <w:lang w:val="en-US" w:eastAsia="zh-CN"/>
                    </w:rPr>
                    <w:t>3</w:t>
                  </w:r>
                  <w:r>
                    <w:rPr>
                      <w:rFonts w:hint="eastAsia"/>
                      <w:color w:val="auto"/>
                      <w:sz w:val="21"/>
                      <w:szCs w:val="21"/>
                      <w:lang w:eastAsia="zh-CN"/>
                    </w:rPr>
                    <w:t>）输送、计量、投料无组织粉尘，运输车辆加盖篷布，半密闭输送；</w:t>
                  </w:r>
                </w:p>
                <w:p>
                  <w:pPr>
                    <w:adjustRightInd w:val="0"/>
                    <w:snapToGrid w:val="0"/>
                    <w:rPr>
                      <w:color w:val="auto"/>
                    </w:rPr>
                  </w:pPr>
                  <w:r>
                    <w:rPr>
                      <w:color w:val="auto"/>
                    </w:rPr>
                    <w:t>（3）食堂油烟设置油烟净化器；</w:t>
                  </w:r>
                </w:p>
                <w:p>
                  <w:pPr>
                    <w:pStyle w:val="2"/>
                    <w:spacing w:line="240" w:lineRule="auto"/>
                    <w:rPr>
                      <w:rFonts w:hint="eastAsia" w:ascii="Times New Roman" w:hAnsi="Times New Roman"/>
                      <w:color w:val="auto"/>
                      <w:sz w:val="21"/>
                    </w:rPr>
                  </w:pPr>
                  <w:r>
                    <w:rPr>
                      <w:rFonts w:hint="eastAsia" w:ascii="Times New Roman" w:hAnsi="Times New Roman"/>
                      <w:color w:val="auto"/>
                      <w:sz w:val="21"/>
                    </w:rPr>
                    <w:t>（4）焊接废气经车间通风排放；</w:t>
                  </w:r>
                </w:p>
                <w:p>
                  <w:pPr>
                    <w:pStyle w:val="2"/>
                    <w:spacing w:line="240" w:lineRule="auto"/>
                    <w:rPr>
                      <w:rFonts w:hint="eastAsia" w:ascii="Times New Roman" w:hAnsi="Times New Roman" w:eastAsia="宋体"/>
                      <w:color w:val="auto"/>
                      <w:sz w:val="21"/>
                      <w:lang w:eastAsia="zh-CN"/>
                    </w:rPr>
                  </w:pPr>
                  <w:r>
                    <w:rPr>
                      <w:rFonts w:hint="eastAsia" w:ascii="Times New Roman" w:hAnsi="Times New Roman"/>
                      <w:color w:val="auto"/>
                      <w:sz w:val="21"/>
                      <w:lang w:eastAsia="zh-CN"/>
                    </w:rPr>
                    <w:t>（</w:t>
                  </w:r>
                  <w:r>
                    <w:rPr>
                      <w:rFonts w:hint="eastAsia" w:ascii="Times New Roman" w:hAnsi="Times New Roman"/>
                      <w:color w:val="auto"/>
                      <w:sz w:val="21"/>
                      <w:lang w:val="en-US" w:eastAsia="zh-CN"/>
                    </w:rPr>
                    <w:t>5</w:t>
                  </w:r>
                  <w:r>
                    <w:rPr>
                      <w:rFonts w:hint="eastAsia" w:ascii="Times New Roman" w:hAnsi="Times New Roman"/>
                      <w:color w:val="auto"/>
                      <w:sz w:val="21"/>
                      <w:lang w:eastAsia="zh-CN"/>
                    </w:rPr>
                    <w:t>）切割废气经车间通风排放；</w:t>
                  </w:r>
                </w:p>
                <w:p>
                  <w:pPr>
                    <w:pStyle w:val="2"/>
                    <w:spacing w:line="240" w:lineRule="auto"/>
                    <w:rPr>
                      <w:rFonts w:hint="eastAsia" w:ascii="Times New Roman" w:hAnsi="Times New Roman" w:eastAsia="宋体"/>
                      <w:color w:val="auto"/>
                      <w:sz w:val="21"/>
                      <w:lang w:eastAsia="zh-CN"/>
                    </w:rPr>
                  </w:pPr>
                  <w:r>
                    <w:rPr>
                      <w:rFonts w:hint="eastAsia" w:ascii="Times New Roman" w:hAnsi="Times New Roman"/>
                      <w:color w:val="auto"/>
                      <w:sz w:val="21"/>
                      <w:lang w:eastAsia="zh-CN"/>
                    </w:rPr>
                    <w:t>（</w:t>
                  </w:r>
                  <w:r>
                    <w:rPr>
                      <w:rFonts w:hint="eastAsia" w:ascii="Times New Roman" w:hAnsi="Times New Roman"/>
                      <w:color w:val="auto"/>
                      <w:sz w:val="21"/>
                      <w:lang w:val="en-US" w:eastAsia="zh-CN"/>
                    </w:rPr>
                    <w:t>6</w:t>
                  </w:r>
                  <w:r>
                    <w:rPr>
                      <w:rFonts w:hint="eastAsia" w:ascii="Times New Roman" w:hAnsi="Times New Roman"/>
                      <w:color w:val="auto"/>
                      <w:sz w:val="21"/>
                      <w:lang w:eastAsia="zh-CN"/>
                    </w:rPr>
                    <w:t>）柴油发电机废气自然净化。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2</w:t>
                  </w:r>
                </w:p>
              </w:tc>
              <w:tc>
                <w:tcPr>
                  <w:tcW w:w="640"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水环境</w:t>
                  </w:r>
                </w:p>
              </w:tc>
              <w:tc>
                <w:tcPr>
                  <w:tcW w:w="7171" w:type="dxa"/>
                </w:tcPr>
                <w:p>
                  <w:pPr>
                    <w:adjustRightInd w:val="0"/>
                    <w:snapToGrid w:val="0"/>
                    <w:rPr>
                      <w:rFonts w:ascii="Times New Roman" w:hAnsi="Times New Roman"/>
                      <w:color w:val="auto"/>
                    </w:rPr>
                  </w:pPr>
                  <w:r>
                    <w:rPr>
                      <w:rFonts w:ascii="Times New Roman" w:hAnsi="Times New Roman"/>
                      <w:color w:val="auto"/>
                    </w:rPr>
                    <w:t>（1）雨污分流项目区雨污分流，初期雨水设置一个</w:t>
                  </w:r>
                  <w:r>
                    <w:rPr>
                      <w:rFonts w:hint="eastAsia" w:ascii="Times New Roman" w:hAnsi="Times New Roman"/>
                      <w:color w:val="auto"/>
                      <w:szCs w:val="21"/>
                    </w:rPr>
                    <w:t>40</w:t>
                  </w:r>
                  <w:r>
                    <w:rPr>
                      <w:rFonts w:ascii="Times New Roman" w:hAnsi="Times New Roman"/>
                      <w:color w:val="auto"/>
                      <w:szCs w:val="21"/>
                    </w:rPr>
                    <w:t>m</w:t>
                  </w:r>
                  <w:r>
                    <w:rPr>
                      <w:rFonts w:ascii="Times New Roman" w:hAnsi="Times New Roman"/>
                      <w:color w:val="auto"/>
                      <w:szCs w:val="21"/>
                      <w:vertAlign w:val="superscript"/>
                    </w:rPr>
                    <w:t>3</w:t>
                  </w:r>
                  <w:r>
                    <w:rPr>
                      <w:rFonts w:ascii="Times New Roman" w:hAnsi="Times New Roman"/>
                      <w:color w:val="auto"/>
                      <w:szCs w:val="21"/>
                    </w:rPr>
                    <w:t>收集池</w:t>
                  </w:r>
                  <w:r>
                    <w:rPr>
                      <w:rFonts w:hint="eastAsia" w:ascii="Times New Roman" w:hAnsi="Times New Roman"/>
                      <w:color w:val="auto"/>
                      <w:szCs w:val="21"/>
                    </w:rPr>
                    <w:t>沉淀</w:t>
                  </w:r>
                  <w:r>
                    <w:rPr>
                      <w:rFonts w:ascii="Times New Roman" w:hAnsi="Times New Roman"/>
                      <w:color w:val="auto"/>
                      <w:szCs w:val="21"/>
                    </w:rPr>
                    <w:t>后</w:t>
                  </w:r>
                  <w:r>
                    <w:rPr>
                      <w:rFonts w:hint="eastAsia" w:ascii="Times New Roman" w:hAnsi="Times New Roman"/>
                      <w:color w:val="auto"/>
                      <w:szCs w:val="21"/>
                    </w:rPr>
                    <w:t>补充生产用水</w:t>
                  </w:r>
                  <w:r>
                    <w:rPr>
                      <w:rFonts w:ascii="Times New Roman" w:hAnsi="Times New Roman"/>
                      <w:color w:val="auto"/>
                      <w:szCs w:val="21"/>
                    </w:rPr>
                    <w:t>。</w:t>
                  </w:r>
                </w:p>
                <w:p>
                  <w:pPr>
                    <w:rPr>
                      <w:rFonts w:ascii="Times New Roman" w:hAnsi="Times New Roman"/>
                      <w:color w:val="auto"/>
                    </w:rPr>
                  </w:pPr>
                  <w:r>
                    <w:rPr>
                      <w:rFonts w:ascii="Times New Roman" w:hAnsi="Times New Roman"/>
                      <w:color w:val="auto"/>
                    </w:rPr>
                    <w:t>（2）</w:t>
                  </w:r>
                  <w:r>
                    <w:rPr>
                      <w:rFonts w:ascii="Times New Roman" w:hAnsi="Times New Roman"/>
                      <w:color w:val="auto"/>
                      <w:szCs w:val="21"/>
                    </w:rPr>
                    <w:t>食堂废水经</w:t>
                  </w:r>
                  <w:r>
                    <w:rPr>
                      <w:rFonts w:hint="eastAsia" w:ascii="Times New Roman" w:hAnsi="Times New Roman"/>
                      <w:color w:val="auto"/>
                      <w:szCs w:val="21"/>
                    </w:rPr>
                    <w:t>1</w:t>
                  </w:r>
                  <w:r>
                    <w:rPr>
                      <w:rFonts w:ascii="Times New Roman" w:hAnsi="Times New Roman"/>
                      <w:color w:val="auto"/>
                      <w:szCs w:val="21"/>
                    </w:rPr>
                    <w:t>m</w:t>
                  </w:r>
                  <w:r>
                    <w:rPr>
                      <w:rFonts w:ascii="Times New Roman" w:hAnsi="Times New Roman"/>
                      <w:color w:val="auto"/>
                      <w:szCs w:val="21"/>
                      <w:vertAlign w:val="superscript"/>
                    </w:rPr>
                    <w:t>3</w:t>
                  </w:r>
                  <w:r>
                    <w:rPr>
                      <w:rFonts w:ascii="Times New Roman" w:hAnsi="Times New Roman"/>
                      <w:color w:val="auto"/>
                      <w:szCs w:val="21"/>
                    </w:rPr>
                    <w:t>隔油池处理后与</w:t>
                  </w:r>
                  <w:r>
                    <w:rPr>
                      <w:rFonts w:hint="eastAsia" w:ascii="Times New Roman" w:hAnsi="Times New Roman"/>
                      <w:color w:val="auto"/>
                      <w:szCs w:val="21"/>
                      <w:lang w:eastAsia="zh-CN"/>
                    </w:rPr>
                    <w:t>其他生活污水</w:t>
                  </w:r>
                  <w:r>
                    <w:rPr>
                      <w:rFonts w:hint="eastAsia" w:ascii="Times New Roman" w:hAnsi="Times New Roman"/>
                      <w:color w:val="auto"/>
                      <w:szCs w:val="21"/>
                    </w:rPr>
                    <w:t>排入10m</w:t>
                  </w:r>
                  <w:r>
                    <w:rPr>
                      <w:rFonts w:hint="eastAsia" w:ascii="Times New Roman" w:hAnsi="Times New Roman"/>
                      <w:color w:val="auto"/>
                      <w:szCs w:val="21"/>
                      <w:vertAlign w:val="superscript"/>
                    </w:rPr>
                    <w:t>3</w:t>
                  </w:r>
                  <w:r>
                    <w:rPr>
                      <w:rFonts w:hint="eastAsia" w:ascii="Times New Roman" w:hAnsi="Times New Roman"/>
                      <w:color w:val="auto"/>
                      <w:szCs w:val="21"/>
                    </w:rPr>
                    <w:t>化粪池</w:t>
                  </w:r>
                  <w:r>
                    <w:rPr>
                      <w:rFonts w:hint="eastAsia" w:ascii="Times New Roman" w:hAnsi="Times New Roman"/>
                      <w:color w:val="auto"/>
                      <w:szCs w:val="21"/>
                      <w:lang w:eastAsia="zh-CN"/>
                    </w:rPr>
                    <w:t>，预处理后排入中水处理站处理达标后</w:t>
                  </w:r>
                  <w:r>
                    <w:rPr>
                      <w:rFonts w:hint="eastAsia" w:ascii="Times New Roman" w:hAnsi="Times New Roman"/>
                      <w:color w:val="auto"/>
                      <w:szCs w:val="21"/>
                    </w:rPr>
                    <w:t>用于项目区洒水</w:t>
                  </w:r>
                  <w:r>
                    <w:rPr>
                      <w:rFonts w:hint="eastAsia" w:ascii="Times New Roman" w:hAnsi="Times New Roman"/>
                      <w:color w:val="auto"/>
                      <w:szCs w:val="21"/>
                      <w:lang w:eastAsia="zh-CN"/>
                    </w:rPr>
                    <w:t>抑尘</w:t>
                  </w:r>
                  <w:r>
                    <w:rPr>
                      <w:rFonts w:hint="eastAsia" w:ascii="Times New Roman" w:hAnsi="Times New Roman"/>
                      <w:color w:val="auto"/>
                      <w:szCs w:val="21"/>
                    </w:rPr>
                    <w:t>。</w:t>
                  </w:r>
                </w:p>
                <w:p>
                  <w:pPr>
                    <w:autoSpaceDE w:val="0"/>
                    <w:autoSpaceDN w:val="0"/>
                    <w:adjustRightInd w:val="0"/>
                    <w:snapToGrid w:val="0"/>
                    <w:rPr>
                      <w:rFonts w:ascii="Times New Roman" w:hAnsi="Times New Roman"/>
                      <w:color w:val="auto"/>
                    </w:rPr>
                  </w:pPr>
                  <w:r>
                    <w:rPr>
                      <w:rFonts w:ascii="Times New Roman" w:hAnsi="Times New Roman"/>
                      <w:color w:val="auto"/>
                    </w:rPr>
                    <w:t>（3）车辆清洗废水收集于20m</w:t>
                  </w:r>
                  <w:r>
                    <w:rPr>
                      <w:rFonts w:ascii="Times New Roman" w:hAnsi="Times New Roman"/>
                      <w:color w:val="auto"/>
                      <w:vertAlign w:val="superscript"/>
                    </w:rPr>
                    <w:t>3</w:t>
                  </w:r>
                  <w:r>
                    <w:rPr>
                      <w:rFonts w:ascii="Times New Roman" w:hAnsi="Times New Roman"/>
                      <w:color w:val="auto"/>
                      <w:szCs w:val="21"/>
                    </w:rPr>
                    <w:t>的</w:t>
                  </w:r>
                  <w:r>
                    <w:rPr>
                      <w:rFonts w:ascii="Times New Roman" w:hAnsi="Times New Roman"/>
                      <w:color w:val="auto"/>
                    </w:rPr>
                    <w:t>沉淀内经沉淀处理后用于项目区混凝土生产线生产补充水，不外排。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3</w:t>
                  </w:r>
                </w:p>
              </w:tc>
              <w:tc>
                <w:tcPr>
                  <w:tcW w:w="640"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声环境</w:t>
                  </w:r>
                </w:p>
              </w:tc>
              <w:tc>
                <w:tcPr>
                  <w:tcW w:w="7171" w:type="dxa"/>
                </w:tcPr>
                <w:p>
                  <w:pPr>
                    <w:adjustRightInd w:val="0"/>
                    <w:snapToGrid w:val="0"/>
                    <w:rPr>
                      <w:rFonts w:ascii="Times New Roman" w:hAnsi="Times New Roman"/>
                      <w:color w:val="auto"/>
                      <w:szCs w:val="21"/>
                    </w:rPr>
                  </w:pPr>
                  <w:r>
                    <w:rPr>
                      <w:rFonts w:ascii="Times New Roman" w:hAnsi="Times New Roman"/>
                      <w:color w:val="auto"/>
                      <w:szCs w:val="21"/>
                    </w:rPr>
                    <w:t>（1）生产设备置于厂房内；</w:t>
                  </w:r>
                </w:p>
                <w:p>
                  <w:pPr>
                    <w:pStyle w:val="2"/>
                    <w:adjustRightInd w:val="0"/>
                    <w:snapToGrid w:val="0"/>
                    <w:spacing w:line="240" w:lineRule="auto"/>
                    <w:rPr>
                      <w:rFonts w:ascii="Times New Roman" w:hAnsi="Times New Roman"/>
                      <w:color w:val="auto"/>
                      <w:sz w:val="21"/>
                    </w:rPr>
                  </w:pPr>
                  <w:r>
                    <w:rPr>
                      <w:rFonts w:ascii="Times New Roman" w:hAnsi="Times New Roman"/>
                      <w:color w:val="auto"/>
                      <w:sz w:val="21"/>
                    </w:rPr>
                    <w:t>（2）高噪声设备应设减振垫或隔振基础；</w:t>
                  </w:r>
                </w:p>
                <w:p>
                  <w:pPr>
                    <w:pStyle w:val="2"/>
                    <w:adjustRightInd w:val="0"/>
                    <w:snapToGrid w:val="0"/>
                    <w:spacing w:line="240" w:lineRule="auto"/>
                    <w:rPr>
                      <w:rFonts w:ascii="Times New Roman" w:hAnsi="Times New Roman"/>
                      <w:color w:val="auto"/>
                      <w:sz w:val="21"/>
                    </w:rPr>
                  </w:pPr>
                  <w:r>
                    <w:rPr>
                      <w:rFonts w:ascii="Times New Roman" w:hAnsi="Times New Roman"/>
                      <w:color w:val="auto"/>
                      <w:sz w:val="21"/>
                    </w:rPr>
                    <w:t>（3）风机进出口安装消声措施；</w:t>
                  </w:r>
                </w:p>
                <w:p>
                  <w:pPr>
                    <w:pStyle w:val="2"/>
                    <w:adjustRightInd w:val="0"/>
                    <w:snapToGrid w:val="0"/>
                    <w:spacing w:line="240" w:lineRule="auto"/>
                    <w:rPr>
                      <w:rFonts w:ascii="Times New Roman" w:hAnsi="Times New Roman"/>
                      <w:color w:val="auto"/>
                      <w:sz w:val="21"/>
                    </w:rPr>
                  </w:pPr>
                  <w:r>
                    <w:rPr>
                      <w:rFonts w:ascii="Times New Roman" w:hAnsi="Times New Roman"/>
                      <w:color w:val="auto"/>
                      <w:sz w:val="21"/>
                    </w:rPr>
                    <w:t>（4）加强设备的保养、维护；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4</w:t>
                  </w:r>
                </w:p>
              </w:tc>
              <w:tc>
                <w:tcPr>
                  <w:tcW w:w="640"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固废</w:t>
                  </w:r>
                </w:p>
              </w:tc>
              <w:tc>
                <w:tcPr>
                  <w:tcW w:w="7171" w:type="dxa"/>
                </w:tcPr>
                <w:p>
                  <w:pPr>
                    <w:adjustRightInd w:val="0"/>
                    <w:snapToGrid w:val="0"/>
                    <w:rPr>
                      <w:rFonts w:ascii="Times New Roman" w:hAnsi="Times New Roman"/>
                      <w:color w:val="auto"/>
                      <w:szCs w:val="21"/>
                      <w:lang w:val="zh-CN"/>
                    </w:rPr>
                  </w:pPr>
                  <w:r>
                    <w:rPr>
                      <w:rFonts w:ascii="Times New Roman" w:hAnsi="Times New Roman"/>
                      <w:color w:val="auto"/>
                      <w:szCs w:val="21"/>
                      <w:lang w:val="zh-CN"/>
                    </w:rPr>
                    <w:t>（</w:t>
                  </w:r>
                  <w:r>
                    <w:rPr>
                      <w:rFonts w:ascii="Times New Roman" w:hAnsi="Times New Roman"/>
                      <w:color w:val="auto"/>
                      <w:szCs w:val="21"/>
                    </w:rPr>
                    <w:t>1</w:t>
                  </w:r>
                  <w:r>
                    <w:rPr>
                      <w:rFonts w:ascii="Times New Roman" w:hAnsi="Times New Roman"/>
                      <w:color w:val="auto"/>
                      <w:szCs w:val="21"/>
                      <w:lang w:val="zh-CN"/>
                    </w:rPr>
                    <w:t>）除尘器收尘灰经收集后作为水泥混凝土生产原料返回生产工段；</w:t>
                  </w:r>
                  <w:r>
                    <w:rPr>
                      <w:rFonts w:hint="eastAsia" w:ascii="Times New Roman" w:hAnsi="Times New Roman"/>
                      <w:color w:val="auto"/>
                      <w:szCs w:val="21"/>
                      <w:lang w:val="zh-CN"/>
                    </w:rPr>
                    <w:t>废弃混凝土作为原料返回生产线；废钢筋外卖当地废品站；实验室测试用混凝土、钢筋测试完成后返回生产工序在生产利用。</w:t>
                  </w:r>
                </w:p>
                <w:p>
                  <w:pPr>
                    <w:adjustRightInd w:val="0"/>
                    <w:snapToGrid w:val="0"/>
                    <w:rPr>
                      <w:rFonts w:ascii="Times New Roman" w:hAnsi="Times New Roman"/>
                      <w:color w:val="auto"/>
                      <w:szCs w:val="21"/>
                    </w:rPr>
                  </w:pPr>
                  <w:r>
                    <w:rPr>
                      <w:rFonts w:ascii="Times New Roman" w:hAnsi="Times New Roman"/>
                      <w:color w:val="auto"/>
                      <w:szCs w:val="21"/>
                      <w:lang w:val="zh-CN"/>
                    </w:rPr>
                    <w:t>（</w:t>
                  </w:r>
                  <w:r>
                    <w:rPr>
                      <w:rFonts w:hint="eastAsia" w:ascii="Times New Roman" w:hAnsi="Times New Roman"/>
                      <w:color w:val="auto"/>
                      <w:szCs w:val="21"/>
                    </w:rPr>
                    <w:t>2</w:t>
                  </w:r>
                  <w:r>
                    <w:rPr>
                      <w:rFonts w:ascii="Times New Roman" w:hAnsi="Times New Roman"/>
                      <w:color w:val="auto"/>
                      <w:szCs w:val="21"/>
                      <w:lang w:val="zh-CN"/>
                    </w:rPr>
                    <w:t>）生活垃圾统一收集后按当地环卫部门要求处置。</w:t>
                  </w:r>
                </w:p>
                <w:p>
                  <w:pPr>
                    <w:adjustRightInd w:val="0"/>
                    <w:snapToGrid w:val="0"/>
                    <w:rPr>
                      <w:rFonts w:ascii="Times New Roman" w:hAnsi="Times New Roman"/>
                      <w:color w:val="auto"/>
                      <w:szCs w:val="21"/>
                    </w:rPr>
                  </w:pPr>
                  <w:r>
                    <w:rPr>
                      <w:rFonts w:ascii="Times New Roman" w:hAnsi="Times New Roman"/>
                      <w:color w:val="auto"/>
                      <w:szCs w:val="21"/>
                      <w:lang w:val="zh-CN"/>
                    </w:rPr>
                    <w:t>（</w:t>
                  </w:r>
                  <w:r>
                    <w:rPr>
                      <w:rFonts w:hint="eastAsia" w:ascii="Times New Roman" w:hAnsi="Times New Roman"/>
                      <w:color w:val="auto"/>
                      <w:szCs w:val="21"/>
                    </w:rPr>
                    <w:t>3</w:t>
                  </w:r>
                  <w:r>
                    <w:rPr>
                      <w:rFonts w:ascii="Times New Roman" w:hAnsi="Times New Roman"/>
                      <w:color w:val="auto"/>
                      <w:szCs w:val="21"/>
                      <w:lang w:val="zh-CN"/>
                    </w:rPr>
                    <w:t>）</w:t>
                  </w:r>
                  <w:r>
                    <w:rPr>
                      <w:rFonts w:hint="eastAsia" w:ascii="宋体" w:hAnsi="宋体" w:cs="宋体"/>
                      <w:color w:val="auto"/>
                      <w:szCs w:val="21"/>
                    </w:rPr>
                    <w:t>废机油用收集桶收集后暂存于暂存间中，</w:t>
                  </w:r>
                  <w:r>
                    <w:rPr>
                      <w:rFonts w:hint="eastAsia" w:ascii="宋体" w:hAnsi="宋体" w:cs="宋体"/>
                      <w:color w:val="auto"/>
                      <w:szCs w:val="21"/>
                      <w:lang w:val="zh-CN"/>
                    </w:rPr>
                    <w:t>定期委托有资质单位处置</w:t>
                  </w:r>
                  <w:r>
                    <w:rPr>
                      <w:rFonts w:hint="eastAsia" w:ascii="宋体" w:hAnsi="宋体" w:cs="宋体"/>
                      <w:color w:val="auto"/>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3"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5</w:t>
                  </w:r>
                </w:p>
              </w:tc>
              <w:tc>
                <w:tcPr>
                  <w:tcW w:w="640"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环境风险防范</w:t>
                  </w:r>
                </w:p>
              </w:tc>
              <w:tc>
                <w:tcPr>
                  <w:tcW w:w="7171" w:type="dxa"/>
                </w:tcPr>
                <w:p>
                  <w:pPr>
                    <w:adjustRightInd w:val="0"/>
                    <w:snapToGrid w:val="0"/>
                    <w:rPr>
                      <w:rFonts w:ascii="Times New Roman" w:hAnsi="Times New Roman"/>
                      <w:color w:val="auto"/>
                    </w:rPr>
                  </w:pPr>
                  <w:r>
                    <w:rPr>
                      <w:rFonts w:ascii="Times New Roman" w:hAnsi="Times New Roman"/>
                      <w:color w:val="auto"/>
                    </w:rPr>
                    <w:t>（1）建立健全安全检查制度，定期进行检查，及时整改安全隐患，防止事故发生；</w:t>
                  </w:r>
                </w:p>
                <w:p>
                  <w:pPr>
                    <w:adjustRightInd w:val="0"/>
                    <w:snapToGrid w:val="0"/>
                    <w:rPr>
                      <w:rFonts w:ascii="Times New Roman" w:hAnsi="Times New Roman"/>
                      <w:color w:val="auto"/>
                    </w:rPr>
                  </w:pPr>
                  <w:r>
                    <w:rPr>
                      <w:rFonts w:ascii="Times New Roman" w:hAnsi="Times New Roman"/>
                      <w:color w:val="auto"/>
                    </w:rPr>
                    <w:t>（2）按相关规范进行设计建设，企业委托有资质单位对项目编制《环境突发事件应急预案》；</w:t>
                  </w:r>
                </w:p>
              </w:tc>
            </w:tr>
          </w:tbl>
          <w:p>
            <w:pPr>
              <w:spacing w:line="360" w:lineRule="auto"/>
              <w:jc w:val="left"/>
              <w:rPr>
                <w:rFonts w:ascii="Times New Roman" w:hAnsi="Times New Roman"/>
                <w:b/>
                <w:bCs/>
                <w:color w:val="auto"/>
                <w:sz w:val="24"/>
              </w:rPr>
            </w:pPr>
            <w:r>
              <w:rPr>
                <w:rFonts w:ascii="Times New Roman" w:hAnsi="Times New Roman"/>
                <w:b/>
                <w:bCs/>
                <w:color w:val="auto"/>
                <w:sz w:val="24"/>
              </w:rPr>
              <w:t>三、环保竣工验收一览表</w:t>
            </w:r>
          </w:p>
          <w:p>
            <w:pPr>
              <w:spacing w:line="360" w:lineRule="auto"/>
              <w:ind w:firstLine="480" w:firstLineChars="200"/>
              <w:rPr>
                <w:color w:val="auto"/>
                <w:sz w:val="24"/>
              </w:rPr>
            </w:pPr>
            <w:r>
              <w:rPr>
                <w:rFonts w:hint="eastAsia"/>
                <w:color w:val="auto"/>
                <w:sz w:val="24"/>
              </w:rPr>
              <w:t>本项目环保措施应当与整合主体工程同时设计、同时施工和同时投产，环保设施按照《建设项目竣工环境保护验收管理办法》，工程完成后建设单位噪声和固废应向当地环保部门申请环保设施竣工验收，大气和废水验收由企业自行组织验收，同时提交竣工环境保护验收监测报告。</w:t>
            </w:r>
          </w:p>
          <w:p>
            <w:pPr>
              <w:spacing w:line="360" w:lineRule="auto"/>
              <w:ind w:firstLine="2706" w:firstLineChars="1123"/>
              <w:rPr>
                <w:rFonts w:ascii="Times New Roman" w:hAnsi="Times New Roman"/>
                <w:b/>
                <w:bCs/>
                <w:color w:val="auto"/>
                <w:sz w:val="24"/>
              </w:rPr>
            </w:pPr>
            <w:r>
              <w:rPr>
                <w:rFonts w:ascii="Times New Roman" w:hAnsi="Times New Roman"/>
                <w:b/>
                <w:bCs/>
                <w:color w:val="auto"/>
                <w:sz w:val="24"/>
              </w:rPr>
              <w:t>表9-2   环保竣工验收一览表</w:t>
            </w:r>
          </w:p>
          <w:tbl>
            <w:tblPr>
              <w:tblStyle w:val="43"/>
              <w:tblW w:w="84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230"/>
              <w:gridCol w:w="2715"/>
              <w:gridCol w:w="1215"/>
              <w:gridCol w:w="2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序号</w:t>
                  </w:r>
                </w:p>
              </w:tc>
              <w:tc>
                <w:tcPr>
                  <w:tcW w:w="1230"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项目</w:t>
                  </w:r>
                </w:p>
              </w:tc>
              <w:tc>
                <w:tcPr>
                  <w:tcW w:w="2715"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处理措施</w:t>
                  </w:r>
                </w:p>
              </w:tc>
              <w:tc>
                <w:tcPr>
                  <w:tcW w:w="1215"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处理对象</w:t>
                  </w:r>
                </w:p>
              </w:tc>
              <w:tc>
                <w:tcPr>
                  <w:tcW w:w="2731"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ascii="Times New Roman" w:hAnsi="Times New Roman"/>
                      <w:b/>
                      <w:color w:val="auto"/>
                      <w:szCs w:val="21"/>
                    </w:rPr>
                  </w:pPr>
                  <w:r>
                    <w:rPr>
                      <w:rFonts w:ascii="Times New Roman" w:hAnsi="Times New Roman"/>
                      <w:b/>
                      <w:color w:val="auto"/>
                      <w:szCs w:val="21"/>
                    </w:rPr>
                    <w:t>一</w:t>
                  </w:r>
                </w:p>
              </w:tc>
              <w:tc>
                <w:tcPr>
                  <w:tcW w:w="7891" w:type="dxa"/>
                  <w:gridSpan w:val="4"/>
                  <w:vAlign w:val="center"/>
                </w:tcPr>
                <w:p>
                  <w:pPr>
                    <w:adjustRightInd w:val="0"/>
                    <w:snapToGrid w:val="0"/>
                    <w:jc w:val="center"/>
                    <w:rPr>
                      <w:rFonts w:ascii="Times New Roman" w:hAnsi="Times New Roman"/>
                      <w:b/>
                      <w:color w:val="auto"/>
                      <w:szCs w:val="21"/>
                    </w:rPr>
                  </w:pPr>
                  <w:r>
                    <w:rPr>
                      <w:rFonts w:ascii="Times New Roman" w:hAnsi="Times New Roman"/>
                      <w:b/>
                      <w:color w:val="auto"/>
                      <w:szCs w:val="21"/>
                    </w:rPr>
                    <w:t>废水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1</w:t>
                  </w:r>
                </w:p>
              </w:tc>
              <w:tc>
                <w:tcPr>
                  <w:tcW w:w="1230"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生活污水</w:t>
                  </w:r>
                </w:p>
              </w:tc>
              <w:tc>
                <w:tcPr>
                  <w:tcW w:w="2715" w:type="dxa"/>
                  <w:vAlign w:val="center"/>
                </w:tcPr>
                <w:p>
                  <w:pPr>
                    <w:pStyle w:val="2"/>
                    <w:adjustRightInd w:val="0"/>
                    <w:snapToGrid w:val="0"/>
                    <w:spacing w:line="240" w:lineRule="auto"/>
                    <w:jc w:val="center"/>
                    <w:rPr>
                      <w:rFonts w:hint="default" w:ascii="Times New Roman" w:hAnsi="Times New Roman" w:eastAsia="宋体"/>
                      <w:color w:val="auto"/>
                      <w:sz w:val="21"/>
                      <w:lang w:val="en-US" w:eastAsia="zh-CN"/>
                    </w:rPr>
                  </w:pPr>
                  <w:r>
                    <w:rPr>
                      <w:rFonts w:ascii="Times New Roman" w:hAnsi="Times New Roman"/>
                      <w:color w:val="auto"/>
                      <w:sz w:val="21"/>
                    </w:rPr>
                    <w:t>食堂</w:t>
                  </w:r>
                  <w:r>
                    <w:rPr>
                      <w:rFonts w:hint="eastAsia" w:ascii="Times New Roman" w:hAnsi="Times New Roman"/>
                      <w:color w:val="auto"/>
                      <w:sz w:val="21"/>
                    </w:rPr>
                    <w:t>1</w:t>
                  </w:r>
                  <w:r>
                    <w:rPr>
                      <w:rFonts w:ascii="Times New Roman" w:hAnsi="Times New Roman"/>
                      <w:color w:val="auto"/>
                      <w:sz w:val="21"/>
                    </w:rPr>
                    <w:t>m</w:t>
                  </w:r>
                  <w:r>
                    <w:rPr>
                      <w:rFonts w:ascii="Times New Roman" w:hAnsi="Times New Roman"/>
                      <w:color w:val="auto"/>
                      <w:sz w:val="21"/>
                      <w:vertAlign w:val="superscript"/>
                    </w:rPr>
                    <w:t>3</w:t>
                  </w:r>
                  <w:r>
                    <w:rPr>
                      <w:rFonts w:ascii="Times New Roman" w:hAnsi="Times New Roman"/>
                      <w:color w:val="auto"/>
                      <w:sz w:val="21"/>
                    </w:rPr>
                    <w:t>隔油池1个；生活区10m</w:t>
                  </w:r>
                  <w:r>
                    <w:rPr>
                      <w:rFonts w:ascii="Times New Roman" w:hAnsi="Times New Roman"/>
                      <w:color w:val="auto"/>
                      <w:sz w:val="21"/>
                      <w:vertAlign w:val="superscript"/>
                    </w:rPr>
                    <w:t>3</w:t>
                  </w:r>
                  <w:r>
                    <w:rPr>
                      <w:rFonts w:ascii="Times New Roman" w:hAnsi="Times New Roman"/>
                      <w:color w:val="auto"/>
                      <w:sz w:val="21"/>
                    </w:rPr>
                    <w:t>化粪池1个</w:t>
                  </w:r>
                  <w:r>
                    <w:rPr>
                      <w:rFonts w:hint="eastAsia" w:ascii="Times New Roman" w:hAnsi="Times New Roman"/>
                      <w:color w:val="auto"/>
                      <w:sz w:val="21"/>
                    </w:rPr>
                    <w:t>；</w:t>
                  </w:r>
                  <w:r>
                    <w:rPr>
                      <w:rFonts w:hint="eastAsia" w:ascii="Times New Roman" w:hAnsi="Times New Roman"/>
                      <w:color w:val="auto"/>
                      <w:sz w:val="21"/>
                      <w:lang w:val="en-US" w:eastAsia="zh-CN"/>
                    </w:rPr>
                    <w:t>40</w:t>
                  </w:r>
                  <w:r>
                    <w:rPr>
                      <w:rFonts w:hint="eastAsia" w:ascii="Times New Roman" w:hAnsi="Times New Roman"/>
                      <w:color w:val="auto"/>
                      <w:sz w:val="21"/>
                    </w:rPr>
                    <w:t>m</w:t>
                  </w:r>
                  <w:r>
                    <w:rPr>
                      <w:rFonts w:hint="eastAsia" w:ascii="Times New Roman" w:hAnsi="Times New Roman"/>
                      <w:color w:val="auto"/>
                      <w:sz w:val="21"/>
                      <w:vertAlign w:val="superscript"/>
                    </w:rPr>
                    <w:t>3</w:t>
                  </w:r>
                  <w:r>
                    <w:rPr>
                      <w:rFonts w:hint="eastAsia" w:ascii="Times New Roman" w:hAnsi="Times New Roman"/>
                      <w:color w:val="auto"/>
                      <w:sz w:val="21"/>
                      <w:lang w:eastAsia="zh-CN"/>
                    </w:rPr>
                    <w:t>蓄水池</w:t>
                  </w:r>
                  <w:r>
                    <w:rPr>
                      <w:rFonts w:hint="eastAsia" w:ascii="Times New Roman" w:hAnsi="Times New Roman"/>
                      <w:color w:val="auto"/>
                      <w:sz w:val="21"/>
                    </w:rPr>
                    <w:t>1个</w:t>
                  </w:r>
                  <w:r>
                    <w:rPr>
                      <w:rFonts w:hint="eastAsia" w:ascii="Times New Roman" w:hAnsi="Times New Roman"/>
                      <w:color w:val="auto"/>
                      <w:sz w:val="21"/>
                      <w:lang w:eastAsia="zh-CN"/>
                    </w:rPr>
                    <w:t>；</w:t>
                  </w:r>
                  <w:r>
                    <w:rPr>
                      <w:rFonts w:hint="eastAsia" w:ascii="Times New Roman" w:hAnsi="Times New Roman"/>
                      <w:color w:val="auto"/>
                      <w:sz w:val="21"/>
                      <w:lang w:val="en-US" w:eastAsia="zh-CN"/>
                    </w:rPr>
                    <w:t>8</w:t>
                  </w:r>
                  <w:r>
                    <w:rPr>
                      <w:rFonts w:hint="eastAsia" w:ascii="Times New Roman" w:hAnsi="Times New Roman"/>
                      <w:color w:val="auto"/>
                      <w:sz w:val="21"/>
                      <w:lang w:eastAsia="zh-CN"/>
                    </w:rPr>
                    <w:t>m</w:t>
                  </w:r>
                  <w:r>
                    <w:rPr>
                      <w:rFonts w:hint="eastAsia" w:ascii="Times New Roman" w:hAnsi="Times New Roman"/>
                      <w:color w:val="auto"/>
                      <w:sz w:val="21"/>
                      <w:vertAlign w:val="superscript"/>
                      <w:lang w:eastAsia="zh-CN"/>
                    </w:rPr>
                    <w:t>3</w:t>
                  </w:r>
                  <w:r>
                    <w:rPr>
                      <w:rFonts w:hint="eastAsia" w:ascii="Times New Roman" w:hAnsi="Times New Roman"/>
                      <w:color w:val="auto"/>
                      <w:sz w:val="21"/>
                      <w:lang w:eastAsia="zh-CN"/>
                    </w:rPr>
                    <w:t>/d中水处理站</w:t>
                  </w:r>
                  <w:r>
                    <w:rPr>
                      <w:rFonts w:hint="eastAsia" w:ascii="Times New Roman" w:hAnsi="Times New Roman"/>
                      <w:color w:val="auto"/>
                      <w:sz w:val="21"/>
                      <w:lang w:val="en-US" w:eastAsia="zh-CN"/>
                    </w:rPr>
                    <w:t>1座</w:t>
                  </w:r>
                </w:p>
              </w:tc>
              <w:tc>
                <w:tcPr>
                  <w:tcW w:w="1215"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生活污水</w:t>
                  </w:r>
                </w:p>
              </w:tc>
              <w:tc>
                <w:tcPr>
                  <w:tcW w:w="2731"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生活污水</w:t>
                  </w:r>
                  <w:r>
                    <w:rPr>
                      <w:rFonts w:hint="eastAsia" w:ascii="Times New Roman" w:hAnsi="Times New Roman"/>
                      <w:color w:val="auto"/>
                      <w:szCs w:val="21"/>
                    </w:rPr>
                    <w:t>进入化粪池</w:t>
                  </w:r>
                  <w:r>
                    <w:rPr>
                      <w:rFonts w:hint="eastAsia" w:ascii="Times New Roman" w:hAnsi="Times New Roman"/>
                      <w:color w:val="auto"/>
                      <w:szCs w:val="21"/>
                      <w:lang w:eastAsia="zh-CN"/>
                    </w:rPr>
                    <w:t>，预处理后排入中水处理站处理达标后用于</w:t>
                  </w:r>
                  <w:r>
                    <w:rPr>
                      <w:rFonts w:hint="eastAsia" w:ascii="Times New Roman" w:hAnsi="Times New Roman"/>
                      <w:color w:val="auto"/>
                      <w:szCs w:val="21"/>
                    </w:rPr>
                    <w:t>项目区洒水</w:t>
                  </w:r>
                  <w:r>
                    <w:rPr>
                      <w:rFonts w:hint="eastAsia" w:ascii="Times New Roman" w:hAnsi="Times New Roman"/>
                      <w:color w:val="auto"/>
                      <w:szCs w:val="21"/>
                      <w:lang w:eastAsia="zh-CN"/>
                    </w:rPr>
                    <w:t>抑尘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2</w:t>
                  </w:r>
                </w:p>
              </w:tc>
              <w:tc>
                <w:tcPr>
                  <w:tcW w:w="1230"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车辆清洗废水</w:t>
                  </w:r>
                </w:p>
              </w:tc>
              <w:tc>
                <w:tcPr>
                  <w:tcW w:w="2715" w:type="dxa"/>
                  <w:vAlign w:val="center"/>
                </w:tcPr>
                <w:p>
                  <w:pPr>
                    <w:pStyle w:val="2"/>
                    <w:adjustRightInd w:val="0"/>
                    <w:snapToGrid w:val="0"/>
                    <w:spacing w:line="240" w:lineRule="auto"/>
                    <w:jc w:val="center"/>
                    <w:rPr>
                      <w:rFonts w:ascii="Times New Roman" w:hAnsi="Times New Roman"/>
                      <w:color w:val="auto"/>
                      <w:sz w:val="21"/>
                    </w:rPr>
                  </w:pPr>
                  <w:r>
                    <w:rPr>
                      <w:rFonts w:ascii="Times New Roman" w:hAnsi="Times New Roman"/>
                      <w:color w:val="auto"/>
                      <w:sz w:val="21"/>
                    </w:rPr>
                    <w:t>设置1个2</w:t>
                  </w:r>
                  <w:r>
                    <w:rPr>
                      <w:rFonts w:ascii="Times New Roman" w:hAnsi="Times New Roman"/>
                      <w:color w:val="auto"/>
                      <w:kern w:val="0"/>
                      <w:sz w:val="21"/>
                    </w:rPr>
                    <w:t>0</w:t>
                  </w:r>
                  <w:r>
                    <w:rPr>
                      <w:rFonts w:ascii="Times New Roman" w:hAnsi="Times New Roman"/>
                      <w:color w:val="auto"/>
                      <w:sz w:val="21"/>
                    </w:rPr>
                    <w:t xml:space="preserve"> m</w:t>
                  </w:r>
                  <w:r>
                    <w:rPr>
                      <w:rFonts w:ascii="Times New Roman" w:hAnsi="Times New Roman"/>
                      <w:color w:val="auto"/>
                      <w:sz w:val="21"/>
                      <w:vertAlign w:val="superscript"/>
                    </w:rPr>
                    <w:t>3</w:t>
                  </w:r>
                  <w:r>
                    <w:rPr>
                      <w:rFonts w:ascii="Times New Roman" w:hAnsi="Times New Roman"/>
                      <w:color w:val="auto"/>
                      <w:kern w:val="0"/>
                      <w:sz w:val="21"/>
                    </w:rPr>
                    <w:t>车辆清洗废水</w:t>
                  </w:r>
                  <w:r>
                    <w:rPr>
                      <w:rFonts w:hint="eastAsia" w:ascii="Times New Roman" w:hAnsi="Times New Roman"/>
                      <w:color w:val="auto"/>
                      <w:kern w:val="0"/>
                      <w:sz w:val="21"/>
                    </w:rPr>
                    <w:t>四级沉淀池</w:t>
                  </w:r>
                  <w:r>
                    <w:rPr>
                      <w:rFonts w:ascii="Times New Roman" w:hAnsi="Times New Roman"/>
                      <w:color w:val="auto"/>
                      <w:kern w:val="0"/>
                      <w:sz w:val="21"/>
                    </w:rPr>
                    <w:t>1个</w:t>
                  </w:r>
                </w:p>
              </w:tc>
              <w:tc>
                <w:tcPr>
                  <w:tcW w:w="1215"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设备及车辆清洗废水</w:t>
                  </w:r>
                </w:p>
              </w:tc>
              <w:tc>
                <w:tcPr>
                  <w:tcW w:w="2731" w:type="dxa"/>
                  <w:vAlign w:val="center"/>
                </w:tcPr>
                <w:p>
                  <w:pPr>
                    <w:adjustRightInd w:val="0"/>
                    <w:snapToGrid w:val="0"/>
                    <w:jc w:val="center"/>
                    <w:rPr>
                      <w:rFonts w:ascii="Times New Roman" w:hAnsi="Times New Roman"/>
                      <w:color w:val="auto"/>
                      <w:szCs w:val="21"/>
                      <w:lang w:val="zh-CN"/>
                    </w:rPr>
                  </w:pPr>
                  <w:r>
                    <w:rPr>
                      <w:rFonts w:ascii="Times New Roman" w:hAnsi="Times New Roman"/>
                      <w:color w:val="auto"/>
                      <w:kern w:val="0"/>
                      <w:szCs w:val="21"/>
                    </w:rPr>
                    <w:t>经</w:t>
                  </w:r>
                  <w:r>
                    <w:rPr>
                      <w:rFonts w:ascii="Times New Roman" w:hAnsi="Times New Roman"/>
                      <w:color w:val="auto"/>
                      <w:szCs w:val="21"/>
                    </w:rPr>
                    <w:t>沉淀</w:t>
                  </w:r>
                  <w:r>
                    <w:rPr>
                      <w:rFonts w:ascii="Times New Roman" w:hAnsi="Times New Roman"/>
                      <w:color w:val="auto"/>
                      <w:kern w:val="0"/>
                      <w:szCs w:val="21"/>
                    </w:rPr>
                    <w:t>处理后用于混凝土生产线生产补充水，不外排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3</w:t>
                  </w:r>
                </w:p>
              </w:tc>
              <w:tc>
                <w:tcPr>
                  <w:tcW w:w="1230"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初期雨水</w:t>
                  </w:r>
                </w:p>
              </w:tc>
              <w:tc>
                <w:tcPr>
                  <w:tcW w:w="2715" w:type="dxa"/>
                  <w:vAlign w:val="center"/>
                </w:tcPr>
                <w:p>
                  <w:pPr>
                    <w:pStyle w:val="2"/>
                    <w:adjustRightInd w:val="0"/>
                    <w:snapToGrid w:val="0"/>
                    <w:spacing w:line="240" w:lineRule="auto"/>
                    <w:jc w:val="center"/>
                    <w:rPr>
                      <w:rFonts w:ascii="Times New Roman" w:hAnsi="Times New Roman"/>
                      <w:color w:val="auto"/>
                      <w:sz w:val="21"/>
                    </w:rPr>
                  </w:pPr>
                  <w:r>
                    <w:rPr>
                      <w:rFonts w:ascii="Times New Roman" w:hAnsi="Times New Roman"/>
                      <w:color w:val="auto"/>
                      <w:sz w:val="21"/>
                    </w:rPr>
                    <w:t>1个</w:t>
                  </w:r>
                  <w:r>
                    <w:rPr>
                      <w:rFonts w:hint="eastAsia" w:ascii="Times New Roman" w:hAnsi="Times New Roman"/>
                      <w:color w:val="auto"/>
                      <w:sz w:val="21"/>
                    </w:rPr>
                    <w:t>40</w:t>
                  </w:r>
                  <w:r>
                    <w:rPr>
                      <w:rFonts w:ascii="Times New Roman" w:hAnsi="Times New Roman"/>
                      <w:color w:val="auto"/>
                      <w:sz w:val="21"/>
                    </w:rPr>
                    <w:t>m</w:t>
                  </w:r>
                  <w:r>
                    <w:rPr>
                      <w:rFonts w:ascii="Times New Roman" w:hAnsi="Times New Roman"/>
                      <w:color w:val="auto"/>
                      <w:sz w:val="21"/>
                      <w:vertAlign w:val="superscript"/>
                    </w:rPr>
                    <w:t>3</w:t>
                  </w:r>
                  <w:r>
                    <w:rPr>
                      <w:rFonts w:ascii="Times New Roman" w:hAnsi="Times New Roman"/>
                      <w:color w:val="auto"/>
                      <w:sz w:val="21"/>
                    </w:rPr>
                    <w:t>初期雨水收集池</w:t>
                  </w:r>
                </w:p>
              </w:tc>
              <w:tc>
                <w:tcPr>
                  <w:tcW w:w="1215"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初期雨水</w:t>
                  </w:r>
                </w:p>
              </w:tc>
              <w:tc>
                <w:tcPr>
                  <w:tcW w:w="2731" w:type="dxa"/>
                  <w:vAlign w:val="center"/>
                </w:tcPr>
                <w:p>
                  <w:pPr>
                    <w:adjustRightInd w:val="0"/>
                    <w:snapToGrid w:val="0"/>
                    <w:jc w:val="center"/>
                    <w:rPr>
                      <w:rFonts w:ascii="Times New Roman" w:hAnsi="Times New Roman"/>
                      <w:color w:val="auto"/>
                      <w:kern w:val="0"/>
                      <w:szCs w:val="21"/>
                    </w:rPr>
                  </w:pPr>
                  <w:r>
                    <w:rPr>
                      <w:rFonts w:hint="eastAsia" w:ascii="Times New Roman" w:hAnsi="Times New Roman"/>
                      <w:color w:val="auto"/>
                      <w:kern w:val="0"/>
                      <w:szCs w:val="21"/>
                    </w:rPr>
                    <w:t>用于</w:t>
                  </w:r>
                  <w:r>
                    <w:rPr>
                      <w:rFonts w:ascii="Times New Roman" w:hAnsi="Times New Roman"/>
                      <w:color w:val="auto"/>
                      <w:kern w:val="0"/>
                      <w:szCs w:val="21"/>
                    </w:rPr>
                    <w:t>补充</w:t>
                  </w:r>
                  <w:r>
                    <w:rPr>
                      <w:rFonts w:hint="eastAsia" w:ascii="Times New Roman" w:hAnsi="Times New Roman"/>
                      <w:color w:val="auto"/>
                      <w:kern w:val="0"/>
                      <w:szCs w:val="21"/>
                    </w:rPr>
                    <w:t>生产</w:t>
                  </w:r>
                  <w:r>
                    <w:rPr>
                      <w:rFonts w:ascii="Times New Roman" w:hAnsi="Times New Roman"/>
                      <w:color w:val="auto"/>
                      <w:kern w:val="0"/>
                      <w:szCs w:val="21"/>
                    </w:rPr>
                    <w:t>用水，不外排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hint="eastAsia" w:ascii="Times New Roman" w:hAnsi="Times New Roman" w:eastAsia="宋体"/>
                      <w:color w:val="auto"/>
                      <w:szCs w:val="21"/>
                      <w:lang w:val="en-US" w:eastAsia="zh-CN"/>
                    </w:rPr>
                  </w:pPr>
                  <w:r>
                    <w:rPr>
                      <w:rFonts w:hint="eastAsia" w:ascii="Times New Roman" w:hAnsi="Times New Roman"/>
                      <w:color w:val="auto"/>
                      <w:szCs w:val="21"/>
                      <w:lang w:val="en-US" w:eastAsia="zh-CN"/>
                    </w:rPr>
                    <w:t>4</w:t>
                  </w:r>
                </w:p>
              </w:tc>
              <w:tc>
                <w:tcPr>
                  <w:tcW w:w="1230"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蓄水池</w:t>
                  </w:r>
                </w:p>
              </w:tc>
              <w:tc>
                <w:tcPr>
                  <w:tcW w:w="2715" w:type="dxa"/>
                  <w:vAlign w:val="center"/>
                </w:tcPr>
                <w:p>
                  <w:pPr>
                    <w:pStyle w:val="2"/>
                    <w:adjustRightInd w:val="0"/>
                    <w:snapToGrid w:val="0"/>
                    <w:spacing w:line="240" w:lineRule="auto"/>
                    <w:jc w:val="center"/>
                    <w:rPr>
                      <w:rFonts w:ascii="Times New Roman" w:hAnsi="Times New Roman"/>
                      <w:color w:val="auto"/>
                      <w:sz w:val="21"/>
                    </w:rPr>
                  </w:pPr>
                  <w:r>
                    <w:rPr>
                      <w:rFonts w:ascii="Times New Roman" w:hAnsi="Times New Roman"/>
                      <w:color w:val="auto"/>
                      <w:sz w:val="21"/>
                    </w:rPr>
                    <w:t>1个</w:t>
                  </w:r>
                  <w:r>
                    <w:rPr>
                      <w:rFonts w:hint="eastAsia" w:ascii="Times New Roman" w:hAnsi="Times New Roman"/>
                      <w:color w:val="auto"/>
                      <w:sz w:val="21"/>
                    </w:rPr>
                    <w:t>40</w:t>
                  </w:r>
                  <w:r>
                    <w:rPr>
                      <w:rFonts w:ascii="Times New Roman" w:hAnsi="Times New Roman"/>
                      <w:color w:val="auto"/>
                      <w:sz w:val="21"/>
                    </w:rPr>
                    <w:t>m</w:t>
                  </w:r>
                  <w:r>
                    <w:rPr>
                      <w:rFonts w:ascii="Times New Roman" w:hAnsi="Times New Roman"/>
                      <w:color w:val="auto"/>
                      <w:sz w:val="21"/>
                      <w:vertAlign w:val="superscript"/>
                    </w:rPr>
                    <w:t>3</w:t>
                  </w:r>
                  <w:r>
                    <w:rPr>
                      <w:rFonts w:hint="eastAsia" w:ascii="Times New Roman" w:hAnsi="Times New Roman"/>
                      <w:color w:val="auto"/>
                      <w:sz w:val="21"/>
                      <w:lang w:eastAsia="zh-CN"/>
                    </w:rPr>
                    <w:t>蓄水</w:t>
                  </w:r>
                  <w:r>
                    <w:rPr>
                      <w:rFonts w:ascii="Times New Roman" w:hAnsi="Times New Roman"/>
                      <w:color w:val="auto"/>
                      <w:sz w:val="21"/>
                    </w:rPr>
                    <w:t>池</w:t>
                  </w:r>
                </w:p>
              </w:tc>
              <w:tc>
                <w:tcPr>
                  <w:tcW w:w="1215"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中水</w:t>
                  </w:r>
                </w:p>
              </w:tc>
              <w:tc>
                <w:tcPr>
                  <w:tcW w:w="2731" w:type="dxa"/>
                  <w:vAlign w:val="center"/>
                </w:tcPr>
                <w:p>
                  <w:pPr>
                    <w:adjustRightInd w:val="0"/>
                    <w:snapToGrid w:val="0"/>
                    <w:jc w:val="center"/>
                    <w:rPr>
                      <w:rFonts w:hint="eastAsia" w:ascii="Times New Roman" w:hAnsi="Times New Roman" w:eastAsia="宋体"/>
                      <w:color w:val="auto"/>
                      <w:kern w:val="0"/>
                      <w:szCs w:val="21"/>
                      <w:lang w:eastAsia="zh-CN"/>
                    </w:rPr>
                  </w:pPr>
                  <w:r>
                    <w:rPr>
                      <w:rFonts w:hint="eastAsia" w:ascii="Times New Roman" w:hAnsi="Times New Roman"/>
                      <w:color w:val="auto"/>
                      <w:kern w:val="0"/>
                      <w:szCs w:val="21"/>
                      <w:lang w:eastAsia="zh-CN"/>
                    </w:rPr>
                    <w:t>用于暂存雨天中水处理站处理后的水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ascii="Times New Roman" w:hAnsi="Times New Roman"/>
                      <w:b/>
                      <w:color w:val="auto"/>
                      <w:szCs w:val="21"/>
                    </w:rPr>
                  </w:pPr>
                  <w:r>
                    <w:rPr>
                      <w:rFonts w:ascii="Times New Roman" w:hAnsi="Times New Roman"/>
                      <w:b/>
                      <w:color w:val="auto"/>
                      <w:szCs w:val="21"/>
                    </w:rPr>
                    <w:t>二</w:t>
                  </w:r>
                </w:p>
              </w:tc>
              <w:tc>
                <w:tcPr>
                  <w:tcW w:w="7891" w:type="dxa"/>
                  <w:gridSpan w:val="4"/>
                  <w:vAlign w:val="center"/>
                </w:tcPr>
                <w:p>
                  <w:pPr>
                    <w:adjustRightInd w:val="0"/>
                    <w:snapToGrid w:val="0"/>
                    <w:jc w:val="center"/>
                    <w:rPr>
                      <w:rFonts w:ascii="Times New Roman" w:hAnsi="Times New Roman"/>
                      <w:b/>
                      <w:color w:val="auto"/>
                      <w:szCs w:val="21"/>
                    </w:rPr>
                  </w:pPr>
                  <w:r>
                    <w:rPr>
                      <w:rFonts w:ascii="Times New Roman" w:hAnsi="Times New Roman"/>
                      <w:b/>
                      <w:color w:val="auto"/>
                      <w:szCs w:val="21"/>
                    </w:rPr>
                    <w:t>废气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1</w:t>
                  </w:r>
                </w:p>
              </w:tc>
              <w:tc>
                <w:tcPr>
                  <w:tcW w:w="1230" w:type="dxa"/>
                  <w:vAlign w:val="center"/>
                </w:tcPr>
                <w:p>
                  <w:pPr>
                    <w:adjustRightInd w:val="0"/>
                    <w:snapToGrid w:val="0"/>
                    <w:jc w:val="center"/>
                    <w:rPr>
                      <w:rFonts w:ascii="Times New Roman" w:hAnsi="Times New Roman"/>
                      <w:color w:val="auto"/>
                      <w:szCs w:val="21"/>
                    </w:rPr>
                  </w:pPr>
                  <w:r>
                    <w:rPr>
                      <w:rFonts w:ascii="Times New Roman" w:hAnsi="Times New Roman"/>
                      <w:color w:val="auto"/>
                      <w:kern w:val="0"/>
                      <w:szCs w:val="21"/>
                    </w:rPr>
                    <w:t>混凝土系统废气</w:t>
                  </w:r>
                </w:p>
              </w:tc>
              <w:tc>
                <w:tcPr>
                  <w:tcW w:w="2715"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rPr>
                    <w:t>12套</w:t>
                  </w:r>
                  <w:r>
                    <w:rPr>
                      <w:rFonts w:ascii="Times New Roman" w:hAnsi="Times New Roman"/>
                      <w:color w:val="auto"/>
                      <w:szCs w:val="21"/>
                    </w:rPr>
                    <w:t>风量为</w:t>
                  </w:r>
                  <w:r>
                    <w:rPr>
                      <w:rFonts w:hint="eastAsia" w:ascii="Times New Roman" w:hAnsi="Times New Roman"/>
                      <w:color w:val="auto"/>
                      <w:szCs w:val="21"/>
                      <w:lang w:val="en-US" w:eastAsia="zh-CN"/>
                    </w:rPr>
                    <w:t>2</w:t>
                  </w:r>
                  <w:r>
                    <w:rPr>
                      <w:rFonts w:ascii="Times New Roman" w:hAnsi="Times New Roman"/>
                      <w:color w:val="auto"/>
                      <w:szCs w:val="21"/>
                    </w:rPr>
                    <w:t>000Nm</w:t>
                  </w:r>
                  <w:r>
                    <w:rPr>
                      <w:rFonts w:ascii="Times New Roman" w:hAnsi="Times New Roman"/>
                      <w:color w:val="auto"/>
                      <w:szCs w:val="21"/>
                      <w:vertAlign w:val="superscript"/>
                    </w:rPr>
                    <w:t>3</w:t>
                  </w:r>
                  <w:r>
                    <w:rPr>
                      <w:rFonts w:ascii="Times New Roman" w:hAnsi="Times New Roman"/>
                      <w:color w:val="auto"/>
                      <w:szCs w:val="21"/>
                    </w:rPr>
                    <w:t>/h集气罩+</w:t>
                  </w:r>
                  <w:r>
                    <w:rPr>
                      <w:rFonts w:hint="eastAsia" w:ascii="Times New Roman" w:hAnsi="Times New Roman"/>
                      <w:color w:val="auto"/>
                      <w:szCs w:val="21"/>
                    </w:rPr>
                    <w:t>99.8%</w:t>
                  </w:r>
                  <w:r>
                    <w:rPr>
                      <w:rFonts w:ascii="Times New Roman" w:hAnsi="Times New Roman"/>
                      <w:color w:val="auto"/>
                      <w:szCs w:val="21"/>
                    </w:rPr>
                    <w:t>布袋除尘器</w:t>
                  </w:r>
                  <w:r>
                    <w:rPr>
                      <w:rFonts w:hint="eastAsia" w:ascii="Times New Roman" w:hAnsi="Times New Roman"/>
                      <w:color w:val="auto"/>
                      <w:szCs w:val="21"/>
                    </w:rPr>
                    <w:t>+∮=0.3m、水泥仓高13.5m+排气筒1.5m</w:t>
                  </w:r>
                  <w:r>
                    <w:rPr>
                      <w:rFonts w:hint="eastAsia" w:ascii="Times New Roman" w:hAnsi="Times New Roman"/>
                      <w:color w:val="auto"/>
                      <w:szCs w:val="21"/>
                      <w:lang w:eastAsia="zh-CN"/>
                    </w:rPr>
                    <w:t>（</w:t>
                  </w:r>
                  <w:r>
                    <w:rPr>
                      <w:rFonts w:hint="eastAsia" w:ascii="Times New Roman" w:hAnsi="Times New Roman"/>
                      <w:color w:val="auto"/>
                      <w:szCs w:val="21"/>
                      <w:lang w:val="en-US" w:eastAsia="zh-CN"/>
                    </w:rPr>
                    <w:t>1#、2#、3#、4#、5#、6#、7#、8#、9#、10#、11#、12#</w:t>
                  </w:r>
                  <w:r>
                    <w:rPr>
                      <w:rFonts w:hint="eastAsia" w:ascii="Times New Roman" w:hAnsi="Times New Roman"/>
                      <w:color w:val="auto"/>
                      <w:szCs w:val="21"/>
                      <w:lang w:eastAsia="zh-CN"/>
                    </w:rPr>
                    <w:t>）。</w:t>
                  </w:r>
                </w:p>
              </w:tc>
              <w:tc>
                <w:tcPr>
                  <w:tcW w:w="1215"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有组织粉尘</w:t>
                  </w:r>
                </w:p>
              </w:tc>
              <w:tc>
                <w:tcPr>
                  <w:tcW w:w="2731" w:type="dxa"/>
                  <w:vAlign w:val="center"/>
                </w:tcPr>
                <w:p>
                  <w:pPr>
                    <w:pStyle w:val="2"/>
                    <w:spacing w:line="240" w:lineRule="auto"/>
                    <w:jc w:val="center"/>
                    <w:rPr>
                      <w:rFonts w:ascii="Times New Roman" w:hAnsi="Times New Roman"/>
                      <w:color w:val="auto"/>
                      <w:sz w:val="21"/>
                    </w:rPr>
                  </w:pPr>
                  <w:r>
                    <w:rPr>
                      <w:rFonts w:ascii="Times New Roman" w:hAnsi="Times New Roman"/>
                      <w:color w:val="auto"/>
                      <w:kern w:val="0"/>
                      <w:sz w:val="21"/>
                    </w:rPr>
                    <w:t>满足《水泥工业大气污染物排放标准》</w:t>
                  </w:r>
                  <w:r>
                    <w:rPr>
                      <w:rFonts w:hint="eastAsia" w:ascii="Times New Roman" w:hAnsi="Times New Roman"/>
                      <w:color w:val="auto"/>
                      <w:kern w:val="0"/>
                      <w:sz w:val="21"/>
                    </w:rPr>
                    <w:t>（</w:t>
                  </w:r>
                  <w:r>
                    <w:rPr>
                      <w:rFonts w:ascii="Times New Roman" w:hAnsi="Times New Roman"/>
                      <w:color w:val="auto"/>
                      <w:kern w:val="0"/>
                      <w:sz w:val="21"/>
                    </w:rPr>
                    <w:t>GB4915-2013</w:t>
                  </w:r>
                  <w:r>
                    <w:rPr>
                      <w:rFonts w:hint="eastAsia" w:ascii="Times New Roman" w:hAnsi="Times New Roman"/>
                      <w:color w:val="auto"/>
                      <w:kern w:val="0"/>
                      <w:sz w:val="21"/>
                    </w:rPr>
                    <w:t>）</w:t>
                  </w:r>
                  <w:r>
                    <w:rPr>
                      <w:rFonts w:ascii="Times New Roman" w:hAnsi="Times New Roman"/>
                      <w:color w:val="auto"/>
                      <w:kern w:val="0"/>
                      <w:sz w:val="21"/>
                    </w:rPr>
                    <w:t>表1标准</w:t>
                  </w:r>
                  <w:r>
                    <w:rPr>
                      <w:rFonts w:ascii="Times New Roman" w:hAnsi="Times New Roman"/>
                      <w:color w:val="auto"/>
                      <w:sz w:val="21"/>
                    </w:rPr>
                    <w:t>：颗粒物≤20</w:t>
                  </w:r>
                  <w:r>
                    <w:rPr>
                      <w:rFonts w:ascii="Times New Roman" w:hAnsi="Times New Roman"/>
                      <w:color w:val="auto"/>
                      <w:sz w:val="21"/>
                      <w:lang w:val="zh-CN"/>
                    </w:rPr>
                    <w:t>mg/m</w:t>
                  </w:r>
                  <w:r>
                    <w:rPr>
                      <w:rFonts w:ascii="Times New Roman" w:hAnsi="Times New Roman"/>
                      <w:color w:val="auto"/>
                      <w:sz w:val="21"/>
                      <w:vertAlign w:val="superscript"/>
                      <w:lang w:val="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2</w:t>
                  </w:r>
                </w:p>
              </w:tc>
              <w:tc>
                <w:tcPr>
                  <w:tcW w:w="1230"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lang w:eastAsia="zh-CN"/>
                    </w:rPr>
                    <w:t>碎石</w:t>
                  </w:r>
                  <w:r>
                    <w:rPr>
                      <w:rFonts w:hint="eastAsia" w:ascii="Times New Roman" w:hAnsi="Times New Roman"/>
                      <w:color w:val="auto"/>
                      <w:szCs w:val="21"/>
                    </w:rPr>
                    <w:t>堆棚</w:t>
                  </w:r>
                </w:p>
              </w:tc>
              <w:tc>
                <w:tcPr>
                  <w:tcW w:w="2715"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设置</w:t>
                  </w:r>
                  <w:r>
                    <w:rPr>
                      <w:rFonts w:hint="eastAsia" w:ascii="Times New Roman" w:hAnsi="Times New Roman"/>
                      <w:color w:val="auto"/>
                      <w:szCs w:val="21"/>
                    </w:rPr>
                    <w:t>彩钢瓦</w:t>
                  </w:r>
                  <w:r>
                    <w:rPr>
                      <w:rFonts w:ascii="Times New Roman" w:hAnsi="Times New Roman"/>
                      <w:color w:val="auto"/>
                      <w:szCs w:val="21"/>
                    </w:rPr>
                    <w:t>顶棚及三面挡墙，喷雾洒水降尘措施</w:t>
                  </w:r>
                </w:p>
              </w:tc>
              <w:tc>
                <w:tcPr>
                  <w:tcW w:w="1215" w:type="dxa"/>
                  <w:vMerge w:val="restart"/>
                  <w:vAlign w:val="center"/>
                </w:tcPr>
                <w:p>
                  <w:pPr>
                    <w:adjustRightInd w:val="0"/>
                    <w:snapToGrid w:val="0"/>
                    <w:jc w:val="center"/>
                    <w:rPr>
                      <w:rFonts w:ascii="Times New Roman" w:hAnsi="Times New Roman" w:eastAsia="宋体" w:cs="Times New Roman"/>
                      <w:color w:val="auto"/>
                      <w:kern w:val="2"/>
                      <w:sz w:val="21"/>
                      <w:szCs w:val="21"/>
                      <w:lang w:val="en-US" w:eastAsia="zh-CN" w:bidi="ar-SA"/>
                    </w:rPr>
                  </w:pPr>
                  <w:r>
                    <w:rPr>
                      <w:rFonts w:ascii="Times New Roman" w:hAnsi="Times New Roman"/>
                      <w:color w:val="auto"/>
                      <w:szCs w:val="21"/>
                    </w:rPr>
                    <w:t>无组织粉尘</w:t>
                  </w:r>
                </w:p>
              </w:tc>
              <w:tc>
                <w:tcPr>
                  <w:tcW w:w="2731" w:type="dxa"/>
                  <w:vMerge w:val="restart"/>
                  <w:vAlign w:val="center"/>
                </w:tcPr>
                <w:p>
                  <w:pPr>
                    <w:adjustRightInd w:val="0"/>
                    <w:snapToGrid w:val="0"/>
                    <w:jc w:val="center"/>
                    <w:rPr>
                      <w:rFonts w:ascii="Times New Roman" w:hAnsi="Times New Roman"/>
                      <w:color w:val="auto"/>
                      <w:szCs w:val="21"/>
                    </w:rPr>
                  </w:pPr>
                  <w:r>
                    <w:rPr>
                      <w:rFonts w:ascii="Times New Roman" w:hAnsi="Times New Roman"/>
                      <w:bCs/>
                      <w:color w:val="auto"/>
                      <w:szCs w:val="21"/>
                    </w:rPr>
                    <w:t>满足《大气污染物综合排放标准》</w:t>
                  </w:r>
                  <w:r>
                    <w:rPr>
                      <w:rFonts w:hint="eastAsia" w:ascii="Times New Roman" w:hAnsi="Times New Roman"/>
                      <w:bCs/>
                      <w:color w:val="auto"/>
                      <w:szCs w:val="21"/>
                    </w:rPr>
                    <w:t>（</w:t>
                  </w:r>
                  <w:r>
                    <w:rPr>
                      <w:rFonts w:ascii="Times New Roman" w:hAnsi="Times New Roman"/>
                      <w:bCs/>
                      <w:color w:val="auto"/>
                      <w:szCs w:val="21"/>
                    </w:rPr>
                    <w:t>GB16297-1996</w:t>
                  </w:r>
                  <w:r>
                    <w:rPr>
                      <w:rFonts w:hint="eastAsia" w:ascii="Times New Roman" w:hAnsi="Times New Roman"/>
                      <w:bCs/>
                      <w:color w:val="auto"/>
                      <w:szCs w:val="21"/>
                    </w:rPr>
                    <w:t>）</w:t>
                  </w:r>
                  <w:r>
                    <w:rPr>
                      <w:rFonts w:ascii="Times New Roman" w:hAnsi="Times New Roman"/>
                      <w:bCs/>
                      <w:color w:val="auto"/>
                      <w:szCs w:val="21"/>
                    </w:rPr>
                    <w:t>厂界无组织浓度限值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hint="eastAsia" w:ascii="Times New Roman" w:hAnsi="Times New Roman" w:eastAsia="宋体"/>
                      <w:color w:val="auto"/>
                      <w:szCs w:val="21"/>
                      <w:lang w:val="en-US" w:eastAsia="zh-CN"/>
                    </w:rPr>
                  </w:pPr>
                  <w:r>
                    <w:rPr>
                      <w:rFonts w:hint="eastAsia" w:ascii="Times New Roman" w:hAnsi="Times New Roman"/>
                      <w:color w:val="auto"/>
                      <w:szCs w:val="21"/>
                      <w:lang w:val="en-US" w:eastAsia="zh-CN"/>
                    </w:rPr>
                    <w:t>3</w:t>
                  </w:r>
                </w:p>
              </w:tc>
              <w:tc>
                <w:tcPr>
                  <w:tcW w:w="1230"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河沙堆棚</w:t>
                  </w:r>
                </w:p>
              </w:tc>
              <w:tc>
                <w:tcPr>
                  <w:tcW w:w="2715" w:type="dxa"/>
                  <w:vAlign w:val="center"/>
                </w:tcPr>
                <w:p>
                  <w:pPr>
                    <w:adjustRightInd w:val="0"/>
                    <w:snapToGrid w:val="0"/>
                    <w:jc w:val="center"/>
                    <w:rPr>
                      <w:rFonts w:hint="eastAsia" w:ascii="Times New Roman" w:hAnsi="Times New Roman"/>
                      <w:color w:val="auto"/>
                      <w:kern w:val="0"/>
                      <w:szCs w:val="21"/>
                    </w:rPr>
                  </w:pPr>
                  <w:r>
                    <w:rPr>
                      <w:rFonts w:hint="eastAsia" w:ascii="Times New Roman" w:hAnsi="Times New Roman"/>
                      <w:color w:val="auto"/>
                      <w:kern w:val="0"/>
                      <w:szCs w:val="21"/>
                    </w:rPr>
                    <w:t>设置彩钢瓦顶棚及三面挡墙，喷雾洒水降尘措施</w:t>
                  </w:r>
                </w:p>
              </w:tc>
              <w:tc>
                <w:tcPr>
                  <w:tcW w:w="1215" w:type="dxa"/>
                  <w:vMerge w:val="continue"/>
                  <w:vAlign w:val="center"/>
                </w:tcPr>
                <w:p>
                  <w:pPr>
                    <w:adjustRightInd w:val="0"/>
                    <w:snapToGrid w:val="0"/>
                    <w:jc w:val="center"/>
                    <w:rPr>
                      <w:rFonts w:ascii="Times New Roman" w:hAnsi="Times New Roman" w:eastAsia="宋体" w:cs="Times New Roman"/>
                      <w:color w:val="auto"/>
                      <w:kern w:val="2"/>
                      <w:sz w:val="21"/>
                      <w:szCs w:val="21"/>
                      <w:lang w:val="en-US" w:eastAsia="zh-CN" w:bidi="ar-SA"/>
                    </w:rPr>
                  </w:pPr>
                </w:p>
              </w:tc>
              <w:tc>
                <w:tcPr>
                  <w:tcW w:w="2731" w:type="dxa"/>
                  <w:vMerge w:val="continue"/>
                  <w:vAlign w:val="center"/>
                </w:tcPr>
                <w:p>
                  <w:pPr>
                    <w:adjustRightInd w:val="0"/>
                    <w:snapToGrid w:val="0"/>
                    <w:jc w:val="center"/>
                    <w:rPr>
                      <w:rFonts w:ascii="Times New Roman" w:hAnsi="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hint="eastAsia" w:ascii="Times New Roman" w:hAnsi="Times New Roman" w:eastAsia="宋体"/>
                      <w:color w:val="auto"/>
                      <w:szCs w:val="21"/>
                      <w:lang w:val="en-US" w:eastAsia="zh-CN"/>
                    </w:rPr>
                  </w:pPr>
                  <w:r>
                    <w:rPr>
                      <w:rFonts w:hint="eastAsia" w:ascii="Times New Roman" w:hAnsi="Times New Roman"/>
                      <w:color w:val="auto"/>
                      <w:szCs w:val="21"/>
                      <w:lang w:val="en-US" w:eastAsia="zh-CN"/>
                    </w:rPr>
                    <w:t>4</w:t>
                  </w:r>
                </w:p>
              </w:tc>
              <w:tc>
                <w:tcPr>
                  <w:tcW w:w="1230"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机制砂堆棚</w:t>
                  </w:r>
                </w:p>
              </w:tc>
              <w:tc>
                <w:tcPr>
                  <w:tcW w:w="2715" w:type="dxa"/>
                  <w:vAlign w:val="center"/>
                </w:tcPr>
                <w:p>
                  <w:pPr>
                    <w:adjustRightInd w:val="0"/>
                    <w:snapToGrid w:val="0"/>
                    <w:jc w:val="center"/>
                    <w:rPr>
                      <w:rFonts w:hint="eastAsia" w:ascii="Times New Roman" w:hAnsi="Times New Roman"/>
                      <w:color w:val="auto"/>
                      <w:kern w:val="0"/>
                      <w:szCs w:val="21"/>
                    </w:rPr>
                  </w:pPr>
                  <w:r>
                    <w:rPr>
                      <w:rFonts w:hint="eastAsia" w:ascii="Times New Roman" w:hAnsi="Times New Roman"/>
                      <w:color w:val="auto"/>
                      <w:kern w:val="0"/>
                      <w:szCs w:val="21"/>
                    </w:rPr>
                    <w:t>设置彩钢瓦顶棚及三面挡墙，喷雾洒水降尘措施</w:t>
                  </w:r>
                </w:p>
              </w:tc>
              <w:tc>
                <w:tcPr>
                  <w:tcW w:w="1215" w:type="dxa"/>
                  <w:vMerge w:val="continue"/>
                  <w:vAlign w:val="center"/>
                </w:tcPr>
                <w:p>
                  <w:pPr>
                    <w:adjustRightInd w:val="0"/>
                    <w:snapToGrid w:val="0"/>
                    <w:jc w:val="center"/>
                    <w:rPr>
                      <w:rFonts w:ascii="Times New Roman" w:hAnsi="Times New Roman"/>
                      <w:color w:val="auto"/>
                      <w:szCs w:val="21"/>
                    </w:rPr>
                  </w:pPr>
                </w:p>
              </w:tc>
              <w:tc>
                <w:tcPr>
                  <w:tcW w:w="2731" w:type="dxa"/>
                  <w:vMerge w:val="continue"/>
                  <w:vAlign w:val="center"/>
                </w:tcPr>
                <w:p>
                  <w:pPr>
                    <w:adjustRightInd w:val="0"/>
                    <w:snapToGrid w:val="0"/>
                    <w:jc w:val="center"/>
                    <w:rPr>
                      <w:rFonts w:ascii="Times New Roman" w:hAnsi="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val="en-US" w:eastAsia="zh-CN"/>
                    </w:rPr>
                    <w:t>5</w:t>
                  </w:r>
                </w:p>
              </w:tc>
              <w:tc>
                <w:tcPr>
                  <w:tcW w:w="1230"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食堂油烟</w:t>
                  </w:r>
                </w:p>
              </w:tc>
              <w:tc>
                <w:tcPr>
                  <w:tcW w:w="2715"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1套处理效率60%</w:t>
                  </w:r>
                  <w:r>
                    <w:rPr>
                      <w:rFonts w:ascii="Times New Roman" w:hAnsi="Times New Roman"/>
                      <w:color w:val="auto"/>
                      <w:szCs w:val="21"/>
                    </w:rPr>
                    <w:t>油烟净化器</w:t>
                  </w:r>
                </w:p>
              </w:tc>
              <w:tc>
                <w:tcPr>
                  <w:tcW w:w="1215"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油烟</w:t>
                  </w:r>
                </w:p>
              </w:tc>
              <w:tc>
                <w:tcPr>
                  <w:tcW w:w="2731" w:type="dxa"/>
                  <w:vAlign w:val="center"/>
                </w:tcPr>
                <w:p>
                  <w:pPr>
                    <w:adjustRightInd w:val="0"/>
                    <w:snapToGrid w:val="0"/>
                    <w:jc w:val="center"/>
                    <w:rPr>
                      <w:rFonts w:ascii="Times New Roman" w:hAnsi="Times New Roman"/>
                      <w:color w:val="auto"/>
                      <w:kern w:val="0"/>
                      <w:szCs w:val="21"/>
                    </w:rPr>
                  </w:pPr>
                  <w:r>
                    <w:rPr>
                      <w:rFonts w:ascii="Times New Roman" w:hAnsi="Times New Roman"/>
                      <w:bCs/>
                      <w:color w:val="auto"/>
                      <w:szCs w:val="21"/>
                    </w:rPr>
                    <w:t>满足《饮食业油烟排放标准》</w:t>
                  </w:r>
                  <w:r>
                    <w:rPr>
                      <w:rFonts w:hint="eastAsia" w:ascii="Times New Roman" w:hAnsi="Times New Roman"/>
                      <w:bCs/>
                      <w:color w:val="auto"/>
                      <w:szCs w:val="21"/>
                    </w:rPr>
                    <w:t>（</w:t>
                  </w:r>
                  <w:r>
                    <w:rPr>
                      <w:rFonts w:ascii="Times New Roman" w:hAnsi="Times New Roman"/>
                      <w:bCs/>
                      <w:color w:val="auto"/>
                      <w:szCs w:val="21"/>
                    </w:rPr>
                    <w:t>GB18483-2001</w:t>
                  </w:r>
                  <w:r>
                    <w:rPr>
                      <w:rFonts w:hint="eastAsia" w:ascii="Times New Roman" w:hAnsi="Times New Roman"/>
                      <w:bCs/>
                      <w:color w:val="auto"/>
                      <w:szCs w:val="21"/>
                    </w:rPr>
                    <w:t>）</w:t>
                  </w:r>
                  <w:r>
                    <w:rPr>
                      <w:rFonts w:ascii="Times New Roman" w:hAnsi="Times New Roman"/>
                      <w:bCs/>
                      <w:color w:val="auto"/>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523"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val="en-US" w:eastAsia="zh-CN"/>
                    </w:rPr>
                    <w:t>6</w:t>
                  </w:r>
                </w:p>
              </w:tc>
              <w:tc>
                <w:tcPr>
                  <w:tcW w:w="1230"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焊接废气</w:t>
                  </w:r>
                </w:p>
              </w:tc>
              <w:tc>
                <w:tcPr>
                  <w:tcW w:w="2715" w:type="dxa"/>
                  <w:vMerge w:val="restart"/>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车间</w:t>
                  </w:r>
                  <w:r>
                    <w:rPr>
                      <w:rFonts w:hint="eastAsia" w:ascii="Times New Roman" w:hAnsi="Times New Roman"/>
                      <w:color w:val="auto"/>
                      <w:szCs w:val="21"/>
                    </w:rPr>
                    <w:t>通风</w:t>
                  </w:r>
                </w:p>
              </w:tc>
              <w:tc>
                <w:tcPr>
                  <w:tcW w:w="1215" w:type="dxa"/>
                  <w:vMerge w:val="restart"/>
                  <w:vAlign w:val="center"/>
                </w:tcPr>
                <w:p>
                  <w:pPr>
                    <w:adjustRightInd w:val="0"/>
                    <w:snapToGrid w:val="0"/>
                    <w:jc w:val="center"/>
                    <w:rPr>
                      <w:rFonts w:hint="eastAsia" w:ascii="Times New Roman" w:hAnsi="Times New Roman"/>
                      <w:color w:val="auto"/>
                      <w:szCs w:val="21"/>
                    </w:rPr>
                  </w:pPr>
                  <w:r>
                    <w:rPr>
                      <w:rFonts w:hint="eastAsia" w:ascii="Times New Roman" w:hAnsi="Times New Roman"/>
                      <w:color w:val="auto"/>
                      <w:szCs w:val="21"/>
                    </w:rPr>
                    <w:t>无组织粉尘</w:t>
                  </w:r>
                </w:p>
              </w:tc>
              <w:tc>
                <w:tcPr>
                  <w:tcW w:w="2731" w:type="dxa"/>
                  <w:vMerge w:val="restart"/>
                  <w:vAlign w:val="center"/>
                </w:tcPr>
                <w:p>
                  <w:pPr>
                    <w:adjustRightInd w:val="0"/>
                    <w:snapToGrid w:val="0"/>
                    <w:jc w:val="center"/>
                    <w:rPr>
                      <w:rFonts w:ascii="Times New Roman" w:hAnsi="Times New Roman"/>
                      <w:bCs/>
                      <w:color w:val="auto"/>
                      <w:szCs w:val="21"/>
                    </w:rPr>
                  </w:pPr>
                  <w:r>
                    <w:rPr>
                      <w:rFonts w:ascii="Times New Roman" w:hAnsi="Times New Roman"/>
                      <w:bCs/>
                      <w:color w:val="auto"/>
                      <w:szCs w:val="21"/>
                    </w:rPr>
                    <w:t>满足《大气污染物综合排放标准》</w:t>
                  </w:r>
                  <w:r>
                    <w:rPr>
                      <w:rFonts w:hint="eastAsia" w:ascii="Times New Roman" w:hAnsi="Times New Roman"/>
                      <w:bCs/>
                      <w:color w:val="auto"/>
                      <w:szCs w:val="21"/>
                    </w:rPr>
                    <w:t>（</w:t>
                  </w:r>
                  <w:r>
                    <w:rPr>
                      <w:rFonts w:ascii="Times New Roman" w:hAnsi="Times New Roman"/>
                      <w:bCs/>
                      <w:color w:val="auto"/>
                      <w:szCs w:val="21"/>
                    </w:rPr>
                    <w:t>GB16297-1996</w:t>
                  </w:r>
                  <w:r>
                    <w:rPr>
                      <w:rFonts w:hint="eastAsia" w:ascii="Times New Roman" w:hAnsi="Times New Roman"/>
                      <w:bCs/>
                      <w:color w:val="auto"/>
                      <w:szCs w:val="21"/>
                    </w:rPr>
                    <w:t>）</w:t>
                  </w:r>
                  <w:r>
                    <w:rPr>
                      <w:rFonts w:ascii="Times New Roman" w:hAnsi="Times New Roman"/>
                      <w:bCs/>
                      <w:color w:val="auto"/>
                      <w:szCs w:val="21"/>
                    </w:rPr>
                    <w:t>厂界无组织浓度限值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523" w:type="dxa"/>
                  <w:vAlign w:val="center"/>
                </w:tcPr>
                <w:p>
                  <w:pPr>
                    <w:adjustRightInd w:val="0"/>
                    <w:snapToGrid w:val="0"/>
                    <w:jc w:val="center"/>
                    <w:rPr>
                      <w:rFonts w:hint="default" w:ascii="Times New Roman" w:hAnsi="Times New Roman"/>
                      <w:color w:val="auto"/>
                      <w:szCs w:val="21"/>
                      <w:lang w:val="en-US" w:eastAsia="zh-CN"/>
                    </w:rPr>
                  </w:pPr>
                  <w:r>
                    <w:rPr>
                      <w:rFonts w:hint="eastAsia" w:ascii="Times New Roman" w:hAnsi="Times New Roman"/>
                      <w:color w:val="auto"/>
                      <w:szCs w:val="21"/>
                      <w:lang w:val="en-US" w:eastAsia="zh-CN"/>
                    </w:rPr>
                    <w:t>7</w:t>
                  </w:r>
                </w:p>
              </w:tc>
              <w:tc>
                <w:tcPr>
                  <w:tcW w:w="1230"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切割废气</w:t>
                  </w:r>
                </w:p>
              </w:tc>
              <w:tc>
                <w:tcPr>
                  <w:tcW w:w="2715" w:type="dxa"/>
                  <w:vMerge w:val="continue"/>
                  <w:vAlign w:val="center"/>
                </w:tcPr>
                <w:p>
                  <w:pPr>
                    <w:adjustRightInd w:val="0"/>
                    <w:snapToGrid w:val="0"/>
                    <w:jc w:val="center"/>
                    <w:rPr>
                      <w:rFonts w:hint="eastAsia" w:ascii="Times New Roman" w:hAnsi="Times New Roman" w:eastAsia="宋体"/>
                      <w:color w:val="auto"/>
                      <w:szCs w:val="21"/>
                      <w:lang w:eastAsia="zh-CN"/>
                    </w:rPr>
                  </w:pPr>
                </w:p>
              </w:tc>
              <w:tc>
                <w:tcPr>
                  <w:tcW w:w="1215" w:type="dxa"/>
                  <w:vMerge w:val="continue"/>
                  <w:vAlign w:val="center"/>
                </w:tcPr>
                <w:p>
                  <w:pPr>
                    <w:adjustRightInd w:val="0"/>
                    <w:snapToGrid w:val="0"/>
                    <w:jc w:val="center"/>
                    <w:rPr>
                      <w:rFonts w:hint="eastAsia" w:ascii="Times New Roman" w:hAnsi="Times New Roman"/>
                      <w:color w:val="auto"/>
                      <w:szCs w:val="21"/>
                    </w:rPr>
                  </w:pPr>
                </w:p>
              </w:tc>
              <w:tc>
                <w:tcPr>
                  <w:tcW w:w="2731" w:type="dxa"/>
                  <w:vMerge w:val="continue"/>
                  <w:vAlign w:val="center"/>
                </w:tcPr>
                <w:p>
                  <w:pPr>
                    <w:adjustRightInd w:val="0"/>
                    <w:snapToGrid w:val="0"/>
                    <w:jc w:val="center"/>
                    <w:rPr>
                      <w:rFonts w:ascii="Times New Roman" w:hAnsi="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ascii="Times New Roman" w:hAnsi="Times New Roman"/>
                      <w:b/>
                      <w:color w:val="auto"/>
                      <w:szCs w:val="21"/>
                    </w:rPr>
                  </w:pPr>
                  <w:r>
                    <w:rPr>
                      <w:rFonts w:ascii="Times New Roman" w:hAnsi="Times New Roman"/>
                      <w:b/>
                      <w:color w:val="auto"/>
                      <w:szCs w:val="21"/>
                    </w:rPr>
                    <w:t>三</w:t>
                  </w:r>
                </w:p>
              </w:tc>
              <w:tc>
                <w:tcPr>
                  <w:tcW w:w="7891" w:type="dxa"/>
                  <w:gridSpan w:val="4"/>
                  <w:vAlign w:val="center"/>
                </w:tcPr>
                <w:p>
                  <w:pPr>
                    <w:adjustRightInd w:val="0"/>
                    <w:snapToGrid w:val="0"/>
                    <w:jc w:val="center"/>
                    <w:rPr>
                      <w:rFonts w:ascii="Times New Roman" w:hAnsi="Times New Roman"/>
                      <w:b/>
                      <w:color w:val="auto"/>
                      <w:szCs w:val="21"/>
                    </w:rPr>
                  </w:pPr>
                  <w:r>
                    <w:rPr>
                      <w:rFonts w:ascii="Times New Roman" w:hAnsi="Times New Roman"/>
                      <w:b/>
                      <w:color w:val="auto"/>
                      <w:szCs w:val="21"/>
                    </w:rPr>
                    <w:t>固体废弃物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1</w:t>
                  </w:r>
                </w:p>
              </w:tc>
              <w:tc>
                <w:tcPr>
                  <w:tcW w:w="1230"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生活垃圾</w:t>
                  </w:r>
                </w:p>
              </w:tc>
              <w:tc>
                <w:tcPr>
                  <w:tcW w:w="2715" w:type="dxa"/>
                  <w:vMerge w:val="restart"/>
                  <w:vAlign w:val="center"/>
                </w:tcPr>
                <w:p>
                  <w:pPr>
                    <w:adjustRightInd w:val="0"/>
                    <w:snapToGrid w:val="0"/>
                    <w:ind w:firstLine="420" w:firstLineChars="200"/>
                    <w:jc w:val="center"/>
                    <w:rPr>
                      <w:rFonts w:ascii="Times New Roman" w:hAnsi="Times New Roman"/>
                      <w:color w:val="auto"/>
                      <w:szCs w:val="21"/>
                    </w:rPr>
                  </w:pPr>
                  <w:r>
                    <w:rPr>
                      <w:rFonts w:ascii="Times New Roman" w:hAnsi="Times New Roman"/>
                      <w:color w:val="auto"/>
                      <w:szCs w:val="21"/>
                    </w:rPr>
                    <w:t>垃圾桶</w:t>
                  </w:r>
                </w:p>
              </w:tc>
              <w:tc>
                <w:tcPr>
                  <w:tcW w:w="1215"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生活垃圾</w:t>
                  </w:r>
                </w:p>
              </w:tc>
              <w:tc>
                <w:tcPr>
                  <w:tcW w:w="2731"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hint="eastAsia" w:ascii="Times New Roman" w:hAnsi="Times New Roman" w:eastAsia="宋体"/>
                      <w:color w:val="auto"/>
                      <w:szCs w:val="21"/>
                      <w:lang w:val="en-US" w:eastAsia="zh-CN"/>
                    </w:rPr>
                  </w:pPr>
                  <w:r>
                    <w:rPr>
                      <w:rFonts w:hint="eastAsia" w:ascii="Times New Roman" w:hAnsi="Times New Roman"/>
                      <w:color w:val="auto"/>
                      <w:szCs w:val="21"/>
                      <w:lang w:val="en-US" w:eastAsia="zh-CN"/>
                    </w:rPr>
                    <w:t>2</w:t>
                  </w:r>
                </w:p>
              </w:tc>
              <w:tc>
                <w:tcPr>
                  <w:tcW w:w="1230"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生活污水处理系统</w:t>
                  </w:r>
                </w:p>
              </w:tc>
              <w:tc>
                <w:tcPr>
                  <w:tcW w:w="2715" w:type="dxa"/>
                  <w:vMerge w:val="continue"/>
                  <w:vAlign w:val="center"/>
                </w:tcPr>
                <w:p>
                  <w:pPr>
                    <w:adjustRightInd w:val="0"/>
                    <w:snapToGrid w:val="0"/>
                    <w:ind w:firstLine="420" w:firstLineChars="200"/>
                    <w:jc w:val="center"/>
                    <w:rPr>
                      <w:rFonts w:ascii="Times New Roman" w:hAnsi="Times New Roman"/>
                      <w:color w:val="auto"/>
                      <w:szCs w:val="21"/>
                    </w:rPr>
                  </w:pPr>
                </w:p>
              </w:tc>
              <w:tc>
                <w:tcPr>
                  <w:tcW w:w="1215" w:type="dxa"/>
                  <w:vMerge w:val="restart"/>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污泥</w:t>
                  </w:r>
                </w:p>
              </w:tc>
              <w:tc>
                <w:tcPr>
                  <w:tcW w:w="2731"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hint="eastAsia" w:ascii="Times New Roman" w:hAnsi="Times New Roman" w:eastAsia="宋体"/>
                      <w:color w:val="auto"/>
                      <w:szCs w:val="21"/>
                      <w:lang w:val="en-US" w:eastAsia="zh-CN"/>
                    </w:rPr>
                  </w:pPr>
                  <w:r>
                    <w:rPr>
                      <w:rFonts w:hint="eastAsia" w:ascii="Times New Roman" w:hAnsi="Times New Roman"/>
                      <w:color w:val="auto"/>
                      <w:szCs w:val="21"/>
                      <w:lang w:val="en-US" w:eastAsia="zh-CN"/>
                    </w:rPr>
                    <w:t>3</w:t>
                  </w:r>
                </w:p>
              </w:tc>
              <w:tc>
                <w:tcPr>
                  <w:tcW w:w="1230"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四级沉淀池</w:t>
                  </w:r>
                </w:p>
              </w:tc>
              <w:tc>
                <w:tcPr>
                  <w:tcW w:w="2715" w:type="dxa"/>
                  <w:vMerge w:val="continue"/>
                  <w:vAlign w:val="center"/>
                </w:tcPr>
                <w:p>
                  <w:pPr>
                    <w:adjustRightInd w:val="0"/>
                    <w:snapToGrid w:val="0"/>
                    <w:ind w:firstLine="420" w:firstLineChars="200"/>
                    <w:jc w:val="center"/>
                    <w:rPr>
                      <w:rFonts w:ascii="Times New Roman" w:hAnsi="Times New Roman"/>
                      <w:color w:val="auto"/>
                      <w:szCs w:val="21"/>
                    </w:rPr>
                  </w:pPr>
                </w:p>
              </w:tc>
              <w:tc>
                <w:tcPr>
                  <w:tcW w:w="1215" w:type="dxa"/>
                  <w:vMerge w:val="continue"/>
                  <w:vAlign w:val="center"/>
                </w:tcPr>
                <w:p>
                  <w:pPr>
                    <w:adjustRightInd w:val="0"/>
                    <w:snapToGrid w:val="0"/>
                    <w:jc w:val="center"/>
                    <w:rPr>
                      <w:rFonts w:ascii="Times New Roman" w:hAnsi="Times New Roman"/>
                      <w:color w:val="auto"/>
                      <w:szCs w:val="21"/>
                    </w:rPr>
                  </w:pPr>
                </w:p>
              </w:tc>
              <w:tc>
                <w:tcPr>
                  <w:tcW w:w="2731"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hint="eastAsia" w:ascii="Times New Roman" w:hAnsi="Times New Roman" w:eastAsia="宋体"/>
                      <w:color w:val="auto"/>
                      <w:szCs w:val="21"/>
                      <w:lang w:val="en-US" w:eastAsia="zh-CN"/>
                    </w:rPr>
                  </w:pPr>
                  <w:r>
                    <w:rPr>
                      <w:rFonts w:hint="eastAsia" w:ascii="Times New Roman" w:hAnsi="Times New Roman"/>
                      <w:color w:val="auto"/>
                      <w:szCs w:val="21"/>
                      <w:lang w:val="en-US" w:eastAsia="zh-CN"/>
                    </w:rPr>
                    <w:t>4</w:t>
                  </w:r>
                </w:p>
              </w:tc>
              <w:tc>
                <w:tcPr>
                  <w:tcW w:w="1230"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初期雨水收集池</w:t>
                  </w:r>
                </w:p>
              </w:tc>
              <w:tc>
                <w:tcPr>
                  <w:tcW w:w="2715" w:type="dxa"/>
                  <w:vMerge w:val="continue"/>
                  <w:vAlign w:val="center"/>
                </w:tcPr>
                <w:p>
                  <w:pPr>
                    <w:adjustRightInd w:val="0"/>
                    <w:snapToGrid w:val="0"/>
                    <w:ind w:firstLine="420" w:firstLineChars="200"/>
                    <w:jc w:val="center"/>
                    <w:rPr>
                      <w:rFonts w:ascii="Times New Roman" w:hAnsi="Times New Roman"/>
                      <w:color w:val="auto"/>
                      <w:szCs w:val="21"/>
                    </w:rPr>
                  </w:pPr>
                </w:p>
              </w:tc>
              <w:tc>
                <w:tcPr>
                  <w:tcW w:w="1215" w:type="dxa"/>
                  <w:vMerge w:val="continue"/>
                  <w:vAlign w:val="center"/>
                </w:tcPr>
                <w:p>
                  <w:pPr>
                    <w:adjustRightInd w:val="0"/>
                    <w:snapToGrid w:val="0"/>
                    <w:jc w:val="center"/>
                    <w:rPr>
                      <w:rFonts w:ascii="Times New Roman" w:hAnsi="Times New Roman"/>
                      <w:color w:val="auto"/>
                      <w:szCs w:val="21"/>
                    </w:rPr>
                  </w:pPr>
                </w:p>
              </w:tc>
              <w:tc>
                <w:tcPr>
                  <w:tcW w:w="2731"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val="en-US" w:eastAsia="zh-CN"/>
                    </w:rPr>
                    <w:t>5</w:t>
                  </w:r>
                </w:p>
              </w:tc>
              <w:tc>
                <w:tcPr>
                  <w:tcW w:w="1230"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收集粉尘</w:t>
                  </w:r>
                </w:p>
              </w:tc>
              <w:tc>
                <w:tcPr>
                  <w:tcW w:w="2715"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使用袋装，后用于搅拌原料</w:t>
                  </w:r>
                </w:p>
              </w:tc>
              <w:tc>
                <w:tcPr>
                  <w:tcW w:w="1215"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收集粉尘</w:t>
                  </w:r>
                </w:p>
              </w:tc>
              <w:tc>
                <w:tcPr>
                  <w:tcW w:w="2731"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hint="eastAsia" w:ascii="Times New Roman" w:hAnsi="Times New Roman" w:eastAsia="宋体"/>
                      <w:color w:val="auto"/>
                      <w:szCs w:val="21"/>
                      <w:lang w:val="en-US" w:eastAsia="zh-CN"/>
                    </w:rPr>
                  </w:pPr>
                  <w:r>
                    <w:rPr>
                      <w:rFonts w:hint="eastAsia" w:ascii="Times New Roman" w:hAnsi="Times New Roman"/>
                      <w:color w:val="auto"/>
                      <w:szCs w:val="21"/>
                      <w:lang w:val="en-US" w:eastAsia="zh-CN"/>
                    </w:rPr>
                    <w:t>6</w:t>
                  </w:r>
                </w:p>
              </w:tc>
              <w:tc>
                <w:tcPr>
                  <w:tcW w:w="1230"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废混凝土</w:t>
                  </w:r>
                </w:p>
              </w:tc>
              <w:tc>
                <w:tcPr>
                  <w:tcW w:w="2715"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作为原料返回生产线</w:t>
                  </w:r>
                </w:p>
              </w:tc>
              <w:tc>
                <w:tcPr>
                  <w:tcW w:w="1215"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废混凝土</w:t>
                  </w:r>
                </w:p>
              </w:tc>
              <w:tc>
                <w:tcPr>
                  <w:tcW w:w="2731"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hint="eastAsia" w:ascii="Times New Roman" w:hAnsi="Times New Roman" w:eastAsia="宋体"/>
                      <w:color w:val="auto"/>
                      <w:szCs w:val="21"/>
                      <w:lang w:val="en-US" w:eastAsia="zh-CN"/>
                    </w:rPr>
                  </w:pPr>
                  <w:r>
                    <w:rPr>
                      <w:rFonts w:hint="eastAsia" w:ascii="Times New Roman" w:hAnsi="Times New Roman"/>
                      <w:color w:val="auto"/>
                      <w:szCs w:val="21"/>
                      <w:lang w:val="en-US" w:eastAsia="zh-CN"/>
                    </w:rPr>
                    <w:t>7</w:t>
                  </w:r>
                </w:p>
              </w:tc>
              <w:tc>
                <w:tcPr>
                  <w:tcW w:w="1230"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废钢筋</w:t>
                  </w:r>
                </w:p>
              </w:tc>
              <w:tc>
                <w:tcPr>
                  <w:tcW w:w="2715"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外卖当地废品站</w:t>
                  </w:r>
                </w:p>
              </w:tc>
              <w:tc>
                <w:tcPr>
                  <w:tcW w:w="1215"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废钢筋</w:t>
                  </w:r>
                </w:p>
              </w:tc>
              <w:tc>
                <w:tcPr>
                  <w:tcW w:w="2731"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hint="default" w:ascii="Times New Roman" w:hAnsi="Times New Roman"/>
                      <w:color w:val="auto"/>
                      <w:szCs w:val="21"/>
                      <w:lang w:val="en-US" w:eastAsia="zh-CN"/>
                    </w:rPr>
                  </w:pPr>
                  <w:r>
                    <w:rPr>
                      <w:rFonts w:hint="eastAsia" w:ascii="Times New Roman" w:hAnsi="Times New Roman"/>
                      <w:color w:val="auto"/>
                      <w:szCs w:val="21"/>
                      <w:lang w:val="en-US" w:eastAsia="zh-CN"/>
                    </w:rPr>
                    <w:t>8</w:t>
                  </w:r>
                </w:p>
              </w:tc>
              <w:tc>
                <w:tcPr>
                  <w:tcW w:w="1230" w:type="dxa"/>
                  <w:vAlign w:val="center"/>
                </w:tcPr>
                <w:p>
                  <w:pPr>
                    <w:adjustRightInd w:val="0"/>
                    <w:snapToGrid w:val="0"/>
                    <w:jc w:val="center"/>
                    <w:rPr>
                      <w:rFonts w:hint="eastAsia" w:ascii="Times New Roman" w:hAnsi="Times New Roman"/>
                      <w:color w:val="auto"/>
                      <w:szCs w:val="21"/>
                      <w:lang w:eastAsia="zh-CN"/>
                    </w:rPr>
                  </w:pPr>
                  <w:r>
                    <w:rPr>
                      <w:rFonts w:hint="eastAsia" w:ascii="Times New Roman" w:hAnsi="Times New Roman"/>
                      <w:color w:val="auto"/>
                      <w:szCs w:val="21"/>
                      <w:lang w:eastAsia="zh-CN"/>
                    </w:rPr>
                    <w:t>实验室固废</w:t>
                  </w:r>
                </w:p>
              </w:tc>
              <w:tc>
                <w:tcPr>
                  <w:tcW w:w="2715" w:type="dxa"/>
                  <w:vAlign w:val="center"/>
                </w:tcPr>
                <w:p>
                  <w:pPr>
                    <w:adjustRightInd w:val="0"/>
                    <w:snapToGrid w:val="0"/>
                    <w:jc w:val="center"/>
                    <w:rPr>
                      <w:rFonts w:hint="default" w:ascii="Times New Roman" w:hAnsi="Times New Roman"/>
                      <w:color w:val="auto"/>
                      <w:szCs w:val="21"/>
                      <w:lang w:val="en-US" w:eastAsia="zh-CN"/>
                    </w:rPr>
                  </w:pPr>
                  <w:r>
                    <w:rPr>
                      <w:rFonts w:hint="eastAsia" w:ascii="Times New Roman" w:hAnsi="Times New Roman"/>
                      <w:color w:val="auto"/>
                      <w:szCs w:val="21"/>
                      <w:lang w:eastAsia="zh-CN"/>
                    </w:rPr>
                    <w:t>返回各自生产工序再生产利用</w:t>
                  </w:r>
                </w:p>
              </w:tc>
              <w:tc>
                <w:tcPr>
                  <w:tcW w:w="1215" w:type="dxa"/>
                  <w:vAlign w:val="center"/>
                </w:tcPr>
                <w:p>
                  <w:pPr>
                    <w:adjustRightInd w:val="0"/>
                    <w:snapToGrid w:val="0"/>
                    <w:jc w:val="center"/>
                    <w:rPr>
                      <w:rFonts w:hint="eastAsia" w:ascii="Times New Roman" w:hAnsi="Times New Roman"/>
                      <w:color w:val="auto"/>
                      <w:szCs w:val="21"/>
                      <w:lang w:eastAsia="zh-CN"/>
                    </w:rPr>
                  </w:pPr>
                  <w:r>
                    <w:rPr>
                      <w:rFonts w:hint="eastAsia" w:ascii="Times New Roman" w:hAnsi="Times New Roman"/>
                      <w:color w:val="auto"/>
                      <w:szCs w:val="21"/>
                      <w:lang w:eastAsia="zh-CN"/>
                    </w:rPr>
                    <w:t>钢筋混凝土</w:t>
                  </w:r>
                </w:p>
              </w:tc>
              <w:tc>
                <w:tcPr>
                  <w:tcW w:w="2731"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hint="eastAsia" w:ascii="Times New Roman" w:hAnsi="Times New Roman" w:eastAsia="宋体"/>
                      <w:color w:val="auto"/>
                      <w:szCs w:val="21"/>
                      <w:lang w:val="en-US" w:eastAsia="zh-CN"/>
                    </w:rPr>
                  </w:pPr>
                  <w:r>
                    <w:rPr>
                      <w:rFonts w:hint="eastAsia" w:ascii="Times New Roman" w:hAnsi="Times New Roman"/>
                      <w:color w:val="auto"/>
                      <w:szCs w:val="21"/>
                      <w:lang w:val="en-US" w:eastAsia="zh-CN"/>
                    </w:rPr>
                    <w:t>9</w:t>
                  </w:r>
                </w:p>
              </w:tc>
              <w:tc>
                <w:tcPr>
                  <w:tcW w:w="1230"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废机油</w:t>
                  </w:r>
                </w:p>
              </w:tc>
              <w:tc>
                <w:tcPr>
                  <w:tcW w:w="2715" w:type="dxa"/>
                  <w:vMerge w:val="restart"/>
                  <w:vAlign w:val="center"/>
                </w:tcPr>
                <w:p>
                  <w:pPr>
                    <w:adjustRightInd w:val="0"/>
                    <w:snapToGrid w:val="0"/>
                    <w:jc w:val="center"/>
                    <w:rPr>
                      <w:rFonts w:ascii="Times New Roman" w:hAnsi="Times New Roman"/>
                      <w:color w:val="auto"/>
                      <w:szCs w:val="21"/>
                    </w:rPr>
                  </w:pPr>
                  <w:r>
                    <w:rPr>
                      <w:rFonts w:hint="eastAsia" w:ascii="宋体" w:hAnsi="宋体" w:cs="宋体"/>
                      <w:color w:val="auto"/>
                      <w:szCs w:val="21"/>
                    </w:rPr>
                    <w:t>规范的危废暂存间1个</w:t>
                  </w:r>
                </w:p>
              </w:tc>
              <w:tc>
                <w:tcPr>
                  <w:tcW w:w="1215" w:type="dxa"/>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废机油</w:t>
                  </w:r>
                </w:p>
              </w:tc>
              <w:tc>
                <w:tcPr>
                  <w:tcW w:w="2731" w:type="dxa"/>
                  <w:vMerge w:val="restart"/>
                  <w:vAlign w:val="center"/>
                </w:tcPr>
                <w:p>
                  <w:pPr>
                    <w:adjustRightInd w:val="0"/>
                    <w:snapToGrid w:val="0"/>
                    <w:jc w:val="center"/>
                    <w:rPr>
                      <w:rFonts w:ascii="Times New Roman" w:hAnsi="Times New Roman"/>
                      <w:color w:val="auto"/>
                      <w:szCs w:val="21"/>
                    </w:rPr>
                  </w:pPr>
                  <w:r>
                    <w:rPr>
                      <w:rFonts w:hint="eastAsia" w:ascii="宋体" w:hAnsi="宋体" w:cs="宋体"/>
                      <w:color w:val="auto"/>
                      <w:szCs w:val="21"/>
                    </w:rPr>
                    <w:t>有资质单位处置，</w:t>
                  </w:r>
                  <w:r>
                    <w:rPr>
                      <w:rFonts w:ascii="Times New Roman" w:hAnsi="Times New Roman"/>
                      <w:color w:val="auto"/>
                      <w:szCs w:val="21"/>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523" w:type="dxa"/>
                  <w:vAlign w:val="center"/>
                </w:tcPr>
                <w:p>
                  <w:pPr>
                    <w:adjustRightInd w:val="0"/>
                    <w:snapToGrid w:val="0"/>
                    <w:jc w:val="center"/>
                    <w:rPr>
                      <w:rFonts w:hint="default" w:ascii="Times New Roman" w:hAnsi="Times New Roman"/>
                      <w:color w:val="auto"/>
                      <w:szCs w:val="21"/>
                      <w:lang w:val="en-US" w:eastAsia="zh-CN"/>
                    </w:rPr>
                  </w:pPr>
                  <w:r>
                    <w:rPr>
                      <w:rFonts w:hint="eastAsia" w:ascii="Times New Roman" w:hAnsi="Times New Roman"/>
                      <w:color w:val="auto"/>
                      <w:szCs w:val="21"/>
                      <w:lang w:val="en-US" w:eastAsia="zh-CN"/>
                    </w:rPr>
                    <w:t>10</w:t>
                  </w:r>
                </w:p>
              </w:tc>
              <w:tc>
                <w:tcPr>
                  <w:tcW w:w="1230"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隔油池</w:t>
                  </w:r>
                </w:p>
              </w:tc>
              <w:tc>
                <w:tcPr>
                  <w:tcW w:w="2715" w:type="dxa"/>
                  <w:vMerge w:val="continue"/>
                  <w:vAlign w:val="center"/>
                </w:tcPr>
                <w:p>
                  <w:pPr>
                    <w:adjustRightInd w:val="0"/>
                    <w:snapToGrid w:val="0"/>
                    <w:jc w:val="center"/>
                    <w:rPr>
                      <w:rFonts w:hint="eastAsia" w:ascii="宋体" w:hAnsi="宋体" w:cs="宋体"/>
                      <w:color w:val="auto"/>
                      <w:szCs w:val="21"/>
                    </w:rPr>
                  </w:pPr>
                </w:p>
              </w:tc>
              <w:tc>
                <w:tcPr>
                  <w:tcW w:w="1215" w:type="dxa"/>
                  <w:vAlign w:val="center"/>
                </w:tcPr>
                <w:p>
                  <w:pPr>
                    <w:adjustRightInd w:val="0"/>
                    <w:snapToGrid w:val="0"/>
                    <w:jc w:val="center"/>
                    <w:rPr>
                      <w:rFonts w:hint="eastAsia" w:ascii="Times New Roman" w:hAnsi="Times New Roman" w:eastAsia="宋体"/>
                      <w:color w:val="auto"/>
                      <w:szCs w:val="21"/>
                      <w:lang w:eastAsia="zh-CN"/>
                    </w:rPr>
                  </w:pPr>
                  <w:r>
                    <w:rPr>
                      <w:rFonts w:hint="eastAsia" w:ascii="Times New Roman" w:hAnsi="Times New Roman"/>
                      <w:color w:val="auto"/>
                      <w:szCs w:val="21"/>
                      <w:lang w:eastAsia="zh-CN"/>
                    </w:rPr>
                    <w:t>油脂</w:t>
                  </w:r>
                </w:p>
              </w:tc>
              <w:tc>
                <w:tcPr>
                  <w:tcW w:w="2731" w:type="dxa"/>
                  <w:vMerge w:val="continue"/>
                  <w:vAlign w:val="center"/>
                </w:tcPr>
                <w:p>
                  <w:pPr>
                    <w:adjustRightInd w:val="0"/>
                    <w:snapToGrid w:val="0"/>
                    <w:jc w:val="center"/>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3"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四</w:t>
                  </w:r>
                </w:p>
              </w:tc>
              <w:tc>
                <w:tcPr>
                  <w:tcW w:w="1230"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噪声处理设施</w:t>
                  </w:r>
                </w:p>
              </w:tc>
              <w:tc>
                <w:tcPr>
                  <w:tcW w:w="2715" w:type="dxa"/>
                  <w:vAlign w:val="center"/>
                </w:tcPr>
                <w:p>
                  <w:pPr>
                    <w:adjustRightInd w:val="0"/>
                    <w:snapToGrid w:val="0"/>
                    <w:ind w:firstLine="420" w:firstLineChars="200"/>
                    <w:jc w:val="center"/>
                    <w:rPr>
                      <w:rFonts w:ascii="Times New Roman" w:hAnsi="Times New Roman"/>
                      <w:color w:val="auto"/>
                      <w:szCs w:val="21"/>
                    </w:rPr>
                  </w:pPr>
                  <w:r>
                    <w:rPr>
                      <w:rFonts w:ascii="Times New Roman" w:hAnsi="Times New Roman"/>
                      <w:color w:val="auto"/>
                      <w:szCs w:val="21"/>
                    </w:rPr>
                    <w:t>厂房隔声、搅拌机减震，风机消声器一套</w:t>
                  </w:r>
                </w:p>
              </w:tc>
              <w:tc>
                <w:tcPr>
                  <w:tcW w:w="1215"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产噪设备</w:t>
                  </w:r>
                </w:p>
              </w:tc>
              <w:tc>
                <w:tcPr>
                  <w:tcW w:w="2731" w:type="dxa"/>
                  <w:vAlign w:val="center"/>
                </w:tcPr>
                <w:p>
                  <w:pPr>
                    <w:adjustRightInd w:val="0"/>
                    <w:snapToGrid w:val="0"/>
                    <w:jc w:val="center"/>
                    <w:rPr>
                      <w:rFonts w:ascii="Times New Roman" w:hAnsi="Times New Roman"/>
                      <w:color w:val="auto"/>
                      <w:szCs w:val="21"/>
                    </w:rPr>
                  </w:pPr>
                  <w:r>
                    <w:rPr>
                      <w:rFonts w:ascii="Times New Roman" w:hAnsi="Times New Roman"/>
                      <w:color w:val="auto"/>
                      <w:szCs w:val="21"/>
                    </w:rPr>
                    <w:t>厂界噪声达《工业企业厂界环境噪声排放标准》中</w:t>
                  </w:r>
                  <w:r>
                    <w:rPr>
                      <w:rFonts w:hint="eastAsia" w:ascii="Times New Roman" w:hAnsi="Times New Roman"/>
                      <w:color w:val="auto"/>
                      <w:szCs w:val="21"/>
                    </w:rPr>
                    <w:t>2</w:t>
                  </w:r>
                  <w:r>
                    <w:rPr>
                      <w:rFonts w:ascii="Times New Roman" w:hAnsi="Times New Roman"/>
                      <w:color w:val="auto"/>
                      <w:szCs w:val="21"/>
                    </w:rPr>
                    <w:t>类标准限值</w:t>
                  </w:r>
                </w:p>
              </w:tc>
            </w:tr>
          </w:tbl>
          <w:p>
            <w:pPr>
              <w:spacing w:line="360" w:lineRule="auto"/>
              <w:jc w:val="left"/>
              <w:rPr>
                <w:rFonts w:ascii="Times New Roman" w:hAnsi="Times New Roman"/>
                <w:b/>
                <w:bCs/>
                <w:color w:val="auto"/>
                <w:sz w:val="24"/>
              </w:rPr>
            </w:pPr>
            <w:r>
              <w:rPr>
                <w:rFonts w:ascii="Times New Roman" w:hAnsi="Times New Roman"/>
                <w:b/>
                <w:bCs/>
                <w:color w:val="auto"/>
                <w:sz w:val="24"/>
              </w:rPr>
              <w:t>四、运行期监测计划一览表</w:t>
            </w:r>
          </w:p>
          <w:p>
            <w:pPr>
              <w:widowControl/>
              <w:snapToGrid w:val="0"/>
              <w:jc w:val="center"/>
              <w:rPr>
                <w:rFonts w:ascii="Times New Roman" w:hAnsi="Times New Roman"/>
                <w:b/>
                <w:color w:val="auto"/>
                <w:sz w:val="24"/>
              </w:rPr>
            </w:pPr>
            <w:r>
              <w:rPr>
                <w:rFonts w:ascii="Times New Roman" w:hAnsi="Times New Roman"/>
                <w:b/>
                <w:color w:val="auto"/>
                <w:sz w:val="24"/>
              </w:rPr>
              <w:t>表9-3   监测计划一览表</w:t>
            </w:r>
          </w:p>
          <w:tbl>
            <w:tblPr>
              <w:tblStyle w:val="43"/>
              <w:tblW w:w="841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11"/>
              <w:gridCol w:w="1220"/>
              <w:gridCol w:w="1765"/>
              <w:gridCol w:w="2663"/>
              <w:gridCol w:w="205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11" w:type="dxa"/>
                  <w:tcBorders>
                    <w:top w:val="single" w:color="auto" w:sz="4" w:space="0"/>
                    <w:left w:val="single" w:color="auto" w:sz="4" w:space="0"/>
                    <w:bottom w:val="single" w:color="auto" w:sz="6" w:space="0"/>
                    <w:right w:val="single" w:color="auto" w:sz="6" w:space="0"/>
                  </w:tcBorders>
                  <w:vAlign w:val="center"/>
                </w:tcPr>
                <w:p>
                  <w:pPr>
                    <w:autoSpaceDE w:val="0"/>
                    <w:autoSpaceDN w:val="0"/>
                    <w:adjustRightInd w:val="0"/>
                    <w:snapToGrid w:val="0"/>
                    <w:jc w:val="center"/>
                    <w:rPr>
                      <w:rFonts w:ascii="Times New Roman" w:hAnsi="Times New Roman"/>
                      <w:b/>
                      <w:color w:val="auto"/>
                      <w:kern w:val="0"/>
                      <w:szCs w:val="21"/>
                    </w:rPr>
                  </w:pPr>
                  <w:r>
                    <w:rPr>
                      <w:rFonts w:ascii="Times New Roman" w:hAnsi="Times New Roman"/>
                      <w:b/>
                      <w:color w:val="auto"/>
                      <w:kern w:val="0"/>
                      <w:szCs w:val="21"/>
                    </w:rPr>
                    <w:t>序号</w:t>
                  </w:r>
                </w:p>
              </w:tc>
              <w:tc>
                <w:tcPr>
                  <w:tcW w:w="1220" w:type="dxa"/>
                  <w:tcBorders>
                    <w:top w:val="single" w:color="auto" w:sz="4"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b/>
                      <w:color w:val="auto"/>
                      <w:szCs w:val="21"/>
                    </w:rPr>
                  </w:pPr>
                  <w:r>
                    <w:rPr>
                      <w:rFonts w:ascii="Times New Roman" w:hAnsi="Times New Roman"/>
                      <w:b/>
                      <w:color w:val="auto"/>
                      <w:kern w:val="0"/>
                      <w:szCs w:val="21"/>
                    </w:rPr>
                    <w:t>项目</w:t>
                  </w:r>
                  <w:r>
                    <w:rPr>
                      <w:rFonts w:ascii="Times New Roman" w:hAnsi="Times New Roman"/>
                      <w:b/>
                      <w:color w:val="auto"/>
                      <w:szCs w:val="21"/>
                    </w:rPr>
                    <w:t>对象</w:t>
                  </w:r>
                </w:p>
              </w:tc>
              <w:tc>
                <w:tcPr>
                  <w:tcW w:w="1765" w:type="dxa"/>
                  <w:tcBorders>
                    <w:top w:val="single" w:color="auto" w:sz="4"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b/>
                      <w:color w:val="auto"/>
                      <w:szCs w:val="21"/>
                    </w:rPr>
                  </w:pPr>
                  <w:r>
                    <w:rPr>
                      <w:rFonts w:ascii="Times New Roman" w:hAnsi="Times New Roman"/>
                      <w:b/>
                      <w:color w:val="auto"/>
                      <w:szCs w:val="21"/>
                    </w:rPr>
                    <w:t>监测项目</w:t>
                  </w:r>
                </w:p>
              </w:tc>
              <w:tc>
                <w:tcPr>
                  <w:tcW w:w="2663" w:type="dxa"/>
                  <w:tcBorders>
                    <w:top w:val="single" w:color="auto" w:sz="4" w:space="0"/>
                    <w:left w:val="single" w:color="auto" w:sz="6" w:space="0"/>
                    <w:bottom w:val="single" w:color="auto" w:sz="6" w:space="0"/>
                    <w:right w:val="single" w:color="auto" w:sz="6" w:space="0"/>
                  </w:tcBorders>
                  <w:vAlign w:val="center"/>
                </w:tcPr>
                <w:p>
                  <w:pPr>
                    <w:adjustRightInd w:val="0"/>
                    <w:snapToGrid w:val="0"/>
                    <w:jc w:val="center"/>
                    <w:rPr>
                      <w:rFonts w:ascii="Times New Roman" w:hAnsi="Times New Roman"/>
                      <w:b/>
                      <w:color w:val="auto"/>
                      <w:szCs w:val="21"/>
                    </w:rPr>
                  </w:pPr>
                  <w:r>
                    <w:rPr>
                      <w:rFonts w:ascii="Times New Roman" w:hAnsi="Times New Roman"/>
                      <w:b/>
                      <w:color w:val="auto"/>
                      <w:kern w:val="0"/>
                      <w:szCs w:val="21"/>
                    </w:rPr>
                    <w:t>监测</w:t>
                  </w:r>
                  <w:r>
                    <w:rPr>
                      <w:rFonts w:ascii="Times New Roman" w:hAnsi="Times New Roman"/>
                      <w:b/>
                      <w:color w:val="auto"/>
                      <w:szCs w:val="21"/>
                    </w:rPr>
                    <w:t>点</w:t>
                  </w:r>
                </w:p>
              </w:tc>
              <w:tc>
                <w:tcPr>
                  <w:tcW w:w="2052" w:type="dxa"/>
                  <w:tcBorders>
                    <w:top w:val="single" w:color="auto" w:sz="4" w:space="0"/>
                    <w:left w:val="single" w:color="auto" w:sz="6" w:space="0"/>
                    <w:bottom w:val="single" w:color="auto" w:sz="6" w:space="0"/>
                    <w:right w:val="single" w:color="auto" w:sz="4" w:space="0"/>
                  </w:tcBorders>
                  <w:vAlign w:val="center"/>
                </w:tcPr>
                <w:p>
                  <w:pPr>
                    <w:adjustRightInd w:val="0"/>
                    <w:snapToGrid w:val="0"/>
                    <w:jc w:val="center"/>
                    <w:rPr>
                      <w:rFonts w:ascii="Times New Roman" w:hAnsi="Times New Roman"/>
                      <w:b/>
                      <w:color w:val="auto"/>
                      <w:szCs w:val="21"/>
                    </w:rPr>
                  </w:pPr>
                  <w:r>
                    <w:rPr>
                      <w:rFonts w:ascii="Times New Roman" w:hAnsi="Times New Roman"/>
                      <w:b/>
                      <w:color w:val="auto"/>
                      <w:kern w:val="0"/>
                      <w:szCs w:val="21"/>
                    </w:rPr>
                    <w:t>监测</w:t>
                  </w:r>
                  <w:r>
                    <w:rPr>
                      <w:rFonts w:ascii="Times New Roman" w:hAnsi="Times New Roman"/>
                      <w:b/>
                      <w:color w:val="auto"/>
                      <w:szCs w:val="21"/>
                    </w:rPr>
                    <w:t>频次</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2" w:hRule="atLeast"/>
                <w:jc w:val="center"/>
              </w:trPr>
              <w:tc>
                <w:tcPr>
                  <w:tcW w:w="711" w:type="dxa"/>
                  <w:vMerge w:val="restart"/>
                  <w:tcBorders>
                    <w:top w:val="single" w:color="auto" w:sz="6" w:space="0"/>
                    <w:left w:val="single" w:color="auto" w:sz="4" w:space="0"/>
                    <w:right w:val="single" w:color="auto" w:sz="6"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kern w:val="0"/>
                      <w:szCs w:val="21"/>
                    </w:rPr>
                    <w:t>1</w:t>
                  </w:r>
                </w:p>
              </w:tc>
              <w:tc>
                <w:tcPr>
                  <w:tcW w:w="1220" w:type="dxa"/>
                  <w:vMerge w:val="restart"/>
                  <w:tcBorders>
                    <w:top w:val="single" w:color="auto" w:sz="6" w:space="0"/>
                    <w:left w:val="single" w:color="auto" w:sz="6" w:space="0"/>
                    <w:right w:val="single" w:color="auto" w:sz="6"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szCs w:val="21"/>
                    </w:rPr>
                    <w:t>废气</w:t>
                  </w:r>
                </w:p>
              </w:tc>
              <w:tc>
                <w:tcPr>
                  <w:tcW w:w="17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szCs w:val="21"/>
                    </w:rPr>
                    <w:t>有组织粉尘</w:t>
                  </w:r>
                </w:p>
              </w:tc>
              <w:tc>
                <w:tcPr>
                  <w:tcW w:w="266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Times New Roman" w:hAnsi="Times New Roman" w:eastAsia="宋体"/>
                      <w:color w:val="auto"/>
                      <w:kern w:val="0"/>
                      <w:szCs w:val="21"/>
                      <w:lang w:val="en-US" w:eastAsia="zh-CN"/>
                    </w:rPr>
                  </w:pPr>
                  <w:r>
                    <w:rPr>
                      <w:rFonts w:hint="eastAsia" w:ascii="Times New Roman" w:hAnsi="Times New Roman"/>
                      <w:color w:val="auto"/>
                      <w:szCs w:val="21"/>
                      <w:lang w:val="en-US" w:eastAsia="zh-CN"/>
                    </w:rPr>
                    <w:t>4个水泥仓</w:t>
                  </w:r>
                  <w:r>
                    <w:rPr>
                      <w:rFonts w:ascii="Times New Roman" w:hAnsi="Times New Roman"/>
                      <w:color w:val="auto"/>
                      <w:szCs w:val="21"/>
                    </w:rPr>
                    <w:t>除尘器的排口</w:t>
                  </w:r>
                  <w:r>
                    <w:rPr>
                      <w:rStyle w:val="56"/>
                      <w:rFonts w:hint="eastAsia"/>
                      <w:color w:val="auto"/>
                      <w:lang w:eastAsia="zh-CN"/>
                    </w:rPr>
                    <w:t>，</w:t>
                  </w:r>
                  <w:r>
                    <w:rPr>
                      <w:rStyle w:val="56"/>
                      <w:rFonts w:hint="eastAsia"/>
                      <w:color w:val="auto"/>
                      <w:lang w:val="en-US" w:eastAsia="zh-CN"/>
                    </w:rPr>
                    <w:t>2个粉煤灰除尘器排口</w:t>
                  </w:r>
                </w:p>
              </w:tc>
              <w:tc>
                <w:tcPr>
                  <w:tcW w:w="2052" w:type="dxa"/>
                  <w:vMerge w:val="restart"/>
                  <w:tcBorders>
                    <w:top w:val="single" w:color="auto" w:sz="6" w:space="0"/>
                    <w:left w:val="single" w:color="auto" w:sz="6" w:space="0"/>
                    <w:right w:val="single" w:color="auto" w:sz="4"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szCs w:val="21"/>
                    </w:rPr>
                    <w:t>每年监测2次，每次1天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2" w:hRule="atLeast"/>
                <w:jc w:val="center"/>
              </w:trPr>
              <w:tc>
                <w:tcPr>
                  <w:tcW w:w="711" w:type="dxa"/>
                  <w:vMerge w:val="continue"/>
                  <w:tcBorders>
                    <w:left w:val="single" w:color="auto" w:sz="4" w:space="0"/>
                    <w:bottom w:val="single" w:color="auto" w:sz="6" w:space="0"/>
                    <w:right w:val="single" w:color="auto" w:sz="6" w:space="0"/>
                  </w:tcBorders>
                  <w:vAlign w:val="center"/>
                </w:tcPr>
                <w:p>
                  <w:pPr>
                    <w:autoSpaceDE w:val="0"/>
                    <w:autoSpaceDN w:val="0"/>
                    <w:adjustRightInd w:val="0"/>
                    <w:snapToGrid w:val="0"/>
                    <w:jc w:val="center"/>
                    <w:rPr>
                      <w:rFonts w:ascii="Times New Roman" w:hAnsi="Times New Roman"/>
                      <w:color w:val="auto"/>
                      <w:kern w:val="0"/>
                      <w:szCs w:val="21"/>
                    </w:rPr>
                  </w:pPr>
                </w:p>
              </w:tc>
              <w:tc>
                <w:tcPr>
                  <w:tcW w:w="1220" w:type="dxa"/>
                  <w:vMerge w:val="continue"/>
                  <w:tcBorders>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imes New Roman" w:hAnsi="Times New Roman"/>
                      <w:color w:val="auto"/>
                      <w:szCs w:val="21"/>
                    </w:rPr>
                  </w:pPr>
                </w:p>
              </w:tc>
              <w:tc>
                <w:tcPr>
                  <w:tcW w:w="17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kern w:val="0"/>
                      <w:szCs w:val="21"/>
                    </w:rPr>
                    <w:t>无组织粉尘</w:t>
                  </w:r>
                </w:p>
              </w:tc>
              <w:tc>
                <w:tcPr>
                  <w:tcW w:w="266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kern w:val="0"/>
                      <w:szCs w:val="21"/>
                    </w:rPr>
                    <w:t>厂界上风向</w:t>
                  </w:r>
                  <w:r>
                    <w:rPr>
                      <w:rFonts w:ascii="Times New Roman" w:hAnsi="Times New Roman"/>
                      <w:color w:val="auto"/>
                      <w:szCs w:val="21"/>
                    </w:rPr>
                    <w:t>一个对照点，下风向厂界外20m处设</w:t>
                  </w:r>
                  <w:r>
                    <w:rPr>
                      <w:rStyle w:val="56"/>
                      <w:rFonts w:hint="eastAsia"/>
                      <w:color w:val="auto"/>
                    </w:rPr>
                    <w:t>三</w:t>
                  </w:r>
                  <w:r>
                    <w:rPr>
                      <w:rFonts w:ascii="Times New Roman" w:hAnsi="Times New Roman"/>
                      <w:color w:val="auto"/>
                      <w:szCs w:val="21"/>
                    </w:rPr>
                    <w:t>个监控点</w:t>
                  </w:r>
                </w:p>
              </w:tc>
              <w:tc>
                <w:tcPr>
                  <w:tcW w:w="2052" w:type="dxa"/>
                  <w:vMerge w:val="continue"/>
                  <w:tcBorders>
                    <w:left w:val="single" w:color="auto" w:sz="6" w:space="0"/>
                    <w:bottom w:val="single" w:color="auto" w:sz="6" w:space="0"/>
                    <w:right w:val="single" w:color="auto" w:sz="4" w:space="0"/>
                  </w:tcBorders>
                  <w:vAlign w:val="center"/>
                </w:tcPr>
                <w:p>
                  <w:pPr>
                    <w:autoSpaceDE w:val="0"/>
                    <w:autoSpaceDN w:val="0"/>
                    <w:adjustRightInd w:val="0"/>
                    <w:snapToGrid w:val="0"/>
                    <w:jc w:val="center"/>
                    <w:rPr>
                      <w:rFonts w:ascii="Times New Roman" w:hAnsi="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2" w:hRule="atLeast"/>
                <w:jc w:val="center"/>
              </w:trPr>
              <w:tc>
                <w:tcPr>
                  <w:tcW w:w="711" w:type="dxa"/>
                  <w:tcBorders>
                    <w:top w:val="single" w:color="auto" w:sz="6" w:space="0"/>
                    <w:left w:val="single" w:color="auto" w:sz="4" w:space="0"/>
                    <w:bottom w:val="single" w:color="auto" w:sz="6" w:space="0"/>
                    <w:right w:val="single" w:color="auto" w:sz="6"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kern w:val="0"/>
                      <w:szCs w:val="21"/>
                    </w:rPr>
                    <w:t>2</w:t>
                  </w:r>
                </w:p>
              </w:tc>
              <w:tc>
                <w:tcPr>
                  <w:tcW w:w="12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kern w:val="0"/>
                      <w:szCs w:val="21"/>
                    </w:rPr>
                    <w:t>噪声</w:t>
                  </w:r>
                </w:p>
              </w:tc>
              <w:tc>
                <w:tcPr>
                  <w:tcW w:w="17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kern w:val="0"/>
                      <w:szCs w:val="21"/>
                    </w:rPr>
                    <w:t>LeqdB(A)</w:t>
                  </w:r>
                </w:p>
              </w:tc>
              <w:tc>
                <w:tcPr>
                  <w:tcW w:w="266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kern w:val="0"/>
                      <w:szCs w:val="21"/>
                    </w:rPr>
                    <w:t>按照厂界平均分布4个点</w:t>
                  </w:r>
                </w:p>
              </w:tc>
              <w:tc>
                <w:tcPr>
                  <w:tcW w:w="2052" w:type="dxa"/>
                  <w:tcBorders>
                    <w:top w:val="single" w:color="auto" w:sz="6" w:space="0"/>
                    <w:left w:val="single" w:color="auto" w:sz="6" w:space="0"/>
                    <w:bottom w:val="single" w:color="auto" w:sz="6" w:space="0"/>
                    <w:right w:val="single" w:color="auto" w:sz="4" w:space="0"/>
                  </w:tcBorders>
                  <w:vAlign w:val="center"/>
                </w:tcPr>
                <w:p>
                  <w:pPr>
                    <w:autoSpaceDE w:val="0"/>
                    <w:autoSpaceDN w:val="0"/>
                    <w:adjustRightInd w:val="0"/>
                    <w:snapToGrid w:val="0"/>
                    <w:jc w:val="center"/>
                    <w:rPr>
                      <w:rFonts w:ascii="Times New Roman" w:hAnsi="Times New Roman"/>
                      <w:color w:val="auto"/>
                      <w:kern w:val="0"/>
                      <w:szCs w:val="21"/>
                    </w:rPr>
                  </w:pPr>
                  <w:r>
                    <w:rPr>
                      <w:rFonts w:ascii="Times New Roman" w:hAnsi="Times New Roman"/>
                      <w:color w:val="auto"/>
                      <w:kern w:val="0"/>
                      <w:szCs w:val="21"/>
                    </w:rPr>
                    <w:t>每年监测两次，每次昼间、夜间各一次</w:t>
                  </w:r>
                </w:p>
              </w:tc>
            </w:tr>
          </w:tbl>
          <w:p>
            <w:pPr>
              <w:spacing w:line="360" w:lineRule="auto"/>
              <w:rPr>
                <w:rFonts w:ascii="Times New Roman" w:hAnsi="Times New Roman"/>
                <w:b/>
                <w:color w:val="auto"/>
                <w:kern w:val="0"/>
                <w:sz w:val="24"/>
              </w:rPr>
            </w:pPr>
            <w:r>
              <w:rPr>
                <w:rFonts w:ascii="Times New Roman" w:hAnsi="Times New Roman"/>
                <w:b/>
                <w:color w:val="auto"/>
                <w:kern w:val="0"/>
                <w:sz w:val="24"/>
              </w:rPr>
              <w:t>五、建议</w:t>
            </w:r>
          </w:p>
          <w:p>
            <w:pPr>
              <w:adjustRightInd w:val="0"/>
              <w:snapToGrid w:val="0"/>
              <w:spacing w:line="360" w:lineRule="auto"/>
              <w:ind w:firstLine="480" w:firstLineChars="200"/>
              <w:rPr>
                <w:rFonts w:ascii="Times New Roman" w:hAnsi="Times New Roman"/>
                <w:color w:val="auto"/>
                <w:sz w:val="24"/>
                <w:szCs w:val="20"/>
              </w:rPr>
            </w:pPr>
            <w:r>
              <w:rPr>
                <w:rFonts w:ascii="Times New Roman" w:hAnsi="Times New Roman"/>
                <w:color w:val="auto"/>
                <w:sz w:val="24"/>
                <w:szCs w:val="20"/>
              </w:rPr>
              <w:t>（1）根据环评要求，落实“三废治理”费用，做到专款专用，项目实施后应保证足够的环保资金，确保污染防治措施有效地运行，保证污染物达标排放。</w:t>
            </w:r>
          </w:p>
          <w:p>
            <w:pPr>
              <w:adjustRightInd w:val="0"/>
              <w:snapToGrid w:val="0"/>
              <w:spacing w:line="360" w:lineRule="auto"/>
              <w:ind w:firstLine="480" w:firstLineChars="200"/>
              <w:rPr>
                <w:rFonts w:ascii="Times New Roman" w:hAnsi="Times New Roman"/>
                <w:color w:val="auto"/>
                <w:sz w:val="24"/>
                <w:szCs w:val="20"/>
              </w:rPr>
            </w:pPr>
            <w:r>
              <w:rPr>
                <w:rFonts w:ascii="Times New Roman" w:hAnsi="Times New Roman"/>
                <w:color w:val="auto"/>
                <w:sz w:val="24"/>
                <w:szCs w:val="20"/>
              </w:rPr>
              <w:t>（2）加强环境管理和宣传教育，提高工作人员环保意识。</w:t>
            </w:r>
          </w:p>
          <w:p>
            <w:pPr>
              <w:pStyle w:val="2"/>
              <w:ind w:firstLine="480" w:firstLineChars="200"/>
              <w:rPr>
                <w:rFonts w:hint="eastAsia" w:eastAsia="宋体"/>
                <w:color w:val="auto"/>
                <w:lang w:eastAsia="zh-CN"/>
              </w:rPr>
            </w:pPr>
            <w:r>
              <w:rPr>
                <w:rFonts w:hint="eastAsia" w:ascii="Times New Roman" w:hAnsi="Times New Roman"/>
                <w:color w:val="auto"/>
                <w:sz w:val="24"/>
                <w:szCs w:val="20"/>
                <w:lang w:eastAsia="zh-CN"/>
              </w:rPr>
              <w:t>（</w:t>
            </w:r>
            <w:r>
              <w:rPr>
                <w:rFonts w:hint="eastAsia" w:ascii="Times New Roman" w:hAnsi="Times New Roman"/>
                <w:color w:val="auto"/>
                <w:sz w:val="24"/>
                <w:szCs w:val="20"/>
                <w:lang w:val="en-US" w:eastAsia="zh-CN"/>
              </w:rPr>
              <w:t>3</w:t>
            </w:r>
            <w:r>
              <w:rPr>
                <w:rFonts w:hint="eastAsia" w:ascii="Times New Roman" w:hAnsi="Times New Roman"/>
                <w:color w:val="auto"/>
                <w:sz w:val="24"/>
                <w:szCs w:val="20"/>
                <w:lang w:eastAsia="zh-CN"/>
              </w:rPr>
              <w:t>）拆除工程请城建部门监督进行，拆除后恢复措施请当地环保局进行监督。</w:t>
            </w:r>
          </w:p>
          <w:p>
            <w:pPr>
              <w:adjustRightInd w:val="0"/>
              <w:snapToGrid w:val="0"/>
              <w:spacing w:line="360" w:lineRule="auto"/>
              <w:ind w:firstLine="480" w:firstLineChars="200"/>
              <w:rPr>
                <w:rFonts w:ascii="Times New Roman" w:hAnsi="Times New Roman"/>
                <w:color w:val="auto"/>
                <w:sz w:val="24"/>
                <w:szCs w:val="20"/>
              </w:rPr>
            </w:pPr>
          </w:p>
        </w:tc>
      </w:tr>
    </w:tbl>
    <w:p>
      <w:pPr>
        <w:rPr>
          <w:rFonts w:ascii="Times New Roman" w:hAnsi="Times New Roman"/>
          <w:color w:val="auto"/>
        </w:rPr>
      </w:pPr>
    </w:p>
    <w:tbl>
      <w:tblPr>
        <w:tblStyle w:val="43"/>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9" w:hRule="atLeast"/>
          <w:jc w:val="center"/>
        </w:trPr>
        <w:tc>
          <w:tcPr>
            <w:tcW w:w="8738" w:type="dxa"/>
          </w:tcPr>
          <w:p>
            <w:pPr>
              <w:spacing w:line="360" w:lineRule="auto"/>
              <w:rPr>
                <w:rFonts w:ascii="Times New Roman" w:hAnsi="Times New Roman"/>
                <w:b/>
                <w:color w:val="auto"/>
                <w:sz w:val="24"/>
              </w:rPr>
            </w:pPr>
            <w:r>
              <w:rPr>
                <w:rFonts w:ascii="Times New Roman" w:hAnsi="Times New Roman"/>
                <w:b/>
                <w:color w:val="auto"/>
                <w:sz w:val="24"/>
              </w:rPr>
              <w:t>预审意见：</w:t>
            </w: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r>
              <w:rPr>
                <w:rFonts w:ascii="Times New Roman" w:hAnsi="Times New Roman"/>
                <w:b/>
                <w:color w:val="auto"/>
                <w:sz w:val="24"/>
              </w:rPr>
              <w:t xml:space="preserve">                                                        公 章</w:t>
            </w:r>
          </w:p>
          <w:p>
            <w:pPr>
              <w:spacing w:line="360" w:lineRule="auto"/>
              <w:rPr>
                <w:rFonts w:ascii="Times New Roman" w:hAnsi="Times New Roman"/>
                <w:b/>
                <w:color w:val="auto"/>
                <w:sz w:val="24"/>
              </w:rPr>
            </w:pPr>
            <w:r>
              <w:rPr>
                <w:rFonts w:ascii="Times New Roman" w:hAnsi="Times New Roman"/>
                <w:b/>
                <w:color w:val="auto"/>
                <w:sz w:val="24"/>
              </w:rPr>
              <w:t>经办人：</w:t>
            </w:r>
          </w:p>
          <w:p>
            <w:pPr>
              <w:spacing w:line="360" w:lineRule="auto"/>
              <w:rPr>
                <w:rFonts w:ascii="Times New Roman" w:hAnsi="Times New Roman"/>
                <w:b/>
                <w:color w:val="auto"/>
                <w:sz w:val="24"/>
              </w:rPr>
            </w:pPr>
            <w:r>
              <w:rPr>
                <w:rFonts w:ascii="Times New Roman" w:hAnsi="Times New Roman"/>
                <w:b/>
                <w:color w:val="auto"/>
                <w:sz w:val="24"/>
              </w:rPr>
              <w:t xml:space="preserve">                                                      年    月    日</w:t>
            </w: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r>
              <w:rPr>
                <w:rFonts w:ascii="Times New Roman" w:hAnsi="Times New Roman"/>
                <w:b/>
                <w:color w:val="auto"/>
                <w:sz w:val="24"/>
              </w:rPr>
              <w:t>下一级环境保护行政主管部门审查意见：</w:t>
            </w: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r>
              <w:rPr>
                <w:rFonts w:ascii="Times New Roman" w:hAnsi="Times New Roman"/>
                <w:b/>
                <w:color w:val="auto"/>
                <w:sz w:val="24"/>
              </w:rPr>
              <w:t xml:space="preserve">                                                   公 章</w:t>
            </w:r>
          </w:p>
          <w:p>
            <w:pPr>
              <w:spacing w:line="360" w:lineRule="auto"/>
              <w:rPr>
                <w:rFonts w:ascii="Times New Roman" w:hAnsi="Times New Roman"/>
                <w:b/>
                <w:color w:val="auto"/>
                <w:sz w:val="24"/>
              </w:rPr>
            </w:pPr>
            <w:r>
              <w:rPr>
                <w:rFonts w:ascii="Times New Roman" w:hAnsi="Times New Roman"/>
                <w:b/>
                <w:color w:val="auto"/>
                <w:sz w:val="24"/>
              </w:rPr>
              <w:t>经办人：</w:t>
            </w:r>
          </w:p>
          <w:p>
            <w:pPr>
              <w:spacing w:line="360" w:lineRule="auto"/>
              <w:rPr>
                <w:rFonts w:ascii="Times New Roman" w:hAnsi="Times New Roman"/>
                <w:color w:val="auto"/>
                <w:sz w:val="24"/>
              </w:rPr>
            </w:pPr>
            <w:r>
              <w:rPr>
                <w:rFonts w:ascii="Times New Roman" w:hAnsi="Times New Roman"/>
                <w:b/>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9" w:hRule="atLeast"/>
          <w:jc w:val="center"/>
        </w:trPr>
        <w:tc>
          <w:tcPr>
            <w:tcW w:w="8738" w:type="dxa"/>
          </w:tcPr>
          <w:p>
            <w:pPr>
              <w:spacing w:line="360" w:lineRule="auto"/>
              <w:rPr>
                <w:rFonts w:ascii="Times New Roman" w:hAnsi="Times New Roman"/>
                <w:b/>
                <w:color w:val="auto"/>
                <w:sz w:val="24"/>
              </w:rPr>
            </w:pPr>
            <w:r>
              <w:rPr>
                <w:rFonts w:ascii="Times New Roman" w:hAnsi="Times New Roman"/>
                <w:b/>
                <w:color w:val="auto"/>
                <w:sz w:val="24"/>
              </w:rPr>
              <w:t>审批意见：</w:t>
            </w: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p>
          <w:p>
            <w:pPr>
              <w:spacing w:line="360" w:lineRule="auto"/>
              <w:rPr>
                <w:rFonts w:ascii="Times New Roman" w:hAnsi="Times New Roman"/>
                <w:b/>
                <w:color w:val="auto"/>
                <w:sz w:val="24"/>
              </w:rPr>
            </w:pPr>
            <w:r>
              <w:rPr>
                <w:rFonts w:ascii="Times New Roman" w:hAnsi="Times New Roman"/>
                <w:b/>
                <w:color w:val="auto"/>
                <w:sz w:val="24"/>
              </w:rPr>
              <w:t xml:space="preserve">                                                   公 章</w:t>
            </w:r>
          </w:p>
          <w:p>
            <w:pPr>
              <w:spacing w:line="360" w:lineRule="auto"/>
              <w:rPr>
                <w:rFonts w:ascii="Times New Roman" w:hAnsi="Times New Roman"/>
                <w:b/>
                <w:color w:val="auto"/>
                <w:sz w:val="24"/>
              </w:rPr>
            </w:pPr>
            <w:r>
              <w:rPr>
                <w:rFonts w:ascii="Times New Roman" w:hAnsi="Times New Roman"/>
                <w:b/>
                <w:color w:val="auto"/>
                <w:sz w:val="24"/>
              </w:rPr>
              <w:t>经办人：</w:t>
            </w:r>
          </w:p>
          <w:p>
            <w:pPr>
              <w:spacing w:line="360" w:lineRule="auto"/>
              <w:rPr>
                <w:rFonts w:ascii="Times New Roman" w:hAnsi="Times New Roman"/>
                <w:b/>
                <w:color w:val="auto"/>
                <w:sz w:val="24"/>
              </w:rPr>
            </w:pPr>
            <w:r>
              <w:rPr>
                <w:rFonts w:ascii="Times New Roman" w:hAnsi="Times New Roman"/>
                <w:b/>
                <w:color w:val="auto"/>
                <w:sz w:val="24"/>
              </w:rPr>
              <w:t xml:space="preserve">                                                  年   月   日</w:t>
            </w:r>
          </w:p>
        </w:tc>
      </w:tr>
    </w:tbl>
    <w:p>
      <w:pPr>
        <w:spacing w:line="360" w:lineRule="auto"/>
        <w:ind w:firstLine="480" w:firstLineChars="200"/>
        <w:rPr>
          <w:rFonts w:ascii="Times New Roman" w:hAnsi="Times New Roman"/>
          <w:color w:val="auto"/>
          <w:sz w:val="24"/>
        </w:rPr>
      </w:pPr>
    </w:p>
    <w:p>
      <w:pPr>
        <w:rPr>
          <w:color w:val="auto"/>
        </w:rPr>
      </w:pPr>
    </w:p>
    <w:p>
      <w:pPr>
        <w:rPr>
          <w:color w:val="auto"/>
        </w:rPr>
      </w:pPr>
    </w:p>
    <w:sectPr>
      <w:head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华文中宋">
    <w:altName w:val="宋体"/>
    <w:panose1 w:val="02010600040101010101"/>
    <w:charset w:val="86"/>
    <w:family w:val="auto"/>
    <w:pitch w:val="default"/>
    <w:sig w:usb0="00000000" w:usb1="00000000" w:usb2="00000000" w:usb3="00000000" w:csb0="0004009F" w:csb1="DFD70000"/>
  </w:font>
  <w:font w:name="TimesNewRoman">
    <w:altName w:val="Times New Roman"/>
    <w:panose1 w:val="00000000000000000000"/>
    <w:charset w:val="00"/>
    <w:family w:val="roman"/>
    <w:pitch w:val="default"/>
    <w:sig w:usb0="00000000" w:usb1="00000000" w:usb2="00000010" w:usb3="00000000" w:csb0="00040001" w:csb1="00000000"/>
  </w:font>
  <w:font w:name="Verdana">
    <w:panose1 w:val="020B0604030504040204"/>
    <w:charset w:val="00"/>
    <w:family w:val="swiss"/>
    <w:pitch w:val="default"/>
    <w:sig w:usb0="A10006FF" w:usb1="4000205B" w:usb2="0000001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幼圆">
    <w:altName w:val="宋体"/>
    <w:panose1 w:val="0201050906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7"/>
      </w:rPr>
    </w:pPr>
    <w:r>
      <w:fldChar w:fldCharType="begin"/>
    </w:r>
    <w:r>
      <w:rPr>
        <w:rStyle w:val="47"/>
      </w:rPr>
      <w:instrText xml:space="preserve">PAGE  </w:instrText>
    </w:r>
    <w:r>
      <w:fldChar w:fldCharType="separate"/>
    </w:r>
    <w:r>
      <w:rPr>
        <w:rStyle w:val="47"/>
      </w:rPr>
      <w:t>67</w:t>
    </w:r>
    <w:r>
      <w:fldChar w:fldCharType="end"/>
    </w:r>
  </w:p>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7"/>
      </w:rPr>
    </w:pPr>
    <w:r>
      <w:fldChar w:fldCharType="begin"/>
    </w:r>
    <w:r>
      <w:rPr>
        <w:rStyle w:val="47"/>
      </w:rPr>
      <w:instrText xml:space="preserve">PAGE  </w:instrText>
    </w:r>
    <w:r>
      <w:fldChar w:fldCharType="end"/>
    </w:r>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rPr>
        <w:rFonts w:ascii="仿宋" w:hAnsi="仿宋" w:eastAsia="仿宋"/>
        <w:bCs/>
      </w:rPr>
    </w:pPr>
    <w:r>
      <w:rPr>
        <w:rFonts w:hint="eastAsia" w:ascii="仿宋" w:hAnsi="仿宋" w:eastAsia="仿宋"/>
        <w:bCs/>
      </w:rPr>
      <w:t>昆倘高速公路4标段附属建设项目                                                环境影响报告表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rPr>
        <w:rFonts w:ascii="仿宋" w:hAnsi="仿宋" w:eastAsia="仿宋"/>
        <w:bCs/>
      </w:rPr>
    </w:pPr>
    <w:r>
      <w:rPr>
        <w:rFonts w:hint="eastAsia" w:ascii="仿宋" w:hAnsi="仿宋" w:eastAsia="仿宋"/>
        <w:bCs/>
      </w:rPr>
      <w:t>昆倘高速公路4标段附属</w:t>
    </w:r>
    <w:r>
      <w:rPr>
        <w:rFonts w:hint="eastAsia" w:ascii="仿宋" w:hAnsi="仿宋" w:eastAsia="仿宋"/>
        <w:bCs/>
        <w:lang w:eastAsia="zh-CN"/>
      </w:rPr>
      <w:t>建设</w:t>
    </w:r>
    <w:r>
      <w:rPr>
        <w:rFonts w:hint="eastAsia" w:ascii="仿宋" w:hAnsi="仿宋" w:eastAsia="仿宋"/>
        <w:bCs/>
      </w:rPr>
      <w:t>项目                                                环境影响报告表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rPr>
        <w:rFonts w:ascii="仿宋" w:hAnsi="仿宋" w:eastAsia="仿宋"/>
        <w:bCs/>
      </w:rPr>
    </w:pPr>
    <w:r>
      <w:rPr>
        <w:rFonts w:hint="eastAsia" w:ascii="仿宋" w:hAnsi="仿宋" w:eastAsia="仿宋"/>
        <w:bCs/>
      </w:rPr>
      <w:t>昆倘高速公路附属建设项目                                                     环境影响报告表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CFBC21"/>
    <w:multiLevelType w:val="singleLevel"/>
    <w:tmpl w:val="91CFBC21"/>
    <w:lvl w:ilvl="0" w:tentative="0">
      <w:start w:val="4"/>
      <w:numFmt w:val="decimal"/>
      <w:suff w:val="nothing"/>
      <w:lvlText w:val="（%1）"/>
      <w:lvlJc w:val="left"/>
    </w:lvl>
  </w:abstractNum>
  <w:abstractNum w:abstractNumId="1">
    <w:nsid w:val="F02284B4"/>
    <w:multiLevelType w:val="singleLevel"/>
    <w:tmpl w:val="F02284B4"/>
    <w:lvl w:ilvl="0" w:tentative="0">
      <w:start w:val="4"/>
      <w:numFmt w:val="decimal"/>
      <w:suff w:val="nothing"/>
      <w:lvlText w:val="%1、"/>
      <w:lvlJc w:val="left"/>
    </w:lvl>
  </w:abstractNum>
  <w:abstractNum w:abstractNumId="2">
    <w:nsid w:val="F0D0F836"/>
    <w:multiLevelType w:val="singleLevel"/>
    <w:tmpl w:val="F0D0F836"/>
    <w:lvl w:ilvl="0" w:tentative="0">
      <w:start w:val="2"/>
      <w:numFmt w:val="decimal"/>
      <w:suff w:val="nothing"/>
      <w:lvlText w:val="（%1）"/>
      <w:lvlJc w:val="left"/>
    </w:lvl>
  </w:abstractNum>
  <w:abstractNum w:abstractNumId="3">
    <w:nsid w:val="04AA9F26"/>
    <w:multiLevelType w:val="singleLevel"/>
    <w:tmpl w:val="04AA9F26"/>
    <w:lvl w:ilvl="0" w:tentative="0">
      <w:start w:val="2"/>
      <w:numFmt w:val="decimal"/>
      <w:suff w:val="nothing"/>
      <w:lvlText w:val="%1、"/>
      <w:lvlJc w:val="left"/>
    </w:lvl>
  </w:abstractNum>
  <w:abstractNum w:abstractNumId="4">
    <w:nsid w:val="0C951078"/>
    <w:multiLevelType w:val="singleLevel"/>
    <w:tmpl w:val="0C951078"/>
    <w:lvl w:ilvl="0" w:tentative="0">
      <w:start w:val="7"/>
      <w:numFmt w:val="decimal"/>
      <w:suff w:val="nothing"/>
      <w:lvlText w:val="%1、"/>
      <w:lvlJc w:val="left"/>
    </w:lvl>
  </w:abstractNum>
  <w:abstractNum w:abstractNumId="5">
    <w:nsid w:val="0F00504A"/>
    <w:multiLevelType w:val="singleLevel"/>
    <w:tmpl w:val="0F00504A"/>
    <w:lvl w:ilvl="0" w:tentative="0">
      <w:start w:val="4"/>
      <w:numFmt w:val="chineseCounting"/>
      <w:suff w:val="nothing"/>
      <w:lvlText w:val="%1、"/>
      <w:lvlJc w:val="left"/>
      <w:rPr>
        <w:rFonts w:hint="eastAsia"/>
      </w:rPr>
    </w:lvl>
  </w:abstractNum>
  <w:abstractNum w:abstractNumId="6">
    <w:nsid w:val="2AE6AF9D"/>
    <w:multiLevelType w:val="singleLevel"/>
    <w:tmpl w:val="2AE6AF9D"/>
    <w:lvl w:ilvl="0" w:tentative="0">
      <w:start w:val="1"/>
      <w:numFmt w:val="decimal"/>
      <w:suff w:val="nothing"/>
      <w:lvlText w:val="（%1）"/>
      <w:lvlJc w:val="left"/>
    </w:lvl>
  </w:abstractNum>
  <w:abstractNum w:abstractNumId="7">
    <w:nsid w:val="31678151"/>
    <w:multiLevelType w:val="singleLevel"/>
    <w:tmpl w:val="31678151"/>
    <w:lvl w:ilvl="0" w:tentative="0">
      <w:start w:val="1"/>
      <w:numFmt w:val="decimal"/>
      <w:suff w:val="nothing"/>
      <w:lvlText w:val="（%1）"/>
      <w:lvlJc w:val="left"/>
    </w:lvl>
  </w:abstractNum>
  <w:abstractNum w:abstractNumId="8">
    <w:nsid w:val="3CD967EA"/>
    <w:multiLevelType w:val="singleLevel"/>
    <w:tmpl w:val="3CD967EA"/>
    <w:lvl w:ilvl="0" w:tentative="0">
      <w:start w:val="3"/>
      <w:numFmt w:val="decimal"/>
      <w:suff w:val="nothing"/>
      <w:lvlText w:val="（%1）"/>
      <w:lvlJc w:val="left"/>
    </w:lvl>
  </w:abstractNum>
  <w:abstractNum w:abstractNumId="9">
    <w:nsid w:val="49E437DB"/>
    <w:multiLevelType w:val="singleLevel"/>
    <w:tmpl w:val="49E437DB"/>
    <w:lvl w:ilvl="0" w:tentative="0">
      <w:start w:val="4"/>
      <w:numFmt w:val="decimal"/>
      <w:suff w:val="nothing"/>
      <w:lvlText w:val="%1、"/>
      <w:lvlJc w:val="left"/>
    </w:lvl>
  </w:abstractNum>
  <w:abstractNum w:abstractNumId="10">
    <w:nsid w:val="71EB1F6A"/>
    <w:multiLevelType w:val="multilevel"/>
    <w:tmpl w:val="71EB1F6A"/>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7A4E5D09"/>
    <w:multiLevelType w:val="singleLevel"/>
    <w:tmpl w:val="7A4E5D09"/>
    <w:lvl w:ilvl="0" w:tentative="0">
      <w:start w:val="13"/>
      <w:numFmt w:val="decimal"/>
      <w:suff w:val="nothing"/>
      <w:lvlText w:val="%1、"/>
      <w:lvlJc w:val="left"/>
    </w:lvl>
  </w:abstractNum>
  <w:num w:numId="1">
    <w:abstractNumId w:val="1"/>
  </w:num>
  <w:num w:numId="2">
    <w:abstractNumId w:val="6"/>
  </w:num>
  <w:num w:numId="3">
    <w:abstractNumId w:val="9"/>
  </w:num>
  <w:num w:numId="4">
    <w:abstractNumId w:val="10"/>
  </w:num>
  <w:num w:numId="5">
    <w:abstractNumId w:val="3"/>
  </w:num>
  <w:num w:numId="6">
    <w:abstractNumId w:val="7"/>
  </w:num>
  <w:num w:numId="7">
    <w:abstractNumId w:val="0"/>
  </w:num>
  <w:num w:numId="8">
    <w:abstractNumId w:val="2"/>
  </w:num>
  <w:num w:numId="9">
    <w:abstractNumId w:val="5"/>
  </w:num>
  <w:num w:numId="10">
    <w:abstractNumId w:val="8"/>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FEA"/>
    <w:rsid w:val="00000DFB"/>
    <w:rsid w:val="00005068"/>
    <w:rsid w:val="00006103"/>
    <w:rsid w:val="000065FA"/>
    <w:rsid w:val="000101FE"/>
    <w:rsid w:val="000138E1"/>
    <w:rsid w:val="000145FB"/>
    <w:rsid w:val="00014889"/>
    <w:rsid w:val="0001575A"/>
    <w:rsid w:val="00021B46"/>
    <w:rsid w:val="00024399"/>
    <w:rsid w:val="00025380"/>
    <w:rsid w:val="00030318"/>
    <w:rsid w:val="00035942"/>
    <w:rsid w:val="00043C2B"/>
    <w:rsid w:val="000450C7"/>
    <w:rsid w:val="00047D1D"/>
    <w:rsid w:val="000504F7"/>
    <w:rsid w:val="000505A5"/>
    <w:rsid w:val="00051148"/>
    <w:rsid w:val="000519B6"/>
    <w:rsid w:val="000564EF"/>
    <w:rsid w:val="00064F23"/>
    <w:rsid w:val="00065AC4"/>
    <w:rsid w:val="00066424"/>
    <w:rsid w:val="00067C2D"/>
    <w:rsid w:val="00070FCD"/>
    <w:rsid w:val="00071889"/>
    <w:rsid w:val="00072A71"/>
    <w:rsid w:val="00072AED"/>
    <w:rsid w:val="00072D39"/>
    <w:rsid w:val="00074131"/>
    <w:rsid w:val="000805B7"/>
    <w:rsid w:val="0008311D"/>
    <w:rsid w:val="00084615"/>
    <w:rsid w:val="00090F4E"/>
    <w:rsid w:val="0009143C"/>
    <w:rsid w:val="00092796"/>
    <w:rsid w:val="000937AA"/>
    <w:rsid w:val="00095474"/>
    <w:rsid w:val="000971FA"/>
    <w:rsid w:val="000A23F2"/>
    <w:rsid w:val="000A6241"/>
    <w:rsid w:val="000A79E8"/>
    <w:rsid w:val="000B497A"/>
    <w:rsid w:val="000C36A2"/>
    <w:rsid w:val="000C5097"/>
    <w:rsid w:val="000C5FBD"/>
    <w:rsid w:val="000C6722"/>
    <w:rsid w:val="000D1F50"/>
    <w:rsid w:val="000D44C6"/>
    <w:rsid w:val="000D6FBB"/>
    <w:rsid w:val="000F2F04"/>
    <w:rsid w:val="000F31DE"/>
    <w:rsid w:val="000F44E4"/>
    <w:rsid w:val="000F62E2"/>
    <w:rsid w:val="00102F9A"/>
    <w:rsid w:val="00111357"/>
    <w:rsid w:val="00111366"/>
    <w:rsid w:val="001113B0"/>
    <w:rsid w:val="0011171D"/>
    <w:rsid w:val="00112626"/>
    <w:rsid w:val="00113167"/>
    <w:rsid w:val="00114AC0"/>
    <w:rsid w:val="001163D3"/>
    <w:rsid w:val="001174C3"/>
    <w:rsid w:val="001201BA"/>
    <w:rsid w:val="00121468"/>
    <w:rsid w:val="001219E7"/>
    <w:rsid w:val="0012309A"/>
    <w:rsid w:val="00126A98"/>
    <w:rsid w:val="00131FC7"/>
    <w:rsid w:val="0013328F"/>
    <w:rsid w:val="00134CB6"/>
    <w:rsid w:val="00140926"/>
    <w:rsid w:val="00144A59"/>
    <w:rsid w:val="00144E6B"/>
    <w:rsid w:val="00146E52"/>
    <w:rsid w:val="00155AE5"/>
    <w:rsid w:val="00155D76"/>
    <w:rsid w:val="00157605"/>
    <w:rsid w:val="00161B5F"/>
    <w:rsid w:val="00162863"/>
    <w:rsid w:val="001642B3"/>
    <w:rsid w:val="001652CF"/>
    <w:rsid w:val="0016731C"/>
    <w:rsid w:val="00167A7C"/>
    <w:rsid w:val="0017600E"/>
    <w:rsid w:val="00176E08"/>
    <w:rsid w:val="0017738A"/>
    <w:rsid w:val="00177C44"/>
    <w:rsid w:val="00181CB5"/>
    <w:rsid w:val="0018439C"/>
    <w:rsid w:val="00187F41"/>
    <w:rsid w:val="00190F34"/>
    <w:rsid w:val="0019236A"/>
    <w:rsid w:val="0019519B"/>
    <w:rsid w:val="00195746"/>
    <w:rsid w:val="001964FE"/>
    <w:rsid w:val="001A2B1C"/>
    <w:rsid w:val="001A3931"/>
    <w:rsid w:val="001A4E47"/>
    <w:rsid w:val="001A5013"/>
    <w:rsid w:val="001A71D1"/>
    <w:rsid w:val="001A770F"/>
    <w:rsid w:val="001B0070"/>
    <w:rsid w:val="001B0DA3"/>
    <w:rsid w:val="001B2237"/>
    <w:rsid w:val="001C432F"/>
    <w:rsid w:val="001C5F6D"/>
    <w:rsid w:val="001D1C8E"/>
    <w:rsid w:val="001E249D"/>
    <w:rsid w:val="001F0568"/>
    <w:rsid w:val="001F1C42"/>
    <w:rsid w:val="001F254A"/>
    <w:rsid w:val="002013A8"/>
    <w:rsid w:val="00202846"/>
    <w:rsid w:val="00202EC4"/>
    <w:rsid w:val="00205512"/>
    <w:rsid w:val="00207309"/>
    <w:rsid w:val="00207DAF"/>
    <w:rsid w:val="00211537"/>
    <w:rsid w:val="00211C78"/>
    <w:rsid w:val="002172E6"/>
    <w:rsid w:val="002174B9"/>
    <w:rsid w:val="00222B4F"/>
    <w:rsid w:val="002267B9"/>
    <w:rsid w:val="00230EBC"/>
    <w:rsid w:val="00234016"/>
    <w:rsid w:val="0023686B"/>
    <w:rsid w:val="00247F8A"/>
    <w:rsid w:val="00254204"/>
    <w:rsid w:val="00254CF2"/>
    <w:rsid w:val="00256B15"/>
    <w:rsid w:val="00257D9B"/>
    <w:rsid w:val="002604BD"/>
    <w:rsid w:val="0026307F"/>
    <w:rsid w:val="0027027D"/>
    <w:rsid w:val="00270BE0"/>
    <w:rsid w:val="00272AE7"/>
    <w:rsid w:val="00274D58"/>
    <w:rsid w:val="002756F6"/>
    <w:rsid w:val="00277AD3"/>
    <w:rsid w:val="002809BC"/>
    <w:rsid w:val="0028209D"/>
    <w:rsid w:val="002856ED"/>
    <w:rsid w:val="00287681"/>
    <w:rsid w:val="00290055"/>
    <w:rsid w:val="0029246E"/>
    <w:rsid w:val="00295CE1"/>
    <w:rsid w:val="002A2060"/>
    <w:rsid w:val="002A47E6"/>
    <w:rsid w:val="002B235E"/>
    <w:rsid w:val="002B2F07"/>
    <w:rsid w:val="002B64DE"/>
    <w:rsid w:val="002C0134"/>
    <w:rsid w:val="002C1B0C"/>
    <w:rsid w:val="002C1DC1"/>
    <w:rsid w:val="002C3790"/>
    <w:rsid w:val="002C3820"/>
    <w:rsid w:val="002C5523"/>
    <w:rsid w:val="002C6382"/>
    <w:rsid w:val="002C646C"/>
    <w:rsid w:val="002D17F6"/>
    <w:rsid w:val="002D7869"/>
    <w:rsid w:val="002E0EEF"/>
    <w:rsid w:val="002E1275"/>
    <w:rsid w:val="002E248C"/>
    <w:rsid w:val="002E766E"/>
    <w:rsid w:val="002F13C9"/>
    <w:rsid w:val="002F2460"/>
    <w:rsid w:val="002F6CC2"/>
    <w:rsid w:val="0030016E"/>
    <w:rsid w:val="00300277"/>
    <w:rsid w:val="00302241"/>
    <w:rsid w:val="00312D87"/>
    <w:rsid w:val="00313544"/>
    <w:rsid w:val="00313648"/>
    <w:rsid w:val="00314C35"/>
    <w:rsid w:val="00315D2A"/>
    <w:rsid w:val="00316824"/>
    <w:rsid w:val="00316CC3"/>
    <w:rsid w:val="00321A43"/>
    <w:rsid w:val="003236DD"/>
    <w:rsid w:val="00324EB2"/>
    <w:rsid w:val="00325293"/>
    <w:rsid w:val="00325D5F"/>
    <w:rsid w:val="0032751B"/>
    <w:rsid w:val="0033105C"/>
    <w:rsid w:val="00331DB6"/>
    <w:rsid w:val="003510FA"/>
    <w:rsid w:val="00356806"/>
    <w:rsid w:val="00357BD0"/>
    <w:rsid w:val="00365B82"/>
    <w:rsid w:val="003709AF"/>
    <w:rsid w:val="00370C68"/>
    <w:rsid w:val="0038692A"/>
    <w:rsid w:val="0038720B"/>
    <w:rsid w:val="003923F7"/>
    <w:rsid w:val="00393575"/>
    <w:rsid w:val="003954B7"/>
    <w:rsid w:val="00397500"/>
    <w:rsid w:val="003A0160"/>
    <w:rsid w:val="003A0A70"/>
    <w:rsid w:val="003A0BF4"/>
    <w:rsid w:val="003A4C4B"/>
    <w:rsid w:val="003A762A"/>
    <w:rsid w:val="003A7721"/>
    <w:rsid w:val="003B183D"/>
    <w:rsid w:val="003B62DB"/>
    <w:rsid w:val="003C3061"/>
    <w:rsid w:val="003C37DA"/>
    <w:rsid w:val="003C415B"/>
    <w:rsid w:val="003C5BE9"/>
    <w:rsid w:val="003D3E0C"/>
    <w:rsid w:val="003D511E"/>
    <w:rsid w:val="003D6526"/>
    <w:rsid w:val="003E3E42"/>
    <w:rsid w:val="003E44F9"/>
    <w:rsid w:val="003F2507"/>
    <w:rsid w:val="003F27D7"/>
    <w:rsid w:val="003F55DD"/>
    <w:rsid w:val="003F7AF4"/>
    <w:rsid w:val="00400FA5"/>
    <w:rsid w:val="0040165B"/>
    <w:rsid w:val="0040282C"/>
    <w:rsid w:val="004056A5"/>
    <w:rsid w:val="00406369"/>
    <w:rsid w:val="004105F3"/>
    <w:rsid w:val="004129EF"/>
    <w:rsid w:val="00412E8A"/>
    <w:rsid w:val="00420ECC"/>
    <w:rsid w:val="0042733C"/>
    <w:rsid w:val="00431117"/>
    <w:rsid w:val="00431E6C"/>
    <w:rsid w:val="00432086"/>
    <w:rsid w:val="00433485"/>
    <w:rsid w:val="004368C5"/>
    <w:rsid w:val="00446DCD"/>
    <w:rsid w:val="00455A69"/>
    <w:rsid w:val="00466B27"/>
    <w:rsid w:val="004773AB"/>
    <w:rsid w:val="0047760A"/>
    <w:rsid w:val="00481AF1"/>
    <w:rsid w:val="00482029"/>
    <w:rsid w:val="00482382"/>
    <w:rsid w:val="00486897"/>
    <w:rsid w:val="00493533"/>
    <w:rsid w:val="004972C2"/>
    <w:rsid w:val="004A38BA"/>
    <w:rsid w:val="004B1273"/>
    <w:rsid w:val="004B3F0D"/>
    <w:rsid w:val="004C1A68"/>
    <w:rsid w:val="004C22BF"/>
    <w:rsid w:val="004C5A47"/>
    <w:rsid w:val="004D053E"/>
    <w:rsid w:val="004D3FE2"/>
    <w:rsid w:val="004D47D1"/>
    <w:rsid w:val="004D6BE3"/>
    <w:rsid w:val="004D78F9"/>
    <w:rsid w:val="004E0ACE"/>
    <w:rsid w:val="004E1207"/>
    <w:rsid w:val="004E30AB"/>
    <w:rsid w:val="004E422D"/>
    <w:rsid w:val="004F2FF2"/>
    <w:rsid w:val="004F3D7E"/>
    <w:rsid w:val="004F7377"/>
    <w:rsid w:val="004F7FD1"/>
    <w:rsid w:val="00500A3A"/>
    <w:rsid w:val="00500E18"/>
    <w:rsid w:val="0051211C"/>
    <w:rsid w:val="00513BC3"/>
    <w:rsid w:val="00516979"/>
    <w:rsid w:val="005227CD"/>
    <w:rsid w:val="00522B11"/>
    <w:rsid w:val="00524D62"/>
    <w:rsid w:val="00525237"/>
    <w:rsid w:val="00527F69"/>
    <w:rsid w:val="00532315"/>
    <w:rsid w:val="00532702"/>
    <w:rsid w:val="0053291F"/>
    <w:rsid w:val="00533F6F"/>
    <w:rsid w:val="0053700D"/>
    <w:rsid w:val="00537E0B"/>
    <w:rsid w:val="0054019B"/>
    <w:rsid w:val="00542E53"/>
    <w:rsid w:val="005458E3"/>
    <w:rsid w:val="00551574"/>
    <w:rsid w:val="005524A2"/>
    <w:rsid w:val="005530A1"/>
    <w:rsid w:val="00553EEA"/>
    <w:rsid w:val="00557E97"/>
    <w:rsid w:val="00561CD3"/>
    <w:rsid w:val="00566ACF"/>
    <w:rsid w:val="00570D31"/>
    <w:rsid w:val="00571E95"/>
    <w:rsid w:val="00576085"/>
    <w:rsid w:val="005859F5"/>
    <w:rsid w:val="00585C0E"/>
    <w:rsid w:val="005909CD"/>
    <w:rsid w:val="005936F1"/>
    <w:rsid w:val="00595209"/>
    <w:rsid w:val="005B027C"/>
    <w:rsid w:val="005B2B87"/>
    <w:rsid w:val="005B4407"/>
    <w:rsid w:val="005B48F6"/>
    <w:rsid w:val="005B55B4"/>
    <w:rsid w:val="005C06C4"/>
    <w:rsid w:val="005C1DC1"/>
    <w:rsid w:val="005C6321"/>
    <w:rsid w:val="005C68BA"/>
    <w:rsid w:val="005D1245"/>
    <w:rsid w:val="005D20AB"/>
    <w:rsid w:val="005D2818"/>
    <w:rsid w:val="005E1B4A"/>
    <w:rsid w:val="005F1AE1"/>
    <w:rsid w:val="005F3434"/>
    <w:rsid w:val="005F3B07"/>
    <w:rsid w:val="005F5585"/>
    <w:rsid w:val="00600010"/>
    <w:rsid w:val="00602455"/>
    <w:rsid w:val="00607F1C"/>
    <w:rsid w:val="0061230F"/>
    <w:rsid w:val="00615AB5"/>
    <w:rsid w:val="006168DE"/>
    <w:rsid w:val="00620CA6"/>
    <w:rsid w:val="0062516E"/>
    <w:rsid w:val="006277CF"/>
    <w:rsid w:val="006315C1"/>
    <w:rsid w:val="00632681"/>
    <w:rsid w:val="00635A94"/>
    <w:rsid w:val="00641918"/>
    <w:rsid w:val="0064582B"/>
    <w:rsid w:val="00646313"/>
    <w:rsid w:val="00647B48"/>
    <w:rsid w:val="0065027B"/>
    <w:rsid w:val="006559AF"/>
    <w:rsid w:val="006613D1"/>
    <w:rsid w:val="00661FEA"/>
    <w:rsid w:val="006679F5"/>
    <w:rsid w:val="00670DB6"/>
    <w:rsid w:val="00670E0F"/>
    <w:rsid w:val="0067272B"/>
    <w:rsid w:val="00676375"/>
    <w:rsid w:val="00676BBA"/>
    <w:rsid w:val="006917DF"/>
    <w:rsid w:val="00692542"/>
    <w:rsid w:val="00692AB4"/>
    <w:rsid w:val="006A24DC"/>
    <w:rsid w:val="006A35FA"/>
    <w:rsid w:val="006A39B0"/>
    <w:rsid w:val="006A465A"/>
    <w:rsid w:val="006A5B20"/>
    <w:rsid w:val="006A65B3"/>
    <w:rsid w:val="006A7CD9"/>
    <w:rsid w:val="006B5E44"/>
    <w:rsid w:val="006B621C"/>
    <w:rsid w:val="006B768A"/>
    <w:rsid w:val="006C4024"/>
    <w:rsid w:val="006C44D0"/>
    <w:rsid w:val="006C5C1D"/>
    <w:rsid w:val="006C6101"/>
    <w:rsid w:val="006C6961"/>
    <w:rsid w:val="006D08A6"/>
    <w:rsid w:val="006D12E2"/>
    <w:rsid w:val="006D17FB"/>
    <w:rsid w:val="006D4371"/>
    <w:rsid w:val="006D76A7"/>
    <w:rsid w:val="006E1217"/>
    <w:rsid w:val="006E1763"/>
    <w:rsid w:val="006E2EF1"/>
    <w:rsid w:val="006F0F49"/>
    <w:rsid w:val="006F1536"/>
    <w:rsid w:val="006F28E4"/>
    <w:rsid w:val="006F4885"/>
    <w:rsid w:val="006F4DFE"/>
    <w:rsid w:val="006F595C"/>
    <w:rsid w:val="006F6D86"/>
    <w:rsid w:val="006F7574"/>
    <w:rsid w:val="006F7D44"/>
    <w:rsid w:val="00702C54"/>
    <w:rsid w:val="00713113"/>
    <w:rsid w:val="0071506C"/>
    <w:rsid w:val="00715250"/>
    <w:rsid w:val="007218CD"/>
    <w:rsid w:val="00722A86"/>
    <w:rsid w:val="00723B24"/>
    <w:rsid w:val="007254D5"/>
    <w:rsid w:val="007262DF"/>
    <w:rsid w:val="00730AFF"/>
    <w:rsid w:val="00730FF7"/>
    <w:rsid w:val="007317D7"/>
    <w:rsid w:val="00731FB6"/>
    <w:rsid w:val="00737026"/>
    <w:rsid w:val="007402E6"/>
    <w:rsid w:val="00740D50"/>
    <w:rsid w:val="0074388A"/>
    <w:rsid w:val="00747591"/>
    <w:rsid w:val="007479E8"/>
    <w:rsid w:val="00747ABF"/>
    <w:rsid w:val="00750CCF"/>
    <w:rsid w:val="007550B0"/>
    <w:rsid w:val="00755962"/>
    <w:rsid w:val="007619B8"/>
    <w:rsid w:val="007628CE"/>
    <w:rsid w:val="0076298E"/>
    <w:rsid w:val="0076343B"/>
    <w:rsid w:val="00765C93"/>
    <w:rsid w:val="00766584"/>
    <w:rsid w:val="007678E8"/>
    <w:rsid w:val="0077286F"/>
    <w:rsid w:val="00775B3F"/>
    <w:rsid w:val="00781040"/>
    <w:rsid w:val="007826F5"/>
    <w:rsid w:val="007839D6"/>
    <w:rsid w:val="007958F0"/>
    <w:rsid w:val="007A1C2D"/>
    <w:rsid w:val="007A448D"/>
    <w:rsid w:val="007A7665"/>
    <w:rsid w:val="007B1AAD"/>
    <w:rsid w:val="007B64D7"/>
    <w:rsid w:val="007D0321"/>
    <w:rsid w:val="007D05A9"/>
    <w:rsid w:val="007D7984"/>
    <w:rsid w:val="007D7CD1"/>
    <w:rsid w:val="007E287C"/>
    <w:rsid w:val="007E3024"/>
    <w:rsid w:val="007E349A"/>
    <w:rsid w:val="007E58F2"/>
    <w:rsid w:val="00802422"/>
    <w:rsid w:val="00803DFC"/>
    <w:rsid w:val="00804684"/>
    <w:rsid w:val="008056CC"/>
    <w:rsid w:val="008064A8"/>
    <w:rsid w:val="00812CAF"/>
    <w:rsid w:val="00813C76"/>
    <w:rsid w:val="008155D9"/>
    <w:rsid w:val="0082080C"/>
    <w:rsid w:val="00821F02"/>
    <w:rsid w:val="00823201"/>
    <w:rsid w:val="008253C6"/>
    <w:rsid w:val="008256C6"/>
    <w:rsid w:val="00826DB1"/>
    <w:rsid w:val="00832FA1"/>
    <w:rsid w:val="00832FD9"/>
    <w:rsid w:val="00833331"/>
    <w:rsid w:val="00836302"/>
    <w:rsid w:val="0083695C"/>
    <w:rsid w:val="008415FA"/>
    <w:rsid w:val="00844648"/>
    <w:rsid w:val="00845746"/>
    <w:rsid w:val="00847B5B"/>
    <w:rsid w:val="00851CCA"/>
    <w:rsid w:val="00853010"/>
    <w:rsid w:val="00855357"/>
    <w:rsid w:val="00860ECE"/>
    <w:rsid w:val="0086476D"/>
    <w:rsid w:val="00866836"/>
    <w:rsid w:val="00866E9C"/>
    <w:rsid w:val="00871332"/>
    <w:rsid w:val="0087336A"/>
    <w:rsid w:val="00876B51"/>
    <w:rsid w:val="00880FF7"/>
    <w:rsid w:val="0088288D"/>
    <w:rsid w:val="008844F7"/>
    <w:rsid w:val="008879B5"/>
    <w:rsid w:val="0089191D"/>
    <w:rsid w:val="00892038"/>
    <w:rsid w:val="0089220A"/>
    <w:rsid w:val="008922AE"/>
    <w:rsid w:val="00892589"/>
    <w:rsid w:val="008967C2"/>
    <w:rsid w:val="008A066F"/>
    <w:rsid w:val="008A3D60"/>
    <w:rsid w:val="008A5011"/>
    <w:rsid w:val="008A5E0E"/>
    <w:rsid w:val="008A616A"/>
    <w:rsid w:val="008B24DE"/>
    <w:rsid w:val="008B617E"/>
    <w:rsid w:val="008B7375"/>
    <w:rsid w:val="008C019F"/>
    <w:rsid w:val="008C0A2C"/>
    <w:rsid w:val="008C0EFE"/>
    <w:rsid w:val="008C1725"/>
    <w:rsid w:val="008C3A0B"/>
    <w:rsid w:val="008C4C2E"/>
    <w:rsid w:val="008C5B3C"/>
    <w:rsid w:val="008C7FBA"/>
    <w:rsid w:val="008D0141"/>
    <w:rsid w:val="008D29E8"/>
    <w:rsid w:val="008D627B"/>
    <w:rsid w:val="008E1266"/>
    <w:rsid w:val="008E3B56"/>
    <w:rsid w:val="008E5CBE"/>
    <w:rsid w:val="008F55F8"/>
    <w:rsid w:val="008F755D"/>
    <w:rsid w:val="00900209"/>
    <w:rsid w:val="00904411"/>
    <w:rsid w:val="009063E2"/>
    <w:rsid w:val="009108FA"/>
    <w:rsid w:val="009144CC"/>
    <w:rsid w:val="00915890"/>
    <w:rsid w:val="009178E8"/>
    <w:rsid w:val="00921FB5"/>
    <w:rsid w:val="00925389"/>
    <w:rsid w:val="00926F77"/>
    <w:rsid w:val="00930BDD"/>
    <w:rsid w:val="009326EA"/>
    <w:rsid w:val="009328A4"/>
    <w:rsid w:val="00935DFE"/>
    <w:rsid w:val="00936F06"/>
    <w:rsid w:val="00937E89"/>
    <w:rsid w:val="009407F5"/>
    <w:rsid w:val="009438D1"/>
    <w:rsid w:val="00945616"/>
    <w:rsid w:val="009507B9"/>
    <w:rsid w:val="00952E8E"/>
    <w:rsid w:val="00953624"/>
    <w:rsid w:val="00956E14"/>
    <w:rsid w:val="0096090E"/>
    <w:rsid w:val="00966DA5"/>
    <w:rsid w:val="009670E7"/>
    <w:rsid w:val="00975A99"/>
    <w:rsid w:val="0097651D"/>
    <w:rsid w:val="00993296"/>
    <w:rsid w:val="00994D50"/>
    <w:rsid w:val="00994FCE"/>
    <w:rsid w:val="0099522A"/>
    <w:rsid w:val="009A0A45"/>
    <w:rsid w:val="009A385B"/>
    <w:rsid w:val="009A3ABE"/>
    <w:rsid w:val="009A7B06"/>
    <w:rsid w:val="009B0117"/>
    <w:rsid w:val="009B0726"/>
    <w:rsid w:val="009B2C19"/>
    <w:rsid w:val="009B3E6F"/>
    <w:rsid w:val="009B3FB3"/>
    <w:rsid w:val="009B4AA9"/>
    <w:rsid w:val="009B4EA9"/>
    <w:rsid w:val="009C1B21"/>
    <w:rsid w:val="009C26C3"/>
    <w:rsid w:val="009C2F0E"/>
    <w:rsid w:val="009C325A"/>
    <w:rsid w:val="009C3D7F"/>
    <w:rsid w:val="009C522B"/>
    <w:rsid w:val="009D2615"/>
    <w:rsid w:val="009D2C2B"/>
    <w:rsid w:val="009D30C6"/>
    <w:rsid w:val="009E1B52"/>
    <w:rsid w:val="009E1C99"/>
    <w:rsid w:val="009F0CDE"/>
    <w:rsid w:val="009F2063"/>
    <w:rsid w:val="009F28F0"/>
    <w:rsid w:val="009F5CE4"/>
    <w:rsid w:val="009F6012"/>
    <w:rsid w:val="009F73CC"/>
    <w:rsid w:val="00A07F48"/>
    <w:rsid w:val="00A11D20"/>
    <w:rsid w:val="00A14742"/>
    <w:rsid w:val="00A159DD"/>
    <w:rsid w:val="00A209C3"/>
    <w:rsid w:val="00A2111F"/>
    <w:rsid w:val="00A251B1"/>
    <w:rsid w:val="00A34CD2"/>
    <w:rsid w:val="00A37919"/>
    <w:rsid w:val="00A379CB"/>
    <w:rsid w:val="00A40B18"/>
    <w:rsid w:val="00A429EF"/>
    <w:rsid w:val="00A44DFB"/>
    <w:rsid w:val="00A45ED5"/>
    <w:rsid w:val="00A47315"/>
    <w:rsid w:val="00A50590"/>
    <w:rsid w:val="00A52BB2"/>
    <w:rsid w:val="00A60C6B"/>
    <w:rsid w:val="00A61661"/>
    <w:rsid w:val="00A67173"/>
    <w:rsid w:val="00A67553"/>
    <w:rsid w:val="00A72981"/>
    <w:rsid w:val="00A75439"/>
    <w:rsid w:val="00A76B5D"/>
    <w:rsid w:val="00A76F9B"/>
    <w:rsid w:val="00A77FDA"/>
    <w:rsid w:val="00A80331"/>
    <w:rsid w:val="00A85080"/>
    <w:rsid w:val="00A91286"/>
    <w:rsid w:val="00A9141D"/>
    <w:rsid w:val="00A93411"/>
    <w:rsid w:val="00A93DB7"/>
    <w:rsid w:val="00A96D05"/>
    <w:rsid w:val="00AA2F95"/>
    <w:rsid w:val="00AA4B4F"/>
    <w:rsid w:val="00AA4B72"/>
    <w:rsid w:val="00AB293A"/>
    <w:rsid w:val="00AB3C1F"/>
    <w:rsid w:val="00AB6A1F"/>
    <w:rsid w:val="00AC16A4"/>
    <w:rsid w:val="00AC2246"/>
    <w:rsid w:val="00AC2269"/>
    <w:rsid w:val="00AC332A"/>
    <w:rsid w:val="00AD12A4"/>
    <w:rsid w:val="00AD2911"/>
    <w:rsid w:val="00AD34D9"/>
    <w:rsid w:val="00AD7F81"/>
    <w:rsid w:val="00AE02F5"/>
    <w:rsid w:val="00AE0CB9"/>
    <w:rsid w:val="00AE35CA"/>
    <w:rsid w:val="00AE6F29"/>
    <w:rsid w:val="00AF518B"/>
    <w:rsid w:val="00B06173"/>
    <w:rsid w:val="00B06404"/>
    <w:rsid w:val="00B066F9"/>
    <w:rsid w:val="00B06BF1"/>
    <w:rsid w:val="00B10DCB"/>
    <w:rsid w:val="00B14F1D"/>
    <w:rsid w:val="00B16822"/>
    <w:rsid w:val="00B16911"/>
    <w:rsid w:val="00B21698"/>
    <w:rsid w:val="00B25031"/>
    <w:rsid w:val="00B269D5"/>
    <w:rsid w:val="00B272D1"/>
    <w:rsid w:val="00B310F1"/>
    <w:rsid w:val="00B33F8A"/>
    <w:rsid w:val="00B353C7"/>
    <w:rsid w:val="00B42FDF"/>
    <w:rsid w:val="00B473A3"/>
    <w:rsid w:val="00B47CBA"/>
    <w:rsid w:val="00B62069"/>
    <w:rsid w:val="00B65B6A"/>
    <w:rsid w:val="00B70188"/>
    <w:rsid w:val="00B7189C"/>
    <w:rsid w:val="00B72510"/>
    <w:rsid w:val="00B77011"/>
    <w:rsid w:val="00B83AFC"/>
    <w:rsid w:val="00B86612"/>
    <w:rsid w:val="00B90FD5"/>
    <w:rsid w:val="00B9543D"/>
    <w:rsid w:val="00BA1E35"/>
    <w:rsid w:val="00BA2FBE"/>
    <w:rsid w:val="00BA5233"/>
    <w:rsid w:val="00BA6FCB"/>
    <w:rsid w:val="00BA7F65"/>
    <w:rsid w:val="00BB2C18"/>
    <w:rsid w:val="00BC00D2"/>
    <w:rsid w:val="00BC7AA1"/>
    <w:rsid w:val="00BC7DF9"/>
    <w:rsid w:val="00BD341C"/>
    <w:rsid w:val="00BD41FC"/>
    <w:rsid w:val="00BD646D"/>
    <w:rsid w:val="00BE0EA1"/>
    <w:rsid w:val="00BE2439"/>
    <w:rsid w:val="00BE7DF1"/>
    <w:rsid w:val="00BF0AC0"/>
    <w:rsid w:val="00BF5E36"/>
    <w:rsid w:val="00BF73CB"/>
    <w:rsid w:val="00C028BA"/>
    <w:rsid w:val="00C03980"/>
    <w:rsid w:val="00C05AFE"/>
    <w:rsid w:val="00C15F92"/>
    <w:rsid w:val="00C17525"/>
    <w:rsid w:val="00C20AA6"/>
    <w:rsid w:val="00C212E0"/>
    <w:rsid w:val="00C271BF"/>
    <w:rsid w:val="00C329F3"/>
    <w:rsid w:val="00C34102"/>
    <w:rsid w:val="00C35A44"/>
    <w:rsid w:val="00C36AAB"/>
    <w:rsid w:val="00C4182B"/>
    <w:rsid w:val="00C435D9"/>
    <w:rsid w:val="00C47107"/>
    <w:rsid w:val="00C50533"/>
    <w:rsid w:val="00C52910"/>
    <w:rsid w:val="00C532FD"/>
    <w:rsid w:val="00C5773B"/>
    <w:rsid w:val="00C60266"/>
    <w:rsid w:val="00C6363A"/>
    <w:rsid w:val="00C67EB2"/>
    <w:rsid w:val="00C70A99"/>
    <w:rsid w:val="00C7137B"/>
    <w:rsid w:val="00C7317A"/>
    <w:rsid w:val="00C73D95"/>
    <w:rsid w:val="00C7661F"/>
    <w:rsid w:val="00C778B6"/>
    <w:rsid w:val="00C80C10"/>
    <w:rsid w:val="00C81FA0"/>
    <w:rsid w:val="00C90B50"/>
    <w:rsid w:val="00C94B9F"/>
    <w:rsid w:val="00CA3712"/>
    <w:rsid w:val="00CA382A"/>
    <w:rsid w:val="00CA441A"/>
    <w:rsid w:val="00CA77D2"/>
    <w:rsid w:val="00CB19D3"/>
    <w:rsid w:val="00CB1EF9"/>
    <w:rsid w:val="00CB2401"/>
    <w:rsid w:val="00CB2FBA"/>
    <w:rsid w:val="00CB6216"/>
    <w:rsid w:val="00CB627C"/>
    <w:rsid w:val="00CB7142"/>
    <w:rsid w:val="00CC02E9"/>
    <w:rsid w:val="00CC2425"/>
    <w:rsid w:val="00CC672B"/>
    <w:rsid w:val="00CD4227"/>
    <w:rsid w:val="00CD4D78"/>
    <w:rsid w:val="00CD50CD"/>
    <w:rsid w:val="00CD61CA"/>
    <w:rsid w:val="00CD7221"/>
    <w:rsid w:val="00CE01B1"/>
    <w:rsid w:val="00CE2FFD"/>
    <w:rsid w:val="00CE4FFB"/>
    <w:rsid w:val="00CE6076"/>
    <w:rsid w:val="00CE6C0E"/>
    <w:rsid w:val="00CF5332"/>
    <w:rsid w:val="00CF6154"/>
    <w:rsid w:val="00D05CDD"/>
    <w:rsid w:val="00D06B47"/>
    <w:rsid w:val="00D07E62"/>
    <w:rsid w:val="00D11CE2"/>
    <w:rsid w:val="00D123D4"/>
    <w:rsid w:val="00D151D8"/>
    <w:rsid w:val="00D15D79"/>
    <w:rsid w:val="00D1670B"/>
    <w:rsid w:val="00D20AD1"/>
    <w:rsid w:val="00D210BC"/>
    <w:rsid w:val="00D21703"/>
    <w:rsid w:val="00D34088"/>
    <w:rsid w:val="00D345E5"/>
    <w:rsid w:val="00D40C60"/>
    <w:rsid w:val="00D435EA"/>
    <w:rsid w:val="00D465E2"/>
    <w:rsid w:val="00D46BD1"/>
    <w:rsid w:val="00D4745B"/>
    <w:rsid w:val="00D4752D"/>
    <w:rsid w:val="00D53B23"/>
    <w:rsid w:val="00D67A1D"/>
    <w:rsid w:val="00D73A6D"/>
    <w:rsid w:val="00D7597F"/>
    <w:rsid w:val="00D76B6D"/>
    <w:rsid w:val="00D80DCF"/>
    <w:rsid w:val="00D82583"/>
    <w:rsid w:val="00D83AF1"/>
    <w:rsid w:val="00D853A1"/>
    <w:rsid w:val="00D91378"/>
    <w:rsid w:val="00D92C6E"/>
    <w:rsid w:val="00D958E8"/>
    <w:rsid w:val="00D9783A"/>
    <w:rsid w:val="00DA1A4C"/>
    <w:rsid w:val="00DA3E0C"/>
    <w:rsid w:val="00DA43AC"/>
    <w:rsid w:val="00DA4D2D"/>
    <w:rsid w:val="00DA547B"/>
    <w:rsid w:val="00DA56C6"/>
    <w:rsid w:val="00DA69ED"/>
    <w:rsid w:val="00DA79BE"/>
    <w:rsid w:val="00DB01D8"/>
    <w:rsid w:val="00DB5F3F"/>
    <w:rsid w:val="00DC0569"/>
    <w:rsid w:val="00DC455B"/>
    <w:rsid w:val="00DC5884"/>
    <w:rsid w:val="00DC5C10"/>
    <w:rsid w:val="00DC7467"/>
    <w:rsid w:val="00DD3314"/>
    <w:rsid w:val="00DD33F1"/>
    <w:rsid w:val="00DD47CE"/>
    <w:rsid w:val="00DD4BAB"/>
    <w:rsid w:val="00DE1A7C"/>
    <w:rsid w:val="00DE2018"/>
    <w:rsid w:val="00DE42F9"/>
    <w:rsid w:val="00DF165A"/>
    <w:rsid w:val="00DF202F"/>
    <w:rsid w:val="00DF2E40"/>
    <w:rsid w:val="00DF4EE7"/>
    <w:rsid w:val="00DF75EB"/>
    <w:rsid w:val="00E03893"/>
    <w:rsid w:val="00E06362"/>
    <w:rsid w:val="00E108F3"/>
    <w:rsid w:val="00E262C5"/>
    <w:rsid w:val="00E3201C"/>
    <w:rsid w:val="00E33A5C"/>
    <w:rsid w:val="00E351BA"/>
    <w:rsid w:val="00E36614"/>
    <w:rsid w:val="00E50622"/>
    <w:rsid w:val="00E510C7"/>
    <w:rsid w:val="00E52BC7"/>
    <w:rsid w:val="00E5614C"/>
    <w:rsid w:val="00E71543"/>
    <w:rsid w:val="00E72409"/>
    <w:rsid w:val="00E724A0"/>
    <w:rsid w:val="00E76630"/>
    <w:rsid w:val="00E82AE0"/>
    <w:rsid w:val="00E836A3"/>
    <w:rsid w:val="00E92616"/>
    <w:rsid w:val="00E9307A"/>
    <w:rsid w:val="00E977C2"/>
    <w:rsid w:val="00EA0E4F"/>
    <w:rsid w:val="00EA7361"/>
    <w:rsid w:val="00EA7A67"/>
    <w:rsid w:val="00EB4D8F"/>
    <w:rsid w:val="00EB6903"/>
    <w:rsid w:val="00EC4302"/>
    <w:rsid w:val="00EC78C6"/>
    <w:rsid w:val="00ED046D"/>
    <w:rsid w:val="00ED1829"/>
    <w:rsid w:val="00EE57FC"/>
    <w:rsid w:val="00EE736C"/>
    <w:rsid w:val="00EF13D6"/>
    <w:rsid w:val="00EF6C13"/>
    <w:rsid w:val="00EF7808"/>
    <w:rsid w:val="00F012AA"/>
    <w:rsid w:val="00F0370C"/>
    <w:rsid w:val="00F0384E"/>
    <w:rsid w:val="00F05038"/>
    <w:rsid w:val="00F05B4A"/>
    <w:rsid w:val="00F1121A"/>
    <w:rsid w:val="00F1156D"/>
    <w:rsid w:val="00F12096"/>
    <w:rsid w:val="00F2006A"/>
    <w:rsid w:val="00F2630F"/>
    <w:rsid w:val="00F26A51"/>
    <w:rsid w:val="00F30257"/>
    <w:rsid w:val="00F30440"/>
    <w:rsid w:val="00F41E67"/>
    <w:rsid w:val="00F4306E"/>
    <w:rsid w:val="00F4711F"/>
    <w:rsid w:val="00F56213"/>
    <w:rsid w:val="00F5637D"/>
    <w:rsid w:val="00F5770D"/>
    <w:rsid w:val="00F57782"/>
    <w:rsid w:val="00F62782"/>
    <w:rsid w:val="00F640A2"/>
    <w:rsid w:val="00F64E8A"/>
    <w:rsid w:val="00F65051"/>
    <w:rsid w:val="00F65282"/>
    <w:rsid w:val="00F66113"/>
    <w:rsid w:val="00F706DD"/>
    <w:rsid w:val="00F70D1F"/>
    <w:rsid w:val="00F74B42"/>
    <w:rsid w:val="00F779C5"/>
    <w:rsid w:val="00F77FFB"/>
    <w:rsid w:val="00F82A9D"/>
    <w:rsid w:val="00F82BB7"/>
    <w:rsid w:val="00F87835"/>
    <w:rsid w:val="00F90201"/>
    <w:rsid w:val="00F9395A"/>
    <w:rsid w:val="00F93BB0"/>
    <w:rsid w:val="00FA1C26"/>
    <w:rsid w:val="00FA2077"/>
    <w:rsid w:val="00FA20F1"/>
    <w:rsid w:val="00FA3BE4"/>
    <w:rsid w:val="00FA40F0"/>
    <w:rsid w:val="00FA4E30"/>
    <w:rsid w:val="00FA6E87"/>
    <w:rsid w:val="00FB311E"/>
    <w:rsid w:val="00FB5363"/>
    <w:rsid w:val="00FD273C"/>
    <w:rsid w:val="00FD5356"/>
    <w:rsid w:val="00FD621B"/>
    <w:rsid w:val="00FD72EF"/>
    <w:rsid w:val="00FE0136"/>
    <w:rsid w:val="00FE1549"/>
    <w:rsid w:val="00FE162A"/>
    <w:rsid w:val="00FE1BD2"/>
    <w:rsid w:val="00FE21B5"/>
    <w:rsid w:val="00FE554D"/>
    <w:rsid w:val="01087C5E"/>
    <w:rsid w:val="013C75B5"/>
    <w:rsid w:val="01557527"/>
    <w:rsid w:val="0178525B"/>
    <w:rsid w:val="018E5E39"/>
    <w:rsid w:val="01911627"/>
    <w:rsid w:val="0194760A"/>
    <w:rsid w:val="019D30DD"/>
    <w:rsid w:val="01F74A2C"/>
    <w:rsid w:val="02220D28"/>
    <w:rsid w:val="024F2D62"/>
    <w:rsid w:val="02643CFA"/>
    <w:rsid w:val="028B0B9F"/>
    <w:rsid w:val="02C216A1"/>
    <w:rsid w:val="02D243D3"/>
    <w:rsid w:val="02FD2355"/>
    <w:rsid w:val="030878F0"/>
    <w:rsid w:val="037102DC"/>
    <w:rsid w:val="038C09AF"/>
    <w:rsid w:val="03A43654"/>
    <w:rsid w:val="03A66F57"/>
    <w:rsid w:val="03C91F47"/>
    <w:rsid w:val="03E06B35"/>
    <w:rsid w:val="04124B52"/>
    <w:rsid w:val="045E2EB3"/>
    <w:rsid w:val="04CC7DB0"/>
    <w:rsid w:val="04E1607A"/>
    <w:rsid w:val="04F72F4D"/>
    <w:rsid w:val="04FB7C75"/>
    <w:rsid w:val="050F4ED4"/>
    <w:rsid w:val="058B06D6"/>
    <w:rsid w:val="05CE4B64"/>
    <w:rsid w:val="05D367B2"/>
    <w:rsid w:val="05F612BD"/>
    <w:rsid w:val="061934B5"/>
    <w:rsid w:val="06272E0D"/>
    <w:rsid w:val="06A85185"/>
    <w:rsid w:val="06E85946"/>
    <w:rsid w:val="06EC1A19"/>
    <w:rsid w:val="07563929"/>
    <w:rsid w:val="07677475"/>
    <w:rsid w:val="0778722A"/>
    <w:rsid w:val="07843340"/>
    <w:rsid w:val="07BF421B"/>
    <w:rsid w:val="07C04FB6"/>
    <w:rsid w:val="07CF4A5B"/>
    <w:rsid w:val="07E03716"/>
    <w:rsid w:val="08101F76"/>
    <w:rsid w:val="085458FB"/>
    <w:rsid w:val="08723B41"/>
    <w:rsid w:val="0880763D"/>
    <w:rsid w:val="08A62E5C"/>
    <w:rsid w:val="08AB6A19"/>
    <w:rsid w:val="08B27780"/>
    <w:rsid w:val="0942603D"/>
    <w:rsid w:val="09A5485F"/>
    <w:rsid w:val="09AB34AC"/>
    <w:rsid w:val="09CE1CCA"/>
    <w:rsid w:val="09EA1422"/>
    <w:rsid w:val="09F22733"/>
    <w:rsid w:val="0A1020B5"/>
    <w:rsid w:val="0A892743"/>
    <w:rsid w:val="0AB516D8"/>
    <w:rsid w:val="0AB83C28"/>
    <w:rsid w:val="0B464AA6"/>
    <w:rsid w:val="0B557FB8"/>
    <w:rsid w:val="0BEA7A89"/>
    <w:rsid w:val="0C576D4E"/>
    <w:rsid w:val="0C640BCF"/>
    <w:rsid w:val="0C8D521A"/>
    <w:rsid w:val="0CEB2D85"/>
    <w:rsid w:val="0D00082F"/>
    <w:rsid w:val="0D2F3651"/>
    <w:rsid w:val="0D47690D"/>
    <w:rsid w:val="0D5F4AA8"/>
    <w:rsid w:val="0D7365C3"/>
    <w:rsid w:val="0DC144B8"/>
    <w:rsid w:val="0E2D18E2"/>
    <w:rsid w:val="0E412089"/>
    <w:rsid w:val="0EDC3ED8"/>
    <w:rsid w:val="0F0D4412"/>
    <w:rsid w:val="0F220A2A"/>
    <w:rsid w:val="0F2212BF"/>
    <w:rsid w:val="0F5747A0"/>
    <w:rsid w:val="0F8359EF"/>
    <w:rsid w:val="1055694E"/>
    <w:rsid w:val="10B07C62"/>
    <w:rsid w:val="116612CF"/>
    <w:rsid w:val="11703E35"/>
    <w:rsid w:val="11A33979"/>
    <w:rsid w:val="11C63E5F"/>
    <w:rsid w:val="11ED5C55"/>
    <w:rsid w:val="126C2259"/>
    <w:rsid w:val="12A658C0"/>
    <w:rsid w:val="12C64E29"/>
    <w:rsid w:val="12C76D57"/>
    <w:rsid w:val="130141FE"/>
    <w:rsid w:val="1329407A"/>
    <w:rsid w:val="132F0D23"/>
    <w:rsid w:val="13460602"/>
    <w:rsid w:val="135466C4"/>
    <w:rsid w:val="1389481F"/>
    <w:rsid w:val="13F37841"/>
    <w:rsid w:val="14650CA7"/>
    <w:rsid w:val="1470085D"/>
    <w:rsid w:val="14874A9C"/>
    <w:rsid w:val="14AC186B"/>
    <w:rsid w:val="14D37717"/>
    <w:rsid w:val="14E975E6"/>
    <w:rsid w:val="15281A44"/>
    <w:rsid w:val="158C53A4"/>
    <w:rsid w:val="15AB3E67"/>
    <w:rsid w:val="15B342DF"/>
    <w:rsid w:val="15F31197"/>
    <w:rsid w:val="160B4E5F"/>
    <w:rsid w:val="16334F2D"/>
    <w:rsid w:val="16476233"/>
    <w:rsid w:val="165E421C"/>
    <w:rsid w:val="1669513E"/>
    <w:rsid w:val="16DC1D5E"/>
    <w:rsid w:val="16DE60B1"/>
    <w:rsid w:val="16E52440"/>
    <w:rsid w:val="170446D3"/>
    <w:rsid w:val="176808F5"/>
    <w:rsid w:val="179C3F00"/>
    <w:rsid w:val="17A86ACC"/>
    <w:rsid w:val="17C74B09"/>
    <w:rsid w:val="17DD6C5E"/>
    <w:rsid w:val="183523C6"/>
    <w:rsid w:val="18817523"/>
    <w:rsid w:val="18825C28"/>
    <w:rsid w:val="18A11036"/>
    <w:rsid w:val="18B564EB"/>
    <w:rsid w:val="18C114FD"/>
    <w:rsid w:val="19196698"/>
    <w:rsid w:val="19325701"/>
    <w:rsid w:val="194B22FC"/>
    <w:rsid w:val="194E7123"/>
    <w:rsid w:val="197A0DB7"/>
    <w:rsid w:val="197C5C6C"/>
    <w:rsid w:val="199D1705"/>
    <w:rsid w:val="199E079E"/>
    <w:rsid w:val="19A332C1"/>
    <w:rsid w:val="19A5307F"/>
    <w:rsid w:val="19B10D00"/>
    <w:rsid w:val="1B0C5A9E"/>
    <w:rsid w:val="1B4109E3"/>
    <w:rsid w:val="1B9C094E"/>
    <w:rsid w:val="1C1943DF"/>
    <w:rsid w:val="1C713F34"/>
    <w:rsid w:val="1C8163C4"/>
    <w:rsid w:val="1CB91BEC"/>
    <w:rsid w:val="1CBA2A7C"/>
    <w:rsid w:val="1CC34DCF"/>
    <w:rsid w:val="1CE675C8"/>
    <w:rsid w:val="1CF6115A"/>
    <w:rsid w:val="1CF64C0C"/>
    <w:rsid w:val="1CFB3FAD"/>
    <w:rsid w:val="1D3C4007"/>
    <w:rsid w:val="1D6D5630"/>
    <w:rsid w:val="1E356E40"/>
    <w:rsid w:val="1E451D15"/>
    <w:rsid w:val="1EAD60ED"/>
    <w:rsid w:val="1EEB25A7"/>
    <w:rsid w:val="1F06176B"/>
    <w:rsid w:val="1F735F00"/>
    <w:rsid w:val="1F7B4685"/>
    <w:rsid w:val="1FA27961"/>
    <w:rsid w:val="1FA56DB9"/>
    <w:rsid w:val="1FC72CB1"/>
    <w:rsid w:val="1FDF4F99"/>
    <w:rsid w:val="1FE9136D"/>
    <w:rsid w:val="202D1D87"/>
    <w:rsid w:val="203A18E8"/>
    <w:rsid w:val="206A4A9A"/>
    <w:rsid w:val="20722712"/>
    <w:rsid w:val="20E27926"/>
    <w:rsid w:val="2100550E"/>
    <w:rsid w:val="215F5496"/>
    <w:rsid w:val="21680D0A"/>
    <w:rsid w:val="216B3FD0"/>
    <w:rsid w:val="22200916"/>
    <w:rsid w:val="222776CE"/>
    <w:rsid w:val="223B4333"/>
    <w:rsid w:val="2315311F"/>
    <w:rsid w:val="234302D3"/>
    <w:rsid w:val="234826AD"/>
    <w:rsid w:val="23DD0383"/>
    <w:rsid w:val="23FA2C77"/>
    <w:rsid w:val="242B374B"/>
    <w:rsid w:val="24741293"/>
    <w:rsid w:val="24C11BD2"/>
    <w:rsid w:val="24F925BC"/>
    <w:rsid w:val="250C1ED0"/>
    <w:rsid w:val="25B95FD0"/>
    <w:rsid w:val="25D86077"/>
    <w:rsid w:val="25E021E6"/>
    <w:rsid w:val="25F14574"/>
    <w:rsid w:val="2640561D"/>
    <w:rsid w:val="26B23FF1"/>
    <w:rsid w:val="26D25A53"/>
    <w:rsid w:val="27751517"/>
    <w:rsid w:val="277B1F13"/>
    <w:rsid w:val="27AE6543"/>
    <w:rsid w:val="27F338E9"/>
    <w:rsid w:val="281B2CA6"/>
    <w:rsid w:val="28634B3C"/>
    <w:rsid w:val="288E0DC2"/>
    <w:rsid w:val="28B67482"/>
    <w:rsid w:val="28D27842"/>
    <w:rsid w:val="28DE04DC"/>
    <w:rsid w:val="28F447C4"/>
    <w:rsid w:val="29135EEE"/>
    <w:rsid w:val="291E40A4"/>
    <w:rsid w:val="292E7E8F"/>
    <w:rsid w:val="293C2A3A"/>
    <w:rsid w:val="293F52E8"/>
    <w:rsid w:val="2953675E"/>
    <w:rsid w:val="298B71A8"/>
    <w:rsid w:val="29BC0C8E"/>
    <w:rsid w:val="29E35174"/>
    <w:rsid w:val="2A0978F8"/>
    <w:rsid w:val="2A161632"/>
    <w:rsid w:val="2A2D4E6B"/>
    <w:rsid w:val="2A3849B9"/>
    <w:rsid w:val="2A4016E1"/>
    <w:rsid w:val="2ABE6770"/>
    <w:rsid w:val="2ACE38BF"/>
    <w:rsid w:val="2AD91F07"/>
    <w:rsid w:val="2AE810BB"/>
    <w:rsid w:val="2AF82389"/>
    <w:rsid w:val="2B4B76FD"/>
    <w:rsid w:val="2B7F0CE5"/>
    <w:rsid w:val="2BB539C1"/>
    <w:rsid w:val="2BBF133B"/>
    <w:rsid w:val="2BC10504"/>
    <w:rsid w:val="2BE53830"/>
    <w:rsid w:val="2C554994"/>
    <w:rsid w:val="2CBA46EB"/>
    <w:rsid w:val="2D352B0B"/>
    <w:rsid w:val="2D8C2901"/>
    <w:rsid w:val="2E814A7A"/>
    <w:rsid w:val="2EA27021"/>
    <w:rsid w:val="2ECF79B5"/>
    <w:rsid w:val="2ED40EE8"/>
    <w:rsid w:val="2EFF48B5"/>
    <w:rsid w:val="2F521688"/>
    <w:rsid w:val="2FF155E7"/>
    <w:rsid w:val="3014288B"/>
    <w:rsid w:val="30484516"/>
    <w:rsid w:val="30557791"/>
    <w:rsid w:val="30B128A9"/>
    <w:rsid w:val="30C86D33"/>
    <w:rsid w:val="30D418E0"/>
    <w:rsid w:val="31501DEF"/>
    <w:rsid w:val="315A65A7"/>
    <w:rsid w:val="31A01EE2"/>
    <w:rsid w:val="31B94D70"/>
    <w:rsid w:val="31F01AA5"/>
    <w:rsid w:val="32501DDC"/>
    <w:rsid w:val="3316197B"/>
    <w:rsid w:val="333375ED"/>
    <w:rsid w:val="334E33D1"/>
    <w:rsid w:val="336A5008"/>
    <w:rsid w:val="33867013"/>
    <w:rsid w:val="33AB58EC"/>
    <w:rsid w:val="33FF645C"/>
    <w:rsid w:val="344B7F26"/>
    <w:rsid w:val="344C6080"/>
    <w:rsid w:val="34C4463F"/>
    <w:rsid w:val="354C014C"/>
    <w:rsid w:val="35A94005"/>
    <w:rsid w:val="35B27831"/>
    <w:rsid w:val="35BF397E"/>
    <w:rsid w:val="35E56901"/>
    <w:rsid w:val="36075EC2"/>
    <w:rsid w:val="362B46CE"/>
    <w:rsid w:val="364F76ED"/>
    <w:rsid w:val="366709F1"/>
    <w:rsid w:val="36801DB2"/>
    <w:rsid w:val="373C30BC"/>
    <w:rsid w:val="373F5F55"/>
    <w:rsid w:val="37435150"/>
    <w:rsid w:val="37461516"/>
    <w:rsid w:val="3779349C"/>
    <w:rsid w:val="37B24D17"/>
    <w:rsid w:val="386F74A7"/>
    <w:rsid w:val="3881340E"/>
    <w:rsid w:val="389C58BA"/>
    <w:rsid w:val="38B424E3"/>
    <w:rsid w:val="38B455E2"/>
    <w:rsid w:val="38B843D5"/>
    <w:rsid w:val="391A6AD4"/>
    <w:rsid w:val="39580ADA"/>
    <w:rsid w:val="39B7501D"/>
    <w:rsid w:val="3A661054"/>
    <w:rsid w:val="3AC60D15"/>
    <w:rsid w:val="3AD1135C"/>
    <w:rsid w:val="3AFB75BA"/>
    <w:rsid w:val="3B1902E6"/>
    <w:rsid w:val="3B614CC7"/>
    <w:rsid w:val="3B683B87"/>
    <w:rsid w:val="3B6F5823"/>
    <w:rsid w:val="3BB558A8"/>
    <w:rsid w:val="3BE00988"/>
    <w:rsid w:val="3BEC1C55"/>
    <w:rsid w:val="3C025A0E"/>
    <w:rsid w:val="3C067490"/>
    <w:rsid w:val="3C3D25F6"/>
    <w:rsid w:val="3C743CDC"/>
    <w:rsid w:val="3CBC670A"/>
    <w:rsid w:val="3CFD1DCD"/>
    <w:rsid w:val="3D671D25"/>
    <w:rsid w:val="3DCE0243"/>
    <w:rsid w:val="3DFB175E"/>
    <w:rsid w:val="3DFE1F28"/>
    <w:rsid w:val="3EB631D6"/>
    <w:rsid w:val="3ECB7071"/>
    <w:rsid w:val="3EE237F4"/>
    <w:rsid w:val="3F1C4C66"/>
    <w:rsid w:val="3FC05735"/>
    <w:rsid w:val="3FC43C0F"/>
    <w:rsid w:val="40572E9A"/>
    <w:rsid w:val="4097689B"/>
    <w:rsid w:val="40BF1C84"/>
    <w:rsid w:val="41534ACB"/>
    <w:rsid w:val="415B367A"/>
    <w:rsid w:val="41A11117"/>
    <w:rsid w:val="41C5287F"/>
    <w:rsid w:val="42986DB2"/>
    <w:rsid w:val="42B22ACF"/>
    <w:rsid w:val="42E857F4"/>
    <w:rsid w:val="43753080"/>
    <w:rsid w:val="444A0A7D"/>
    <w:rsid w:val="444D29E3"/>
    <w:rsid w:val="44684C97"/>
    <w:rsid w:val="44935171"/>
    <w:rsid w:val="44AA5F3D"/>
    <w:rsid w:val="459963D3"/>
    <w:rsid w:val="45F93641"/>
    <w:rsid w:val="469A52BC"/>
    <w:rsid w:val="46AA3382"/>
    <w:rsid w:val="46B548AB"/>
    <w:rsid w:val="46BA59F8"/>
    <w:rsid w:val="46D80EB4"/>
    <w:rsid w:val="46EC279F"/>
    <w:rsid w:val="46FD3B4F"/>
    <w:rsid w:val="47202620"/>
    <w:rsid w:val="472B5D83"/>
    <w:rsid w:val="4735074C"/>
    <w:rsid w:val="475E1818"/>
    <w:rsid w:val="47600C44"/>
    <w:rsid w:val="476E03A6"/>
    <w:rsid w:val="4773116A"/>
    <w:rsid w:val="47CC39EE"/>
    <w:rsid w:val="48251FB4"/>
    <w:rsid w:val="48465175"/>
    <w:rsid w:val="484B18AF"/>
    <w:rsid w:val="484C2C2E"/>
    <w:rsid w:val="488816A1"/>
    <w:rsid w:val="489721D4"/>
    <w:rsid w:val="48986F5D"/>
    <w:rsid w:val="48BA7B20"/>
    <w:rsid w:val="48C0464C"/>
    <w:rsid w:val="48FB741D"/>
    <w:rsid w:val="49375018"/>
    <w:rsid w:val="494E3779"/>
    <w:rsid w:val="49652E5C"/>
    <w:rsid w:val="4997007D"/>
    <w:rsid w:val="49DE01E3"/>
    <w:rsid w:val="49F8129D"/>
    <w:rsid w:val="4A1D51C0"/>
    <w:rsid w:val="4A222A5D"/>
    <w:rsid w:val="4A3A7896"/>
    <w:rsid w:val="4A743E8C"/>
    <w:rsid w:val="4A7B1FDF"/>
    <w:rsid w:val="4AB70526"/>
    <w:rsid w:val="4ACB3999"/>
    <w:rsid w:val="4B214FC0"/>
    <w:rsid w:val="4B4C1AD4"/>
    <w:rsid w:val="4BB11119"/>
    <w:rsid w:val="4BE77D9B"/>
    <w:rsid w:val="4C243C3A"/>
    <w:rsid w:val="4C5E0985"/>
    <w:rsid w:val="4C896E4B"/>
    <w:rsid w:val="4C94218B"/>
    <w:rsid w:val="4C9E37F8"/>
    <w:rsid w:val="4CC261BA"/>
    <w:rsid w:val="4CD75FAE"/>
    <w:rsid w:val="4CEB5C27"/>
    <w:rsid w:val="4D192C4B"/>
    <w:rsid w:val="4D1E38F6"/>
    <w:rsid w:val="4D4A6242"/>
    <w:rsid w:val="4D586DE6"/>
    <w:rsid w:val="4D714396"/>
    <w:rsid w:val="4D933687"/>
    <w:rsid w:val="4DBA4D6D"/>
    <w:rsid w:val="4DEE0C09"/>
    <w:rsid w:val="4E255FD8"/>
    <w:rsid w:val="4E41170B"/>
    <w:rsid w:val="4E853B49"/>
    <w:rsid w:val="4EAC7F58"/>
    <w:rsid w:val="4EBF3313"/>
    <w:rsid w:val="4EFC778E"/>
    <w:rsid w:val="4F3669CA"/>
    <w:rsid w:val="4F5B2428"/>
    <w:rsid w:val="4F7F281A"/>
    <w:rsid w:val="4F800B8B"/>
    <w:rsid w:val="4F9B7821"/>
    <w:rsid w:val="4FB76F97"/>
    <w:rsid w:val="4FFA4C72"/>
    <w:rsid w:val="5027127F"/>
    <w:rsid w:val="505814BF"/>
    <w:rsid w:val="505C77F2"/>
    <w:rsid w:val="50793018"/>
    <w:rsid w:val="509D3C2D"/>
    <w:rsid w:val="51074BCB"/>
    <w:rsid w:val="510902EB"/>
    <w:rsid w:val="5140706D"/>
    <w:rsid w:val="51C33735"/>
    <w:rsid w:val="51EE7D74"/>
    <w:rsid w:val="51FE0B28"/>
    <w:rsid w:val="521B1DB5"/>
    <w:rsid w:val="52343488"/>
    <w:rsid w:val="52992070"/>
    <w:rsid w:val="52CA5E75"/>
    <w:rsid w:val="52DA5007"/>
    <w:rsid w:val="52DE52AF"/>
    <w:rsid w:val="52EC7A21"/>
    <w:rsid w:val="533D02FC"/>
    <w:rsid w:val="535D2E8E"/>
    <w:rsid w:val="53647DF7"/>
    <w:rsid w:val="53901CFE"/>
    <w:rsid w:val="541819CB"/>
    <w:rsid w:val="54645177"/>
    <w:rsid w:val="54A93655"/>
    <w:rsid w:val="54F01639"/>
    <w:rsid w:val="54F15E64"/>
    <w:rsid w:val="5518752F"/>
    <w:rsid w:val="553E3C22"/>
    <w:rsid w:val="5564088E"/>
    <w:rsid w:val="55916AA2"/>
    <w:rsid w:val="55A87804"/>
    <w:rsid w:val="55EE4808"/>
    <w:rsid w:val="55FF3D2D"/>
    <w:rsid w:val="5604599C"/>
    <w:rsid w:val="56075619"/>
    <w:rsid w:val="567E3930"/>
    <w:rsid w:val="56BB6A5D"/>
    <w:rsid w:val="56EC6CF2"/>
    <w:rsid w:val="573B4652"/>
    <w:rsid w:val="573E396B"/>
    <w:rsid w:val="5743168C"/>
    <w:rsid w:val="57615CED"/>
    <w:rsid w:val="57CF1503"/>
    <w:rsid w:val="57D80BD5"/>
    <w:rsid w:val="57FA27B7"/>
    <w:rsid w:val="58CD6697"/>
    <w:rsid w:val="58E51A14"/>
    <w:rsid w:val="58EF67CA"/>
    <w:rsid w:val="58FB0CFA"/>
    <w:rsid w:val="58FF48E7"/>
    <w:rsid w:val="59410D81"/>
    <w:rsid w:val="59607B09"/>
    <w:rsid w:val="598636CB"/>
    <w:rsid w:val="59FD09A1"/>
    <w:rsid w:val="5A481782"/>
    <w:rsid w:val="5A550F45"/>
    <w:rsid w:val="5AA06E89"/>
    <w:rsid w:val="5ADF5C38"/>
    <w:rsid w:val="5AF1620D"/>
    <w:rsid w:val="5AF8296C"/>
    <w:rsid w:val="5B8617B6"/>
    <w:rsid w:val="5BD01245"/>
    <w:rsid w:val="5BDC7E06"/>
    <w:rsid w:val="5C2F10CE"/>
    <w:rsid w:val="5C574E26"/>
    <w:rsid w:val="5C9E6118"/>
    <w:rsid w:val="5CE771ED"/>
    <w:rsid w:val="5CF9355C"/>
    <w:rsid w:val="5D056673"/>
    <w:rsid w:val="5D1F5955"/>
    <w:rsid w:val="5D482554"/>
    <w:rsid w:val="5D775EA7"/>
    <w:rsid w:val="5DA10EFB"/>
    <w:rsid w:val="5DBE4D7A"/>
    <w:rsid w:val="5DC82CA2"/>
    <w:rsid w:val="5DD92D76"/>
    <w:rsid w:val="5DFB6C62"/>
    <w:rsid w:val="5E445F7A"/>
    <w:rsid w:val="5E5E4F89"/>
    <w:rsid w:val="5E797DD1"/>
    <w:rsid w:val="5EB14D22"/>
    <w:rsid w:val="5EC83B76"/>
    <w:rsid w:val="5ECC739C"/>
    <w:rsid w:val="5ED161AA"/>
    <w:rsid w:val="5EDB188E"/>
    <w:rsid w:val="5EF434D2"/>
    <w:rsid w:val="5F2568FB"/>
    <w:rsid w:val="5F5E7348"/>
    <w:rsid w:val="5FA212E0"/>
    <w:rsid w:val="5FCD133E"/>
    <w:rsid w:val="5FCD7475"/>
    <w:rsid w:val="5FE65A3A"/>
    <w:rsid w:val="602F1A87"/>
    <w:rsid w:val="604436E9"/>
    <w:rsid w:val="607F4DE0"/>
    <w:rsid w:val="608A0FDA"/>
    <w:rsid w:val="60B64B06"/>
    <w:rsid w:val="60CD2790"/>
    <w:rsid w:val="60DD537C"/>
    <w:rsid w:val="60F32159"/>
    <w:rsid w:val="60FE2C76"/>
    <w:rsid w:val="61320C92"/>
    <w:rsid w:val="613456DD"/>
    <w:rsid w:val="61617C7B"/>
    <w:rsid w:val="616F4C02"/>
    <w:rsid w:val="6184024F"/>
    <w:rsid w:val="61AA1D29"/>
    <w:rsid w:val="61C449C7"/>
    <w:rsid w:val="61C50D71"/>
    <w:rsid w:val="61E979EC"/>
    <w:rsid w:val="61EB6635"/>
    <w:rsid w:val="620C0C73"/>
    <w:rsid w:val="621E44AA"/>
    <w:rsid w:val="628661B6"/>
    <w:rsid w:val="63070CC1"/>
    <w:rsid w:val="63176B63"/>
    <w:rsid w:val="63181A8C"/>
    <w:rsid w:val="633D01D7"/>
    <w:rsid w:val="634A6AE4"/>
    <w:rsid w:val="63AD3DBC"/>
    <w:rsid w:val="63DA1C1F"/>
    <w:rsid w:val="63E4495A"/>
    <w:rsid w:val="640A4FC7"/>
    <w:rsid w:val="64201380"/>
    <w:rsid w:val="64640318"/>
    <w:rsid w:val="649E080F"/>
    <w:rsid w:val="64EB67F9"/>
    <w:rsid w:val="651C4BE8"/>
    <w:rsid w:val="653F7E1A"/>
    <w:rsid w:val="65455653"/>
    <w:rsid w:val="657D4537"/>
    <w:rsid w:val="658752D8"/>
    <w:rsid w:val="658925E8"/>
    <w:rsid w:val="658A01EE"/>
    <w:rsid w:val="65C74B6E"/>
    <w:rsid w:val="65CC002D"/>
    <w:rsid w:val="661E23F2"/>
    <w:rsid w:val="66A81E22"/>
    <w:rsid w:val="66AF7E5E"/>
    <w:rsid w:val="66D46B88"/>
    <w:rsid w:val="66E34515"/>
    <w:rsid w:val="67150516"/>
    <w:rsid w:val="67521ADA"/>
    <w:rsid w:val="675456A7"/>
    <w:rsid w:val="6775046B"/>
    <w:rsid w:val="67983945"/>
    <w:rsid w:val="67B24275"/>
    <w:rsid w:val="67D70CFF"/>
    <w:rsid w:val="67EF094E"/>
    <w:rsid w:val="67F37DBF"/>
    <w:rsid w:val="682C713C"/>
    <w:rsid w:val="68415856"/>
    <w:rsid w:val="686E0757"/>
    <w:rsid w:val="68ED5F56"/>
    <w:rsid w:val="691E3DDA"/>
    <w:rsid w:val="69245A46"/>
    <w:rsid w:val="69404488"/>
    <w:rsid w:val="69611FE1"/>
    <w:rsid w:val="69617D45"/>
    <w:rsid w:val="696640F9"/>
    <w:rsid w:val="696F1E23"/>
    <w:rsid w:val="69EB1CAA"/>
    <w:rsid w:val="69F96994"/>
    <w:rsid w:val="6A005D37"/>
    <w:rsid w:val="6A1D1EAF"/>
    <w:rsid w:val="6A5A545A"/>
    <w:rsid w:val="6A5D0996"/>
    <w:rsid w:val="6A8A265C"/>
    <w:rsid w:val="6AA11AF3"/>
    <w:rsid w:val="6AB57498"/>
    <w:rsid w:val="6ABB7B9F"/>
    <w:rsid w:val="6AF337E6"/>
    <w:rsid w:val="6B0B4E19"/>
    <w:rsid w:val="6B3F49DA"/>
    <w:rsid w:val="6B3F60EA"/>
    <w:rsid w:val="6B64291F"/>
    <w:rsid w:val="6B9B14BD"/>
    <w:rsid w:val="6BFD3772"/>
    <w:rsid w:val="6C190DA3"/>
    <w:rsid w:val="6CAA7335"/>
    <w:rsid w:val="6D1D632A"/>
    <w:rsid w:val="6D226C55"/>
    <w:rsid w:val="6D2B1ED8"/>
    <w:rsid w:val="6D4107C3"/>
    <w:rsid w:val="6DFA38A0"/>
    <w:rsid w:val="6E355FAF"/>
    <w:rsid w:val="6EA2737D"/>
    <w:rsid w:val="6EAC54B8"/>
    <w:rsid w:val="6EB139EE"/>
    <w:rsid w:val="6EDD648D"/>
    <w:rsid w:val="6F104ABE"/>
    <w:rsid w:val="6F2F7FF5"/>
    <w:rsid w:val="6F3B63D6"/>
    <w:rsid w:val="6F454869"/>
    <w:rsid w:val="6F650D04"/>
    <w:rsid w:val="6FA41CA2"/>
    <w:rsid w:val="707905BB"/>
    <w:rsid w:val="70A153BF"/>
    <w:rsid w:val="70BA5D96"/>
    <w:rsid w:val="714F75EF"/>
    <w:rsid w:val="718C67A5"/>
    <w:rsid w:val="71A14648"/>
    <w:rsid w:val="72490BC4"/>
    <w:rsid w:val="72606CDE"/>
    <w:rsid w:val="726D60C2"/>
    <w:rsid w:val="72B37960"/>
    <w:rsid w:val="72E2389E"/>
    <w:rsid w:val="736B35BE"/>
    <w:rsid w:val="737F7F97"/>
    <w:rsid w:val="73AA1AD8"/>
    <w:rsid w:val="73C53C06"/>
    <w:rsid w:val="7418714D"/>
    <w:rsid w:val="74456175"/>
    <w:rsid w:val="746933DF"/>
    <w:rsid w:val="7483408B"/>
    <w:rsid w:val="74A72E22"/>
    <w:rsid w:val="74B50E6C"/>
    <w:rsid w:val="74BC017D"/>
    <w:rsid w:val="74EA6E6C"/>
    <w:rsid w:val="74F26D4A"/>
    <w:rsid w:val="74FB002E"/>
    <w:rsid w:val="75527343"/>
    <w:rsid w:val="756F549B"/>
    <w:rsid w:val="75806371"/>
    <w:rsid w:val="75C24DBE"/>
    <w:rsid w:val="75C955C9"/>
    <w:rsid w:val="760E2AF2"/>
    <w:rsid w:val="760F04A9"/>
    <w:rsid w:val="763E675B"/>
    <w:rsid w:val="766F45C0"/>
    <w:rsid w:val="76801266"/>
    <w:rsid w:val="76D07CB6"/>
    <w:rsid w:val="76D40862"/>
    <w:rsid w:val="76FA054E"/>
    <w:rsid w:val="772514A2"/>
    <w:rsid w:val="7798573F"/>
    <w:rsid w:val="789701F4"/>
    <w:rsid w:val="78BA76AB"/>
    <w:rsid w:val="78BE73EB"/>
    <w:rsid w:val="792A03A4"/>
    <w:rsid w:val="797071F4"/>
    <w:rsid w:val="798A69E4"/>
    <w:rsid w:val="79914FB7"/>
    <w:rsid w:val="79925F01"/>
    <w:rsid w:val="799B711D"/>
    <w:rsid w:val="7A0E4F10"/>
    <w:rsid w:val="7A517190"/>
    <w:rsid w:val="7A813DF4"/>
    <w:rsid w:val="7A8B7CB9"/>
    <w:rsid w:val="7AD400BC"/>
    <w:rsid w:val="7AEA47AF"/>
    <w:rsid w:val="7B0A5199"/>
    <w:rsid w:val="7B247955"/>
    <w:rsid w:val="7B4C77FE"/>
    <w:rsid w:val="7BD26B21"/>
    <w:rsid w:val="7BDD7EFE"/>
    <w:rsid w:val="7BFE0E30"/>
    <w:rsid w:val="7C593D9A"/>
    <w:rsid w:val="7C604E79"/>
    <w:rsid w:val="7C786E86"/>
    <w:rsid w:val="7C8D72C3"/>
    <w:rsid w:val="7CC369A4"/>
    <w:rsid w:val="7CCE1375"/>
    <w:rsid w:val="7CD17A05"/>
    <w:rsid w:val="7D354A1F"/>
    <w:rsid w:val="7D63653B"/>
    <w:rsid w:val="7D6E0A2B"/>
    <w:rsid w:val="7D7673A8"/>
    <w:rsid w:val="7D8F3B17"/>
    <w:rsid w:val="7DBD1A0F"/>
    <w:rsid w:val="7DDE3B87"/>
    <w:rsid w:val="7DE46CCE"/>
    <w:rsid w:val="7DFF096D"/>
    <w:rsid w:val="7E3C18E1"/>
    <w:rsid w:val="7E411B7D"/>
    <w:rsid w:val="7E631F63"/>
    <w:rsid w:val="7E7D25C7"/>
    <w:rsid w:val="7E9B182E"/>
    <w:rsid w:val="7ED24DC1"/>
    <w:rsid w:val="7ED64C13"/>
    <w:rsid w:val="7EDB42B2"/>
    <w:rsid w:val="7EDC5D59"/>
    <w:rsid w:val="7EE876DB"/>
    <w:rsid w:val="7F086A11"/>
    <w:rsid w:val="7F560F49"/>
    <w:rsid w:val="7F5E10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nhideWhenUsed="0" w:uiPriority="0"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0"/>
    <w:qFormat/>
    <w:uiPriority w:val="0"/>
    <w:pPr>
      <w:keepNext/>
      <w:keepLines/>
      <w:spacing w:before="340" w:after="330" w:line="578" w:lineRule="auto"/>
      <w:outlineLvl w:val="0"/>
    </w:pPr>
    <w:rPr>
      <w:b/>
      <w:bCs/>
      <w:kern w:val="44"/>
      <w:sz w:val="44"/>
      <w:szCs w:val="44"/>
    </w:rPr>
  </w:style>
  <w:style w:type="paragraph" w:styleId="4">
    <w:name w:val="heading 2"/>
    <w:basedOn w:val="1"/>
    <w:next w:val="5"/>
    <w:link w:val="260"/>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5"/>
    <w:link w:val="233"/>
    <w:qFormat/>
    <w:uiPriority w:val="0"/>
    <w:pPr>
      <w:keepNext/>
      <w:keepLines/>
      <w:spacing w:before="260" w:after="260" w:line="416" w:lineRule="auto"/>
      <w:outlineLvl w:val="2"/>
    </w:pPr>
    <w:rPr>
      <w:rFonts w:ascii="Times New Roman" w:hAnsi="Times New Roman"/>
      <w:b/>
      <w:bCs/>
      <w:sz w:val="32"/>
      <w:szCs w:val="32"/>
    </w:rPr>
  </w:style>
  <w:style w:type="paragraph" w:styleId="7">
    <w:name w:val="heading 4"/>
    <w:basedOn w:val="1"/>
    <w:next w:val="1"/>
    <w:link w:val="184"/>
    <w:qFormat/>
    <w:uiPriority w:val="0"/>
    <w:pPr>
      <w:keepNext/>
      <w:keepLines/>
      <w:spacing w:before="280" w:after="290" w:line="374" w:lineRule="auto"/>
      <w:outlineLvl w:val="3"/>
    </w:pPr>
    <w:rPr>
      <w:rFonts w:ascii="Cambria" w:hAnsi="Cambria"/>
      <w:b/>
      <w:bCs/>
      <w:sz w:val="28"/>
      <w:szCs w:val="28"/>
    </w:rPr>
  </w:style>
  <w:style w:type="paragraph" w:styleId="8">
    <w:name w:val="heading 6"/>
    <w:basedOn w:val="1"/>
    <w:next w:val="1"/>
    <w:link w:val="261"/>
    <w:qFormat/>
    <w:uiPriority w:val="0"/>
    <w:pPr>
      <w:keepNext/>
      <w:keepLines/>
      <w:tabs>
        <w:tab w:val="left" w:pos="1440"/>
      </w:tabs>
      <w:spacing w:before="240" w:after="64" w:line="320" w:lineRule="auto"/>
      <w:ind w:left="1152" w:hanging="1152"/>
      <w:outlineLvl w:val="5"/>
    </w:pPr>
    <w:rPr>
      <w:rFonts w:ascii="Arial" w:hAnsi="Arial" w:eastAsia="黑体"/>
      <w:b/>
      <w:sz w:val="24"/>
      <w:szCs w:val="24"/>
    </w:rPr>
  </w:style>
  <w:style w:type="paragraph" w:styleId="9">
    <w:name w:val="heading 7"/>
    <w:basedOn w:val="1"/>
    <w:next w:val="1"/>
    <w:link w:val="189"/>
    <w:qFormat/>
    <w:uiPriority w:val="0"/>
    <w:pPr>
      <w:keepNext/>
      <w:keepLines/>
      <w:tabs>
        <w:tab w:val="left" w:pos="1296"/>
      </w:tabs>
      <w:spacing w:before="240" w:after="64" w:line="320" w:lineRule="auto"/>
      <w:ind w:left="1296" w:hanging="1296"/>
      <w:outlineLvl w:val="6"/>
    </w:pPr>
    <w:rPr>
      <w:rFonts w:ascii="Times New Roman" w:hAnsi="Times New Roman"/>
      <w:b/>
      <w:sz w:val="24"/>
      <w:szCs w:val="24"/>
    </w:rPr>
  </w:style>
  <w:style w:type="paragraph" w:styleId="10">
    <w:name w:val="heading 8"/>
    <w:basedOn w:val="1"/>
    <w:next w:val="1"/>
    <w:link w:val="250"/>
    <w:qFormat/>
    <w:uiPriority w:val="0"/>
    <w:pPr>
      <w:keepNext/>
      <w:keepLines/>
      <w:tabs>
        <w:tab w:val="left" w:pos="1440"/>
      </w:tabs>
      <w:spacing w:before="240" w:after="64" w:line="320" w:lineRule="auto"/>
      <w:ind w:left="1440" w:hanging="1440"/>
      <w:outlineLvl w:val="7"/>
    </w:pPr>
    <w:rPr>
      <w:rFonts w:ascii="Arial" w:hAnsi="Arial" w:eastAsia="黑体"/>
      <w:sz w:val="24"/>
      <w:szCs w:val="24"/>
    </w:rPr>
  </w:style>
  <w:style w:type="paragraph" w:styleId="11">
    <w:name w:val="heading 9"/>
    <w:basedOn w:val="1"/>
    <w:next w:val="1"/>
    <w:link w:val="219"/>
    <w:qFormat/>
    <w:uiPriority w:val="0"/>
    <w:pPr>
      <w:keepNext/>
      <w:keepLines/>
      <w:tabs>
        <w:tab w:val="left" w:pos="1584"/>
      </w:tabs>
      <w:spacing w:before="240" w:after="64" w:line="320" w:lineRule="auto"/>
      <w:ind w:left="1584" w:hanging="1584"/>
      <w:outlineLvl w:val="8"/>
    </w:pPr>
    <w:rPr>
      <w:rFonts w:ascii="Arial" w:hAnsi="Arial" w:eastAsia="黑体"/>
      <w:szCs w:val="24"/>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203"/>
    <w:qFormat/>
    <w:uiPriority w:val="0"/>
    <w:pPr>
      <w:spacing w:line="360" w:lineRule="auto"/>
    </w:pPr>
    <w:rPr>
      <w:rFonts w:ascii="宋体" w:hAnsi="宋体"/>
      <w:sz w:val="28"/>
      <w:szCs w:val="21"/>
    </w:rPr>
  </w:style>
  <w:style w:type="paragraph" w:styleId="5">
    <w:name w:val="Body Text First Indent"/>
    <w:basedOn w:val="1"/>
    <w:next w:val="1"/>
    <w:link w:val="251"/>
    <w:qFormat/>
    <w:uiPriority w:val="0"/>
    <w:pPr>
      <w:ind w:firstLine="420" w:firstLineChars="100"/>
    </w:pPr>
    <w:rPr>
      <w:kern w:val="0"/>
      <w:sz w:val="20"/>
      <w:szCs w:val="20"/>
    </w:rPr>
  </w:style>
  <w:style w:type="paragraph" w:styleId="12">
    <w:name w:val="toc 7"/>
    <w:basedOn w:val="1"/>
    <w:next w:val="1"/>
    <w:qFormat/>
    <w:uiPriority w:val="0"/>
    <w:pPr>
      <w:ind w:left="1260"/>
      <w:jc w:val="left"/>
    </w:pPr>
    <w:rPr>
      <w:rFonts w:cs="Calibri"/>
      <w:sz w:val="18"/>
      <w:szCs w:val="18"/>
    </w:rPr>
  </w:style>
  <w:style w:type="paragraph" w:styleId="13">
    <w:name w:val="Note Heading"/>
    <w:basedOn w:val="1"/>
    <w:next w:val="1"/>
    <w:link w:val="248"/>
    <w:qFormat/>
    <w:uiPriority w:val="0"/>
    <w:pPr>
      <w:jc w:val="center"/>
    </w:pPr>
    <w:rPr>
      <w:kern w:val="0"/>
      <w:sz w:val="20"/>
      <w:szCs w:val="20"/>
    </w:rPr>
  </w:style>
  <w:style w:type="paragraph" w:styleId="14">
    <w:name w:val="Normal Indent"/>
    <w:basedOn w:val="1"/>
    <w:link w:val="195"/>
    <w:qFormat/>
    <w:uiPriority w:val="0"/>
    <w:rPr>
      <w:sz w:val="28"/>
    </w:rPr>
  </w:style>
  <w:style w:type="paragraph" w:styleId="15">
    <w:name w:val="caption"/>
    <w:basedOn w:val="1"/>
    <w:next w:val="1"/>
    <w:qFormat/>
    <w:uiPriority w:val="35"/>
    <w:rPr>
      <w:rFonts w:ascii="Arial" w:hAnsi="Arial" w:eastAsia="黑体" w:cs="Arial"/>
      <w:sz w:val="20"/>
      <w:szCs w:val="20"/>
    </w:rPr>
  </w:style>
  <w:style w:type="paragraph" w:styleId="16">
    <w:name w:val="Document Map"/>
    <w:basedOn w:val="1"/>
    <w:link w:val="218"/>
    <w:semiHidden/>
    <w:qFormat/>
    <w:uiPriority w:val="0"/>
    <w:pPr>
      <w:shd w:val="clear" w:color="auto" w:fill="000080"/>
    </w:pPr>
    <w:rPr>
      <w:kern w:val="0"/>
      <w:sz w:val="20"/>
      <w:szCs w:val="20"/>
    </w:rPr>
  </w:style>
  <w:style w:type="paragraph" w:styleId="17">
    <w:name w:val="annotation text"/>
    <w:basedOn w:val="1"/>
    <w:link w:val="201"/>
    <w:unhideWhenUsed/>
    <w:qFormat/>
    <w:uiPriority w:val="0"/>
    <w:pPr>
      <w:jc w:val="left"/>
    </w:pPr>
  </w:style>
  <w:style w:type="paragraph" w:styleId="18">
    <w:name w:val="Body Text"/>
    <w:basedOn w:val="1"/>
    <w:link w:val="179"/>
    <w:unhideWhenUsed/>
    <w:qFormat/>
    <w:uiPriority w:val="0"/>
    <w:pPr>
      <w:spacing w:after="120"/>
    </w:pPr>
  </w:style>
  <w:style w:type="paragraph" w:styleId="19">
    <w:name w:val="Body Text Indent"/>
    <w:basedOn w:val="1"/>
    <w:link w:val="243"/>
    <w:qFormat/>
    <w:uiPriority w:val="0"/>
    <w:pPr>
      <w:spacing w:after="120"/>
      <w:ind w:left="420" w:leftChars="200"/>
    </w:pPr>
    <w:rPr>
      <w:kern w:val="0"/>
      <w:sz w:val="20"/>
      <w:szCs w:val="20"/>
    </w:rPr>
  </w:style>
  <w:style w:type="paragraph" w:styleId="20">
    <w:name w:val="Block Text"/>
    <w:basedOn w:val="1"/>
    <w:qFormat/>
    <w:uiPriority w:val="0"/>
    <w:pPr>
      <w:adjustRightInd w:val="0"/>
      <w:spacing w:before="100" w:line="500" w:lineRule="exact"/>
      <w:ind w:left="-20" w:leftChars="-7" w:right="-64" w:rightChars="-23" w:firstLine="492" w:firstLineChars="205"/>
      <w:jc w:val="left"/>
      <w:textAlignment w:val="baseline"/>
    </w:pPr>
    <w:rPr>
      <w:rFonts w:ascii="宋体" w:hAnsi="宋体"/>
      <w:snapToGrid w:val="0"/>
      <w:color w:val="000000"/>
      <w:kern w:val="0"/>
      <w:sz w:val="24"/>
      <w:szCs w:val="28"/>
    </w:rPr>
  </w:style>
  <w:style w:type="paragraph" w:styleId="21">
    <w:name w:val="toc 5"/>
    <w:basedOn w:val="1"/>
    <w:next w:val="1"/>
    <w:unhideWhenUsed/>
    <w:qFormat/>
    <w:uiPriority w:val="39"/>
    <w:pPr>
      <w:ind w:left="840"/>
      <w:jc w:val="left"/>
    </w:pPr>
    <w:rPr>
      <w:rFonts w:cs="Calibri"/>
      <w:sz w:val="18"/>
      <w:szCs w:val="18"/>
    </w:rPr>
  </w:style>
  <w:style w:type="paragraph" w:styleId="22">
    <w:name w:val="toc 3"/>
    <w:basedOn w:val="1"/>
    <w:next w:val="1"/>
    <w:unhideWhenUsed/>
    <w:qFormat/>
    <w:uiPriority w:val="39"/>
    <w:pPr>
      <w:ind w:left="420"/>
      <w:jc w:val="left"/>
    </w:pPr>
    <w:rPr>
      <w:rFonts w:cs="Calibri"/>
      <w:i/>
      <w:iCs/>
      <w:sz w:val="20"/>
      <w:szCs w:val="20"/>
    </w:rPr>
  </w:style>
  <w:style w:type="paragraph" w:styleId="23">
    <w:name w:val="toc 8"/>
    <w:basedOn w:val="1"/>
    <w:next w:val="1"/>
    <w:unhideWhenUsed/>
    <w:qFormat/>
    <w:uiPriority w:val="39"/>
    <w:pPr>
      <w:ind w:left="1470"/>
      <w:jc w:val="left"/>
    </w:pPr>
    <w:rPr>
      <w:rFonts w:cs="Calibri"/>
      <w:sz w:val="18"/>
      <w:szCs w:val="18"/>
    </w:rPr>
  </w:style>
  <w:style w:type="paragraph" w:styleId="24">
    <w:name w:val="Date"/>
    <w:basedOn w:val="1"/>
    <w:next w:val="1"/>
    <w:link w:val="237"/>
    <w:qFormat/>
    <w:uiPriority w:val="0"/>
    <w:pPr>
      <w:adjustRightInd w:val="0"/>
      <w:textAlignment w:val="baseline"/>
    </w:pPr>
    <w:rPr>
      <w:kern w:val="0"/>
      <w:sz w:val="24"/>
      <w:szCs w:val="20"/>
    </w:rPr>
  </w:style>
  <w:style w:type="paragraph" w:styleId="25">
    <w:name w:val="Body Text Indent 2"/>
    <w:basedOn w:val="1"/>
    <w:link w:val="199"/>
    <w:qFormat/>
    <w:uiPriority w:val="0"/>
    <w:pPr>
      <w:spacing w:after="120" w:line="480" w:lineRule="auto"/>
      <w:ind w:left="420" w:leftChars="200"/>
    </w:pPr>
    <w:rPr>
      <w:rFonts w:ascii="宋体" w:hAnsi="宋体"/>
      <w:kern w:val="0"/>
      <w:sz w:val="24"/>
      <w:szCs w:val="21"/>
    </w:rPr>
  </w:style>
  <w:style w:type="paragraph" w:styleId="26">
    <w:name w:val="Balloon Text"/>
    <w:basedOn w:val="1"/>
    <w:link w:val="245"/>
    <w:unhideWhenUsed/>
    <w:qFormat/>
    <w:uiPriority w:val="0"/>
    <w:rPr>
      <w:sz w:val="18"/>
      <w:szCs w:val="18"/>
    </w:rPr>
  </w:style>
  <w:style w:type="paragraph" w:styleId="27">
    <w:name w:val="footer"/>
    <w:basedOn w:val="1"/>
    <w:link w:val="226"/>
    <w:unhideWhenUsed/>
    <w:qFormat/>
    <w:uiPriority w:val="99"/>
    <w:pPr>
      <w:tabs>
        <w:tab w:val="center" w:pos="4153"/>
        <w:tab w:val="right" w:pos="8306"/>
      </w:tabs>
      <w:snapToGrid w:val="0"/>
      <w:jc w:val="left"/>
    </w:pPr>
    <w:rPr>
      <w:sz w:val="18"/>
      <w:szCs w:val="18"/>
    </w:rPr>
  </w:style>
  <w:style w:type="paragraph" w:styleId="28">
    <w:name w:val="header"/>
    <w:basedOn w:val="1"/>
    <w:next w:val="29"/>
    <w:link w:val="205"/>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29">
    <w:name w:val="+正文"/>
    <w:basedOn w:val="1"/>
    <w:qFormat/>
    <w:uiPriority w:val="0"/>
    <w:pPr>
      <w:spacing w:line="360" w:lineRule="auto"/>
      <w:ind w:firstLine="200" w:firstLineChars="200"/>
    </w:pPr>
    <w:rPr>
      <w:sz w:val="28"/>
      <w:szCs w:val="28"/>
    </w:rPr>
  </w:style>
  <w:style w:type="paragraph" w:styleId="30">
    <w:name w:val="toc 1"/>
    <w:basedOn w:val="1"/>
    <w:next w:val="1"/>
    <w:qFormat/>
    <w:uiPriority w:val="39"/>
    <w:pPr>
      <w:spacing w:before="120" w:after="120"/>
      <w:jc w:val="left"/>
    </w:pPr>
    <w:rPr>
      <w:rFonts w:cs="Calibri"/>
      <w:b/>
      <w:bCs/>
      <w:caps/>
      <w:sz w:val="20"/>
      <w:szCs w:val="20"/>
    </w:rPr>
  </w:style>
  <w:style w:type="paragraph" w:styleId="31">
    <w:name w:val="toc 4"/>
    <w:basedOn w:val="1"/>
    <w:next w:val="1"/>
    <w:unhideWhenUsed/>
    <w:qFormat/>
    <w:uiPriority w:val="39"/>
    <w:pPr>
      <w:ind w:left="630"/>
      <w:jc w:val="left"/>
    </w:pPr>
    <w:rPr>
      <w:rFonts w:cs="Calibri"/>
      <w:sz w:val="18"/>
      <w:szCs w:val="18"/>
    </w:rPr>
  </w:style>
  <w:style w:type="paragraph" w:styleId="32">
    <w:name w:val="List"/>
    <w:basedOn w:val="1"/>
    <w:unhideWhenUsed/>
    <w:qFormat/>
    <w:uiPriority w:val="99"/>
    <w:pPr>
      <w:ind w:left="420" w:hanging="420"/>
    </w:pPr>
  </w:style>
  <w:style w:type="paragraph" w:styleId="33">
    <w:name w:val="toc 6"/>
    <w:basedOn w:val="1"/>
    <w:next w:val="1"/>
    <w:unhideWhenUsed/>
    <w:qFormat/>
    <w:uiPriority w:val="39"/>
    <w:pPr>
      <w:ind w:left="1050"/>
      <w:jc w:val="left"/>
    </w:pPr>
    <w:rPr>
      <w:rFonts w:cs="Calibri"/>
      <w:sz w:val="18"/>
      <w:szCs w:val="18"/>
    </w:rPr>
  </w:style>
  <w:style w:type="paragraph" w:styleId="34">
    <w:name w:val="Body Text Indent 3"/>
    <w:basedOn w:val="1"/>
    <w:link w:val="220"/>
    <w:qFormat/>
    <w:uiPriority w:val="0"/>
    <w:pPr>
      <w:spacing w:after="120"/>
      <w:ind w:left="420" w:leftChars="200"/>
    </w:pPr>
    <w:rPr>
      <w:kern w:val="0"/>
      <w:sz w:val="16"/>
      <w:szCs w:val="16"/>
    </w:rPr>
  </w:style>
  <w:style w:type="paragraph" w:styleId="35">
    <w:name w:val="toc 2"/>
    <w:basedOn w:val="1"/>
    <w:next w:val="1"/>
    <w:unhideWhenUsed/>
    <w:qFormat/>
    <w:uiPriority w:val="39"/>
    <w:pPr>
      <w:ind w:left="210"/>
      <w:jc w:val="left"/>
    </w:pPr>
    <w:rPr>
      <w:rFonts w:cs="Calibri"/>
      <w:smallCaps/>
      <w:sz w:val="20"/>
      <w:szCs w:val="20"/>
    </w:rPr>
  </w:style>
  <w:style w:type="paragraph" w:styleId="36">
    <w:name w:val="toc 9"/>
    <w:basedOn w:val="1"/>
    <w:next w:val="1"/>
    <w:unhideWhenUsed/>
    <w:qFormat/>
    <w:uiPriority w:val="39"/>
    <w:pPr>
      <w:ind w:left="1680"/>
      <w:jc w:val="left"/>
    </w:pPr>
    <w:rPr>
      <w:rFonts w:cs="Calibri"/>
      <w:sz w:val="18"/>
      <w:szCs w:val="18"/>
    </w:rPr>
  </w:style>
  <w:style w:type="paragraph" w:styleId="37">
    <w:name w:val="Body Text 2"/>
    <w:basedOn w:val="1"/>
    <w:link w:val="196"/>
    <w:qFormat/>
    <w:uiPriority w:val="0"/>
    <w:pPr>
      <w:spacing w:line="312" w:lineRule="auto"/>
    </w:pPr>
    <w:rPr>
      <w:rFonts w:ascii="宋体" w:hAnsi="Times New Roman"/>
      <w:sz w:val="28"/>
      <w:szCs w:val="20"/>
    </w:rPr>
  </w:style>
  <w:style w:type="paragraph" w:styleId="38">
    <w:name w:val="Normal (Web)"/>
    <w:basedOn w:val="1"/>
    <w:qFormat/>
    <w:uiPriority w:val="99"/>
    <w:pPr>
      <w:widowControl/>
      <w:spacing w:before="100" w:beforeAutospacing="1" w:after="100" w:afterAutospacing="1"/>
      <w:jc w:val="left"/>
    </w:pPr>
    <w:rPr>
      <w:rFonts w:ascii="宋体" w:hAnsi="宋体"/>
      <w:kern w:val="0"/>
      <w:sz w:val="24"/>
      <w:szCs w:val="20"/>
    </w:rPr>
  </w:style>
  <w:style w:type="paragraph" w:styleId="39">
    <w:name w:val="index 1"/>
    <w:basedOn w:val="1"/>
    <w:next w:val="1"/>
    <w:qFormat/>
    <w:uiPriority w:val="0"/>
    <w:pPr>
      <w:spacing w:line="360" w:lineRule="exact"/>
      <w:jc w:val="center"/>
    </w:pPr>
    <w:rPr>
      <w:rFonts w:ascii="Times New Roman" w:hAnsi="Times New Roman"/>
      <w:b/>
      <w:sz w:val="24"/>
      <w:szCs w:val="24"/>
    </w:rPr>
  </w:style>
  <w:style w:type="paragraph" w:styleId="40">
    <w:name w:val="Title"/>
    <w:basedOn w:val="1"/>
    <w:next w:val="1"/>
    <w:link w:val="210"/>
    <w:qFormat/>
    <w:uiPriority w:val="0"/>
    <w:pPr>
      <w:spacing w:before="240" w:after="60"/>
      <w:jc w:val="center"/>
      <w:outlineLvl w:val="0"/>
    </w:pPr>
    <w:rPr>
      <w:rFonts w:ascii="Cambria" w:hAnsi="Cambria"/>
      <w:b/>
      <w:bCs/>
      <w:kern w:val="0"/>
      <w:sz w:val="32"/>
      <w:szCs w:val="32"/>
    </w:rPr>
  </w:style>
  <w:style w:type="paragraph" w:styleId="41">
    <w:name w:val="annotation subject"/>
    <w:basedOn w:val="17"/>
    <w:next w:val="17"/>
    <w:link w:val="224"/>
    <w:qFormat/>
    <w:uiPriority w:val="0"/>
    <w:rPr>
      <w:rFonts w:ascii="Times New Roman" w:hAnsi="Times New Roman"/>
      <w:b/>
      <w:bCs/>
    </w:rPr>
  </w:style>
  <w:style w:type="paragraph" w:styleId="42">
    <w:name w:val="Body Text First Indent 2"/>
    <w:basedOn w:val="1"/>
    <w:next w:val="5"/>
    <w:unhideWhenUsed/>
    <w:qFormat/>
    <w:uiPriority w:val="99"/>
    <w:pPr>
      <w:ind w:firstLine="420" w:firstLineChars="200"/>
    </w:pPr>
  </w:style>
  <w:style w:type="table" w:styleId="44">
    <w:name w:val="Table Grid"/>
    <w:basedOn w:val="43"/>
    <w:qFormat/>
    <w:uiPriority w:val="0"/>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basedOn w:val="45"/>
    <w:qFormat/>
    <w:uiPriority w:val="22"/>
    <w:rPr>
      <w:b/>
    </w:rPr>
  </w:style>
  <w:style w:type="character" w:styleId="47">
    <w:name w:val="page number"/>
    <w:qFormat/>
    <w:uiPriority w:val="0"/>
  </w:style>
  <w:style w:type="character" w:styleId="48">
    <w:name w:val="FollowedHyperlink"/>
    <w:basedOn w:val="45"/>
    <w:unhideWhenUsed/>
    <w:qFormat/>
    <w:uiPriority w:val="99"/>
    <w:rPr>
      <w:color w:val="222222"/>
      <w:u w:val="none"/>
    </w:rPr>
  </w:style>
  <w:style w:type="character" w:styleId="49">
    <w:name w:val="Emphasis"/>
    <w:basedOn w:val="45"/>
    <w:qFormat/>
    <w:uiPriority w:val="20"/>
  </w:style>
  <w:style w:type="character" w:styleId="50">
    <w:name w:val="HTML Definition"/>
    <w:basedOn w:val="45"/>
    <w:unhideWhenUsed/>
    <w:qFormat/>
    <w:uiPriority w:val="99"/>
  </w:style>
  <w:style w:type="character" w:styleId="51">
    <w:name w:val="HTML Typewriter"/>
    <w:basedOn w:val="45"/>
    <w:unhideWhenUsed/>
    <w:qFormat/>
    <w:uiPriority w:val="99"/>
    <w:rPr>
      <w:rFonts w:hint="default" w:ascii="Courier New" w:hAnsi="Courier New" w:cs="Courier New"/>
      <w:sz w:val="20"/>
    </w:rPr>
  </w:style>
  <w:style w:type="character" w:styleId="52">
    <w:name w:val="HTML Acronym"/>
    <w:basedOn w:val="45"/>
    <w:unhideWhenUsed/>
    <w:qFormat/>
    <w:uiPriority w:val="99"/>
  </w:style>
  <w:style w:type="character" w:styleId="53">
    <w:name w:val="HTML Variable"/>
    <w:basedOn w:val="45"/>
    <w:unhideWhenUsed/>
    <w:qFormat/>
    <w:uiPriority w:val="99"/>
  </w:style>
  <w:style w:type="character" w:styleId="54">
    <w:name w:val="Hyperlink"/>
    <w:basedOn w:val="45"/>
    <w:qFormat/>
    <w:uiPriority w:val="99"/>
    <w:rPr>
      <w:color w:val="222222"/>
      <w:u w:val="none"/>
    </w:rPr>
  </w:style>
  <w:style w:type="character" w:styleId="55">
    <w:name w:val="HTML Code"/>
    <w:basedOn w:val="45"/>
    <w:unhideWhenUsed/>
    <w:qFormat/>
    <w:uiPriority w:val="99"/>
    <w:rPr>
      <w:rFonts w:hint="default" w:ascii="Courier New" w:hAnsi="Courier New" w:cs="Courier New"/>
      <w:color w:val="1F376D"/>
      <w:sz w:val="20"/>
      <w:u w:val="single"/>
    </w:rPr>
  </w:style>
  <w:style w:type="character" w:styleId="56">
    <w:name w:val="annotation reference"/>
    <w:qFormat/>
    <w:uiPriority w:val="0"/>
    <w:rPr>
      <w:sz w:val="21"/>
      <w:szCs w:val="21"/>
    </w:rPr>
  </w:style>
  <w:style w:type="character" w:styleId="57">
    <w:name w:val="HTML Cite"/>
    <w:basedOn w:val="45"/>
    <w:unhideWhenUsed/>
    <w:qFormat/>
    <w:uiPriority w:val="99"/>
  </w:style>
  <w:style w:type="character" w:styleId="58">
    <w:name w:val="HTML Keyboard"/>
    <w:basedOn w:val="45"/>
    <w:unhideWhenUsed/>
    <w:qFormat/>
    <w:uiPriority w:val="99"/>
    <w:rPr>
      <w:rFonts w:ascii="Courier New" w:hAnsi="Courier New" w:cs="Courier New"/>
      <w:sz w:val="20"/>
    </w:rPr>
  </w:style>
  <w:style w:type="character" w:styleId="59">
    <w:name w:val="HTML Sample"/>
    <w:basedOn w:val="45"/>
    <w:unhideWhenUsed/>
    <w:qFormat/>
    <w:uiPriority w:val="99"/>
    <w:rPr>
      <w:rFonts w:hint="default" w:ascii="Courier New" w:hAnsi="Courier New" w:cs="Courier New"/>
    </w:rPr>
  </w:style>
  <w:style w:type="paragraph" w:customStyle="1" w:styleId="60">
    <w:name w:val="Char2"/>
    <w:basedOn w:val="1"/>
    <w:qFormat/>
    <w:uiPriority w:val="0"/>
    <w:pPr>
      <w:spacing w:line="360" w:lineRule="auto"/>
      <w:ind w:firstLine="200" w:firstLineChars="200"/>
    </w:pPr>
    <w:rPr>
      <w:rFonts w:ascii="宋体" w:hAnsi="宋体" w:cs="宋体"/>
      <w:sz w:val="24"/>
      <w:szCs w:val="24"/>
    </w:rPr>
  </w:style>
  <w:style w:type="paragraph" w:customStyle="1" w:styleId="61">
    <w:name w:val="1正文"/>
    <w:basedOn w:val="1"/>
    <w:link w:val="228"/>
    <w:semiHidden/>
    <w:qFormat/>
    <w:uiPriority w:val="0"/>
    <w:pPr>
      <w:spacing w:line="500" w:lineRule="exact"/>
      <w:ind w:firstLine="588" w:firstLineChars="196"/>
    </w:pPr>
    <w:rPr>
      <w:rFonts w:eastAsia="楷体_GB2312"/>
      <w:sz w:val="30"/>
      <w:szCs w:val="30"/>
    </w:rPr>
  </w:style>
  <w:style w:type="paragraph" w:customStyle="1" w:styleId="62">
    <w:name w:val="正文1"/>
    <w:basedOn w:val="1"/>
    <w:link w:val="180"/>
    <w:qFormat/>
    <w:uiPriority w:val="0"/>
    <w:pPr>
      <w:tabs>
        <w:tab w:val="left" w:pos="5600"/>
      </w:tabs>
      <w:spacing w:line="700" w:lineRule="exact"/>
      <w:ind w:firstLine="560" w:firstLineChars="200"/>
    </w:pPr>
    <w:rPr>
      <w:rFonts w:ascii="宋体" w:hAnsi="宋体"/>
      <w:kern w:val="0"/>
      <w:sz w:val="28"/>
      <w:szCs w:val="30"/>
    </w:rPr>
  </w:style>
  <w:style w:type="paragraph" w:customStyle="1" w:styleId="63">
    <w:name w:val="正文+段落"/>
    <w:basedOn w:val="1"/>
    <w:link w:val="197"/>
    <w:qFormat/>
    <w:uiPriority w:val="0"/>
    <w:pPr>
      <w:spacing w:line="360" w:lineRule="auto"/>
      <w:ind w:firstLine="480" w:firstLineChars="200"/>
    </w:pPr>
    <w:rPr>
      <w:kern w:val="0"/>
      <w:sz w:val="24"/>
      <w:szCs w:val="20"/>
    </w:rPr>
  </w:style>
  <w:style w:type="paragraph" w:customStyle="1" w:styleId="64">
    <w:name w:val="默认段落字体 Para Char"/>
    <w:basedOn w:val="1"/>
    <w:next w:val="1"/>
    <w:qFormat/>
    <w:uiPriority w:val="0"/>
    <w:pPr>
      <w:spacing w:line="360" w:lineRule="auto"/>
      <w:ind w:firstLine="200" w:firstLineChars="200"/>
    </w:pPr>
    <w:rPr>
      <w:rFonts w:ascii="Times New Roman" w:hAnsi="Times New Roman"/>
      <w:szCs w:val="20"/>
    </w:rPr>
  </w:style>
  <w:style w:type="paragraph" w:customStyle="1" w:styleId="65">
    <w:name w:val="标准"/>
    <w:basedOn w:val="1"/>
    <w:qFormat/>
    <w:uiPriority w:val="0"/>
    <w:pPr>
      <w:adjustRightInd w:val="0"/>
      <w:spacing w:line="312" w:lineRule="atLeast"/>
      <w:jc w:val="center"/>
      <w:textAlignment w:val="baseline"/>
    </w:pPr>
    <w:rPr>
      <w:rFonts w:ascii="Times New Roman" w:hAnsi="Times New Roman"/>
      <w:kern w:val="0"/>
      <w:szCs w:val="20"/>
    </w:rPr>
  </w:style>
  <w:style w:type="paragraph" w:customStyle="1" w:styleId="66">
    <w:name w:val="样式 首行缩进:  2 字符"/>
    <w:basedOn w:val="1"/>
    <w:qFormat/>
    <w:uiPriority w:val="0"/>
    <w:pPr>
      <w:spacing w:line="520" w:lineRule="exact"/>
      <w:ind w:firstLine="470" w:firstLineChars="196"/>
    </w:pPr>
    <w:rPr>
      <w:rFonts w:ascii="宋体" w:hAnsi="宋体"/>
      <w:kern w:val="0"/>
      <w:sz w:val="24"/>
      <w:szCs w:val="20"/>
    </w:rPr>
  </w:style>
  <w:style w:type="paragraph" w:customStyle="1" w:styleId="67">
    <w:name w:val="1.1.1"/>
    <w:basedOn w:val="1"/>
    <w:qFormat/>
    <w:uiPriority w:val="0"/>
    <w:rPr>
      <w:rFonts w:ascii="黑体" w:hAnsi="Times New Roman"/>
      <w:sz w:val="24"/>
      <w:szCs w:val="20"/>
    </w:rPr>
  </w:style>
  <w:style w:type="paragraph" w:customStyle="1" w:styleId="68">
    <w:name w:val="表格表头"/>
    <w:basedOn w:val="69"/>
    <w:link w:val="262"/>
    <w:qFormat/>
    <w:uiPriority w:val="0"/>
    <w:pPr>
      <w:snapToGrid w:val="0"/>
      <w:ind w:left="105" w:right="0" w:rightChars="0" w:firstLine="361" w:firstLineChars="150"/>
      <w:jc w:val="center"/>
    </w:pPr>
    <w:rPr>
      <w:rFonts w:ascii="宋体" w:hAnsi="宋体"/>
      <w:b/>
      <w:w w:val="100"/>
      <w:sz w:val="24"/>
      <w:szCs w:val="24"/>
    </w:rPr>
  </w:style>
  <w:style w:type="paragraph" w:customStyle="1" w:styleId="69">
    <w:name w:val="p0"/>
    <w:basedOn w:val="1"/>
    <w:link w:val="193"/>
    <w:qFormat/>
    <w:uiPriority w:val="0"/>
    <w:pPr>
      <w:widowControl/>
      <w:spacing w:line="360" w:lineRule="auto"/>
      <w:ind w:left="84" w:leftChars="50" w:right="84" w:rightChars="50"/>
      <w:jc w:val="left"/>
    </w:pPr>
    <w:rPr>
      <w:w w:val="90"/>
      <w:kern w:val="0"/>
      <w:sz w:val="20"/>
      <w:szCs w:val="21"/>
    </w:rPr>
  </w:style>
  <w:style w:type="paragraph" w:customStyle="1" w:styleId="70">
    <w:name w:val="表内容"/>
    <w:basedOn w:val="1"/>
    <w:link w:val="207"/>
    <w:qFormat/>
    <w:uiPriority w:val="0"/>
    <w:pPr>
      <w:jc w:val="center"/>
    </w:pPr>
    <w:rPr>
      <w:spacing w:val="14"/>
      <w:kern w:val="0"/>
      <w:sz w:val="20"/>
      <w:szCs w:val="20"/>
    </w:rPr>
  </w:style>
  <w:style w:type="paragraph" w:customStyle="1" w:styleId="71">
    <w:name w:val="表格式"/>
    <w:basedOn w:val="32"/>
    <w:qFormat/>
    <w:uiPriority w:val="0"/>
    <w:pPr>
      <w:spacing w:before="60" w:after="60" w:line="320" w:lineRule="exact"/>
      <w:jc w:val="center"/>
    </w:pPr>
    <w:rPr>
      <w:rFonts w:ascii="宋体"/>
      <w:spacing w:val="6"/>
      <w:szCs w:val="20"/>
    </w:rPr>
  </w:style>
  <w:style w:type="paragraph" w:customStyle="1" w:styleId="72">
    <w:name w:val="CM52"/>
    <w:basedOn w:val="73"/>
    <w:next w:val="73"/>
    <w:unhideWhenUsed/>
    <w:qFormat/>
    <w:uiPriority w:val="99"/>
    <w:pPr>
      <w:spacing w:line="468" w:lineRule="atLeast"/>
    </w:p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填表4小中单倍行距"/>
    <w:basedOn w:val="1"/>
    <w:link w:val="202"/>
    <w:qFormat/>
    <w:uiPriority w:val="0"/>
    <w:pPr>
      <w:jc w:val="center"/>
    </w:pPr>
    <w:rPr>
      <w:rFonts w:ascii="宋体"/>
      <w:kern w:val="0"/>
      <w:sz w:val="24"/>
      <w:szCs w:val="20"/>
    </w:rPr>
  </w:style>
  <w:style w:type="paragraph" w:customStyle="1" w:styleId="75">
    <w:name w:val="1"/>
    <w:basedOn w:val="1"/>
    <w:next w:val="19"/>
    <w:qFormat/>
    <w:uiPriority w:val="0"/>
    <w:pPr>
      <w:spacing w:line="360" w:lineRule="auto"/>
      <w:ind w:firstLine="480" w:firstLineChars="200"/>
    </w:pPr>
    <w:rPr>
      <w:rFonts w:ascii="仿宋_GB2312" w:eastAsia="仿宋_GB2312"/>
      <w:sz w:val="24"/>
      <w:szCs w:val="20"/>
    </w:rPr>
  </w:style>
  <w:style w:type="paragraph" w:customStyle="1" w:styleId="76">
    <w:name w:val="Char Char Char Char Char Char Char"/>
    <w:basedOn w:val="1"/>
    <w:qFormat/>
    <w:uiPriority w:val="0"/>
    <w:pPr>
      <w:snapToGrid w:val="0"/>
      <w:spacing w:line="360" w:lineRule="auto"/>
      <w:ind w:firstLine="529" w:firstLineChars="200"/>
    </w:pPr>
    <w:rPr>
      <w:rFonts w:ascii="宋体" w:hAnsi="宋体"/>
      <w:b/>
      <w:szCs w:val="24"/>
    </w:rPr>
  </w:style>
  <w:style w:type="paragraph" w:customStyle="1" w:styleId="77">
    <w:name w:val="居中正文"/>
    <w:basedOn w:val="1"/>
    <w:next w:val="1"/>
    <w:qFormat/>
    <w:uiPriority w:val="0"/>
    <w:pPr>
      <w:adjustRightInd w:val="0"/>
      <w:spacing w:before="120" w:line="360" w:lineRule="auto"/>
      <w:jc w:val="center"/>
      <w:textAlignment w:val="baseline"/>
    </w:pPr>
    <w:rPr>
      <w:rFonts w:ascii="宋体" w:hAnsi="Times New Roman"/>
      <w:kern w:val="28"/>
      <w:sz w:val="24"/>
      <w:szCs w:val="20"/>
    </w:rPr>
  </w:style>
  <w:style w:type="paragraph" w:customStyle="1" w:styleId="78">
    <w:name w:val="Char Char Char"/>
    <w:basedOn w:val="1"/>
    <w:qFormat/>
    <w:uiPriority w:val="0"/>
    <w:rPr>
      <w:rFonts w:ascii="Times New Roman" w:hAnsi="Times New Roman"/>
      <w:sz w:val="24"/>
      <w:szCs w:val="24"/>
    </w:rPr>
  </w:style>
  <w:style w:type="paragraph" w:customStyle="1" w:styleId="79">
    <w:name w:val="CM19"/>
    <w:basedOn w:val="73"/>
    <w:next w:val="73"/>
    <w:unhideWhenUsed/>
    <w:qFormat/>
    <w:uiPriority w:val="99"/>
    <w:pPr>
      <w:spacing w:line="466" w:lineRule="atLeast"/>
    </w:pPr>
  </w:style>
  <w:style w:type="paragraph" w:customStyle="1" w:styleId="80">
    <w:name w:val="Char1 Char Char Char1"/>
    <w:basedOn w:val="1"/>
    <w:qFormat/>
    <w:uiPriority w:val="0"/>
    <w:pPr>
      <w:snapToGrid w:val="0"/>
      <w:spacing w:line="360" w:lineRule="auto"/>
      <w:ind w:firstLine="200" w:firstLineChars="200"/>
    </w:pPr>
    <w:rPr>
      <w:rFonts w:ascii="Times New Roman" w:hAnsi="Times New Roman" w:eastAsia="仿宋_GB2312"/>
      <w:sz w:val="24"/>
      <w:szCs w:val="24"/>
    </w:rPr>
  </w:style>
  <w:style w:type="paragraph" w:customStyle="1" w:styleId="81">
    <w:name w:val="样式 标题 3 +"/>
    <w:basedOn w:val="6"/>
    <w:qFormat/>
    <w:uiPriority w:val="0"/>
    <w:rPr>
      <w:kern w:val="0"/>
      <w:sz w:val="24"/>
    </w:rPr>
  </w:style>
  <w:style w:type="paragraph" w:customStyle="1" w:styleId="82">
    <w:name w:val="正缩1"/>
    <w:basedOn w:val="1"/>
    <w:qFormat/>
    <w:uiPriority w:val="0"/>
    <w:pPr>
      <w:adjustRightInd w:val="0"/>
      <w:snapToGrid w:val="0"/>
      <w:spacing w:line="500" w:lineRule="exact"/>
      <w:ind w:firstLine="567"/>
    </w:pPr>
    <w:rPr>
      <w:rFonts w:ascii="Times New Roman" w:hAnsi="Times New Roman" w:eastAsia="仿宋_GB2312"/>
      <w:color w:val="000000"/>
      <w:sz w:val="28"/>
      <w:szCs w:val="20"/>
    </w:rPr>
  </w:style>
  <w:style w:type="paragraph" w:customStyle="1" w:styleId="83">
    <w:name w:val="样式 标题 4 + 段前: 0.5 行 段后: 0.5 行"/>
    <w:basedOn w:val="7"/>
    <w:link w:val="231"/>
    <w:qFormat/>
    <w:uiPriority w:val="0"/>
    <w:pPr>
      <w:keepLines w:val="0"/>
      <w:spacing w:beforeLines="50" w:afterLines="50" w:line="240" w:lineRule="auto"/>
    </w:pPr>
    <w:rPr>
      <w:rFonts w:ascii="黑体" w:hAnsi="Courier New" w:eastAsia="黑体"/>
      <w:b w:val="0"/>
      <w:kern w:val="44"/>
      <w:sz w:val="24"/>
      <w:szCs w:val="20"/>
    </w:rPr>
  </w:style>
  <w:style w:type="paragraph" w:customStyle="1" w:styleId="84">
    <w:name w:val="表文字"/>
    <w:basedOn w:val="1"/>
    <w:link w:val="244"/>
    <w:qFormat/>
    <w:uiPriority w:val="0"/>
    <w:pPr>
      <w:adjustRightInd w:val="0"/>
      <w:spacing w:line="360" w:lineRule="auto"/>
      <w:textAlignment w:val="baseline"/>
    </w:pPr>
    <w:rPr>
      <w:kern w:val="0"/>
      <w:sz w:val="20"/>
      <w:szCs w:val="21"/>
    </w:rPr>
  </w:style>
  <w:style w:type="paragraph" w:customStyle="1" w:styleId="85">
    <w:name w:val="CM7"/>
    <w:basedOn w:val="73"/>
    <w:next w:val="73"/>
    <w:unhideWhenUsed/>
    <w:qFormat/>
    <w:uiPriority w:val="99"/>
    <w:pPr>
      <w:spacing w:line="468" w:lineRule="atLeast"/>
    </w:pPr>
  </w:style>
  <w:style w:type="paragraph" w:customStyle="1" w:styleId="86">
    <w:name w:val="图文框"/>
    <w:basedOn w:val="1"/>
    <w:qFormat/>
    <w:uiPriority w:val="0"/>
    <w:pPr>
      <w:autoSpaceDE w:val="0"/>
      <w:autoSpaceDN w:val="0"/>
      <w:adjustRightInd w:val="0"/>
      <w:snapToGrid w:val="0"/>
      <w:spacing w:before="36" w:after="36" w:line="240" w:lineRule="exact"/>
      <w:jc w:val="center"/>
      <w:textAlignment w:val="baseline"/>
    </w:pPr>
    <w:rPr>
      <w:color w:val="000000"/>
      <w:szCs w:val="21"/>
    </w:rPr>
  </w:style>
  <w:style w:type="paragraph" w:customStyle="1" w:styleId="87">
    <w:name w:val="图表文字"/>
    <w:basedOn w:val="1"/>
    <w:qFormat/>
    <w:uiPriority w:val="0"/>
    <w:pPr>
      <w:spacing w:line="320" w:lineRule="exact"/>
      <w:jc w:val="center"/>
    </w:pPr>
    <w:rPr>
      <w:rFonts w:ascii="Times New Roman" w:hAnsi="宋体"/>
      <w:color w:val="3366FF"/>
      <w:kern w:val="0"/>
      <w:szCs w:val="24"/>
    </w:rPr>
  </w:style>
  <w:style w:type="paragraph" w:customStyle="1" w:styleId="88">
    <w:name w:val="表头"/>
    <w:basedOn w:val="1"/>
    <w:qFormat/>
    <w:uiPriority w:val="0"/>
    <w:pPr>
      <w:adjustRightInd w:val="0"/>
      <w:spacing w:line="320" w:lineRule="atLeast"/>
      <w:jc w:val="center"/>
      <w:textAlignment w:val="baseline"/>
    </w:pPr>
    <w:rPr>
      <w:rFonts w:ascii="Times New Roman" w:hAnsi="Times New Roman" w:eastAsia="黑体"/>
      <w:spacing w:val="-10"/>
      <w:kern w:val="0"/>
      <w:szCs w:val="20"/>
    </w:rPr>
  </w:style>
  <w:style w:type="paragraph" w:customStyle="1" w:styleId="89">
    <w:name w:val="Char"/>
    <w:basedOn w:val="1"/>
    <w:qFormat/>
    <w:uiPriority w:val="0"/>
    <w:rPr>
      <w:szCs w:val="24"/>
    </w:rPr>
  </w:style>
  <w:style w:type="paragraph" w:customStyle="1" w:styleId="90">
    <w:name w:val="列出段落1"/>
    <w:basedOn w:val="1"/>
    <w:qFormat/>
    <w:uiPriority w:val="34"/>
    <w:pPr>
      <w:ind w:firstLine="420" w:firstLineChars="200"/>
    </w:pPr>
    <w:rPr>
      <w:rFonts w:ascii="Times New Roman" w:hAnsi="Times New Roman"/>
      <w:szCs w:val="20"/>
    </w:rPr>
  </w:style>
  <w:style w:type="paragraph" w:customStyle="1" w:styleId="91">
    <w:name w:val="表格内容"/>
    <w:basedOn w:val="1"/>
    <w:link w:val="257"/>
    <w:qFormat/>
    <w:uiPriority w:val="0"/>
    <w:pPr>
      <w:widowControl/>
      <w:spacing w:line="360" w:lineRule="exact"/>
      <w:jc w:val="center"/>
    </w:pPr>
    <w:rPr>
      <w:rFonts w:ascii="Arial Narrow" w:hAnsi="Arial Narrow" w:eastAsia="华文中宋"/>
      <w:b/>
      <w:kern w:val="0"/>
      <w:sz w:val="24"/>
      <w:szCs w:val="28"/>
    </w:rPr>
  </w:style>
  <w:style w:type="paragraph" w:customStyle="1" w:styleId="92">
    <w:name w:val="表格03左"/>
    <w:basedOn w:val="1"/>
    <w:qFormat/>
    <w:uiPriority w:val="0"/>
    <w:pPr>
      <w:snapToGrid w:val="0"/>
      <w:spacing w:line="400" w:lineRule="exact"/>
      <w:jc w:val="left"/>
    </w:pPr>
    <w:rPr>
      <w:rFonts w:ascii="Times New Roman" w:hAnsi="Times New Roman"/>
      <w:szCs w:val="21"/>
    </w:rPr>
  </w:style>
  <w:style w:type="paragraph" w:customStyle="1" w:styleId="93">
    <w:name w:val="标题3（使用1）"/>
    <w:basedOn w:val="6"/>
    <w:link w:val="192"/>
    <w:qFormat/>
    <w:uiPriority w:val="0"/>
    <w:pPr>
      <w:adjustRightInd w:val="0"/>
      <w:spacing w:beforeLines="50" w:after="0" w:line="360" w:lineRule="auto"/>
    </w:pPr>
    <w:rPr>
      <w:rFonts w:ascii="Calibri" w:hAnsi="Calibri" w:eastAsia="黑体"/>
      <w:b w:val="0"/>
      <w:kern w:val="0"/>
      <w:sz w:val="24"/>
      <w:szCs w:val="28"/>
    </w:rPr>
  </w:style>
  <w:style w:type="paragraph" w:customStyle="1" w:styleId="94">
    <w:name w:val="正文(首行缩进)宋旭峰"/>
    <w:basedOn w:val="14"/>
    <w:link w:val="200"/>
    <w:qFormat/>
    <w:uiPriority w:val="0"/>
    <w:pPr>
      <w:spacing w:beforeLines="50" w:afterLines="50" w:line="360" w:lineRule="auto"/>
      <w:ind w:firstLine="480" w:firstLineChars="200"/>
      <w:contextualSpacing/>
    </w:pPr>
    <w:rPr>
      <w:kern w:val="0"/>
      <w:sz w:val="24"/>
      <w:szCs w:val="24"/>
    </w:rPr>
  </w:style>
  <w:style w:type="paragraph" w:customStyle="1" w:styleId="95">
    <w:name w:val="样式 标题3 + 自动设置1"/>
    <w:basedOn w:val="1"/>
    <w:link w:val="249"/>
    <w:qFormat/>
    <w:uiPriority w:val="0"/>
    <w:pPr>
      <w:keepNext/>
      <w:keepLines/>
      <w:tabs>
        <w:tab w:val="left" w:pos="2340"/>
      </w:tabs>
      <w:adjustRightInd w:val="0"/>
      <w:snapToGrid w:val="0"/>
      <w:spacing w:line="360" w:lineRule="auto"/>
      <w:outlineLvl w:val="0"/>
    </w:pPr>
    <w:rPr>
      <w:rFonts w:ascii="宋体" w:hAnsi="宋体"/>
      <w:b/>
      <w:bCs/>
      <w:color w:val="000000"/>
      <w:kern w:val="0"/>
      <w:sz w:val="24"/>
      <w:szCs w:val="24"/>
    </w:rPr>
  </w:style>
  <w:style w:type="paragraph" w:customStyle="1" w:styleId="96">
    <w:name w:val="brdrw15brsp20 tqctx4153t"/>
    <w:qFormat/>
    <w:uiPriority w:val="0"/>
    <w:pPr>
      <w:widowControl w:val="0"/>
      <w:pBdr>
        <w:bottom w:val="single" w:color="auto" w:sz="6" w:space="0"/>
      </w:pBdr>
      <w:adjustRightInd w:val="0"/>
      <w:spacing w:line="312" w:lineRule="atLeast"/>
      <w:jc w:val="center"/>
      <w:textAlignment w:val="baseline"/>
    </w:pPr>
    <w:rPr>
      <w:rFonts w:ascii="Times New Roman" w:hAnsi="Times New Roman" w:eastAsia="宋体" w:cs="Times New Roman"/>
      <w:sz w:val="21"/>
      <w:lang w:val="en-US" w:eastAsia="zh-CN" w:bidi="ar-SA"/>
    </w:rPr>
  </w:style>
  <w:style w:type="paragraph" w:customStyle="1" w:styleId="97">
    <w:name w:val="报告书"/>
    <w:basedOn w:val="1"/>
    <w:qFormat/>
    <w:uiPriority w:val="0"/>
    <w:pPr>
      <w:adjustRightInd w:val="0"/>
      <w:snapToGrid w:val="0"/>
      <w:spacing w:line="440" w:lineRule="atLeast"/>
      <w:ind w:firstLine="482"/>
      <w:textAlignment w:val="baseline"/>
    </w:pPr>
    <w:rPr>
      <w:rFonts w:ascii="宋体" w:hAnsi="Times New Roman"/>
      <w:kern w:val="24"/>
      <w:sz w:val="24"/>
      <w:szCs w:val="20"/>
    </w:rPr>
  </w:style>
  <w:style w:type="paragraph" w:customStyle="1" w:styleId="98">
    <w:name w:val="表格文字1"/>
    <w:basedOn w:val="1"/>
    <w:qFormat/>
    <w:uiPriority w:val="0"/>
    <w:pPr>
      <w:adjustRightInd w:val="0"/>
      <w:snapToGrid w:val="0"/>
      <w:jc w:val="center"/>
    </w:pPr>
    <w:rPr>
      <w:rFonts w:ascii="宋体" w:hAnsi="宋体"/>
      <w:szCs w:val="21"/>
    </w:rPr>
  </w:style>
  <w:style w:type="paragraph" w:customStyle="1" w:styleId="99">
    <w:name w:val="Char Char Char4"/>
    <w:basedOn w:val="1"/>
    <w:qFormat/>
    <w:uiPriority w:val="0"/>
    <w:rPr>
      <w:rFonts w:ascii="Times New Roman" w:hAnsi="Times New Roman"/>
      <w:sz w:val="24"/>
      <w:szCs w:val="24"/>
    </w:rPr>
  </w:style>
  <w:style w:type="paragraph" w:customStyle="1" w:styleId="100">
    <w:name w:val="样式 标题 2 +"/>
    <w:basedOn w:val="4"/>
    <w:qFormat/>
    <w:uiPriority w:val="0"/>
    <w:rPr>
      <w:kern w:val="0"/>
      <w:sz w:val="28"/>
    </w:rPr>
  </w:style>
  <w:style w:type="paragraph" w:customStyle="1" w:styleId="101">
    <w:name w:val="中文报告书样式"/>
    <w:basedOn w:val="1"/>
    <w:qFormat/>
    <w:uiPriority w:val="0"/>
    <w:pPr>
      <w:adjustRightInd w:val="0"/>
      <w:spacing w:line="480" w:lineRule="atLeast"/>
      <w:ind w:firstLine="482"/>
      <w:textAlignment w:val="baseline"/>
    </w:pPr>
    <w:rPr>
      <w:rFonts w:ascii="Times New Roman" w:hAnsi="Times New Roman"/>
      <w:kern w:val="24"/>
      <w:sz w:val="24"/>
      <w:szCs w:val="20"/>
    </w:rPr>
  </w:style>
  <w:style w:type="paragraph" w:customStyle="1" w:styleId="102">
    <w:name w:val="CM73"/>
    <w:basedOn w:val="73"/>
    <w:next w:val="73"/>
    <w:unhideWhenUsed/>
    <w:qFormat/>
    <w:uiPriority w:val="99"/>
    <w:pPr>
      <w:spacing w:after="198"/>
    </w:pPr>
  </w:style>
  <w:style w:type="paragraph" w:customStyle="1" w:styleId="103">
    <w:name w:val="正文2"/>
    <w:qFormat/>
    <w:uiPriority w:val="0"/>
    <w:pPr>
      <w:jc w:val="both"/>
    </w:pPr>
    <w:rPr>
      <w:rFonts w:ascii="Calibri" w:hAnsi="Calibri" w:eastAsia="宋体" w:cs="Times New Roman"/>
      <w:kern w:val="2"/>
      <w:sz w:val="21"/>
      <w:szCs w:val="21"/>
      <w:lang w:val="en-US" w:eastAsia="zh-CN" w:bidi="ar-SA"/>
    </w:rPr>
  </w:style>
  <w:style w:type="paragraph" w:customStyle="1" w:styleId="104">
    <w:name w:val="样式24"/>
    <w:basedOn w:val="1"/>
    <w:link w:val="208"/>
    <w:qFormat/>
    <w:uiPriority w:val="0"/>
    <w:pPr>
      <w:snapToGrid w:val="0"/>
      <w:spacing w:beforeLines="50" w:afterLines="50" w:line="360" w:lineRule="auto"/>
      <w:ind w:firstLine="480" w:firstLineChars="200"/>
    </w:pPr>
    <w:rPr>
      <w:color w:val="000000"/>
      <w:kern w:val="0"/>
      <w:sz w:val="24"/>
      <w:szCs w:val="20"/>
    </w:rPr>
  </w:style>
  <w:style w:type="paragraph" w:customStyle="1" w:styleId="105">
    <w:name w:val="xl29"/>
    <w:basedOn w:val="1"/>
    <w:qFormat/>
    <w:uiPriority w:val="0"/>
    <w:pPr>
      <w:widowControl/>
      <w:spacing w:before="100" w:after="100"/>
      <w:jc w:val="center"/>
    </w:pPr>
    <w:rPr>
      <w:rFonts w:ascii="Times New Roman" w:hAnsi="Times New Roman"/>
      <w:kern w:val="0"/>
      <w:sz w:val="24"/>
      <w:szCs w:val="20"/>
    </w:rPr>
  </w:style>
  <w:style w:type="paragraph" w:customStyle="1" w:styleId="106">
    <w:name w:val="Char4 Char Char Char"/>
    <w:basedOn w:val="1"/>
    <w:qFormat/>
    <w:uiPriority w:val="0"/>
    <w:pPr>
      <w:snapToGrid w:val="0"/>
      <w:spacing w:line="360" w:lineRule="auto"/>
      <w:ind w:firstLine="200" w:firstLineChars="200"/>
    </w:pPr>
    <w:rPr>
      <w:rFonts w:ascii="Times New Roman" w:hAnsi="宋体" w:cs="宋体"/>
      <w:szCs w:val="26"/>
    </w:rPr>
  </w:style>
  <w:style w:type="paragraph" w:customStyle="1" w:styleId="107">
    <w:name w:val="样式 表格 + 首行缩进:  0.74 厘米"/>
    <w:basedOn w:val="1"/>
    <w:qFormat/>
    <w:uiPriority w:val="0"/>
    <w:pPr>
      <w:jc w:val="center"/>
    </w:pPr>
    <w:rPr>
      <w:rFonts w:ascii="Times New Roman" w:hAnsi="Times New Roman" w:cs="宋体"/>
      <w:szCs w:val="20"/>
    </w:rPr>
  </w:style>
  <w:style w:type="paragraph" w:customStyle="1" w:styleId="108">
    <w:name w:val="一级标题"/>
    <w:basedOn w:val="1"/>
    <w:next w:val="1"/>
    <w:qFormat/>
    <w:uiPriority w:val="0"/>
    <w:pPr>
      <w:keepNext/>
      <w:pageBreakBefore/>
      <w:spacing w:line="360" w:lineRule="auto"/>
      <w:jc w:val="left"/>
      <w:outlineLvl w:val="0"/>
    </w:pPr>
    <w:rPr>
      <w:rFonts w:ascii="Times New Roman" w:hAnsi="Times New Roman"/>
      <w:b/>
      <w:sz w:val="30"/>
      <w:szCs w:val="21"/>
    </w:rPr>
  </w:style>
  <w:style w:type="paragraph" w:customStyle="1" w:styleId="109">
    <w:name w:val="CM15"/>
    <w:basedOn w:val="1"/>
    <w:next w:val="1"/>
    <w:link w:val="258"/>
    <w:qFormat/>
    <w:uiPriority w:val="0"/>
    <w:pPr>
      <w:autoSpaceDE w:val="0"/>
      <w:autoSpaceDN w:val="0"/>
      <w:adjustRightInd w:val="0"/>
      <w:spacing w:line="513" w:lineRule="atLeast"/>
      <w:jc w:val="left"/>
    </w:pPr>
    <w:rPr>
      <w:rFonts w:ascii="宋体"/>
      <w:kern w:val="0"/>
      <w:sz w:val="24"/>
      <w:szCs w:val="24"/>
    </w:rPr>
  </w:style>
  <w:style w:type="paragraph" w:customStyle="1" w:styleId="110">
    <w:name w:val="表格文字"/>
    <w:basedOn w:val="1"/>
    <w:link w:val="191"/>
    <w:qFormat/>
    <w:uiPriority w:val="0"/>
    <w:pPr>
      <w:adjustRightInd w:val="0"/>
      <w:spacing w:line="400" w:lineRule="atLeast"/>
      <w:jc w:val="center"/>
    </w:pPr>
    <w:rPr>
      <w:kern w:val="24"/>
      <w:sz w:val="24"/>
      <w:szCs w:val="20"/>
    </w:rPr>
  </w:style>
  <w:style w:type="paragraph" w:customStyle="1" w:styleId="111">
    <w:name w:val="CM6"/>
    <w:basedOn w:val="73"/>
    <w:next w:val="73"/>
    <w:unhideWhenUsed/>
    <w:qFormat/>
    <w:uiPriority w:val="99"/>
    <w:pPr>
      <w:spacing w:line="468" w:lineRule="atLeast"/>
    </w:pPr>
  </w:style>
  <w:style w:type="paragraph" w:customStyle="1" w:styleId="112">
    <w:name w:val="【正文】"/>
    <w:basedOn w:val="1"/>
    <w:qFormat/>
    <w:uiPriority w:val="0"/>
    <w:pPr>
      <w:spacing w:line="360" w:lineRule="auto"/>
      <w:ind w:firstLine="200" w:firstLineChars="200"/>
    </w:pPr>
    <w:rPr>
      <w:rFonts w:cs="宋体"/>
      <w:sz w:val="24"/>
    </w:rPr>
  </w:style>
  <w:style w:type="paragraph" w:customStyle="1" w:styleId="113">
    <w:name w:val="表格-五号"/>
    <w:basedOn w:val="1"/>
    <w:qFormat/>
    <w:uiPriority w:val="0"/>
    <w:pPr>
      <w:widowControl/>
      <w:spacing w:line="360" w:lineRule="exact"/>
      <w:jc w:val="center"/>
    </w:pPr>
    <w:rPr>
      <w:rFonts w:ascii="Times New Roman" w:hAnsi="Times New Roman" w:cs="宋体"/>
      <w:bCs/>
      <w:kern w:val="0"/>
      <w:szCs w:val="21"/>
    </w:rPr>
  </w:style>
  <w:style w:type="paragraph" w:customStyle="1" w:styleId="114">
    <w:name w:val="报告书表格"/>
    <w:basedOn w:val="1"/>
    <w:qFormat/>
    <w:uiPriority w:val="0"/>
    <w:pPr>
      <w:adjustRightInd w:val="0"/>
      <w:spacing w:before="60" w:after="60" w:line="240" w:lineRule="atLeast"/>
      <w:jc w:val="center"/>
      <w:textAlignment w:val="baseline"/>
    </w:pPr>
    <w:rPr>
      <w:rFonts w:ascii="Times New Roman" w:hAnsi="Times New Roman"/>
      <w:kern w:val="0"/>
      <w:szCs w:val="20"/>
    </w:rPr>
  </w:style>
  <w:style w:type="paragraph" w:customStyle="1" w:styleId="115">
    <w:name w:val="正文*"/>
    <w:basedOn w:val="61"/>
    <w:link w:val="227"/>
    <w:semiHidden/>
    <w:qFormat/>
    <w:uiPriority w:val="0"/>
    <w:rPr>
      <w:rFonts w:eastAsia="宋体"/>
      <w:kern w:val="0"/>
      <w:sz w:val="20"/>
      <w:szCs w:val="20"/>
    </w:rPr>
  </w:style>
  <w:style w:type="paragraph" w:customStyle="1" w:styleId="116">
    <w:name w:val="正文五"/>
    <w:basedOn w:val="1"/>
    <w:qFormat/>
    <w:uiPriority w:val="0"/>
    <w:pPr>
      <w:snapToGrid w:val="0"/>
      <w:jc w:val="center"/>
    </w:pPr>
    <w:rPr>
      <w:rFonts w:ascii="Times New Roman" w:hAnsi="Times New Roman"/>
      <w:sz w:val="24"/>
      <w:szCs w:val="20"/>
    </w:rPr>
  </w:style>
  <w:style w:type="paragraph" w:customStyle="1" w:styleId="117">
    <w:name w:val="表1"/>
    <w:next w:val="1"/>
    <w:link w:val="206"/>
    <w:qFormat/>
    <w:uiPriority w:val="0"/>
    <w:pPr>
      <w:adjustRightInd w:val="0"/>
      <w:snapToGrid w:val="0"/>
      <w:jc w:val="center"/>
    </w:pPr>
    <w:rPr>
      <w:rFonts w:ascii="Calibri" w:hAnsi="Calibri" w:eastAsia="宋体" w:cs="Times New Roman"/>
      <w:szCs w:val="21"/>
      <w:lang w:val="en-US" w:eastAsia="zh-CN" w:bidi="ar-SA"/>
    </w:rPr>
  </w:style>
  <w:style w:type="paragraph" w:customStyle="1" w:styleId="118">
    <w:name w:val="样式 样式 正文1 + 首行缩进:  2 字符 + 首行缩进:  2 字符"/>
    <w:basedOn w:val="119"/>
    <w:qFormat/>
    <w:uiPriority w:val="0"/>
    <w:pPr>
      <w:ind w:firstLine="480"/>
    </w:pPr>
  </w:style>
  <w:style w:type="paragraph" w:customStyle="1" w:styleId="119">
    <w:name w:val="样式 正文1 + 首行缩进:  2 字符"/>
    <w:basedOn w:val="1"/>
    <w:link w:val="242"/>
    <w:qFormat/>
    <w:uiPriority w:val="0"/>
    <w:pPr>
      <w:spacing w:line="360" w:lineRule="auto"/>
      <w:ind w:firstLine="200" w:firstLineChars="200"/>
    </w:pPr>
    <w:rPr>
      <w:rFonts w:ascii="宋体"/>
      <w:kern w:val="0"/>
      <w:sz w:val="24"/>
      <w:szCs w:val="24"/>
    </w:rPr>
  </w:style>
  <w:style w:type="paragraph" w:customStyle="1" w:styleId="120">
    <w:name w:val="样式5"/>
    <w:basedOn w:val="1"/>
    <w:link w:val="214"/>
    <w:qFormat/>
    <w:uiPriority w:val="0"/>
    <w:pPr>
      <w:spacing w:line="360" w:lineRule="auto"/>
      <w:ind w:firstLine="200" w:firstLineChars="200"/>
      <w:jc w:val="left"/>
    </w:pPr>
    <w:rPr>
      <w:rFonts w:ascii="宋体" w:hAnsi="宋体"/>
      <w:kern w:val="0"/>
      <w:sz w:val="24"/>
      <w:szCs w:val="24"/>
    </w:rPr>
  </w:style>
  <w:style w:type="paragraph" w:customStyle="1" w:styleId="121">
    <w:name w:val="CM18"/>
    <w:basedOn w:val="73"/>
    <w:next w:val="73"/>
    <w:unhideWhenUsed/>
    <w:qFormat/>
    <w:uiPriority w:val="99"/>
    <w:pPr>
      <w:spacing w:line="468" w:lineRule="atLeast"/>
    </w:pPr>
  </w:style>
  <w:style w:type="paragraph" w:customStyle="1" w:styleId="122">
    <w:name w:val="正文崔"/>
    <w:basedOn w:val="37"/>
    <w:link w:val="194"/>
    <w:qFormat/>
    <w:uiPriority w:val="0"/>
    <w:pPr>
      <w:adjustRightInd w:val="0"/>
      <w:snapToGrid w:val="0"/>
      <w:spacing w:beforeLines="50" w:after="120" w:line="360" w:lineRule="auto"/>
      <w:ind w:firstLine="200" w:firstLineChars="200"/>
    </w:pPr>
    <w:rPr>
      <w:rFonts w:ascii="Calibri" w:hAnsi="Calibri"/>
      <w:bCs/>
      <w:spacing w:val="14"/>
      <w:kern w:val="0"/>
      <w:sz w:val="24"/>
      <w:szCs w:val="24"/>
    </w:rPr>
  </w:style>
  <w:style w:type="paragraph" w:customStyle="1" w:styleId="123">
    <w:name w:val="样式 宋体 加粗 首行缩进:  0.99 厘米 行距: 1.5 倍行距"/>
    <w:basedOn w:val="1"/>
    <w:qFormat/>
    <w:uiPriority w:val="0"/>
    <w:pPr>
      <w:adjustRightInd w:val="0"/>
      <w:snapToGrid w:val="0"/>
      <w:spacing w:line="360" w:lineRule="auto"/>
      <w:ind w:firstLine="480" w:firstLineChars="200"/>
    </w:pPr>
    <w:rPr>
      <w:rFonts w:ascii="宋体" w:hAnsi="宋体" w:cs="宋体"/>
      <w:b/>
      <w:bCs/>
      <w:sz w:val="24"/>
    </w:rPr>
  </w:style>
  <w:style w:type="paragraph" w:customStyle="1" w:styleId="124">
    <w:name w:val="wj样式"/>
    <w:basedOn w:val="1"/>
    <w:next w:val="1"/>
    <w:link w:val="212"/>
    <w:qFormat/>
    <w:uiPriority w:val="0"/>
    <w:pPr>
      <w:spacing w:line="360" w:lineRule="auto"/>
      <w:ind w:firstLine="200" w:firstLineChars="200"/>
    </w:pPr>
    <w:rPr>
      <w:spacing w:val="14"/>
      <w:kern w:val="0"/>
      <w:sz w:val="24"/>
      <w:szCs w:val="24"/>
    </w:rPr>
  </w:style>
  <w:style w:type="paragraph" w:customStyle="1" w:styleId="125">
    <w:name w:val="Char Char Char5"/>
    <w:basedOn w:val="1"/>
    <w:qFormat/>
    <w:uiPriority w:val="0"/>
    <w:rPr>
      <w:rFonts w:ascii="Times New Roman" w:hAnsi="Times New Roman"/>
      <w:sz w:val="24"/>
      <w:szCs w:val="24"/>
    </w:rPr>
  </w:style>
  <w:style w:type="paragraph" w:customStyle="1" w:styleId="126">
    <w:name w:val="2"/>
    <w:basedOn w:val="1"/>
    <w:next w:val="19"/>
    <w:qFormat/>
    <w:uiPriority w:val="0"/>
    <w:pPr>
      <w:ind w:firstLine="560" w:firstLineChars="200"/>
    </w:pPr>
    <w:rPr>
      <w:sz w:val="28"/>
      <w:szCs w:val="24"/>
    </w:rPr>
  </w:style>
  <w:style w:type="paragraph" w:customStyle="1" w:styleId="127">
    <w:name w:val="CM60"/>
    <w:basedOn w:val="73"/>
    <w:next w:val="73"/>
    <w:unhideWhenUsed/>
    <w:qFormat/>
    <w:uiPriority w:val="99"/>
    <w:pPr>
      <w:spacing w:after="188"/>
    </w:pPr>
  </w:style>
  <w:style w:type="paragraph" w:customStyle="1" w:styleId="128">
    <w:name w:val="表格03"/>
    <w:basedOn w:val="1"/>
    <w:qFormat/>
    <w:uiPriority w:val="0"/>
    <w:pPr>
      <w:snapToGrid w:val="0"/>
      <w:spacing w:line="400" w:lineRule="exact"/>
      <w:jc w:val="center"/>
    </w:pPr>
    <w:rPr>
      <w:rFonts w:ascii="Times New Roman" w:hAnsi="Times New Roman"/>
      <w:szCs w:val="21"/>
    </w:rPr>
  </w:style>
  <w:style w:type="paragraph" w:customStyle="1" w:styleId="129">
    <w:name w:val="CM14"/>
    <w:basedOn w:val="73"/>
    <w:next w:val="73"/>
    <w:unhideWhenUsed/>
    <w:qFormat/>
    <w:uiPriority w:val="99"/>
    <w:pPr>
      <w:spacing w:line="468" w:lineRule="atLeast"/>
    </w:pPr>
  </w:style>
  <w:style w:type="paragraph" w:customStyle="1" w:styleId="130">
    <w:name w:val="CM38"/>
    <w:basedOn w:val="73"/>
    <w:next w:val="73"/>
    <w:qFormat/>
    <w:uiPriority w:val="0"/>
    <w:pPr>
      <w:spacing w:line="520" w:lineRule="atLeast"/>
    </w:pPr>
    <w:rPr>
      <w:rFonts w:cs="Times New Roman"/>
      <w:color w:val="auto"/>
    </w:rPr>
  </w:style>
  <w:style w:type="paragraph" w:customStyle="1" w:styleId="131">
    <w:name w:val="仿宋体正文"/>
    <w:basedOn w:val="1"/>
    <w:link w:val="182"/>
    <w:qFormat/>
    <w:uiPriority w:val="0"/>
    <w:pPr>
      <w:snapToGrid w:val="0"/>
      <w:spacing w:line="360" w:lineRule="auto"/>
    </w:pPr>
    <w:rPr>
      <w:rFonts w:eastAsia="仿宋_GB2312"/>
      <w:kern w:val="0"/>
      <w:sz w:val="28"/>
      <w:szCs w:val="24"/>
    </w:rPr>
  </w:style>
  <w:style w:type="paragraph" w:customStyle="1" w:styleId="132">
    <w:name w:val="Char1 Char Char Char"/>
    <w:basedOn w:val="1"/>
    <w:qFormat/>
    <w:uiPriority w:val="0"/>
    <w:pPr>
      <w:snapToGrid w:val="0"/>
      <w:spacing w:line="360" w:lineRule="auto"/>
      <w:ind w:firstLine="200" w:firstLineChars="200"/>
    </w:pPr>
    <w:rPr>
      <w:rFonts w:ascii="Times New Roman" w:hAnsi="Times New Roman" w:eastAsia="仿宋_GB2312"/>
      <w:sz w:val="24"/>
      <w:szCs w:val="24"/>
    </w:rPr>
  </w:style>
  <w:style w:type="paragraph" w:customStyle="1" w:styleId="133">
    <w:name w:val="方案正文样式"/>
    <w:basedOn w:val="1"/>
    <w:link w:val="185"/>
    <w:qFormat/>
    <w:uiPriority w:val="0"/>
    <w:pPr>
      <w:adjustRightInd w:val="0"/>
      <w:snapToGrid w:val="0"/>
      <w:spacing w:line="360" w:lineRule="auto"/>
      <w:ind w:firstLine="454"/>
      <w:textAlignment w:val="baseline"/>
    </w:pPr>
    <w:rPr>
      <w:kern w:val="0"/>
      <w:sz w:val="24"/>
      <w:szCs w:val="24"/>
    </w:rPr>
  </w:style>
  <w:style w:type="paragraph" w:customStyle="1" w:styleId="134">
    <w:name w:val="Normal1"/>
    <w:link w:val="253"/>
    <w:qFormat/>
    <w:uiPriority w:val="0"/>
    <w:pPr>
      <w:widowControl w:val="0"/>
      <w:adjustRightInd w:val="0"/>
      <w:spacing w:line="315" w:lineRule="atLeast"/>
      <w:textAlignment w:val="baseline"/>
    </w:pPr>
    <w:rPr>
      <w:rFonts w:ascii="宋体" w:hAnsi="Calibri" w:eastAsia="宋体" w:cs="Times New Roman"/>
      <w:sz w:val="24"/>
      <w:lang w:val="en-US" w:eastAsia="zh-CN" w:bidi="ar-SA"/>
    </w:rPr>
  </w:style>
  <w:style w:type="paragraph" w:customStyle="1" w:styleId="135">
    <w:name w:val="样式11"/>
    <w:basedOn w:val="1"/>
    <w:qFormat/>
    <w:uiPriority w:val="0"/>
    <w:rPr>
      <w:rFonts w:ascii="Times New Roman" w:hAnsi="Times New Roman"/>
      <w:szCs w:val="21"/>
    </w:rPr>
  </w:style>
  <w:style w:type="paragraph" w:customStyle="1" w:styleId="136">
    <w:name w:val="Char Char Char1"/>
    <w:basedOn w:val="1"/>
    <w:qFormat/>
    <w:uiPriority w:val="0"/>
    <w:rPr>
      <w:rFonts w:ascii="Times New Roman" w:hAnsi="Times New Roman"/>
      <w:sz w:val="24"/>
      <w:szCs w:val="24"/>
    </w:rPr>
  </w:style>
  <w:style w:type="paragraph" w:customStyle="1" w:styleId="137">
    <w:name w:val="CM16"/>
    <w:basedOn w:val="73"/>
    <w:next w:val="73"/>
    <w:unhideWhenUsed/>
    <w:qFormat/>
    <w:uiPriority w:val="99"/>
    <w:pPr>
      <w:spacing w:line="468" w:lineRule="atLeast"/>
    </w:pPr>
  </w:style>
  <w:style w:type="paragraph" w:customStyle="1" w:styleId="138">
    <w:name w:val="Char Char Char3"/>
    <w:basedOn w:val="1"/>
    <w:qFormat/>
    <w:uiPriority w:val="0"/>
    <w:rPr>
      <w:rFonts w:ascii="Times New Roman" w:hAnsi="Times New Roman"/>
      <w:sz w:val="24"/>
      <w:szCs w:val="24"/>
    </w:rPr>
  </w:style>
  <w:style w:type="paragraph" w:customStyle="1" w:styleId="139">
    <w:name w:val="Char Char Char7"/>
    <w:basedOn w:val="1"/>
    <w:qFormat/>
    <w:uiPriority w:val="0"/>
    <w:rPr>
      <w:rFonts w:ascii="Times New Roman" w:hAnsi="Times New Roman"/>
      <w:sz w:val="24"/>
      <w:szCs w:val="24"/>
    </w:rPr>
  </w:style>
  <w:style w:type="paragraph" w:customStyle="1" w:styleId="140">
    <w:name w:val="B5纸型可研模板"/>
    <w:basedOn w:val="1"/>
    <w:qFormat/>
    <w:uiPriority w:val="0"/>
    <w:pPr>
      <w:widowControl/>
      <w:overflowPunct w:val="0"/>
      <w:spacing w:line="336" w:lineRule="auto"/>
      <w:ind w:firstLine="567"/>
      <w:jc w:val="left"/>
      <w:textAlignment w:val="baseline"/>
    </w:pPr>
    <w:rPr>
      <w:rFonts w:hint="eastAsia" w:ascii="Arial Narrow" w:hAnsi="Arial Narrow"/>
      <w:sz w:val="28"/>
      <w:szCs w:val="20"/>
    </w:rPr>
  </w:style>
  <w:style w:type="paragraph" w:customStyle="1" w:styleId="141">
    <w:name w:val="CM57"/>
    <w:basedOn w:val="73"/>
    <w:next w:val="73"/>
    <w:unhideWhenUsed/>
    <w:qFormat/>
    <w:uiPriority w:val="99"/>
    <w:pPr>
      <w:spacing w:after="180"/>
    </w:pPr>
  </w:style>
  <w:style w:type="paragraph" w:customStyle="1" w:styleId="142">
    <w:name w:val="表格标题（使用1）"/>
    <w:basedOn w:val="1"/>
    <w:link w:val="263"/>
    <w:qFormat/>
    <w:uiPriority w:val="0"/>
    <w:pPr>
      <w:adjustRightInd w:val="0"/>
      <w:spacing w:line="360" w:lineRule="auto"/>
      <w:jc w:val="center"/>
      <w:textAlignment w:val="baseline"/>
    </w:pPr>
    <w:rPr>
      <w:rFonts w:ascii="宋体" w:hAnsi="宋体"/>
      <w:b/>
      <w:bCs/>
      <w:kern w:val="0"/>
      <w:sz w:val="24"/>
      <w:szCs w:val="24"/>
    </w:rPr>
  </w:style>
  <w:style w:type="paragraph" w:customStyle="1" w:styleId="143">
    <w:name w:val="Char4"/>
    <w:basedOn w:val="1"/>
    <w:qFormat/>
    <w:uiPriority w:val="0"/>
    <w:pPr>
      <w:spacing w:line="360" w:lineRule="auto"/>
      <w:ind w:firstLine="200" w:firstLineChars="200"/>
    </w:pPr>
    <w:rPr>
      <w:rFonts w:ascii="宋体" w:hAnsi="宋体"/>
      <w:sz w:val="24"/>
      <w:szCs w:val="20"/>
    </w:rPr>
  </w:style>
  <w:style w:type="paragraph" w:customStyle="1" w:styleId="144">
    <w:name w:val="xl24"/>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145">
    <w:name w:val="正文首行缩进 2 + Times New Roman"/>
    <w:basedOn w:val="1"/>
    <w:link w:val="241"/>
    <w:qFormat/>
    <w:uiPriority w:val="0"/>
    <w:pPr>
      <w:tabs>
        <w:tab w:val="left" w:pos="0"/>
        <w:tab w:val="left" w:pos="870"/>
        <w:tab w:val="left" w:pos="3150"/>
      </w:tabs>
      <w:autoSpaceDE w:val="0"/>
      <w:autoSpaceDN w:val="0"/>
      <w:adjustRightInd w:val="0"/>
      <w:snapToGrid w:val="0"/>
      <w:spacing w:line="360" w:lineRule="auto"/>
      <w:ind w:firstLine="480" w:firstLineChars="200"/>
      <w:jc w:val="left"/>
    </w:pPr>
    <w:rPr>
      <w:color w:val="FF0000"/>
      <w:kern w:val="0"/>
      <w:sz w:val="24"/>
      <w:szCs w:val="24"/>
    </w:rPr>
  </w:style>
  <w:style w:type="paragraph" w:customStyle="1" w:styleId="146">
    <w:name w:val="正文文本（使用1）"/>
    <w:basedOn w:val="1"/>
    <w:link w:val="256"/>
    <w:qFormat/>
    <w:uiPriority w:val="0"/>
    <w:pPr>
      <w:adjustRightInd w:val="0"/>
      <w:snapToGrid w:val="0"/>
      <w:spacing w:line="520" w:lineRule="exact"/>
      <w:ind w:firstLine="480" w:firstLineChars="200"/>
    </w:pPr>
    <w:rPr>
      <w:rFonts w:hAnsi="宋体"/>
      <w:color w:val="0000FF"/>
      <w:kern w:val="0"/>
      <w:sz w:val="24"/>
      <w:szCs w:val="24"/>
    </w:rPr>
  </w:style>
  <w:style w:type="paragraph" w:customStyle="1" w:styleId="147">
    <w:name w:val="表格2"/>
    <w:basedOn w:val="1"/>
    <w:qFormat/>
    <w:uiPriority w:val="0"/>
    <w:pPr>
      <w:spacing w:line="320" w:lineRule="exact"/>
      <w:jc w:val="center"/>
    </w:pPr>
    <w:rPr>
      <w:rFonts w:ascii="Times New Roman" w:hAnsi="Times New Roman"/>
      <w:sz w:val="24"/>
      <w:szCs w:val="20"/>
    </w:rPr>
  </w:style>
  <w:style w:type="paragraph" w:customStyle="1" w:styleId="148">
    <w:name w:val="正文样式"/>
    <w:basedOn w:val="1"/>
    <w:qFormat/>
    <w:uiPriority w:val="0"/>
    <w:pPr>
      <w:spacing w:line="360" w:lineRule="auto"/>
      <w:ind w:firstLine="420" w:firstLineChars="200"/>
    </w:pPr>
    <w:rPr>
      <w:rFonts w:ascii="Times New Roman" w:hAnsi="Times New Roman" w:cs="宋体"/>
      <w:sz w:val="24"/>
      <w:szCs w:val="20"/>
    </w:rPr>
  </w:style>
  <w:style w:type="paragraph" w:customStyle="1" w:styleId="149">
    <w:name w:val="CM41"/>
    <w:basedOn w:val="73"/>
    <w:next w:val="73"/>
    <w:unhideWhenUsed/>
    <w:qFormat/>
    <w:uiPriority w:val="99"/>
    <w:pPr>
      <w:spacing w:line="343" w:lineRule="atLeast"/>
    </w:pPr>
  </w:style>
  <w:style w:type="paragraph" w:customStyle="1" w:styleId="150">
    <w:name w:val="CM56"/>
    <w:basedOn w:val="73"/>
    <w:next w:val="73"/>
    <w:unhideWhenUsed/>
    <w:qFormat/>
    <w:uiPriority w:val="99"/>
    <w:pPr>
      <w:spacing w:after="235"/>
    </w:pPr>
  </w:style>
  <w:style w:type="paragraph" w:customStyle="1" w:styleId="151">
    <w:name w:val="CM71"/>
    <w:basedOn w:val="73"/>
    <w:next w:val="73"/>
    <w:unhideWhenUsed/>
    <w:qFormat/>
    <w:uiPriority w:val="99"/>
    <w:pPr>
      <w:spacing w:after="92"/>
    </w:pPr>
  </w:style>
  <w:style w:type="paragraph" w:customStyle="1" w:styleId="152">
    <w:name w:val="xl26"/>
    <w:basedOn w:val="1"/>
    <w:qFormat/>
    <w:uiPriority w:val="0"/>
    <w:pPr>
      <w:widowControl/>
      <w:pBdr>
        <w:bottom w:val="single" w:color="auto" w:sz="4" w:space="0"/>
        <w:right w:val="single" w:color="auto" w:sz="4" w:space="0"/>
      </w:pBdr>
      <w:spacing w:before="100" w:after="100"/>
      <w:jc w:val="center"/>
      <w:textAlignment w:val="top"/>
    </w:pPr>
    <w:rPr>
      <w:rFonts w:ascii="宋体" w:hAnsi="宋体"/>
      <w:kern w:val="0"/>
      <w:szCs w:val="20"/>
    </w:rPr>
  </w:style>
  <w:style w:type="paragraph" w:customStyle="1" w:styleId="153">
    <w:name w:val="Char Char Char2"/>
    <w:basedOn w:val="1"/>
    <w:qFormat/>
    <w:uiPriority w:val="0"/>
    <w:rPr>
      <w:rFonts w:ascii="Times New Roman" w:hAnsi="Times New Roman"/>
      <w:sz w:val="24"/>
      <w:szCs w:val="24"/>
    </w:rPr>
  </w:style>
  <w:style w:type="paragraph" w:customStyle="1" w:styleId="154">
    <w:name w:val="环正文"/>
    <w:basedOn w:val="1"/>
    <w:qFormat/>
    <w:uiPriority w:val="0"/>
    <w:pPr>
      <w:widowControl/>
      <w:suppressAutoHyphens/>
      <w:adjustRightInd w:val="0"/>
      <w:spacing w:line="240" w:lineRule="atLeast"/>
      <w:ind w:firstLine="512" w:firstLineChars="187"/>
      <w:textAlignment w:val="baseline"/>
    </w:pPr>
    <w:rPr>
      <w:rFonts w:ascii="宋体" w:hAnsi="宋体"/>
      <w:szCs w:val="20"/>
    </w:rPr>
  </w:style>
  <w:style w:type="paragraph" w:customStyle="1" w:styleId="155">
    <w:name w:val="正文21"/>
    <w:qFormat/>
    <w:uiPriority w:val="0"/>
    <w:pPr>
      <w:widowControl w:val="0"/>
      <w:suppressAutoHyphens/>
      <w:spacing w:line="520" w:lineRule="atLeast"/>
      <w:ind w:firstLine="680"/>
      <w:jc w:val="both"/>
    </w:pPr>
    <w:rPr>
      <w:rFonts w:ascii="Times New Roman" w:hAnsi="Times New Roman" w:eastAsia="宋体" w:cs="Times New Roman"/>
      <w:spacing w:val="18"/>
      <w:sz w:val="32"/>
      <w:lang w:val="en-US" w:eastAsia="zh-CN" w:bidi="ar-SA"/>
    </w:rPr>
  </w:style>
  <w:style w:type="paragraph" w:customStyle="1" w:styleId="156">
    <w:name w:val="中文报告书"/>
    <w:basedOn w:val="1"/>
    <w:qFormat/>
    <w:uiPriority w:val="0"/>
    <w:pPr>
      <w:adjustRightInd w:val="0"/>
      <w:spacing w:after="80" w:line="420" w:lineRule="atLeast"/>
      <w:jc w:val="left"/>
      <w:textAlignment w:val="baseline"/>
    </w:pPr>
    <w:rPr>
      <w:rFonts w:ascii="Times New Roman" w:hAnsi="Times New Roman"/>
      <w:kern w:val="0"/>
      <w:sz w:val="24"/>
      <w:szCs w:val="20"/>
    </w:rPr>
  </w:style>
  <w:style w:type="paragraph" w:customStyle="1" w:styleId="157">
    <w:name w:val="aa正文 Char Char"/>
    <w:basedOn w:val="1"/>
    <w:qFormat/>
    <w:uiPriority w:val="0"/>
    <w:pPr>
      <w:spacing w:line="500" w:lineRule="exact"/>
      <w:ind w:firstLine="561"/>
    </w:pPr>
    <w:rPr>
      <w:rFonts w:ascii="Times New Roman" w:hAnsi="Times New Roman"/>
      <w:sz w:val="24"/>
      <w:szCs w:val="20"/>
    </w:rPr>
  </w:style>
  <w:style w:type="paragraph" w:customStyle="1" w:styleId="158">
    <w:name w:val="Char Char Char Char"/>
    <w:basedOn w:val="1"/>
    <w:qFormat/>
    <w:uiPriority w:val="0"/>
    <w:pPr>
      <w:widowControl/>
      <w:spacing w:after="160" w:line="240" w:lineRule="exact"/>
      <w:jc w:val="left"/>
    </w:pPr>
    <w:rPr>
      <w:rFonts w:ascii="Times New Roman" w:hAnsi="Times New Roman"/>
      <w:szCs w:val="24"/>
    </w:rPr>
  </w:style>
  <w:style w:type="paragraph" w:customStyle="1" w:styleId="159">
    <w:name w:val="报告表正文"/>
    <w:basedOn w:val="1"/>
    <w:link w:val="232"/>
    <w:qFormat/>
    <w:uiPriority w:val="0"/>
    <w:pPr>
      <w:adjustRightInd w:val="0"/>
      <w:spacing w:line="312" w:lineRule="auto"/>
      <w:ind w:left="113" w:right="113" w:firstLine="482"/>
      <w:jc w:val="left"/>
      <w:textAlignment w:val="baseline"/>
    </w:pPr>
    <w:rPr>
      <w:kern w:val="0"/>
      <w:sz w:val="24"/>
      <w:szCs w:val="20"/>
    </w:rPr>
  </w:style>
  <w:style w:type="paragraph" w:customStyle="1" w:styleId="160">
    <w:name w:val="Char Char Char6"/>
    <w:basedOn w:val="1"/>
    <w:qFormat/>
    <w:uiPriority w:val="0"/>
    <w:rPr>
      <w:rFonts w:ascii="Times New Roman" w:hAnsi="Times New Roman"/>
      <w:sz w:val="24"/>
      <w:szCs w:val="24"/>
    </w:rPr>
  </w:style>
  <w:style w:type="paragraph" w:customStyle="1" w:styleId="161">
    <w:name w:val="表格02"/>
    <w:basedOn w:val="1"/>
    <w:qFormat/>
    <w:uiPriority w:val="0"/>
    <w:pPr>
      <w:adjustRightInd w:val="0"/>
      <w:snapToGrid w:val="0"/>
      <w:spacing w:line="360" w:lineRule="exact"/>
      <w:jc w:val="center"/>
    </w:pPr>
    <w:rPr>
      <w:rFonts w:ascii="Times New Roman" w:hAnsi="Times New Roman"/>
      <w:snapToGrid w:val="0"/>
      <w:kern w:val="0"/>
      <w:sz w:val="24"/>
      <w:szCs w:val="24"/>
    </w:rPr>
  </w:style>
  <w:style w:type="paragraph" w:customStyle="1" w:styleId="162">
    <w:name w:val="表标题"/>
    <w:basedOn w:val="1"/>
    <w:next w:val="1"/>
    <w:link w:val="230"/>
    <w:qFormat/>
    <w:uiPriority w:val="0"/>
    <w:pPr>
      <w:adjustRightInd w:val="0"/>
      <w:snapToGrid w:val="0"/>
      <w:spacing w:beforeLines="50" w:afterLines="20"/>
      <w:ind w:firstLine="600" w:firstLineChars="600"/>
      <w:jc w:val="left"/>
      <w:textAlignment w:val="baseline"/>
    </w:pPr>
    <w:rPr>
      <w:rFonts w:ascii="黑体" w:hAnsi="宋体" w:eastAsia="黑体"/>
      <w:bCs/>
      <w:kern w:val="0"/>
      <w:sz w:val="24"/>
      <w:szCs w:val="20"/>
    </w:rPr>
  </w:style>
  <w:style w:type="paragraph" w:customStyle="1" w:styleId="163">
    <w:name w:val="报告"/>
    <w:basedOn w:val="1"/>
    <w:link w:val="252"/>
    <w:qFormat/>
    <w:uiPriority w:val="0"/>
    <w:pPr>
      <w:adjustRightInd w:val="0"/>
      <w:spacing w:line="360" w:lineRule="auto"/>
      <w:ind w:firstLine="505"/>
      <w:textAlignment w:val="center"/>
    </w:pPr>
    <w:rPr>
      <w:rFonts w:ascii="TimesNewRoman" w:hAnsi="TimesNewRoman"/>
      <w:kern w:val="0"/>
      <w:sz w:val="24"/>
      <w:szCs w:val="20"/>
    </w:rPr>
  </w:style>
  <w:style w:type="paragraph" w:customStyle="1" w:styleId="164">
    <w:name w:val="Char Char Char Char Char Char"/>
    <w:basedOn w:val="1"/>
    <w:qFormat/>
    <w:uiPriority w:val="0"/>
    <w:rPr>
      <w:rFonts w:ascii="Times New Roman" w:hAnsi="Times New Roman"/>
      <w:szCs w:val="20"/>
    </w:rPr>
  </w:style>
  <w:style w:type="paragraph" w:customStyle="1" w:styleId="16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6">
    <w:name w:val="表文"/>
    <w:basedOn w:val="1"/>
    <w:link w:val="209"/>
    <w:semiHidden/>
    <w:qFormat/>
    <w:uiPriority w:val="0"/>
    <w:pPr>
      <w:overflowPunct w:val="0"/>
      <w:adjustRightInd w:val="0"/>
      <w:snapToGrid w:val="0"/>
      <w:jc w:val="center"/>
    </w:pPr>
    <w:rPr>
      <w:rFonts w:ascii="宋体" w:hAnsi="宋体"/>
      <w:kern w:val="0"/>
      <w:sz w:val="20"/>
      <w:szCs w:val="20"/>
    </w:rPr>
  </w:style>
  <w:style w:type="paragraph" w:customStyle="1" w:styleId="167">
    <w:name w:val="CM5"/>
    <w:basedOn w:val="73"/>
    <w:next w:val="73"/>
    <w:unhideWhenUsed/>
    <w:qFormat/>
    <w:uiPriority w:val="99"/>
    <w:pPr>
      <w:spacing w:line="468" w:lineRule="atLeast"/>
    </w:pPr>
  </w:style>
  <w:style w:type="paragraph" w:customStyle="1" w:styleId="168">
    <w:name w:val="lxy-TM正文"/>
    <w:basedOn w:val="1"/>
    <w:qFormat/>
    <w:uiPriority w:val="0"/>
    <w:pPr>
      <w:spacing w:line="360" w:lineRule="auto"/>
      <w:ind w:firstLine="480" w:firstLineChars="200"/>
    </w:pPr>
    <w:rPr>
      <w:rFonts w:ascii="Times New Roman" w:hAnsi="Times New Roman" w:cs="宋体"/>
      <w:sz w:val="24"/>
      <w:szCs w:val="20"/>
    </w:rPr>
  </w:style>
  <w:style w:type="paragraph" w:customStyle="1" w:styleId="169">
    <w:name w:val="图表标题"/>
    <w:basedOn w:val="1"/>
    <w:link w:val="234"/>
    <w:qFormat/>
    <w:uiPriority w:val="0"/>
    <w:pPr>
      <w:spacing w:line="360" w:lineRule="auto"/>
      <w:jc w:val="center"/>
    </w:pPr>
    <w:rPr>
      <w:kern w:val="0"/>
      <w:sz w:val="24"/>
      <w:szCs w:val="24"/>
    </w:rPr>
  </w:style>
  <w:style w:type="paragraph" w:customStyle="1" w:styleId="170">
    <w:name w:val="首行缩进"/>
    <w:basedOn w:val="1"/>
    <w:qFormat/>
    <w:uiPriority w:val="0"/>
    <w:pPr>
      <w:spacing w:line="360" w:lineRule="auto"/>
      <w:ind w:firstLine="480" w:firstLineChars="200"/>
    </w:pPr>
    <w:rPr>
      <w:sz w:val="24"/>
      <w:szCs w:val="24"/>
    </w:rPr>
  </w:style>
  <w:style w:type="paragraph" w:customStyle="1" w:styleId="171">
    <w:name w:val="CM20"/>
    <w:basedOn w:val="73"/>
    <w:next w:val="73"/>
    <w:unhideWhenUsed/>
    <w:qFormat/>
    <w:uiPriority w:val="99"/>
  </w:style>
  <w:style w:type="paragraph" w:customStyle="1" w:styleId="172">
    <w:name w:val="标题4"/>
    <w:basedOn w:val="1"/>
    <w:qFormat/>
    <w:uiPriority w:val="0"/>
    <w:pPr>
      <w:snapToGrid w:val="0"/>
      <w:jc w:val="center"/>
    </w:pPr>
    <w:rPr>
      <w:rFonts w:ascii="宋体" w:hAnsi="宋体"/>
      <w:b/>
      <w:bCs/>
      <w:color w:val="3366FF"/>
      <w:sz w:val="24"/>
      <w:szCs w:val="24"/>
    </w:rPr>
  </w:style>
  <w:style w:type="paragraph" w:customStyle="1" w:styleId="173">
    <w:name w:val="CM68"/>
    <w:basedOn w:val="73"/>
    <w:next w:val="73"/>
    <w:unhideWhenUsed/>
    <w:qFormat/>
    <w:uiPriority w:val="99"/>
    <w:pPr>
      <w:spacing w:after="155"/>
    </w:pPr>
  </w:style>
  <w:style w:type="paragraph" w:customStyle="1" w:styleId="17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5">
    <w:name w:val="样式 样式 小四 段前: 7.8 磅 段后: 7.8 磅 行距: 1.5 倍行距 + 首行缩进:  2 字符"/>
    <w:basedOn w:val="1"/>
    <w:link w:val="211"/>
    <w:qFormat/>
    <w:uiPriority w:val="0"/>
    <w:pPr>
      <w:spacing w:line="360" w:lineRule="auto"/>
      <w:ind w:firstLine="480" w:firstLineChars="200"/>
    </w:pPr>
    <w:rPr>
      <w:kern w:val="0"/>
      <w:sz w:val="24"/>
      <w:szCs w:val="24"/>
    </w:rPr>
  </w:style>
  <w:style w:type="paragraph" w:customStyle="1" w:styleId="176">
    <w:name w:val="正文（首行缩进两字）"/>
    <w:basedOn w:val="1"/>
    <w:qFormat/>
    <w:uiPriority w:val="0"/>
    <w:pPr>
      <w:adjustRightInd w:val="0"/>
      <w:ind w:firstLine="420"/>
      <w:textAlignment w:val="baseline"/>
    </w:pPr>
    <w:rPr>
      <w:sz w:val="28"/>
      <w:szCs w:val="28"/>
    </w:rPr>
  </w:style>
  <w:style w:type="paragraph" w:customStyle="1" w:styleId="177">
    <w:name w:val="正文#"/>
    <w:basedOn w:val="1"/>
    <w:link w:val="235"/>
    <w:semiHidden/>
    <w:qFormat/>
    <w:uiPriority w:val="0"/>
    <w:pPr>
      <w:tabs>
        <w:tab w:val="left" w:pos="2160"/>
      </w:tabs>
      <w:spacing w:line="360" w:lineRule="auto"/>
      <w:ind w:left="2160" w:firstLine="480" w:firstLineChars="200"/>
    </w:pPr>
    <w:rPr>
      <w:kern w:val="0"/>
      <w:sz w:val="24"/>
      <w:szCs w:val="20"/>
    </w:rPr>
  </w:style>
  <w:style w:type="paragraph" w:customStyle="1" w:styleId="178">
    <w:name w:val="无悬挂正文5号"/>
    <w:basedOn w:val="1"/>
    <w:qFormat/>
    <w:uiPriority w:val="0"/>
    <w:pPr>
      <w:jc w:val="center"/>
    </w:pPr>
    <w:rPr>
      <w:szCs w:val="20"/>
    </w:rPr>
  </w:style>
  <w:style w:type="character" w:customStyle="1" w:styleId="179">
    <w:name w:val="正文文本 Char"/>
    <w:link w:val="18"/>
    <w:qFormat/>
    <w:uiPriority w:val="0"/>
    <w:rPr>
      <w:kern w:val="2"/>
      <w:sz w:val="21"/>
      <w:szCs w:val="22"/>
    </w:rPr>
  </w:style>
  <w:style w:type="character" w:customStyle="1" w:styleId="180">
    <w:name w:val="正文1 Char1"/>
    <w:link w:val="62"/>
    <w:qFormat/>
    <w:uiPriority w:val="0"/>
    <w:rPr>
      <w:rFonts w:ascii="宋体" w:hAnsi="宋体"/>
      <w:sz w:val="28"/>
      <w:szCs w:val="30"/>
    </w:rPr>
  </w:style>
  <w:style w:type="character" w:customStyle="1" w:styleId="181">
    <w:name w:val="注释标题 Char1"/>
    <w:semiHidden/>
    <w:qFormat/>
    <w:uiPriority w:val="99"/>
    <w:rPr>
      <w:kern w:val="2"/>
      <w:sz w:val="21"/>
      <w:szCs w:val="22"/>
    </w:rPr>
  </w:style>
  <w:style w:type="character" w:customStyle="1" w:styleId="182">
    <w:name w:val="仿宋体正文 Char"/>
    <w:link w:val="131"/>
    <w:qFormat/>
    <w:uiPriority w:val="0"/>
    <w:rPr>
      <w:rFonts w:eastAsia="仿宋_GB2312"/>
      <w:sz w:val="28"/>
      <w:szCs w:val="24"/>
    </w:rPr>
  </w:style>
  <w:style w:type="character" w:customStyle="1" w:styleId="183">
    <w:name w:val="font41"/>
    <w:basedOn w:val="45"/>
    <w:qFormat/>
    <w:uiPriority w:val="0"/>
    <w:rPr>
      <w:rFonts w:hint="default" w:ascii="Times New Roman" w:hAnsi="Times New Roman" w:cs="Times New Roman"/>
      <w:color w:val="000000"/>
      <w:sz w:val="18"/>
      <w:szCs w:val="18"/>
      <w:u w:val="none"/>
      <w:vertAlign w:val="superscript"/>
    </w:rPr>
  </w:style>
  <w:style w:type="character" w:customStyle="1" w:styleId="184">
    <w:name w:val="标题 4 Char"/>
    <w:link w:val="7"/>
    <w:qFormat/>
    <w:uiPriority w:val="0"/>
    <w:rPr>
      <w:rFonts w:ascii="Cambria" w:hAnsi="Cambria"/>
      <w:b/>
      <w:bCs/>
      <w:kern w:val="2"/>
      <w:sz w:val="28"/>
      <w:szCs w:val="28"/>
    </w:rPr>
  </w:style>
  <w:style w:type="character" w:customStyle="1" w:styleId="185">
    <w:name w:val="方案正文样式 Char"/>
    <w:link w:val="133"/>
    <w:qFormat/>
    <w:uiPriority w:val="0"/>
    <w:rPr>
      <w:sz w:val="24"/>
      <w:szCs w:val="24"/>
    </w:rPr>
  </w:style>
  <w:style w:type="character" w:customStyle="1" w:styleId="186">
    <w:name w:val="标题 Char"/>
    <w:qFormat/>
    <w:uiPriority w:val="10"/>
    <w:rPr>
      <w:rFonts w:ascii="Cambria" w:hAnsi="Cambria" w:cs="Times New Roman"/>
      <w:b/>
      <w:bCs/>
      <w:kern w:val="2"/>
      <w:sz w:val="32"/>
      <w:szCs w:val="32"/>
    </w:rPr>
  </w:style>
  <w:style w:type="character" w:customStyle="1" w:styleId="187">
    <w:name w:val="文档结构图 Char1"/>
    <w:semiHidden/>
    <w:qFormat/>
    <w:uiPriority w:val="99"/>
    <w:rPr>
      <w:rFonts w:ascii="宋体"/>
      <w:kern w:val="2"/>
      <w:sz w:val="18"/>
      <w:szCs w:val="18"/>
    </w:rPr>
  </w:style>
  <w:style w:type="character" w:customStyle="1" w:styleId="188">
    <w:name w:val="表格 Char"/>
    <w:qFormat/>
    <w:uiPriority w:val="0"/>
    <w:rPr>
      <w:rFonts w:eastAsia="宋体"/>
      <w:kern w:val="2"/>
      <w:sz w:val="21"/>
      <w:szCs w:val="21"/>
      <w:lang w:val="en-US" w:eastAsia="zh-CN" w:bidi="ar-SA"/>
    </w:rPr>
  </w:style>
  <w:style w:type="character" w:customStyle="1" w:styleId="189">
    <w:name w:val="标题 7 Char"/>
    <w:link w:val="9"/>
    <w:qFormat/>
    <w:uiPriority w:val="0"/>
    <w:rPr>
      <w:rFonts w:ascii="Times New Roman" w:hAnsi="Times New Roman"/>
      <w:b/>
      <w:kern w:val="2"/>
      <w:sz w:val="24"/>
      <w:szCs w:val="24"/>
    </w:rPr>
  </w:style>
  <w:style w:type="character" w:customStyle="1" w:styleId="190">
    <w:name w:val="标题 1 Char"/>
    <w:link w:val="3"/>
    <w:qFormat/>
    <w:uiPriority w:val="0"/>
    <w:rPr>
      <w:b/>
      <w:bCs/>
      <w:kern w:val="44"/>
      <w:sz w:val="44"/>
      <w:szCs w:val="44"/>
    </w:rPr>
  </w:style>
  <w:style w:type="character" w:customStyle="1" w:styleId="191">
    <w:name w:val="表格文字 Char1"/>
    <w:link w:val="110"/>
    <w:qFormat/>
    <w:uiPriority w:val="0"/>
    <w:rPr>
      <w:kern w:val="24"/>
      <w:sz w:val="24"/>
    </w:rPr>
  </w:style>
  <w:style w:type="character" w:customStyle="1" w:styleId="192">
    <w:name w:val="标题3（使用1） Char"/>
    <w:link w:val="93"/>
    <w:qFormat/>
    <w:uiPriority w:val="0"/>
    <w:rPr>
      <w:rFonts w:eastAsia="黑体"/>
      <w:bCs/>
      <w:sz w:val="24"/>
      <w:szCs w:val="28"/>
    </w:rPr>
  </w:style>
  <w:style w:type="character" w:customStyle="1" w:styleId="193">
    <w:name w:val="p0 Char"/>
    <w:link w:val="69"/>
    <w:qFormat/>
    <w:uiPriority w:val="0"/>
    <w:rPr>
      <w:w w:val="90"/>
      <w:szCs w:val="21"/>
    </w:rPr>
  </w:style>
  <w:style w:type="character" w:customStyle="1" w:styleId="194">
    <w:name w:val="正文崔 Char"/>
    <w:link w:val="122"/>
    <w:qFormat/>
    <w:uiPriority w:val="0"/>
    <w:rPr>
      <w:bCs/>
      <w:spacing w:val="14"/>
      <w:sz w:val="24"/>
      <w:szCs w:val="24"/>
    </w:rPr>
  </w:style>
  <w:style w:type="character" w:customStyle="1" w:styleId="195">
    <w:name w:val="正文缩进 Char"/>
    <w:link w:val="14"/>
    <w:qFormat/>
    <w:uiPriority w:val="0"/>
    <w:rPr>
      <w:kern w:val="2"/>
      <w:sz w:val="28"/>
      <w:szCs w:val="22"/>
    </w:rPr>
  </w:style>
  <w:style w:type="character" w:customStyle="1" w:styleId="196">
    <w:name w:val="正文文本 2 Char"/>
    <w:link w:val="37"/>
    <w:qFormat/>
    <w:uiPriority w:val="0"/>
    <w:rPr>
      <w:rFonts w:ascii="宋体" w:hAnsi="Times New Roman"/>
      <w:kern w:val="2"/>
      <w:sz w:val="28"/>
    </w:rPr>
  </w:style>
  <w:style w:type="character" w:customStyle="1" w:styleId="197">
    <w:name w:val="正文+段落 Char"/>
    <w:link w:val="63"/>
    <w:qFormat/>
    <w:uiPriority w:val="0"/>
    <w:rPr>
      <w:sz w:val="24"/>
    </w:rPr>
  </w:style>
  <w:style w:type="character" w:customStyle="1" w:styleId="198">
    <w:name w:val="日期 Char1"/>
    <w:semiHidden/>
    <w:qFormat/>
    <w:uiPriority w:val="99"/>
    <w:rPr>
      <w:kern w:val="2"/>
      <w:sz w:val="21"/>
      <w:szCs w:val="22"/>
    </w:rPr>
  </w:style>
  <w:style w:type="character" w:customStyle="1" w:styleId="199">
    <w:name w:val="正文文本缩进 2 Char"/>
    <w:link w:val="25"/>
    <w:qFormat/>
    <w:uiPriority w:val="0"/>
    <w:rPr>
      <w:rFonts w:ascii="宋体" w:hAnsi="宋体"/>
      <w:sz w:val="24"/>
      <w:szCs w:val="21"/>
    </w:rPr>
  </w:style>
  <w:style w:type="character" w:customStyle="1" w:styleId="200">
    <w:name w:val="正文(首行缩进)宋旭峰 Char Char"/>
    <w:link w:val="94"/>
    <w:qFormat/>
    <w:uiPriority w:val="0"/>
    <w:rPr>
      <w:rFonts w:cs="Arial"/>
      <w:sz w:val="24"/>
      <w:szCs w:val="24"/>
    </w:rPr>
  </w:style>
  <w:style w:type="character" w:customStyle="1" w:styleId="201">
    <w:name w:val="批注文字 Char1"/>
    <w:link w:val="17"/>
    <w:qFormat/>
    <w:uiPriority w:val="0"/>
    <w:rPr>
      <w:kern w:val="2"/>
      <w:sz w:val="21"/>
      <w:szCs w:val="22"/>
    </w:rPr>
  </w:style>
  <w:style w:type="character" w:customStyle="1" w:styleId="202">
    <w:name w:val="填表4小中单倍行距 Char"/>
    <w:link w:val="74"/>
    <w:qFormat/>
    <w:uiPriority w:val="0"/>
    <w:rPr>
      <w:rFonts w:ascii="宋体" w:cs="宋体"/>
      <w:sz w:val="24"/>
    </w:rPr>
  </w:style>
  <w:style w:type="character" w:customStyle="1" w:styleId="203">
    <w:name w:val="纯文本 Char1"/>
    <w:link w:val="2"/>
    <w:qFormat/>
    <w:uiPriority w:val="0"/>
    <w:rPr>
      <w:rFonts w:ascii="宋体" w:hAnsi="宋体"/>
      <w:kern w:val="2"/>
      <w:sz w:val="28"/>
      <w:szCs w:val="21"/>
    </w:rPr>
  </w:style>
  <w:style w:type="character" w:customStyle="1" w:styleId="204">
    <w:name w:val="正文文本缩进 Char1"/>
    <w:semiHidden/>
    <w:qFormat/>
    <w:uiPriority w:val="99"/>
    <w:rPr>
      <w:kern w:val="2"/>
      <w:sz w:val="21"/>
      <w:szCs w:val="22"/>
    </w:rPr>
  </w:style>
  <w:style w:type="character" w:customStyle="1" w:styleId="205">
    <w:name w:val="页眉 Char"/>
    <w:link w:val="28"/>
    <w:qFormat/>
    <w:uiPriority w:val="99"/>
    <w:rPr>
      <w:kern w:val="2"/>
      <w:sz w:val="18"/>
      <w:szCs w:val="18"/>
    </w:rPr>
  </w:style>
  <w:style w:type="character" w:customStyle="1" w:styleId="206">
    <w:name w:val="表1 Char"/>
    <w:link w:val="117"/>
    <w:qFormat/>
    <w:uiPriority w:val="0"/>
    <w:rPr>
      <w:szCs w:val="21"/>
      <w:lang w:val="en-US" w:eastAsia="zh-CN" w:bidi="ar-SA"/>
    </w:rPr>
  </w:style>
  <w:style w:type="character" w:customStyle="1" w:styleId="207">
    <w:name w:val="表内容 Char"/>
    <w:link w:val="70"/>
    <w:qFormat/>
    <w:uiPriority w:val="0"/>
    <w:rPr>
      <w:rFonts w:cs="宋体"/>
      <w:spacing w:val="14"/>
    </w:rPr>
  </w:style>
  <w:style w:type="character" w:customStyle="1" w:styleId="208">
    <w:name w:val="样式24 Char"/>
    <w:link w:val="104"/>
    <w:qFormat/>
    <w:uiPriority w:val="0"/>
    <w:rPr>
      <w:color w:val="000000"/>
      <w:sz w:val="24"/>
    </w:rPr>
  </w:style>
  <w:style w:type="character" w:customStyle="1" w:styleId="209">
    <w:name w:val="表文 Char"/>
    <w:link w:val="166"/>
    <w:semiHidden/>
    <w:qFormat/>
    <w:locked/>
    <w:uiPriority w:val="0"/>
    <w:rPr>
      <w:rFonts w:ascii="宋体" w:hAnsi="宋体"/>
    </w:rPr>
  </w:style>
  <w:style w:type="character" w:customStyle="1" w:styleId="210">
    <w:name w:val="标题 Char1"/>
    <w:link w:val="40"/>
    <w:qFormat/>
    <w:uiPriority w:val="0"/>
    <w:rPr>
      <w:rFonts w:ascii="Cambria" w:hAnsi="Cambria"/>
      <w:b/>
      <w:bCs/>
      <w:sz w:val="32"/>
      <w:szCs w:val="32"/>
    </w:rPr>
  </w:style>
  <w:style w:type="character" w:customStyle="1" w:styleId="211">
    <w:name w:val="样式 样式 小四 段前: 7.8 磅 段后: 7.8 磅 行距: 1.5 倍行距 + 首行缩进:  2 字符 Char"/>
    <w:link w:val="175"/>
    <w:qFormat/>
    <w:uiPriority w:val="0"/>
    <w:rPr>
      <w:sz w:val="24"/>
      <w:szCs w:val="24"/>
    </w:rPr>
  </w:style>
  <w:style w:type="character" w:customStyle="1" w:styleId="212">
    <w:name w:val="wj样式 Char"/>
    <w:link w:val="124"/>
    <w:qFormat/>
    <w:uiPriority w:val="0"/>
    <w:rPr>
      <w:spacing w:val="14"/>
      <w:sz w:val="24"/>
      <w:szCs w:val="24"/>
    </w:rPr>
  </w:style>
  <w:style w:type="character" w:customStyle="1" w:styleId="213">
    <w:name w:val="正文文本 Char1"/>
    <w:semiHidden/>
    <w:qFormat/>
    <w:uiPriority w:val="99"/>
  </w:style>
  <w:style w:type="character" w:customStyle="1" w:styleId="214">
    <w:name w:val="样式5 Char3"/>
    <w:link w:val="120"/>
    <w:qFormat/>
    <w:uiPriority w:val="0"/>
    <w:rPr>
      <w:rFonts w:ascii="宋体" w:hAnsi="宋体" w:cs="宋体"/>
      <w:sz w:val="24"/>
      <w:szCs w:val="24"/>
    </w:rPr>
  </w:style>
  <w:style w:type="character" w:customStyle="1" w:styleId="215">
    <w:name w:val="font21"/>
    <w:basedOn w:val="45"/>
    <w:qFormat/>
    <w:uiPriority w:val="0"/>
    <w:rPr>
      <w:rFonts w:hint="eastAsia" w:ascii="宋体" w:hAnsi="宋体" w:eastAsia="宋体" w:cs="宋体"/>
      <w:color w:val="000000"/>
      <w:sz w:val="18"/>
      <w:szCs w:val="18"/>
      <w:u w:val="none"/>
    </w:rPr>
  </w:style>
  <w:style w:type="character" w:customStyle="1" w:styleId="216">
    <w:name w:val="正文首行缩进 Char1"/>
    <w:basedOn w:val="179"/>
    <w:semiHidden/>
    <w:qFormat/>
    <w:uiPriority w:val="99"/>
    <w:rPr>
      <w:kern w:val="2"/>
      <w:sz w:val="21"/>
      <w:szCs w:val="22"/>
    </w:rPr>
  </w:style>
  <w:style w:type="character" w:customStyle="1" w:styleId="217">
    <w:name w:val="标题 1 Char2"/>
    <w:qFormat/>
    <w:uiPriority w:val="0"/>
    <w:rPr>
      <w:rFonts w:ascii="Arial" w:hAnsi="Arial" w:eastAsia="宋体" w:cs="Times New Roman"/>
      <w:b/>
      <w:kern w:val="28"/>
      <w:sz w:val="32"/>
      <w:szCs w:val="21"/>
    </w:rPr>
  </w:style>
  <w:style w:type="character" w:customStyle="1" w:styleId="218">
    <w:name w:val="文档结构图 Char"/>
    <w:link w:val="16"/>
    <w:semiHidden/>
    <w:qFormat/>
    <w:uiPriority w:val="0"/>
    <w:rPr>
      <w:shd w:val="clear" w:color="auto" w:fill="000080"/>
    </w:rPr>
  </w:style>
  <w:style w:type="character" w:customStyle="1" w:styleId="219">
    <w:name w:val="标题 9 Char"/>
    <w:link w:val="11"/>
    <w:qFormat/>
    <w:uiPriority w:val="0"/>
    <w:rPr>
      <w:rFonts w:ascii="Arial" w:hAnsi="Arial" w:eastAsia="黑体"/>
      <w:kern w:val="2"/>
      <w:sz w:val="21"/>
      <w:szCs w:val="24"/>
    </w:rPr>
  </w:style>
  <w:style w:type="character" w:customStyle="1" w:styleId="220">
    <w:name w:val="正文文本缩进 3 Char"/>
    <w:link w:val="34"/>
    <w:qFormat/>
    <w:uiPriority w:val="0"/>
    <w:rPr>
      <w:sz w:val="16"/>
      <w:szCs w:val="16"/>
    </w:rPr>
  </w:style>
  <w:style w:type="character" w:customStyle="1" w:styleId="221">
    <w:name w:val="正文文本缩进 3 Char1"/>
    <w:semiHidden/>
    <w:qFormat/>
    <w:uiPriority w:val="99"/>
    <w:rPr>
      <w:kern w:val="2"/>
      <w:sz w:val="16"/>
      <w:szCs w:val="16"/>
    </w:rPr>
  </w:style>
  <w:style w:type="character" w:customStyle="1" w:styleId="222">
    <w:name w:val="disabled"/>
    <w:basedOn w:val="45"/>
    <w:qFormat/>
    <w:uiPriority w:val="0"/>
    <w:rPr>
      <w:color w:val="333333"/>
      <w:sz w:val="18"/>
      <w:szCs w:val="18"/>
      <w:bdr w:val="single" w:color="DDDDDD" w:sz="6" w:space="0"/>
    </w:rPr>
  </w:style>
  <w:style w:type="character" w:customStyle="1" w:styleId="223">
    <w:name w:val="正文缩进 Char1"/>
    <w:qFormat/>
    <w:uiPriority w:val="0"/>
    <w:rPr>
      <w:rFonts w:eastAsia="宋体"/>
      <w:kern w:val="2"/>
      <w:sz w:val="21"/>
      <w:szCs w:val="24"/>
      <w:lang w:val="en-US" w:eastAsia="zh-CN" w:bidi="ar-SA"/>
    </w:rPr>
  </w:style>
  <w:style w:type="character" w:customStyle="1" w:styleId="224">
    <w:name w:val="批注主题 Char"/>
    <w:link w:val="41"/>
    <w:qFormat/>
    <w:uiPriority w:val="0"/>
    <w:rPr>
      <w:rFonts w:ascii="Times New Roman" w:hAnsi="Times New Roman"/>
      <w:b/>
      <w:bCs/>
      <w:kern w:val="2"/>
      <w:sz w:val="21"/>
      <w:szCs w:val="22"/>
    </w:rPr>
  </w:style>
  <w:style w:type="character" w:customStyle="1" w:styleId="225">
    <w:name w:val="font31"/>
    <w:basedOn w:val="45"/>
    <w:qFormat/>
    <w:uiPriority w:val="0"/>
    <w:rPr>
      <w:rFonts w:hint="eastAsia" w:ascii="宋体" w:hAnsi="宋体" w:eastAsia="宋体" w:cs="宋体"/>
      <w:color w:val="000000"/>
      <w:sz w:val="21"/>
      <w:szCs w:val="21"/>
      <w:u w:val="none"/>
      <w:vertAlign w:val="subscript"/>
    </w:rPr>
  </w:style>
  <w:style w:type="character" w:customStyle="1" w:styleId="226">
    <w:name w:val="页脚 Char"/>
    <w:link w:val="27"/>
    <w:qFormat/>
    <w:uiPriority w:val="99"/>
    <w:rPr>
      <w:kern w:val="2"/>
      <w:sz w:val="18"/>
      <w:szCs w:val="18"/>
    </w:rPr>
  </w:style>
  <w:style w:type="character" w:customStyle="1" w:styleId="227">
    <w:name w:val="正文* Char"/>
    <w:link w:val="115"/>
    <w:semiHidden/>
    <w:qFormat/>
    <w:uiPriority w:val="0"/>
  </w:style>
  <w:style w:type="character" w:customStyle="1" w:styleId="228">
    <w:name w:val="1正文 Char"/>
    <w:link w:val="61"/>
    <w:semiHidden/>
    <w:qFormat/>
    <w:uiPriority w:val="0"/>
    <w:rPr>
      <w:rFonts w:eastAsia="楷体_GB2312"/>
      <w:kern w:val="2"/>
      <w:sz w:val="30"/>
      <w:szCs w:val="30"/>
    </w:rPr>
  </w:style>
  <w:style w:type="character" w:customStyle="1" w:styleId="229">
    <w:name w:val="纯文本 Char"/>
    <w:qFormat/>
    <w:uiPriority w:val="0"/>
    <w:rPr>
      <w:rFonts w:ascii="宋体" w:hAnsi="Courier New" w:cs="Courier New"/>
      <w:kern w:val="2"/>
      <w:sz w:val="21"/>
      <w:szCs w:val="21"/>
    </w:rPr>
  </w:style>
  <w:style w:type="character" w:customStyle="1" w:styleId="230">
    <w:name w:val="表标题 Char"/>
    <w:link w:val="162"/>
    <w:qFormat/>
    <w:uiPriority w:val="0"/>
    <w:rPr>
      <w:rFonts w:ascii="黑体" w:hAnsi="宋体" w:eastAsia="黑体"/>
      <w:bCs/>
      <w:sz w:val="24"/>
    </w:rPr>
  </w:style>
  <w:style w:type="character" w:customStyle="1" w:styleId="231">
    <w:name w:val="样式 标题 4 + 段前: 0.5 行 段后: 0.5 行 Char"/>
    <w:link w:val="83"/>
    <w:qFormat/>
    <w:uiPriority w:val="0"/>
    <w:rPr>
      <w:rFonts w:ascii="黑体" w:hAnsi="Courier New" w:eastAsia="黑体"/>
      <w:bCs/>
      <w:kern w:val="44"/>
      <w:sz w:val="24"/>
    </w:rPr>
  </w:style>
  <w:style w:type="character" w:customStyle="1" w:styleId="232">
    <w:name w:val="报告表正文 Char"/>
    <w:link w:val="159"/>
    <w:qFormat/>
    <w:uiPriority w:val="0"/>
    <w:rPr>
      <w:sz w:val="24"/>
    </w:rPr>
  </w:style>
  <w:style w:type="character" w:customStyle="1" w:styleId="233">
    <w:name w:val="标题 3 Char"/>
    <w:link w:val="6"/>
    <w:qFormat/>
    <w:uiPriority w:val="0"/>
    <w:rPr>
      <w:rFonts w:ascii="Times New Roman" w:hAnsi="Times New Roman"/>
      <w:b/>
      <w:bCs/>
      <w:kern w:val="2"/>
      <w:sz w:val="32"/>
      <w:szCs w:val="32"/>
    </w:rPr>
  </w:style>
  <w:style w:type="character" w:customStyle="1" w:styleId="234">
    <w:name w:val="图表标题 Char"/>
    <w:link w:val="169"/>
    <w:qFormat/>
    <w:uiPriority w:val="0"/>
    <w:rPr>
      <w:sz w:val="24"/>
      <w:szCs w:val="24"/>
    </w:rPr>
  </w:style>
  <w:style w:type="character" w:customStyle="1" w:styleId="235">
    <w:name w:val="正文# Char"/>
    <w:link w:val="177"/>
    <w:semiHidden/>
    <w:qFormat/>
    <w:uiPriority w:val="0"/>
    <w:rPr>
      <w:rFonts w:cs="宋体"/>
      <w:sz w:val="24"/>
    </w:rPr>
  </w:style>
  <w:style w:type="character" w:customStyle="1" w:styleId="236">
    <w:name w:val="标题 Char2"/>
    <w:qFormat/>
    <w:uiPriority w:val="10"/>
    <w:rPr>
      <w:rFonts w:ascii="Cambria" w:hAnsi="Cambria" w:cs="Times New Roman"/>
      <w:b/>
      <w:bCs/>
      <w:kern w:val="2"/>
      <w:sz w:val="32"/>
      <w:szCs w:val="32"/>
    </w:rPr>
  </w:style>
  <w:style w:type="character" w:customStyle="1" w:styleId="237">
    <w:name w:val="日期 Char"/>
    <w:link w:val="24"/>
    <w:qFormat/>
    <w:uiPriority w:val="0"/>
    <w:rPr>
      <w:sz w:val="24"/>
    </w:rPr>
  </w:style>
  <w:style w:type="character" w:customStyle="1" w:styleId="238">
    <w:name w:val="font11"/>
    <w:basedOn w:val="45"/>
    <w:qFormat/>
    <w:uiPriority w:val="0"/>
    <w:rPr>
      <w:rFonts w:hint="default" w:ascii="Times New Roman" w:hAnsi="Times New Roman" w:cs="Times New Roman"/>
      <w:color w:val="000000"/>
      <w:sz w:val="18"/>
      <w:szCs w:val="18"/>
      <w:u w:val="none"/>
      <w:vertAlign w:val="superscript"/>
    </w:rPr>
  </w:style>
  <w:style w:type="character" w:customStyle="1" w:styleId="239">
    <w:name w:val="tcss01"/>
    <w:qFormat/>
    <w:uiPriority w:val="0"/>
  </w:style>
  <w:style w:type="character" w:customStyle="1" w:styleId="240">
    <w:name w:val="apple-converted-space"/>
    <w:basedOn w:val="45"/>
    <w:qFormat/>
    <w:uiPriority w:val="0"/>
  </w:style>
  <w:style w:type="character" w:customStyle="1" w:styleId="241">
    <w:name w:val="正文首行缩进 2 + Times New Roman Char"/>
    <w:link w:val="145"/>
    <w:qFormat/>
    <w:uiPriority w:val="0"/>
    <w:rPr>
      <w:rFonts w:eastAsia="宋体"/>
      <w:color w:val="FF0000"/>
      <w:sz w:val="24"/>
      <w:szCs w:val="24"/>
      <w:lang w:bidi="ar-SA"/>
    </w:rPr>
  </w:style>
  <w:style w:type="character" w:customStyle="1" w:styleId="242">
    <w:name w:val="样式 正文1 + 首行缩进:  2 字符 Char3"/>
    <w:link w:val="119"/>
    <w:qFormat/>
    <w:uiPriority w:val="0"/>
    <w:rPr>
      <w:rFonts w:ascii="宋体" w:cs="宋体"/>
      <w:sz w:val="24"/>
      <w:szCs w:val="24"/>
    </w:rPr>
  </w:style>
  <w:style w:type="character" w:customStyle="1" w:styleId="243">
    <w:name w:val="正文文本缩进 Char"/>
    <w:link w:val="19"/>
    <w:qFormat/>
    <w:uiPriority w:val="0"/>
  </w:style>
  <w:style w:type="character" w:customStyle="1" w:styleId="244">
    <w:name w:val="表文字 Char"/>
    <w:link w:val="84"/>
    <w:qFormat/>
    <w:uiPriority w:val="0"/>
    <w:rPr>
      <w:szCs w:val="21"/>
    </w:rPr>
  </w:style>
  <w:style w:type="character" w:customStyle="1" w:styleId="245">
    <w:name w:val="批注框文本 Char"/>
    <w:link w:val="26"/>
    <w:qFormat/>
    <w:uiPriority w:val="0"/>
    <w:rPr>
      <w:kern w:val="2"/>
      <w:sz w:val="18"/>
      <w:szCs w:val="18"/>
    </w:rPr>
  </w:style>
  <w:style w:type="character" w:customStyle="1" w:styleId="246">
    <w:name w:val="content"/>
    <w:qFormat/>
    <w:uiPriority w:val="0"/>
  </w:style>
  <w:style w:type="character" w:customStyle="1" w:styleId="247">
    <w:name w:val="aspmaker1"/>
    <w:qFormat/>
    <w:uiPriority w:val="0"/>
    <w:rPr>
      <w:rFonts w:hint="default" w:ascii="Verdana" w:hAnsi="Verdana"/>
      <w:sz w:val="20"/>
      <w:szCs w:val="20"/>
    </w:rPr>
  </w:style>
  <w:style w:type="character" w:customStyle="1" w:styleId="248">
    <w:name w:val="注释标题 Char"/>
    <w:link w:val="13"/>
    <w:qFormat/>
    <w:uiPriority w:val="0"/>
  </w:style>
  <w:style w:type="character" w:customStyle="1" w:styleId="249">
    <w:name w:val="样式 标题3 + 自动设置1 Char"/>
    <w:link w:val="95"/>
    <w:qFormat/>
    <w:uiPriority w:val="0"/>
    <w:rPr>
      <w:rFonts w:ascii="宋体" w:hAnsi="宋体"/>
      <w:b/>
      <w:bCs/>
      <w:color w:val="000000"/>
      <w:sz w:val="24"/>
      <w:szCs w:val="24"/>
    </w:rPr>
  </w:style>
  <w:style w:type="character" w:customStyle="1" w:styleId="250">
    <w:name w:val="标题 8 Char"/>
    <w:link w:val="10"/>
    <w:qFormat/>
    <w:uiPriority w:val="0"/>
    <w:rPr>
      <w:rFonts w:ascii="Arial" w:hAnsi="Arial" w:eastAsia="黑体"/>
      <w:kern w:val="2"/>
      <w:sz w:val="24"/>
      <w:szCs w:val="24"/>
    </w:rPr>
  </w:style>
  <w:style w:type="character" w:customStyle="1" w:styleId="251">
    <w:name w:val="正文首行缩进 Char"/>
    <w:link w:val="5"/>
    <w:qFormat/>
    <w:uiPriority w:val="0"/>
  </w:style>
  <w:style w:type="character" w:customStyle="1" w:styleId="252">
    <w:name w:val="报告 Char"/>
    <w:link w:val="163"/>
    <w:qFormat/>
    <w:uiPriority w:val="0"/>
    <w:rPr>
      <w:rFonts w:ascii="TimesNewRoman" w:hAnsi="TimesNewRoman"/>
      <w:sz w:val="24"/>
    </w:rPr>
  </w:style>
  <w:style w:type="character" w:customStyle="1" w:styleId="253">
    <w:name w:val="Normal Char"/>
    <w:link w:val="134"/>
    <w:qFormat/>
    <w:uiPriority w:val="0"/>
    <w:rPr>
      <w:rFonts w:ascii="宋体"/>
      <w:sz w:val="24"/>
      <w:lang w:val="en-US" w:eastAsia="zh-CN" w:bidi="ar-SA"/>
    </w:rPr>
  </w:style>
  <w:style w:type="character" w:customStyle="1" w:styleId="254">
    <w:name w:val="批注文字 Char"/>
    <w:qFormat/>
    <w:uiPriority w:val="0"/>
    <w:rPr>
      <w:kern w:val="2"/>
      <w:sz w:val="21"/>
    </w:rPr>
  </w:style>
  <w:style w:type="character" w:customStyle="1" w:styleId="255">
    <w:name w:val="unnamed11"/>
    <w:qFormat/>
    <w:uiPriority w:val="0"/>
    <w:rPr>
      <w:rFonts w:hint="default" w:ascii="??"/>
      <w:color w:val="000000"/>
      <w:sz w:val="18"/>
    </w:rPr>
  </w:style>
  <w:style w:type="character" w:customStyle="1" w:styleId="256">
    <w:name w:val="正文文本（使用1） Char"/>
    <w:link w:val="146"/>
    <w:qFormat/>
    <w:uiPriority w:val="0"/>
    <w:rPr>
      <w:rFonts w:hAnsi="宋体"/>
      <w:color w:val="0000FF"/>
      <w:sz w:val="24"/>
      <w:szCs w:val="24"/>
    </w:rPr>
  </w:style>
  <w:style w:type="character" w:customStyle="1" w:styleId="257">
    <w:name w:val="表格内容 Char"/>
    <w:link w:val="91"/>
    <w:qFormat/>
    <w:uiPriority w:val="0"/>
    <w:rPr>
      <w:rFonts w:ascii="Arial Narrow" w:hAnsi="Arial Narrow" w:eastAsia="华文中宋"/>
      <w:b/>
      <w:sz w:val="24"/>
      <w:szCs w:val="28"/>
    </w:rPr>
  </w:style>
  <w:style w:type="character" w:customStyle="1" w:styleId="258">
    <w:name w:val="CM15 Char"/>
    <w:link w:val="109"/>
    <w:qFormat/>
    <w:uiPriority w:val="0"/>
    <w:rPr>
      <w:rFonts w:ascii="宋体" w:cs="宋体"/>
      <w:sz w:val="24"/>
      <w:szCs w:val="24"/>
    </w:rPr>
  </w:style>
  <w:style w:type="character" w:customStyle="1" w:styleId="259">
    <w:name w:val="H3 Char"/>
    <w:basedOn w:val="45"/>
    <w:qFormat/>
    <w:uiPriority w:val="0"/>
    <w:rPr>
      <w:rFonts w:eastAsia="宋体"/>
      <w:b/>
      <w:bCs/>
      <w:kern w:val="2"/>
      <w:sz w:val="32"/>
      <w:szCs w:val="32"/>
      <w:lang w:val="en-US" w:eastAsia="zh-CN" w:bidi="ar-SA"/>
    </w:rPr>
  </w:style>
  <w:style w:type="character" w:customStyle="1" w:styleId="260">
    <w:name w:val="标题 2 Char"/>
    <w:link w:val="4"/>
    <w:qFormat/>
    <w:uiPriority w:val="9"/>
    <w:rPr>
      <w:rFonts w:ascii="Cambria" w:hAnsi="Cambria"/>
      <w:b/>
      <w:bCs/>
      <w:kern w:val="2"/>
      <w:sz w:val="32"/>
      <w:szCs w:val="32"/>
    </w:rPr>
  </w:style>
  <w:style w:type="character" w:customStyle="1" w:styleId="261">
    <w:name w:val="标题 6 Char"/>
    <w:link w:val="8"/>
    <w:qFormat/>
    <w:uiPriority w:val="0"/>
    <w:rPr>
      <w:rFonts w:ascii="Arial" w:hAnsi="Arial" w:eastAsia="黑体"/>
      <w:b/>
      <w:kern w:val="2"/>
      <w:sz w:val="24"/>
      <w:szCs w:val="24"/>
    </w:rPr>
  </w:style>
  <w:style w:type="character" w:customStyle="1" w:styleId="262">
    <w:name w:val="表格表头 Char"/>
    <w:link w:val="68"/>
    <w:qFormat/>
    <w:uiPriority w:val="0"/>
    <w:rPr>
      <w:rFonts w:ascii="宋体" w:hAnsi="宋体"/>
      <w:b/>
      <w:sz w:val="24"/>
      <w:szCs w:val="24"/>
    </w:rPr>
  </w:style>
  <w:style w:type="character" w:customStyle="1" w:styleId="263">
    <w:name w:val="表格标题（使用1） Char"/>
    <w:link w:val="142"/>
    <w:qFormat/>
    <w:uiPriority w:val="0"/>
    <w:rPr>
      <w:rFonts w:ascii="宋体" w:hAnsi="宋体"/>
      <w:b/>
      <w:bCs/>
      <w:sz w:val="24"/>
      <w:szCs w:val="24"/>
    </w:rPr>
  </w:style>
  <w:style w:type="character" w:customStyle="1" w:styleId="264">
    <w:name w:val="ca-01"/>
    <w:basedOn w:val="45"/>
    <w:qFormat/>
    <w:uiPriority w:val="0"/>
    <w:rPr>
      <w:rFonts w:hint="eastAsia" w:ascii="宋体" w:hAnsi="宋体" w:eastAsia="宋体"/>
      <w:sz w:val="24"/>
      <w:szCs w:val="24"/>
    </w:rPr>
  </w:style>
  <w:style w:type="character" w:customStyle="1" w:styleId="265">
    <w:name w:val="普通文字 Char Char Char1"/>
    <w:qFormat/>
    <w:locked/>
    <w:uiPriority w:val="0"/>
    <w:rPr>
      <w:rFonts w:ascii="宋体" w:hAnsi="Courier New" w:eastAsia="宋体" w:cs="Courier New"/>
      <w:kern w:val="2"/>
      <w:sz w:val="21"/>
      <w:szCs w:val="21"/>
      <w:lang w:val="en-US" w:eastAsia="zh-CN" w:bidi="ar-SA"/>
    </w:rPr>
  </w:style>
  <w:style w:type="character" w:customStyle="1" w:styleId="266">
    <w:name w:val="正文缩进 Char Char"/>
    <w:qFormat/>
    <w:locked/>
    <w:uiPriority w:val="0"/>
    <w:rPr>
      <w:rFonts w:ascii="幼圆" w:eastAsia="幼圆"/>
      <w:kern w:val="2"/>
      <w:sz w:val="24"/>
      <w:szCs w:val="24"/>
      <w:lang w:val="en-US" w:eastAsia="zh-CN" w:bidi="ar-SA"/>
    </w:rPr>
  </w:style>
  <w:style w:type="paragraph" w:customStyle="1" w:styleId="267">
    <w:name w:val="Table Paragraph"/>
    <w:basedOn w:val="1"/>
    <w:qFormat/>
    <w:uiPriority w:val="1"/>
  </w:style>
  <w:style w:type="paragraph" w:customStyle="1" w:styleId="268">
    <w:name w:val="表格"/>
    <w:qFormat/>
    <w:uiPriority w:val="0"/>
    <w:pPr>
      <w:spacing w:line="380" w:lineRule="exact"/>
      <w:jc w:val="center"/>
    </w:pPr>
    <w:rPr>
      <w:rFonts w:ascii="宋体" w:hAnsi="宋体" w:eastAsia="宋体" w:cs="Times New Roman"/>
      <w:snapToGrid w:val="0"/>
      <w:sz w:val="21"/>
      <w:lang w:val="en-US" w:eastAsia="zh-CN" w:bidi="ar-SA"/>
    </w:rPr>
  </w:style>
  <w:style w:type="paragraph" w:customStyle="1" w:styleId="269">
    <w:name w:val="封面2"/>
    <w:basedOn w:val="1"/>
    <w:next w:val="1"/>
    <w:qFormat/>
    <w:uiPriority w:val="0"/>
    <w:pPr>
      <w:keepNext/>
      <w:widowControl/>
      <w:spacing w:line="360" w:lineRule="auto"/>
      <w:jc w:val="center"/>
    </w:pPr>
    <w:rPr>
      <w:rFonts w:ascii="Times New Roman" w:hAnsi="Times New Roman"/>
      <w:b/>
      <w:bCs/>
      <w:sz w:val="84"/>
      <w:szCs w:val="84"/>
    </w:rPr>
  </w:style>
  <w:style w:type="paragraph" w:customStyle="1" w:styleId="270">
    <w:name w:val="k 正文"/>
    <w:basedOn w:val="1"/>
    <w:qFormat/>
    <w:uiPriority w:val="0"/>
    <w:pPr>
      <w:spacing w:line="360" w:lineRule="auto"/>
      <w:ind w:firstLine="200" w:firstLineChars="200"/>
    </w:pPr>
    <w:rPr>
      <w:sz w:val="24"/>
    </w:rPr>
  </w:style>
  <w:style w:type="paragraph" w:customStyle="1" w:styleId="271">
    <w:name w:val="表格内字体"/>
    <w:basedOn w:val="1"/>
    <w:next w:val="1"/>
    <w:qFormat/>
    <w:uiPriority w:val="0"/>
    <w:pPr>
      <w:adjustRightInd w:val="0"/>
      <w:snapToGrid w:val="0"/>
      <w:jc w:val="center"/>
      <w:textAlignment w:val="baseline"/>
    </w:pPr>
    <w:rPr>
      <w:szCs w:val="21"/>
    </w:rPr>
  </w:style>
  <w:style w:type="paragraph" w:customStyle="1" w:styleId="272">
    <w:name w:val="样式12"/>
    <w:basedOn w:val="1"/>
    <w:qFormat/>
    <w:uiPriority w:val="0"/>
    <w:rPr>
      <w:rFonts w:ascii="Arial" w:hAnsi="Arial" w:cs="Arial"/>
      <w:b/>
      <w:bCs/>
    </w:rPr>
  </w:style>
  <w:style w:type="paragraph" w:customStyle="1" w:styleId="273">
    <w:name w:val="5级标题"/>
    <w:basedOn w:val="1"/>
    <w:qFormat/>
    <w:uiPriority w:val="0"/>
    <w:pPr>
      <w:spacing w:line="360" w:lineRule="auto"/>
      <w:jc w:val="left"/>
    </w:pPr>
    <w:rPr>
      <w:sz w:val="24"/>
    </w:rPr>
  </w:style>
  <w:style w:type="paragraph" w:customStyle="1" w:styleId="274">
    <w:name w:val="加粗-缩2"/>
    <w:basedOn w:val="4"/>
    <w:qFormat/>
    <w:uiPriority w:val="0"/>
    <w:pPr>
      <w:ind w:firstLine="200" w:firstLineChars="200"/>
    </w:pPr>
    <w:rPr>
      <w:rFonts w:ascii="Times New Roman" w:hAnsi="Times New Roman"/>
      <w:sz w:val="24"/>
    </w:rPr>
  </w:style>
  <w:style w:type="character" w:customStyle="1" w:styleId="275">
    <w:name w:val="15"/>
    <w:basedOn w:val="45"/>
    <w:qFormat/>
    <w:uiPriority w:val="0"/>
    <w:rPr>
      <w:rFonts w:hint="default" w:ascii="Times New Roman" w:hAnsi="Times New Roman" w:cs="Times New Roman"/>
    </w:rPr>
  </w:style>
  <w:style w:type="paragraph" w:customStyle="1" w:styleId="276">
    <w:name w:val="文    本"/>
    <w:basedOn w:val="1"/>
    <w:qFormat/>
    <w:uiPriority w:val="0"/>
    <w:pPr>
      <w:adjustRightInd w:val="0"/>
      <w:snapToGrid w:val="0"/>
      <w:spacing w:line="360" w:lineRule="auto"/>
      <w:ind w:firstLine="480" w:firstLineChars="200"/>
    </w:pPr>
    <w:rPr>
      <w:rFonts w:ascii="Calibri" w:hAnsi="Calibri" w:cs="宋体"/>
      <w:sz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21.png"/><Relationship Id="rId42" Type="http://schemas.openxmlformats.org/officeDocument/2006/relationships/oleObject" Target="embeddings/oleObject14.bin"/><Relationship Id="rId41" Type="http://schemas.openxmlformats.org/officeDocument/2006/relationships/image" Target="media/image20.png"/><Relationship Id="rId40" Type="http://schemas.openxmlformats.org/officeDocument/2006/relationships/image" Target="media/image19.png"/><Relationship Id="rId4" Type="http://schemas.openxmlformats.org/officeDocument/2006/relationships/footer" Target="footer1.xml"/><Relationship Id="rId39" Type="http://schemas.openxmlformats.org/officeDocument/2006/relationships/image" Target="media/image18.wmf"/><Relationship Id="rId38" Type="http://schemas.openxmlformats.org/officeDocument/2006/relationships/oleObject" Target="embeddings/oleObject13.bin"/><Relationship Id="rId37" Type="http://schemas.openxmlformats.org/officeDocument/2006/relationships/image" Target="media/image17.wmf"/><Relationship Id="rId36" Type="http://schemas.openxmlformats.org/officeDocument/2006/relationships/oleObject" Target="embeddings/oleObject12.bin"/><Relationship Id="rId35" Type="http://schemas.openxmlformats.org/officeDocument/2006/relationships/image" Target="media/image16.wmf"/><Relationship Id="rId34" Type="http://schemas.openxmlformats.org/officeDocument/2006/relationships/oleObject" Target="embeddings/oleObject11.bin"/><Relationship Id="rId33" Type="http://schemas.openxmlformats.org/officeDocument/2006/relationships/image" Target="media/image15.wmf"/><Relationship Id="rId32" Type="http://schemas.openxmlformats.org/officeDocument/2006/relationships/oleObject" Target="embeddings/oleObject10.bin"/><Relationship Id="rId31" Type="http://schemas.openxmlformats.org/officeDocument/2006/relationships/image" Target="media/image14.wmf"/><Relationship Id="rId30" Type="http://schemas.openxmlformats.org/officeDocument/2006/relationships/oleObject" Target="embeddings/oleObject9.bin"/><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oleObject" Target="embeddings/oleObject8.bin"/><Relationship Id="rId27" Type="http://schemas.openxmlformats.org/officeDocument/2006/relationships/image" Target="media/image12.wmf"/><Relationship Id="rId26" Type="http://schemas.openxmlformats.org/officeDocument/2006/relationships/oleObject" Target="embeddings/oleObject7.bin"/><Relationship Id="rId25" Type="http://schemas.openxmlformats.org/officeDocument/2006/relationships/image" Target="media/image11.wmf"/><Relationship Id="rId24" Type="http://schemas.openxmlformats.org/officeDocument/2006/relationships/oleObject" Target="embeddings/oleObject6.bin"/><Relationship Id="rId23" Type="http://schemas.openxmlformats.org/officeDocument/2006/relationships/image" Target="media/image10.wmf"/><Relationship Id="rId22" Type="http://schemas.openxmlformats.org/officeDocument/2006/relationships/oleObject" Target="embeddings/oleObject5.bin"/><Relationship Id="rId21" Type="http://schemas.openxmlformats.org/officeDocument/2006/relationships/image" Target="media/image9.emf"/><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3.bin"/><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jpe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2013"/>
    <customShpInfo spid="_x0000_s3264"/>
  </customShpExts>
  <extobjs>
    <extobj name="ECB019B1-382A-4266-B25C-5B523AA43C14-1">
      <extobjdata type="ECB019B1-382A-4266-B25C-5B523AA43C14" data="ewogICAiRmlsZUlkIiA6ICI0NDg5MTc4OTE5OCIsCiAgICJHcm91cElkIiA6ICIzMTY4NTE0NDYiLAogICAiSW1hZ2UiIDogImlWQk9SdzBLR2dvQUFBQU5TVWhFVWdBQUFlY0FBQUdXQ0FZQUFBQkNjMHN3QUFBQUNYQklXWE1BQUFzVEFBQUxFd0VBbXB3WUFBQWdBRWxFUVZSNG5PemRlWHdUWmY0SDhNK2tKUzFYeXlWdFJjVkNGeEJZTUJNS2xGYUtLTG9vZ29KZ2x3VUZCVUVVRVRtS0xDZ3JMSWNINE1XeWNpcW9LTFNLbEFWbFFZcEFMVzBTTEY1QWEzOXU1U2lYdExURkpzMDh2ei9heEtiM2tXVFM1dk4rdlhpUnpEd3orYzRrNlRmUE04L3pERU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mc5L3dXdGJSWnVsTUZIcmdBQUFBQkpSVTVFcmtKZ2dnPT0iLAogICAiVHlwZSIgOiAiZmxvdyIKfQo="/>
    </extobj>
  </extobj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F46C33-2188-4972-8E3B-E6DE55AE7C4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75</Pages>
  <Words>7447</Words>
  <Characters>42451</Characters>
  <Lines>353</Lines>
  <Paragraphs>99</Paragraphs>
  <TotalTime>75</TotalTime>
  <ScaleCrop>false</ScaleCrop>
  <LinksUpToDate>false</LinksUpToDate>
  <CharactersWithSpaces>49799</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2015-10-22T09:39:00Z</dcterms:created>
  <dc:creator>微软用户</dc:creator>
  <cp:lastModifiedBy>一只</cp:lastModifiedBy>
  <cp:lastPrinted>2019-10-09T11:10:00Z</cp:lastPrinted>
  <dcterms:modified xsi:type="dcterms:W3CDTF">2019-12-31T02:13:28Z</dcterms:modified>
  <cp:revision>252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