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2018年度市级财政节能降耗及淘汰落后产能项目</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b w:val="0"/>
          <w:bCs w:val="0"/>
          <w:spacing w:val="-20"/>
          <w:szCs w:val="32"/>
          <w:lang w:val="en-US" w:eastAsia="zh-CN"/>
        </w:rPr>
        <w:t>2018年度市级财政节能降耗及淘汰落后产能项目（节能量奖励类</w:t>
      </w:r>
      <w:r>
        <w:rPr>
          <w:rFonts w:hint="eastAsia" w:ascii="仿宋_GB2312" w:hAnsi="仿宋_GB2312" w:cs="仿宋_GB2312"/>
          <w:szCs w:val="32"/>
          <w:lang w:eastAsia="zh-CN"/>
        </w:rPr>
        <w:t>）</w:t>
      </w:r>
      <w:r>
        <w:rPr>
          <w:rFonts w:hint="eastAsia" w:ascii="仿宋_GB2312" w:hAnsi="仿宋_GB2312" w:cs="仿宋_GB2312"/>
          <w:szCs w:val="32"/>
          <w:lang w:val="en-US" w:eastAsia="zh-CN"/>
        </w:rPr>
        <w:t>2</w:t>
      </w:r>
      <w:r>
        <w:rPr>
          <w:rFonts w:hint="eastAsia" w:ascii="仿宋_GB2312" w:hAnsi="仿宋_GB2312" w:cs="仿宋_GB2312"/>
          <w:szCs w:val="32"/>
          <w:lang w:eastAsia="zh-CN"/>
        </w:rPr>
        <w:t>户，（云南大互通钛业有限公司</w:t>
      </w:r>
      <w:r>
        <w:rPr>
          <w:rFonts w:hint="eastAsia" w:ascii="仿宋_GB2312" w:hAnsi="仿宋_GB2312" w:cs="仿宋_GB2312"/>
          <w:szCs w:val="32"/>
          <w:lang w:val="en-US" w:eastAsia="zh-CN"/>
        </w:rPr>
        <w:t>120万元、富民和平化工有限责任公司28万元</w:t>
      </w:r>
      <w:r>
        <w:rPr>
          <w:rFonts w:hint="eastAsia" w:ascii="仿宋_GB2312" w:hAnsi="仿宋_GB2312" w:cs="仿宋_GB2312"/>
          <w:szCs w:val="32"/>
          <w:lang w:eastAsia="zh-CN"/>
        </w:rPr>
        <w:t>）共补助</w:t>
      </w:r>
      <w:r>
        <w:rPr>
          <w:rFonts w:hint="eastAsia" w:ascii="仿宋_GB2312" w:hAnsi="仿宋_GB2312" w:cs="仿宋_GB2312"/>
          <w:szCs w:val="32"/>
          <w:lang w:val="en-US" w:eastAsia="zh-CN"/>
        </w:rPr>
        <w:t>148万元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：企业实施节能技术改造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eastAsia="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bookmarkStart w:id="0" w:name="_GoBack"/>
      <w:bookmarkEnd w:id="0"/>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Pr>
        <w:rPr>
          <w:sz w:val="15"/>
          <w:szCs w:val="15"/>
        </w:rPr>
      </w:pPr>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
                <w:bCs/>
                <w:sz w:val="18"/>
                <w:szCs w:val="18"/>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F9467F1"/>
    <w:rsid w:val="25DF3788"/>
    <w:rsid w:val="2AA0262A"/>
    <w:rsid w:val="32B60A0B"/>
    <w:rsid w:val="34536B2B"/>
    <w:rsid w:val="406B709B"/>
    <w:rsid w:val="43C02AEA"/>
    <w:rsid w:val="499E6912"/>
    <w:rsid w:val="4FBB272C"/>
    <w:rsid w:val="580B0E27"/>
    <w:rsid w:val="6AB71A96"/>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5</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2020-04-14T09:19:06Z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