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2E7588" w:rsidP="00753D46">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市级促进外贸增长奖励</w:t>
      </w:r>
      <w:r w:rsidR="00753D46">
        <w:rPr>
          <w:rFonts w:ascii="方正小标宋简体" w:eastAsia="方正小标宋简体" w:hAnsi="黑体" w:hint="eastAsia"/>
          <w:spacing w:val="-20"/>
          <w:szCs w:val="32"/>
        </w:rPr>
        <w:t>资金</w:t>
      </w:r>
      <w:r w:rsidR="00D96B8D" w:rsidRPr="00DA414F">
        <w:rPr>
          <w:rFonts w:ascii="方正小标宋简体" w:eastAsia="方正小标宋简体" w:hint="eastAsia"/>
          <w:szCs w:val="32"/>
        </w:rPr>
        <w:t>支出绩效评价报告</w:t>
      </w:r>
    </w:p>
    <w:p w:rsidR="00D96B8D" w:rsidRPr="00DA414F"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330E56">
        <w:rPr>
          <w:rFonts w:ascii="仿宋_GB2312" w:hAnsi="楷体" w:hint="eastAsia"/>
          <w:szCs w:val="32"/>
        </w:rPr>
        <w:t>2018年，</w:t>
      </w:r>
      <w:r w:rsidR="00D6271F">
        <w:rPr>
          <w:rFonts w:ascii="仿宋_GB2312" w:hAnsi="楷体" w:hint="eastAsia"/>
          <w:szCs w:val="32"/>
        </w:rPr>
        <w:t>云南</w:t>
      </w:r>
      <w:proofErr w:type="gramStart"/>
      <w:r w:rsidR="00D6271F">
        <w:rPr>
          <w:rFonts w:ascii="仿宋_GB2312" w:hAnsi="楷体" w:hint="eastAsia"/>
          <w:szCs w:val="32"/>
        </w:rPr>
        <w:t>博锐通供应</w:t>
      </w:r>
      <w:proofErr w:type="gramEnd"/>
      <w:r w:rsidR="00D6271F">
        <w:rPr>
          <w:rFonts w:ascii="仿宋_GB2312" w:hAnsi="楷体" w:hint="eastAsia"/>
          <w:szCs w:val="32"/>
        </w:rPr>
        <w:t>链管理有限公司完成进出口总额10839</w:t>
      </w:r>
      <w:r w:rsidR="00E92336">
        <w:rPr>
          <w:rFonts w:ascii="仿宋_GB2312" w:hAnsi="楷体" w:hint="eastAsia"/>
          <w:szCs w:val="32"/>
        </w:rPr>
        <w:t>万美元，其中，</w:t>
      </w:r>
      <w:r w:rsidR="00D6271F">
        <w:rPr>
          <w:rFonts w:ascii="仿宋_GB2312" w:hAnsi="楷体" w:hint="eastAsia"/>
          <w:szCs w:val="32"/>
        </w:rPr>
        <w:t>进口3233万美元，出口7606</w:t>
      </w:r>
      <w:r w:rsidR="00E92336">
        <w:rPr>
          <w:rFonts w:ascii="仿宋_GB2312" w:hAnsi="楷体" w:hint="eastAsia"/>
          <w:szCs w:val="32"/>
        </w:rPr>
        <w:t>万美元</w:t>
      </w:r>
      <w:r w:rsidR="00D6271F">
        <w:rPr>
          <w:rFonts w:ascii="仿宋_GB2312" w:hAnsi="楷体" w:hint="eastAsia"/>
          <w:szCs w:val="32"/>
        </w:rPr>
        <w:t>。</w:t>
      </w:r>
      <w:r w:rsidR="00E92336">
        <w:rPr>
          <w:rFonts w:ascii="仿宋_GB2312" w:hAnsi="楷体" w:hint="eastAsia"/>
          <w:szCs w:val="32"/>
        </w:rPr>
        <w:t>因为业绩突出，获得市级促进外贸增长奖励资金22.75万元。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w:t>
      </w:r>
      <w:r w:rsidR="00C358B4">
        <w:rPr>
          <w:rFonts w:ascii="仿宋_GB2312" w:hAnsi="楷体" w:hint="eastAsia"/>
          <w:szCs w:val="32"/>
        </w:rPr>
        <w:t>市级促进外贸增长奖励</w:t>
      </w:r>
      <w:r w:rsidR="00330E56">
        <w:rPr>
          <w:rFonts w:ascii="仿宋_GB2312" w:hAnsi="楷体" w:hint="eastAsia"/>
          <w:szCs w:val="32"/>
        </w:rPr>
        <w:t>资金，对推动</w:t>
      </w:r>
      <w:r w:rsidR="00C358B4">
        <w:rPr>
          <w:rFonts w:ascii="仿宋_GB2312" w:hAnsi="楷体" w:hint="eastAsia"/>
          <w:szCs w:val="32"/>
        </w:rPr>
        <w:t>本省产品出口成绩突出、贡献较大的企业</w:t>
      </w:r>
      <w:r w:rsidR="00944CA9">
        <w:rPr>
          <w:rFonts w:ascii="仿宋_GB2312" w:hAnsi="楷体" w:hint="eastAsia"/>
          <w:szCs w:val="32"/>
        </w:rPr>
        <w:t>给予扶持奖励。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CD38F8">
        <w:rPr>
          <w:rFonts w:ascii="仿宋_GB2312" w:hAnsi="楷体" w:hint="eastAsia"/>
          <w:szCs w:val="32"/>
        </w:rPr>
        <w:t>云南</w:t>
      </w:r>
      <w:proofErr w:type="gramStart"/>
      <w:r w:rsidR="00CD38F8">
        <w:rPr>
          <w:rFonts w:ascii="仿宋_GB2312" w:hAnsi="楷体" w:hint="eastAsia"/>
          <w:szCs w:val="32"/>
        </w:rPr>
        <w:t>博锐通供应</w:t>
      </w:r>
      <w:proofErr w:type="gramEnd"/>
      <w:r w:rsidR="00CD38F8">
        <w:rPr>
          <w:rFonts w:ascii="仿宋_GB2312" w:hAnsi="楷体" w:hint="eastAsia"/>
          <w:szCs w:val="32"/>
        </w:rPr>
        <w:t>链管理有限公司主营手机系列产品。</w:t>
      </w:r>
      <w:r w:rsidR="00894909">
        <w:rPr>
          <w:rFonts w:ascii="仿宋_GB2312" w:hAnsi="楷体" w:hint="eastAsia"/>
          <w:szCs w:val="32"/>
        </w:rPr>
        <w:t>按照上级扶持政策要求，根据企业2018年生产经营情况</w:t>
      </w:r>
      <w:r w:rsidR="00C06540">
        <w:rPr>
          <w:rFonts w:ascii="仿宋_GB2312" w:hAnsi="楷体" w:hint="eastAsia"/>
          <w:szCs w:val="32"/>
        </w:rPr>
        <w:t>和出口业绩</w:t>
      </w:r>
      <w:r w:rsidR="00894909">
        <w:rPr>
          <w:rFonts w:ascii="仿宋_GB2312" w:hAnsi="楷体" w:hint="eastAsia"/>
          <w:szCs w:val="32"/>
        </w:rPr>
        <w:t>，对项目进行初审上报</w:t>
      </w:r>
      <w:r w:rsidR="00C16131">
        <w:rPr>
          <w:rFonts w:ascii="仿宋_GB2312" w:hAnsi="楷体" w:hint="eastAsia"/>
          <w:szCs w:val="32"/>
        </w:rPr>
        <w:t>，上级核实后对企业给以资金补助</w:t>
      </w:r>
      <w:r w:rsidR="00894909">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C62BE5">
        <w:rPr>
          <w:rFonts w:ascii="仿宋_GB2312" w:hAnsi="楷体" w:hint="eastAsia"/>
          <w:szCs w:val="32"/>
        </w:rPr>
        <w:t>市级促进外贸增长奖励</w:t>
      </w:r>
      <w:r w:rsidR="00894909">
        <w:rPr>
          <w:rFonts w:ascii="仿宋_GB2312" w:hAnsi="楷体" w:hint="eastAsia"/>
          <w:szCs w:val="32"/>
        </w:rPr>
        <w:t>资金扶持项目，主要用于</w:t>
      </w:r>
      <w:r w:rsidR="00C62BE5">
        <w:rPr>
          <w:rFonts w:ascii="仿宋_GB2312" w:hAnsi="楷体" w:hint="eastAsia"/>
          <w:szCs w:val="32"/>
        </w:rPr>
        <w:t>对出口本省产品超过1000万美元以上的企业</w:t>
      </w:r>
      <w:r w:rsidR="00894909">
        <w:rPr>
          <w:rFonts w:ascii="仿宋_GB2312" w:hAnsi="楷体" w:hint="eastAsia"/>
          <w:szCs w:val="32"/>
        </w:rPr>
        <w:t>给予奖励。资金到位后，经过我局党委会研究讨论，及时拨付相关企业。</w:t>
      </w:r>
    </w:p>
    <w:p w:rsidR="00D96B8D" w:rsidRPr="00C32664" w:rsidRDefault="00D96B8D" w:rsidP="00C32664">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CB05D8" w:rsidRPr="00C32664">
        <w:rPr>
          <w:rFonts w:ascii="仿宋_GB2312" w:hAnsi="楷体" w:hint="eastAsia"/>
          <w:szCs w:val="32"/>
        </w:rPr>
        <w:t>按照上级文件要求，组织符合条件的企业</w:t>
      </w:r>
      <w:r w:rsidR="00C32664" w:rsidRPr="00C32664">
        <w:rPr>
          <w:rFonts w:ascii="仿宋_GB2312" w:hAnsi="楷体" w:hint="eastAsia"/>
          <w:szCs w:val="32"/>
        </w:rPr>
        <w:t>认真</w:t>
      </w:r>
      <w:r w:rsidR="00CB05D8" w:rsidRPr="00C32664">
        <w:rPr>
          <w:rFonts w:ascii="仿宋_GB2312" w:hAnsi="楷体" w:hint="eastAsia"/>
          <w:szCs w:val="32"/>
        </w:rPr>
        <w:t>申报，并且对企业生产经营情况，依法经营情况开展核实</w:t>
      </w:r>
      <w:r w:rsidR="00C32664" w:rsidRPr="00C32664">
        <w:rPr>
          <w:rFonts w:ascii="仿宋_GB2312" w:hAnsi="楷体" w:hint="eastAsia"/>
          <w:szCs w:val="32"/>
        </w:rPr>
        <w:t>，确认企业经营正常，无违规违纪行为后再向上级推荐申报</w:t>
      </w:r>
      <w:r w:rsidR="00CB05D8" w:rsidRPr="00C32664">
        <w:rPr>
          <w:rFonts w:ascii="仿宋_GB2312" w:hAnsi="楷体" w:hint="eastAsia"/>
          <w:szCs w:val="32"/>
        </w:rPr>
        <w:t>；</w:t>
      </w:r>
      <w:r w:rsidR="00C32664">
        <w:rPr>
          <w:rFonts w:ascii="仿宋_GB2312" w:hAnsi="楷体" w:hint="eastAsia"/>
          <w:szCs w:val="32"/>
        </w:rPr>
        <w:t>补助资金到位后，经过局党委会研究讨论，及时拨付相关企业。</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lastRenderedPageBreak/>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B862A3">
        <w:rPr>
          <w:rFonts w:ascii="仿宋_GB2312" w:hAnsi="楷体" w:hint="eastAsia"/>
          <w:szCs w:val="32"/>
        </w:rPr>
        <w:t>进出口总额较上一年增长15%。</w:t>
      </w:r>
    </w:p>
    <w:p w:rsidR="00A6026C" w:rsidRDefault="00D96B8D" w:rsidP="00D96B8D">
      <w:pPr>
        <w:topLinePunct/>
        <w:spacing w:line="540" w:lineRule="exact"/>
        <w:ind w:firstLineChars="250" w:firstLine="800"/>
        <w:rPr>
          <w:rFonts w:ascii="仿宋_GB2312" w:hAnsi="楷体" w:hint="eastAsia"/>
          <w:szCs w:val="32"/>
        </w:rPr>
      </w:pPr>
      <w:r w:rsidRPr="00DA414F">
        <w:rPr>
          <w:rFonts w:ascii="仿宋_GB2312" w:hAnsi="楷体" w:hint="eastAsia"/>
          <w:szCs w:val="32"/>
        </w:rPr>
        <w:t>2.年度目标。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B862A3">
        <w:rPr>
          <w:rFonts w:ascii="仿宋_GB2312" w:hAnsi="楷体" w:hint="eastAsia"/>
          <w:szCs w:val="32"/>
        </w:rPr>
        <w:t>全县进出口总额较上一年增长109.4%。</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8125C3">
        <w:rPr>
          <w:rFonts w:ascii="仿宋_GB2312" w:hAnsi="楷体" w:hint="eastAsia"/>
          <w:szCs w:val="32"/>
        </w:rPr>
        <w:t>超额完成上级下达工作目标，获得资金补助的企业更是实现了进出口总额快速增长，拓展了国际市场，稳定了就业岗位，达到经济效益、社会效益双丰收的最佳效果。</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A6026C">
        <w:rPr>
          <w:rFonts w:ascii="仿宋_GB2312" w:hAnsi="楷体"/>
          <w:sz w:val="24"/>
          <w:szCs w:val="24"/>
        </w:rPr>
        <w:t xml:space="preserve"> </w:t>
      </w:r>
    </w:p>
    <w:p w:rsidR="00D96B8D" w:rsidRPr="00D61AE8" w:rsidRDefault="00B26FA1" w:rsidP="00D61AE8">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w:t>
      </w:r>
      <w:r w:rsidR="00E12EB5" w:rsidRPr="00D61AE8">
        <w:rPr>
          <w:rFonts w:ascii="仿宋_GB2312" w:hAnsi="楷体" w:hint="eastAsia"/>
          <w:szCs w:val="32"/>
        </w:rPr>
        <w:t>相关企业付出了巨大的努力</w:t>
      </w:r>
      <w:r w:rsidRPr="00D61AE8">
        <w:rPr>
          <w:rFonts w:ascii="仿宋_GB2312" w:hAnsi="楷体" w:hint="eastAsia"/>
          <w:szCs w:val="32"/>
        </w:rPr>
        <w:t>，</w:t>
      </w:r>
      <w:r w:rsidR="00D61AE8">
        <w:rPr>
          <w:rFonts w:ascii="仿宋_GB2312" w:hAnsi="楷体" w:hint="eastAsia"/>
          <w:szCs w:val="32"/>
        </w:rPr>
        <w:t>运作规范，较好完成了产出目标，实现了出口扩销</w:t>
      </w:r>
      <w:r w:rsidR="00C451E7">
        <w:rPr>
          <w:rFonts w:ascii="仿宋_GB2312" w:hAnsi="楷体" w:hint="eastAsia"/>
          <w:szCs w:val="32"/>
        </w:rPr>
        <w:t>、增强企业市场</w:t>
      </w:r>
      <w:r w:rsidR="00514AF8">
        <w:rPr>
          <w:rFonts w:ascii="仿宋_GB2312" w:hAnsi="楷体" w:hint="eastAsia"/>
          <w:szCs w:val="32"/>
        </w:rPr>
        <w:t>国际</w:t>
      </w:r>
      <w:r w:rsidR="00C451E7">
        <w:rPr>
          <w:rFonts w:ascii="仿宋_GB2312" w:hAnsi="楷体" w:hint="eastAsia"/>
          <w:szCs w:val="32"/>
        </w:rPr>
        <w:t>竞争力，经济效益、社会效益双丰收</w:t>
      </w:r>
      <w:r w:rsidR="00D61AE8">
        <w:rPr>
          <w:rFonts w:ascii="仿宋_GB2312" w:hAnsi="楷体" w:hint="eastAsia"/>
          <w:szCs w:val="32"/>
        </w:rPr>
        <w:t>的</w:t>
      </w:r>
      <w:r w:rsidR="00C451E7">
        <w:rPr>
          <w:rFonts w:ascii="仿宋_GB2312" w:hAnsi="楷体" w:hint="eastAsia"/>
          <w:szCs w:val="32"/>
        </w:rPr>
        <w:t>效果。</w:t>
      </w:r>
      <w:r w:rsidR="00D35E26">
        <w:rPr>
          <w:rFonts w:ascii="仿宋_GB2312" w:hAnsi="楷体" w:hint="eastAsia"/>
          <w:szCs w:val="32"/>
        </w:rPr>
        <w:t>鼓励、引导企业积极开展对外贸易，可以促进企业提高产品和服务质量，规避国内竞争。</w:t>
      </w:r>
      <w:r w:rsidR="00071B44">
        <w:rPr>
          <w:rFonts w:ascii="仿宋_GB2312" w:hAnsi="楷体" w:hint="eastAsia"/>
          <w:szCs w:val="32"/>
        </w:rPr>
        <w:t>市级促进外贸增长奖励</w:t>
      </w:r>
      <w:r w:rsidR="002F2618" w:rsidRPr="002F2618">
        <w:rPr>
          <w:rFonts w:ascii="仿宋_GB2312" w:hAnsi="楷体" w:hint="eastAsia"/>
          <w:szCs w:val="32"/>
        </w:rPr>
        <w:t>资金扶持项目</w:t>
      </w:r>
      <w:r w:rsidR="00097918">
        <w:rPr>
          <w:rFonts w:ascii="仿宋_GB2312" w:hAnsi="楷体" w:hint="eastAsia"/>
          <w:szCs w:val="32"/>
        </w:rPr>
        <w:t>设置合理，对企业开展跨境贸易具有引导、激励作用。</w:t>
      </w:r>
      <w:r w:rsidR="008C6C65">
        <w:rPr>
          <w:rFonts w:ascii="仿宋_GB2312" w:hAnsi="楷体" w:hint="eastAsia"/>
          <w:szCs w:val="32"/>
        </w:rPr>
        <w:t>补助资金安排、企业对应项目实施的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w:t>
      </w:r>
      <w:r w:rsidR="00071B44">
        <w:rPr>
          <w:rFonts w:ascii="仿宋_GB2312" w:hAnsi="楷体" w:hint="eastAsia"/>
          <w:szCs w:val="32"/>
        </w:rPr>
        <w:t>出口本省产品的企业</w:t>
      </w:r>
      <w:r w:rsidR="008C6C65">
        <w:rPr>
          <w:rFonts w:ascii="仿宋_GB2312" w:hAnsi="楷体" w:hint="eastAsia"/>
          <w:szCs w:val="32"/>
        </w:rPr>
        <w:t>给予奖励。达到了预期的效果，对企业积极开展对外贸易发挥了积极的引领作用。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用海关数据真实可靠，项目申报程序、评审体系公开公正，绩效关联度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lastRenderedPageBreak/>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071B44">
        <w:rPr>
          <w:rFonts w:ascii="仿宋_GB2312" w:hAnsi="楷体" w:hint="eastAsia"/>
          <w:szCs w:val="32"/>
        </w:rPr>
        <w:t>市级促进外贸增长奖励</w:t>
      </w:r>
      <w:r w:rsidR="00177EDE">
        <w:rPr>
          <w:rFonts w:ascii="仿宋_GB2312" w:hAnsi="楷体" w:hint="eastAsia"/>
          <w:szCs w:val="32"/>
        </w:rPr>
        <w:t>资金扶持项目，设置科学合理，</w:t>
      </w:r>
      <w:r w:rsidR="00B86D3A">
        <w:rPr>
          <w:rFonts w:ascii="仿宋_GB2312" w:hAnsi="楷体" w:hint="eastAsia"/>
          <w:szCs w:val="32"/>
        </w:rPr>
        <w:t>对开展跨境贸易的企业支持引导作用大，财政资金杠杆作用显著，</w:t>
      </w:r>
      <w:r w:rsidR="004D37F4">
        <w:rPr>
          <w:rFonts w:ascii="仿宋_GB2312" w:hAnsi="楷体" w:hint="eastAsia"/>
          <w:szCs w:val="32"/>
        </w:rPr>
        <w:t>真正起到了抛砖引玉的效果。</w:t>
      </w:r>
    </w:p>
    <w:p w:rsidR="00BB1FDA" w:rsidRPr="00DA414F" w:rsidRDefault="00E560DB" w:rsidP="00BB1FDA">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557BBA">
        <w:rPr>
          <w:rFonts w:ascii="仿宋_GB2312" w:hAnsi="楷体" w:hint="eastAsia"/>
          <w:szCs w:val="32"/>
        </w:rPr>
        <w:t>2018年，富民县进出口贸易总额达到16230万美元，创历史新高。其中云南</w:t>
      </w:r>
      <w:proofErr w:type="gramStart"/>
      <w:r w:rsidR="00557BBA">
        <w:rPr>
          <w:rFonts w:ascii="仿宋_GB2312" w:hAnsi="楷体" w:hint="eastAsia"/>
          <w:szCs w:val="32"/>
        </w:rPr>
        <w:t>博锐通供应</w:t>
      </w:r>
      <w:proofErr w:type="gramEnd"/>
      <w:r w:rsidR="00557BBA">
        <w:rPr>
          <w:rFonts w:ascii="仿宋_GB2312" w:hAnsi="楷体" w:hint="eastAsia"/>
          <w:szCs w:val="32"/>
        </w:rPr>
        <w:t>链管理有限公司完成进出口总额10839万美元（进口3233万美元，出口7606万美元）</w:t>
      </w:r>
      <w:r w:rsidR="00BB1FDA">
        <w:rPr>
          <w:rFonts w:ascii="仿宋_GB2312" w:hAnsi="楷体" w:hint="eastAsia"/>
          <w:szCs w:val="32"/>
        </w:rPr>
        <w:t>。</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6A4483" w:rsidRPr="008F138C" w:rsidRDefault="00071B44" w:rsidP="008F138C">
      <w:pPr>
        <w:topLinePunct/>
        <w:spacing w:line="540" w:lineRule="exact"/>
        <w:ind w:firstLineChars="250" w:firstLine="800"/>
        <w:rPr>
          <w:rFonts w:ascii="仿宋_GB2312" w:hAnsi="楷体"/>
          <w:szCs w:val="32"/>
        </w:rPr>
      </w:pPr>
      <w:r>
        <w:rPr>
          <w:rFonts w:ascii="仿宋_GB2312" w:hAnsi="楷体" w:hint="eastAsia"/>
          <w:szCs w:val="32"/>
        </w:rPr>
        <w:t>市级促进外贸增长奖励资金扶持项目，主要用于对出口本省产品超过1000万美元以上的企业给予奖励。</w:t>
      </w:r>
      <w:r w:rsidR="006A4483">
        <w:rPr>
          <w:rFonts w:ascii="仿宋_GB2312" w:hAnsi="楷体" w:hint="eastAsia"/>
          <w:szCs w:val="32"/>
        </w:rPr>
        <w:t>资金到位后，经过我局党委会研究讨论，及时如数拨付相关企业。</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严格按照项目资金申报条件认真研究、筛选，组织符合条件</w:t>
      </w:r>
      <w:r w:rsidR="005A1B90">
        <w:rPr>
          <w:rFonts w:ascii="仿宋_GB2312" w:hAnsi="楷体" w:hint="eastAsia"/>
          <w:szCs w:val="32"/>
        </w:rPr>
        <w:t>的</w:t>
      </w:r>
      <w:r w:rsidR="003C4B37">
        <w:rPr>
          <w:rFonts w:ascii="仿宋_GB2312" w:hAnsi="楷体" w:hint="eastAsia"/>
          <w:szCs w:val="32"/>
        </w:rPr>
        <w:t>相关企业积极申报，所申报的项目经过上级审核并且获得扶持补助资金后，在资金拨付前要对企业生产经营情况进行进一步的了解核查，</w:t>
      </w:r>
      <w:r w:rsidR="005A1B90">
        <w:rPr>
          <w:rFonts w:ascii="仿宋_GB2312" w:hAnsi="楷体" w:hint="eastAsia"/>
          <w:szCs w:val="32"/>
        </w:rPr>
        <w:t>确认无问题后，</w:t>
      </w:r>
      <w:proofErr w:type="gramStart"/>
      <w:r w:rsidR="005A1B90">
        <w:rPr>
          <w:rFonts w:ascii="仿宋_GB2312" w:hAnsi="楷体" w:hint="eastAsia"/>
          <w:szCs w:val="32"/>
        </w:rPr>
        <w:t>提请局</w:t>
      </w:r>
      <w:proofErr w:type="gramEnd"/>
      <w:r w:rsidR="005A1B90">
        <w:rPr>
          <w:rFonts w:ascii="仿宋_GB2312" w:hAnsi="楷体" w:hint="eastAsia"/>
          <w:szCs w:val="32"/>
        </w:rPr>
        <w:t>党委会或局务会研究讨论，同意拨付后，及时通知相关企业到我局办理资金拨付手续。</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我县商贸业体量小，符合上级扶持奖励条件的企业少，向上争取资金难度大。</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w:t>
      </w:r>
      <w:r w:rsidR="00082015" w:rsidRPr="00C4506B">
        <w:rPr>
          <w:rFonts w:ascii="仿宋_GB2312" w:eastAsia="仿宋_GB2312" w:hAnsi="宋体" w:cs="宋体" w:hint="eastAsia"/>
          <w:color w:val="000000"/>
          <w:kern w:val="0"/>
          <w:sz w:val="32"/>
          <w:szCs w:val="32"/>
        </w:rPr>
        <w:lastRenderedPageBreak/>
        <w:t>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A6026C">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A6026C">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7E14F2" w:rsidP="0012734F">
            <w:pPr>
              <w:spacing w:line="240" w:lineRule="exact"/>
              <w:rPr>
                <w:rFonts w:ascii="仿宋_GB2312"/>
                <w:sz w:val="18"/>
                <w:szCs w:val="18"/>
              </w:rPr>
            </w:pPr>
            <w:r>
              <w:rPr>
                <w:rFonts w:ascii="仿宋_GB2312" w:hint="eastAsia"/>
                <w:sz w:val="18"/>
                <w:szCs w:val="18"/>
              </w:rPr>
              <w:t>4</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0F023D"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1E16AA" w:rsidP="005800A0">
            <w:pPr>
              <w:spacing w:line="240" w:lineRule="exact"/>
              <w:jc w:val="center"/>
              <w:rPr>
                <w:rFonts w:ascii="仿宋_GB2312"/>
                <w:sz w:val="18"/>
                <w:szCs w:val="18"/>
              </w:rPr>
            </w:pPr>
            <w:r>
              <w:rPr>
                <w:rFonts w:ascii="仿宋_GB2312" w:hint="eastAsia"/>
                <w:sz w:val="18"/>
                <w:szCs w:val="18"/>
              </w:rPr>
              <w:t>1</w:t>
            </w:r>
            <w:r w:rsidR="007E14F2">
              <w:rPr>
                <w:rFonts w:ascii="仿宋_GB2312" w:hint="eastAsia"/>
                <w:sz w:val="18"/>
                <w:szCs w:val="18"/>
              </w:rPr>
              <w:t>8</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907C08" w:rsidRDefault="00402260" w:rsidP="00907C08">
            <w:pPr>
              <w:spacing w:line="240" w:lineRule="exact"/>
              <w:jc w:val="center"/>
              <w:rPr>
                <w:rFonts w:ascii="仿宋_GB2312"/>
                <w:sz w:val="18"/>
                <w:szCs w:val="18"/>
              </w:rPr>
            </w:pPr>
            <w:r>
              <w:rPr>
                <w:rFonts w:ascii="仿宋_GB2312" w:hint="eastAsia"/>
                <w:sz w:val="18"/>
                <w:szCs w:val="18"/>
              </w:rPr>
              <w:t>92</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B58" w:rsidRDefault="00936B58" w:rsidP="00D96B8D">
      <w:r>
        <w:separator/>
      </w:r>
    </w:p>
  </w:endnote>
  <w:endnote w:type="continuationSeparator" w:id="0">
    <w:p w:rsidR="00936B58" w:rsidRDefault="00936B58"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B58" w:rsidRDefault="00936B58" w:rsidP="00D96B8D">
      <w:r>
        <w:separator/>
      </w:r>
    </w:p>
  </w:footnote>
  <w:footnote w:type="continuationSeparator" w:id="0">
    <w:p w:rsidR="00936B58" w:rsidRDefault="00936B58"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71B44"/>
    <w:rsid w:val="00076B47"/>
    <w:rsid w:val="00082015"/>
    <w:rsid w:val="00097918"/>
    <w:rsid w:val="000A2E4C"/>
    <w:rsid w:val="000D34A9"/>
    <w:rsid w:val="000D37FE"/>
    <w:rsid w:val="000D6550"/>
    <w:rsid w:val="000F023D"/>
    <w:rsid w:val="000F16B4"/>
    <w:rsid w:val="001104B7"/>
    <w:rsid w:val="00110577"/>
    <w:rsid w:val="00127A2F"/>
    <w:rsid w:val="00175AAC"/>
    <w:rsid w:val="00177EDE"/>
    <w:rsid w:val="00197507"/>
    <w:rsid w:val="001C5DCB"/>
    <w:rsid w:val="001E16AA"/>
    <w:rsid w:val="00202BA9"/>
    <w:rsid w:val="00246DAD"/>
    <w:rsid w:val="00256205"/>
    <w:rsid w:val="0025715A"/>
    <w:rsid w:val="002C1657"/>
    <w:rsid w:val="002E3518"/>
    <w:rsid w:val="002E7588"/>
    <w:rsid w:val="002F2618"/>
    <w:rsid w:val="003033E4"/>
    <w:rsid w:val="00330E56"/>
    <w:rsid w:val="00341940"/>
    <w:rsid w:val="00360ECB"/>
    <w:rsid w:val="00364740"/>
    <w:rsid w:val="003777D5"/>
    <w:rsid w:val="003A7CF6"/>
    <w:rsid w:val="003C2470"/>
    <w:rsid w:val="003C4B37"/>
    <w:rsid w:val="003D7DDC"/>
    <w:rsid w:val="003E1CE8"/>
    <w:rsid w:val="00402260"/>
    <w:rsid w:val="004404E8"/>
    <w:rsid w:val="004D37F4"/>
    <w:rsid w:val="004E1CFF"/>
    <w:rsid w:val="00514AF8"/>
    <w:rsid w:val="0054621D"/>
    <w:rsid w:val="00557BBA"/>
    <w:rsid w:val="005800A0"/>
    <w:rsid w:val="0059730F"/>
    <w:rsid w:val="005A1B90"/>
    <w:rsid w:val="005B6DCE"/>
    <w:rsid w:val="005C4EBC"/>
    <w:rsid w:val="0068776A"/>
    <w:rsid w:val="006A4483"/>
    <w:rsid w:val="006B646E"/>
    <w:rsid w:val="006C69CD"/>
    <w:rsid w:val="006E11EF"/>
    <w:rsid w:val="007363EF"/>
    <w:rsid w:val="00753D46"/>
    <w:rsid w:val="00790833"/>
    <w:rsid w:val="007A2AEE"/>
    <w:rsid w:val="007B15FD"/>
    <w:rsid w:val="007C1E72"/>
    <w:rsid w:val="007E14F2"/>
    <w:rsid w:val="008125C3"/>
    <w:rsid w:val="008200F2"/>
    <w:rsid w:val="00825412"/>
    <w:rsid w:val="008429E3"/>
    <w:rsid w:val="00886D40"/>
    <w:rsid w:val="00894909"/>
    <w:rsid w:val="008C67AB"/>
    <w:rsid w:val="008C6C65"/>
    <w:rsid w:val="008D1B0B"/>
    <w:rsid w:val="008D6DE8"/>
    <w:rsid w:val="008F138C"/>
    <w:rsid w:val="009073BC"/>
    <w:rsid w:val="00907C08"/>
    <w:rsid w:val="00936B58"/>
    <w:rsid w:val="00944CA9"/>
    <w:rsid w:val="00971170"/>
    <w:rsid w:val="00975905"/>
    <w:rsid w:val="00984532"/>
    <w:rsid w:val="00991C6C"/>
    <w:rsid w:val="00993DEC"/>
    <w:rsid w:val="009A7C71"/>
    <w:rsid w:val="009D4A58"/>
    <w:rsid w:val="009E55C2"/>
    <w:rsid w:val="00A3508F"/>
    <w:rsid w:val="00A4158F"/>
    <w:rsid w:val="00A565B5"/>
    <w:rsid w:val="00A6026C"/>
    <w:rsid w:val="00A70BC2"/>
    <w:rsid w:val="00A7249B"/>
    <w:rsid w:val="00A730D7"/>
    <w:rsid w:val="00A9345F"/>
    <w:rsid w:val="00B26FA1"/>
    <w:rsid w:val="00B27C69"/>
    <w:rsid w:val="00B540B6"/>
    <w:rsid w:val="00B7368C"/>
    <w:rsid w:val="00B862A3"/>
    <w:rsid w:val="00B86D3A"/>
    <w:rsid w:val="00BB1FDA"/>
    <w:rsid w:val="00BD385E"/>
    <w:rsid w:val="00C06540"/>
    <w:rsid w:val="00C16131"/>
    <w:rsid w:val="00C32664"/>
    <w:rsid w:val="00C358B4"/>
    <w:rsid w:val="00C4506B"/>
    <w:rsid w:val="00C451E7"/>
    <w:rsid w:val="00C6038E"/>
    <w:rsid w:val="00C62BE5"/>
    <w:rsid w:val="00CA7DE8"/>
    <w:rsid w:val="00CB05D8"/>
    <w:rsid w:val="00CC0BDC"/>
    <w:rsid w:val="00CD38F8"/>
    <w:rsid w:val="00CE5FAD"/>
    <w:rsid w:val="00CF6D07"/>
    <w:rsid w:val="00D263E1"/>
    <w:rsid w:val="00D35E26"/>
    <w:rsid w:val="00D61AE8"/>
    <w:rsid w:val="00D6271F"/>
    <w:rsid w:val="00D82A00"/>
    <w:rsid w:val="00D96A1D"/>
    <w:rsid w:val="00D96B8D"/>
    <w:rsid w:val="00DA414F"/>
    <w:rsid w:val="00DF5C8E"/>
    <w:rsid w:val="00E07C05"/>
    <w:rsid w:val="00E12EB5"/>
    <w:rsid w:val="00E30C53"/>
    <w:rsid w:val="00E36750"/>
    <w:rsid w:val="00E560DB"/>
    <w:rsid w:val="00E77F13"/>
    <w:rsid w:val="00E92336"/>
    <w:rsid w:val="00EA0572"/>
    <w:rsid w:val="00EA3D4A"/>
    <w:rsid w:val="00EF279E"/>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C2B5-BA5F-47B2-B88B-B48DAAD0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567</Words>
  <Characters>3233</Characters>
  <Application>Microsoft Office Word</Application>
  <DocSecurity>0</DocSecurity>
  <Lines>26</Lines>
  <Paragraphs>7</Paragraphs>
  <ScaleCrop>false</ScaleCrop>
  <Company>fmczj</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11</cp:revision>
  <dcterms:created xsi:type="dcterms:W3CDTF">2020-04-14T02:11:00Z</dcterms:created>
  <dcterms:modified xsi:type="dcterms:W3CDTF">2020-04-21T08:42:00Z</dcterms:modified>
</cp:coreProperties>
</file>