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黑体"/>
          <w:color w:val="0070C0"/>
          <w:spacing w:val="-20"/>
          <w:sz w:val="15"/>
          <w:szCs w:val="15"/>
        </w:rPr>
      </w:pPr>
    </w:p>
    <w:p>
      <w:pPr>
        <w:jc w:val="center"/>
        <w:rPr>
          <w:rFonts w:ascii="方正小标宋简体" w:eastAsia="方正小标宋简体" w:cs="仿宋_GB2312"/>
          <w:sz w:val="44"/>
          <w:szCs w:val="44"/>
        </w:rPr>
      </w:pPr>
      <w:r>
        <w:rPr>
          <w:rFonts w:hint="eastAsia" w:ascii="方正小标宋简体" w:eastAsia="方正小标宋简体" w:cs="仿宋_GB2312"/>
          <w:sz w:val="44"/>
          <w:szCs w:val="44"/>
          <w:lang w:eastAsia="zh-CN"/>
        </w:rPr>
        <w:t>富民县水务局</w:t>
      </w:r>
      <w:r>
        <w:rPr>
          <w:rFonts w:hint="eastAsia" w:ascii="方正小标宋简体" w:eastAsia="方正小标宋简体" w:cs="仿宋_GB2312"/>
          <w:sz w:val="44"/>
          <w:szCs w:val="44"/>
        </w:rPr>
        <w:t>2019年度部门整体支出</w:t>
      </w:r>
    </w:p>
    <w:p>
      <w:pPr>
        <w:jc w:val="center"/>
        <w:rPr>
          <w:rFonts w:ascii="方正小标宋简体" w:eastAsia="方正小标宋简体" w:cs="仿宋_GB2312"/>
          <w:sz w:val="44"/>
          <w:szCs w:val="44"/>
        </w:rPr>
      </w:pPr>
      <w:r>
        <w:rPr>
          <w:rFonts w:hint="eastAsia" w:ascii="方正小标宋简体" w:eastAsia="方正小标宋简体" w:cs="仿宋_GB2312"/>
          <w:sz w:val="44"/>
          <w:szCs w:val="44"/>
        </w:rPr>
        <w:t>绩效评价报告</w:t>
      </w:r>
    </w:p>
    <w:p>
      <w:pPr>
        <w:pStyle w:val="8"/>
        <w:spacing w:line="500" w:lineRule="exact"/>
        <w:ind w:firstLine="640"/>
        <w:jc w:val="left"/>
        <w:rPr>
          <w:rFonts w:ascii="仿宋_GB2312" w:hAnsi="黑体" w:eastAsia="仿宋_GB2312" w:cs="黑体"/>
          <w:sz w:val="32"/>
          <w:szCs w:val="32"/>
        </w:rPr>
      </w:pPr>
    </w:p>
    <w:p>
      <w:pPr>
        <w:topLinePunct/>
        <w:ind w:firstLine="800" w:firstLineChars="250"/>
        <w:rPr>
          <w:rFonts w:ascii="黑体" w:eastAsia="黑体"/>
          <w:szCs w:val="32"/>
        </w:rPr>
      </w:pPr>
      <w:r>
        <w:rPr>
          <w:rFonts w:hint="eastAsia" w:ascii="黑体" w:eastAsia="黑体"/>
          <w:szCs w:val="32"/>
        </w:rPr>
        <w:t>一、部门概况</w:t>
      </w:r>
    </w:p>
    <w:p>
      <w:pPr>
        <w:topLinePunct/>
        <w:ind w:firstLine="800" w:firstLineChars="250"/>
        <w:rPr>
          <w:rFonts w:hint="eastAsia" w:ascii="仿宋_GB2312" w:hAnsi="楷体"/>
          <w:szCs w:val="32"/>
        </w:rPr>
      </w:pPr>
      <w:r>
        <w:rPr>
          <w:rFonts w:hint="eastAsia" w:ascii="仿宋_GB2312" w:hAnsi="楷体"/>
          <w:szCs w:val="32"/>
        </w:rPr>
        <w:t>（一）部门机构设置、编制。</w:t>
      </w:r>
    </w:p>
    <w:p>
      <w:pPr>
        <w:spacing w:line="600" w:lineRule="exact"/>
        <w:ind w:firstLine="64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sz w:val="32"/>
          <w:szCs w:val="32"/>
        </w:rPr>
        <w:t>富民县水务局201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年末实有人员编制</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kern w:val="0"/>
          <w:sz w:val="32"/>
          <w:szCs w:val="32"/>
        </w:rPr>
        <w:t>人。其中：行政编制</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kern w:val="0"/>
          <w:sz w:val="32"/>
          <w:szCs w:val="32"/>
        </w:rPr>
        <w:t>人（含行政工勤编制4人），事业编制</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rPr>
        <w:t>人（含参公管理事业编制5人）；在职在编实有行政人员</w:t>
      </w:r>
      <w:r>
        <w:rPr>
          <w:rFonts w:hint="eastAsia" w:ascii="仿宋_GB2312" w:hAnsi="仿宋_GB2312" w:cs="仿宋_GB2312"/>
          <w:kern w:val="0"/>
          <w:sz w:val="32"/>
          <w:szCs w:val="32"/>
          <w:lang w:val="en-US" w:eastAsia="zh-CN"/>
        </w:rPr>
        <w:t>9</w:t>
      </w:r>
      <w:r>
        <w:rPr>
          <w:rFonts w:hint="eastAsia" w:ascii="仿宋_GB2312" w:hAnsi="仿宋_GB2312" w:eastAsia="仿宋_GB2312" w:cs="仿宋_GB2312"/>
          <w:kern w:val="0"/>
          <w:sz w:val="32"/>
          <w:szCs w:val="32"/>
        </w:rPr>
        <w:t>人（含行政工勤人员</w:t>
      </w:r>
      <w:r>
        <w:rPr>
          <w:rFonts w:hint="eastAsia" w:ascii="仿宋_GB2312" w:hAnsi="仿宋_GB2312" w:eastAsia="仿宋_GB2312" w:cs="仿宋_GB2312"/>
          <w:sz w:val="32"/>
          <w:szCs w:val="32"/>
        </w:rPr>
        <w:t>4</w:t>
      </w:r>
      <w:r>
        <w:rPr>
          <w:rFonts w:hint="eastAsia" w:ascii="仿宋_GB2312" w:hAnsi="仿宋_GB2312" w:eastAsia="仿宋_GB2312" w:cs="仿宋_GB2312"/>
          <w:kern w:val="0"/>
          <w:sz w:val="32"/>
          <w:szCs w:val="32"/>
        </w:rPr>
        <w:t>人），事业人员</w:t>
      </w:r>
      <w:r>
        <w:rPr>
          <w:rFonts w:hint="eastAsia" w:ascii="仿宋_GB2312" w:hAnsi="仿宋_GB2312" w:cs="仿宋_GB2312"/>
          <w:kern w:val="0"/>
          <w:sz w:val="32"/>
          <w:szCs w:val="32"/>
          <w:lang w:val="en-US" w:eastAsia="zh-CN"/>
        </w:rPr>
        <w:t>6</w:t>
      </w:r>
      <w:r>
        <w:rPr>
          <w:rFonts w:hint="eastAsia" w:ascii="仿宋_GB2312" w:hAnsi="仿宋_GB2312" w:eastAsia="仿宋_GB2312" w:cs="仿宋_GB2312"/>
          <w:kern w:val="0"/>
          <w:sz w:val="32"/>
          <w:szCs w:val="32"/>
        </w:rPr>
        <w:t>人（含参公管理事业人员</w:t>
      </w:r>
      <w:r>
        <w:rPr>
          <w:rFonts w:hint="eastAsia" w:ascii="仿宋_GB2312" w:hAnsi="仿宋_GB2312" w:cs="仿宋_GB2312"/>
          <w:kern w:val="0"/>
          <w:sz w:val="32"/>
          <w:szCs w:val="32"/>
          <w:lang w:val="en-US" w:eastAsia="zh-CN"/>
        </w:rPr>
        <w:t>3</w:t>
      </w:r>
      <w:r>
        <w:rPr>
          <w:rFonts w:hint="eastAsia" w:ascii="仿宋_GB2312" w:hAnsi="仿宋_GB2312" w:eastAsia="仿宋_GB2312" w:cs="仿宋_GB2312"/>
          <w:kern w:val="0"/>
          <w:sz w:val="32"/>
          <w:szCs w:val="32"/>
        </w:rPr>
        <w:t>人）。</w:t>
      </w:r>
    </w:p>
    <w:p>
      <w:pPr>
        <w:spacing w:line="600" w:lineRule="exact"/>
        <w:ind w:firstLine="640" w:firstLineChars="200"/>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2"/>
          <w:szCs w:val="32"/>
        </w:rPr>
        <w:t>实有车辆编制</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辆，实有车辆</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6"/>
          <w:szCs w:val="36"/>
        </w:rPr>
        <w:t>。</w:t>
      </w:r>
    </w:p>
    <w:p>
      <w:pPr>
        <w:numPr>
          <w:ilvl w:val="0"/>
          <w:numId w:val="1"/>
        </w:numPr>
        <w:topLinePunct/>
        <w:ind w:firstLine="800" w:firstLineChars="250"/>
        <w:rPr>
          <w:rFonts w:hint="eastAsia" w:ascii="仿宋_GB2312" w:hAnsi="楷体"/>
          <w:szCs w:val="32"/>
        </w:rPr>
      </w:pPr>
      <w:r>
        <w:rPr>
          <w:rFonts w:hint="eastAsia" w:ascii="仿宋_GB2312" w:hAnsi="楷体"/>
          <w:szCs w:val="32"/>
        </w:rPr>
        <w:t>部门职能。</w:t>
      </w:r>
    </w:p>
    <w:p>
      <w:pPr>
        <w:autoSpaceDE w:val="0"/>
        <w:autoSpaceDN w:val="0"/>
        <w:adjustRightInd w:val="0"/>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富民县水务局是主管全县水务工作的县政府工作部门，担负着全县水资源开发利用及其管理和保护、水利基础设施建设、防汛抗旱、水土保持、水利管理、水行政执法、计划供水节约用水等任务。</w:t>
      </w:r>
    </w:p>
    <w:p>
      <w:pPr>
        <w:autoSpaceDE w:val="0"/>
        <w:autoSpaceDN w:val="0"/>
        <w:adjustRightInd w:val="0"/>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根据富民县水务局工作需要，现共设立以下机构：局办公室、</w:t>
      </w:r>
      <w:r>
        <w:rPr>
          <w:rFonts w:hint="eastAsia" w:ascii="仿宋_GB2312" w:hAnsi="仿宋_GB2312" w:eastAsia="仿宋_GB2312" w:cs="仿宋_GB2312"/>
          <w:kern w:val="0"/>
          <w:sz w:val="32"/>
          <w:szCs w:val="32"/>
          <w:lang w:eastAsia="zh-CN"/>
        </w:rPr>
        <w:t>计划</w:t>
      </w:r>
      <w:r>
        <w:rPr>
          <w:rFonts w:hint="eastAsia" w:ascii="仿宋_GB2312" w:hAnsi="仿宋_GB2312" w:eastAsia="仿宋_GB2312" w:cs="仿宋_GB2312"/>
          <w:kern w:val="0"/>
          <w:sz w:val="32"/>
          <w:szCs w:val="32"/>
        </w:rPr>
        <w:t>财务科、</w:t>
      </w:r>
      <w:r>
        <w:rPr>
          <w:rFonts w:hint="eastAsia" w:ascii="仿宋_GB2312" w:hAnsi="仿宋_GB2312" w:eastAsia="仿宋_GB2312" w:cs="仿宋_GB2312"/>
          <w:kern w:val="0"/>
          <w:sz w:val="32"/>
          <w:szCs w:val="32"/>
          <w:lang w:eastAsia="zh-CN"/>
        </w:rPr>
        <w:t>建设</w:t>
      </w:r>
      <w:r>
        <w:rPr>
          <w:rFonts w:hint="eastAsia" w:ascii="仿宋_GB2312" w:hAnsi="仿宋_GB2312" w:eastAsia="仿宋_GB2312" w:cs="仿宋_GB2312"/>
          <w:kern w:val="0"/>
          <w:sz w:val="32"/>
          <w:szCs w:val="32"/>
        </w:rPr>
        <w:t>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水</w:t>
      </w:r>
      <w:r>
        <w:rPr>
          <w:rFonts w:hint="eastAsia" w:ascii="仿宋_GB2312" w:hAnsi="仿宋_GB2312" w:eastAsia="仿宋_GB2312" w:cs="仿宋_GB2312"/>
          <w:kern w:val="0"/>
          <w:sz w:val="32"/>
          <w:szCs w:val="32"/>
          <w:lang w:eastAsia="zh-CN"/>
        </w:rPr>
        <w:t>资源开发利用</w:t>
      </w:r>
      <w:r>
        <w:rPr>
          <w:rFonts w:hint="eastAsia" w:ascii="仿宋_GB2312" w:hAnsi="仿宋_GB2312" w:eastAsia="仿宋_GB2312" w:cs="仿宋_GB2312"/>
          <w:kern w:val="0"/>
          <w:sz w:val="32"/>
          <w:szCs w:val="32"/>
        </w:rPr>
        <w:t>科、防汛抗旱</w:t>
      </w:r>
      <w:r>
        <w:rPr>
          <w:rFonts w:hint="eastAsia" w:ascii="仿宋_GB2312" w:hAnsi="仿宋_GB2312" w:eastAsia="仿宋_GB2312" w:cs="仿宋_GB2312"/>
          <w:kern w:val="0"/>
          <w:sz w:val="32"/>
          <w:szCs w:val="32"/>
          <w:lang w:eastAsia="zh-CN"/>
        </w:rPr>
        <w:t>管理科</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富民县</w:t>
      </w:r>
      <w:r>
        <w:rPr>
          <w:rFonts w:hint="eastAsia" w:ascii="仿宋_GB2312" w:hAnsi="仿宋_GB2312" w:eastAsia="仿宋_GB2312" w:cs="仿宋_GB2312"/>
          <w:kern w:val="0"/>
          <w:sz w:val="32"/>
          <w:szCs w:val="32"/>
        </w:rPr>
        <w:t>计划供水节约用水办公室</w:t>
      </w:r>
      <w:r>
        <w:rPr>
          <w:rFonts w:hint="eastAsia" w:ascii="仿宋_GB2312" w:hAnsi="仿宋_GB2312" w:eastAsia="仿宋_GB2312" w:cs="仿宋_GB2312"/>
          <w:kern w:val="0"/>
          <w:sz w:val="32"/>
          <w:szCs w:val="32"/>
          <w:lang w:eastAsia="zh-CN"/>
        </w:rPr>
        <w:t>、富民县水土水政监察大队、富民县</w:t>
      </w:r>
      <w:r>
        <w:rPr>
          <w:rFonts w:hint="eastAsia" w:ascii="仿宋_GB2312" w:hAnsi="仿宋_GB2312" w:eastAsia="仿宋_GB2312" w:cs="仿宋_GB2312"/>
          <w:kern w:val="0"/>
          <w:sz w:val="32"/>
          <w:szCs w:val="32"/>
        </w:rPr>
        <w:t>水利管理</w:t>
      </w:r>
      <w:r>
        <w:rPr>
          <w:rFonts w:hint="eastAsia" w:ascii="仿宋_GB2312" w:hAnsi="仿宋_GB2312" w:eastAsia="仿宋_GB2312" w:cs="仿宋_GB2312"/>
          <w:kern w:val="0"/>
          <w:sz w:val="32"/>
          <w:szCs w:val="32"/>
          <w:lang w:eastAsia="zh-CN"/>
        </w:rPr>
        <w:t>服务中心</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富民县</w:t>
      </w:r>
      <w:r>
        <w:rPr>
          <w:rFonts w:hint="eastAsia" w:ascii="仿宋_GB2312" w:hAnsi="仿宋_GB2312" w:eastAsia="仿宋_GB2312" w:cs="仿宋_GB2312"/>
          <w:kern w:val="0"/>
          <w:sz w:val="32"/>
          <w:szCs w:val="32"/>
        </w:rPr>
        <w:t>水利</w:t>
      </w:r>
      <w:r>
        <w:rPr>
          <w:rFonts w:hint="eastAsia" w:ascii="仿宋_GB2312" w:hAnsi="仿宋_GB2312" w:eastAsia="仿宋_GB2312" w:cs="仿宋_GB2312"/>
          <w:kern w:val="0"/>
          <w:sz w:val="32"/>
          <w:szCs w:val="32"/>
          <w:lang w:eastAsia="zh-CN"/>
        </w:rPr>
        <w:t>工程技术服务中心</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富民县</w:t>
      </w:r>
      <w:r>
        <w:rPr>
          <w:rFonts w:hint="eastAsia" w:ascii="仿宋_GB2312" w:hAnsi="仿宋_GB2312" w:eastAsia="仿宋_GB2312" w:cs="仿宋_GB2312"/>
          <w:kern w:val="0"/>
          <w:sz w:val="32"/>
          <w:szCs w:val="32"/>
        </w:rPr>
        <w:t>自来水公司。</w:t>
      </w:r>
    </w:p>
    <w:p>
      <w:pPr>
        <w:snapToGrid w:val="0"/>
        <w:spacing w:line="520" w:lineRule="exact"/>
        <w:ind w:firstLine="640" w:firstLineChars="200"/>
        <w:rPr>
          <w:rFonts w:eastAsia="仿宋_GB2312"/>
          <w:kern w:val="0"/>
          <w:sz w:val="32"/>
          <w:szCs w:val="32"/>
        </w:rPr>
      </w:pPr>
      <w:r>
        <w:rPr>
          <w:rFonts w:hint="eastAsia" w:ascii="仿宋_GB2312" w:hAnsi="仿宋_GB2312" w:eastAsia="仿宋_GB2312" w:cs="仿宋_GB2312"/>
          <w:sz w:val="32"/>
          <w:szCs w:val="32"/>
        </w:rPr>
        <w:t>各镇（街道）设立水务站，主要职责为：负责辖区内水资源和水利设施安全管理、水土流失治理和监测、组织防汛抗旱工作、水资源保护及开发利用管理、水利技术的推广应用等工作。</w:t>
      </w:r>
    </w:p>
    <w:p>
      <w:pPr>
        <w:numPr>
          <w:ilvl w:val="0"/>
          <w:numId w:val="0"/>
        </w:numPr>
        <w:topLinePunct/>
        <w:rPr>
          <w:rFonts w:hint="eastAsia" w:ascii="仿宋_GB2312" w:hAnsi="楷体"/>
          <w:szCs w:val="32"/>
        </w:rPr>
      </w:pPr>
      <w:r>
        <w:rPr>
          <w:rFonts w:hint="eastAsia" w:ascii="仿宋_GB2312" w:hAnsi="楷体"/>
          <w:szCs w:val="32"/>
          <w:lang w:eastAsia="zh-CN"/>
        </w:rPr>
        <w:t>　（三）</w:t>
      </w:r>
      <w:r>
        <w:rPr>
          <w:rFonts w:hint="eastAsia" w:ascii="仿宋_GB2312" w:hAnsi="楷体"/>
          <w:szCs w:val="32"/>
        </w:rPr>
        <w:t>部门工作完成情况。</w:t>
      </w:r>
    </w:p>
    <w:p>
      <w:pPr>
        <w:pStyle w:val="11"/>
        <w:keepNext w:val="0"/>
        <w:keepLines w:val="0"/>
        <w:pageBreakBefore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vertAlign w:val="baseline"/>
        </w:rPr>
      </w:pPr>
      <w:r>
        <w:rPr>
          <w:rFonts w:hint="default" w:ascii="Times New Roman" w:hAnsi="Times New Roman" w:eastAsia="仿宋_GB2312" w:cs="Times New Roman"/>
          <w:color w:val="000000"/>
          <w:spacing w:val="0"/>
          <w:sz w:val="32"/>
          <w:szCs w:val="32"/>
          <w:lang w:val="en-US" w:eastAsia="zh-CN"/>
        </w:rPr>
        <w:t>截止10月份</w:t>
      </w:r>
      <w:r>
        <w:rPr>
          <w:rFonts w:hint="default" w:ascii="Times New Roman" w:hAnsi="Times New Roman" w:eastAsia="仿宋_GB2312" w:cs="Times New Roman"/>
          <w:color w:val="000000"/>
          <w:spacing w:val="0"/>
          <w:sz w:val="32"/>
          <w:szCs w:val="32"/>
        </w:rPr>
        <w:t>，全县完成水利建设投资</w:t>
      </w:r>
      <w:r>
        <w:rPr>
          <w:rFonts w:hint="default" w:ascii="Times New Roman" w:hAnsi="Times New Roman" w:eastAsia="仿宋_GB2312" w:cs="Times New Roman"/>
          <w:color w:val="000000"/>
          <w:spacing w:val="0"/>
          <w:sz w:val="32"/>
          <w:szCs w:val="32"/>
          <w:lang w:val="en-US" w:eastAsia="zh-CN"/>
        </w:rPr>
        <w:t>13802</w:t>
      </w:r>
      <w:r>
        <w:rPr>
          <w:rFonts w:hint="default" w:ascii="Times New Roman" w:hAnsi="Times New Roman" w:eastAsia="仿宋_GB2312" w:cs="Times New Roman"/>
          <w:color w:val="000000"/>
          <w:spacing w:val="0"/>
          <w:sz w:val="32"/>
          <w:szCs w:val="32"/>
        </w:rPr>
        <w:t>万元</w:t>
      </w:r>
      <w:r>
        <w:rPr>
          <w:rFonts w:hint="eastAsia" w:ascii="Times New Roman" w:hAnsi="Times New Roman" w:eastAsia="仿宋_GB2312" w:cs="Times New Roman"/>
          <w:color w:val="000000"/>
          <w:spacing w:val="0"/>
          <w:sz w:val="32"/>
          <w:szCs w:val="32"/>
          <w:lang w:eastAsia="zh-CN"/>
        </w:rPr>
        <w:t>，占县级下达目标</w:t>
      </w:r>
      <w:r>
        <w:rPr>
          <w:rFonts w:hint="eastAsia" w:ascii="Times New Roman" w:hAnsi="Times New Roman" w:eastAsia="仿宋_GB2312" w:cs="Times New Roman"/>
          <w:color w:val="000000"/>
          <w:spacing w:val="0"/>
          <w:sz w:val="32"/>
          <w:szCs w:val="32"/>
          <w:lang w:val="en-US" w:eastAsia="zh-CN"/>
        </w:rPr>
        <w:t>12036万元的114.7%</w:t>
      </w:r>
      <w:r>
        <w:rPr>
          <w:rFonts w:hint="default" w:ascii="Times New Roman" w:hAnsi="Times New Roman" w:eastAsia="仿宋_GB2312" w:cs="Times New Roman"/>
          <w:color w:val="000000"/>
          <w:spacing w:val="0"/>
          <w:sz w:val="32"/>
          <w:szCs w:val="32"/>
        </w:rPr>
        <w:t>。争取到</w:t>
      </w:r>
      <w:r>
        <w:rPr>
          <w:rFonts w:hint="default" w:ascii="Times New Roman" w:hAnsi="Times New Roman" w:eastAsia="仿宋_GB2312" w:cs="Times New Roman"/>
          <w:color w:val="000000"/>
          <w:spacing w:val="0"/>
          <w:sz w:val="32"/>
          <w:szCs w:val="32"/>
          <w:lang w:eastAsia="zh-CN"/>
        </w:rPr>
        <w:t>上级</w:t>
      </w:r>
      <w:r>
        <w:rPr>
          <w:rFonts w:hint="default" w:ascii="Times New Roman" w:hAnsi="Times New Roman" w:eastAsia="仿宋_GB2312" w:cs="Times New Roman"/>
          <w:color w:val="000000"/>
          <w:spacing w:val="0"/>
          <w:sz w:val="32"/>
          <w:szCs w:val="32"/>
        </w:rPr>
        <w:t>资金</w:t>
      </w:r>
      <w:r>
        <w:rPr>
          <w:rFonts w:hint="default" w:ascii="Times New Roman" w:hAnsi="Times New Roman" w:eastAsia="仿宋_GB2312" w:cs="Times New Roman"/>
          <w:color w:val="000000"/>
          <w:spacing w:val="0"/>
          <w:sz w:val="32"/>
          <w:szCs w:val="32"/>
          <w:lang w:val="en-US" w:eastAsia="zh-CN"/>
        </w:rPr>
        <w:t>5045</w:t>
      </w:r>
      <w:r>
        <w:rPr>
          <w:rFonts w:hint="default" w:ascii="Times New Roman" w:hAnsi="Times New Roman" w:eastAsia="仿宋_GB2312" w:cs="Times New Roman"/>
          <w:color w:val="000000"/>
          <w:spacing w:val="0"/>
          <w:sz w:val="32"/>
          <w:szCs w:val="32"/>
        </w:rPr>
        <w:t>万元</w:t>
      </w:r>
      <w:r>
        <w:rPr>
          <w:rFonts w:hint="eastAsia" w:ascii="Times New Roman" w:hAnsi="Times New Roman" w:eastAsia="仿宋_GB2312" w:cs="Times New Roman"/>
          <w:color w:val="000000"/>
          <w:spacing w:val="0"/>
          <w:sz w:val="32"/>
          <w:szCs w:val="32"/>
          <w:lang w:eastAsia="zh-CN"/>
        </w:rPr>
        <w:t>，占县级下达目标</w:t>
      </w:r>
      <w:r>
        <w:rPr>
          <w:rFonts w:hint="eastAsia" w:ascii="Times New Roman" w:hAnsi="Times New Roman" w:eastAsia="仿宋_GB2312" w:cs="Times New Roman"/>
          <w:color w:val="000000"/>
          <w:spacing w:val="0"/>
          <w:sz w:val="32"/>
          <w:szCs w:val="32"/>
          <w:lang w:val="en-US" w:eastAsia="zh-CN"/>
        </w:rPr>
        <w:t>5000万元的100.9%</w:t>
      </w:r>
      <w:r>
        <w:rPr>
          <w:rFonts w:hint="default" w:ascii="Times New Roman" w:hAnsi="Times New Roman" w:eastAsia="仿宋_GB2312" w:cs="Times New Roman"/>
          <w:color w:val="000000"/>
          <w:spacing w:val="0"/>
          <w:sz w:val="32"/>
          <w:szCs w:val="32"/>
          <w:lang w:eastAsia="zh-CN"/>
        </w:rPr>
        <w:t>。实施</w:t>
      </w:r>
      <w:r>
        <w:rPr>
          <w:rFonts w:hint="default" w:ascii="Times New Roman" w:hAnsi="Times New Roman" w:eastAsia="仿宋_GB2312" w:cs="Times New Roman"/>
          <w:color w:val="000000"/>
          <w:spacing w:val="0"/>
          <w:sz w:val="32"/>
          <w:szCs w:val="32"/>
        </w:rPr>
        <w:t>各类水利工程</w:t>
      </w:r>
      <w:r>
        <w:rPr>
          <w:rFonts w:hint="default" w:ascii="Times New Roman" w:hAnsi="Times New Roman" w:eastAsia="仿宋_GB2312" w:cs="Times New Roman"/>
          <w:color w:val="000000"/>
          <w:sz w:val="32"/>
          <w:szCs w:val="32"/>
          <w:lang w:val="en-US" w:eastAsia="zh-CN"/>
        </w:rPr>
        <w:t>4200</w:t>
      </w:r>
      <w:r>
        <w:rPr>
          <w:rFonts w:hint="default" w:ascii="Times New Roman" w:hAnsi="Times New Roman" w:eastAsia="仿宋_GB2312" w:cs="Times New Roman"/>
          <w:color w:val="000000"/>
          <w:sz w:val="32"/>
          <w:szCs w:val="32"/>
        </w:rPr>
        <w:t>件</w:t>
      </w:r>
      <w:r>
        <w:rPr>
          <w:rFonts w:hint="default" w:ascii="Times New Roman" w:hAnsi="Times New Roman" w:eastAsia="仿宋_GB2312" w:cs="Times New Roman"/>
          <w:color w:val="000000"/>
          <w:spacing w:val="0"/>
          <w:sz w:val="32"/>
          <w:szCs w:val="32"/>
        </w:rPr>
        <w:t>，完成水土流失治理面积</w:t>
      </w:r>
      <w:r>
        <w:rPr>
          <w:rFonts w:hint="eastAsia" w:ascii="Times New Roman" w:hAnsi="Times New Roman" w:eastAsia="仿宋_GB2312" w:cs="Times New Roman"/>
          <w:color w:val="000000"/>
          <w:spacing w:val="0"/>
          <w:sz w:val="32"/>
          <w:szCs w:val="32"/>
          <w:lang w:val="en-US" w:eastAsia="zh-CN"/>
        </w:rPr>
        <w:t>7</w:t>
      </w:r>
      <w:r>
        <w:rPr>
          <w:rFonts w:hint="default" w:ascii="Times New Roman" w:hAnsi="Times New Roman" w:eastAsia="仿宋_GB2312" w:cs="Times New Roman"/>
          <w:color w:val="000000"/>
          <w:spacing w:val="0"/>
          <w:sz w:val="32"/>
          <w:szCs w:val="32"/>
          <w:lang w:val="en-US" w:eastAsia="zh-CN"/>
        </w:rPr>
        <w:t>km</w:t>
      </w:r>
      <w:r>
        <w:rPr>
          <w:rFonts w:hint="default" w:ascii="Times New Roman" w:hAnsi="Times New Roman" w:eastAsia="仿宋_GB2312" w:cs="Times New Roman"/>
          <w:color w:val="000000"/>
          <w:spacing w:val="0"/>
          <w:sz w:val="32"/>
          <w:szCs w:val="32"/>
          <w:vertAlign w:val="superscript"/>
          <w:lang w:val="en-US" w:eastAsia="zh-CN"/>
        </w:rPr>
        <w:t>2</w:t>
      </w:r>
      <w:r>
        <w:rPr>
          <w:rFonts w:hint="default" w:ascii="Times New Roman" w:hAnsi="Times New Roman" w:eastAsia="仿宋_GB2312" w:cs="Times New Roman"/>
          <w:color w:val="000000"/>
          <w:spacing w:val="0"/>
          <w:sz w:val="32"/>
          <w:szCs w:val="32"/>
          <w:lang w:val="en-US" w:eastAsia="zh-CN"/>
        </w:rPr>
        <w:t>，</w:t>
      </w:r>
      <w:r>
        <w:rPr>
          <w:rFonts w:hint="default" w:ascii="Times New Roman" w:hAnsi="Times New Roman" w:eastAsia="仿宋_GB2312" w:cs="Times New Roman"/>
          <w:color w:val="000000"/>
          <w:spacing w:val="0"/>
          <w:sz w:val="32"/>
          <w:szCs w:val="32"/>
        </w:rPr>
        <w:t>修复水毁工程1</w:t>
      </w:r>
      <w:r>
        <w:rPr>
          <w:rFonts w:hint="default" w:ascii="Times New Roman" w:hAnsi="Times New Roman" w:eastAsia="仿宋_GB2312" w:cs="Times New Roman"/>
          <w:color w:val="000000"/>
          <w:spacing w:val="0"/>
          <w:sz w:val="32"/>
          <w:szCs w:val="32"/>
          <w:lang w:val="en-US" w:eastAsia="zh-CN"/>
        </w:rPr>
        <w:t>8</w:t>
      </w:r>
      <w:r>
        <w:rPr>
          <w:rFonts w:hint="default" w:ascii="Times New Roman" w:hAnsi="Times New Roman" w:eastAsia="仿宋_GB2312" w:cs="Times New Roman"/>
          <w:color w:val="000000"/>
          <w:spacing w:val="0"/>
          <w:sz w:val="32"/>
          <w:szCs w:val="32"/>
        </w:rPr>
        <w:t>处，清淤沟渠</w:t>
      </w:r>
      <w:r>
        <w:rPr>
          <w:rFonts w:hint="default" w:ascii="Times New Roman" w:hAnsi="Times New Roman" w:eastAsia="仿宋_GB2312" w:cs="Times New Roman"/>
          <w:color w:val="000000"/>
          <w:spacing w:val="0"/>
          <w:sz w:val="32"/>
          <w:szCs w:val="32"/>
          <w:lang w:val="en-US" w:eastAsia="zh-CN"/>
        </w:rPr>
        <w:t>13</w:t>
      </w:r>
      <w:r>
        <w:rPr>
          <w:rFonts w:hint="default" w:ascii="Times New Roman" w:hAnsi="Times New Roman" w:eastAsia="仿宋_GB2312" w:cs="Times New Roman"/>
          <w:color w:val="000000"/>
          <w:spacing w:val="0"/>
          <w:sz w:val="32"/>
          <w:szCs w:val="32"/>
        </w:rPr>
        <w:t>公里</w:t>
      </w:r>
      <w:r>
        <w:rPr>
          <w:rFonts w:hint="default" w:ascii="Times New Roman" w:hAnsi="Times New Roman" w:eastAsia="仿宋_GB2312" w:cs="Times New Roman"/>
          <w:color w:val="000000"/>
          <w:spacing w:val="0"/>
          <w:sz w:val="32"/>
          <w:szCs w:val="32"/>
          <w:lang w:eastAsia="zh-CN"/>
        </w:rPr>
        <w:t>，清理河道</w:t>
      </w:r>
      <w:r>
        <w:rPr>
          <w:rFonts w:hint="default" w:ascii="Times New Roman" w:hAnsi="Times New Roman" w:eastAsia="仿宋_GB2312" w:cs="Times New Roman"/>
          <w:color w:val="000000"/>
          <w:sz w:val="32"/>
          <w:szCs w:val="32"/>
          <w:lang w:val="en-US" w:eastAsia="zh-CN"/>
        </w:rPr>
        <w:t>425</w:t>
      </w:r>
      <w:r>
        <w:rPr>
          <w:rFonts w:hint="default" w:ascii="Times New Roman" w:hAnsi="Times New Roman" w:eastAsia="仿宋_GB2312" w:cs="Times New Roman"/>
          <w:color w:val="000000"/>
          <w:sz w:val="32"/>
          <w:szCs w:val="32"/>
        </w:rPr>
        <w:t>公里</w:t>
      </w:r>
      <w:r>
        <w:rPr>
          <w:rFonts w:hint="default" w:ascii="Times New Roman" w:hAnsi="Times New Roman" w:eastAsia="仿宋_GB2312" w:cs="Times New Roman"/>
          <w:color w:val="000000"/>
          <w:spacing w:val="0"/>
          <w:sz w:val="32"/>
          <w:szCs w:val="32"/>
        </w:rPr>
        <w:t>。</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hint="eastAsia" w:ascii="楷体_GB2312" w:hAnsi="仿宋" w:eastAsia="楷体_GB2312"/>
          <w:b/>
          <w:sz w:val="32"/>
          <w:szCs w:val="32"/>
        </w:rPr>
      </w:pPr>
      <w:r>
        <w:rPr>
          <w:rFonts w:hint="default" w:ascii="Times New Roman" w:hAnsi="Times New Roman" w:eastAsia="仿宋_GB2312" w:cs="Times New Roman"/>
          <w:b/>
          <w:bCs/>
          <w:color w:val="000000"/>
          <w:spacing w:val="0"/>
          <w:sz w:val="32"/>
          <w:szCs w:val="32"/>
        </w:rPr>
        <w:t>一是</w:t>
      </w:r>
      <w:r>
        <w:rPr>
          <w:rFonts w:hint="default" w:ascii="Times New Roman" w:hAnsi="Times New Roman" w:eastAsia="仿宋_GB2312" w:cs="Times New Roman"/>
          <w:b w:val="0"/>
          <w:bCs w:val="0"/>
          <w:color w:val="000000"/>
          <w:spacing w:val="0"/>
          <w:sz w:val="32"/>
          <w:szCs w:val="32"/>
          <w:lang w:val="en-US" w:eastAsia="zh-CN"/>
        </w:rPr>
        <w:t>拖担水库扩建工程完成输水隧洞出口边坡开挖及支护，完成竖井边坡开挖及支护，完成枢纽区征地；</w:t>
      </w:r>
      <w:r>
        <w:rPr>
          <w:rFonts w:hint="default" w:ascii="Times New Roman" w:hAnsi="Times New Roman" w:eastAsia="仿宋_GB2312" w:cs="Times New Roman"/>
          <w:b/>
          <w:bCs/>
          <w:color w:val="000000"/>
          <w:spacing w:val="0"/>
          <w:sz w:val="32"/>
          <w:szCs w:val="32"/>
        </w:rPr>
        <w:t>二是</w:t>
      </w:r>
      <w:r>
        <w:rPr>
          <w:rFonts w:hint="default" w:ascii="Times New Roman" w:hAnsi="Times New Roman" w:eastAsia="仿宋_GB2312" w:cs="Times New Roman"/>
          <w:b w:val="0"/>
          <w:bCs w:val="0"/>
          <w:color w:val="000000"/>
          <w:spacing w:val="0"/>
          <w:sz w:val="32"/>
          <w:szCs w:val="32"/>
          <w:lang w:eastAsia="zh-CN"/>
        </w:rPr>
        <w:t>完成普渡河（富民段）河道治理项目</w:t>
      </w:r>
      <w:r>
        <w:rPr>
          <w:rFonts w:hint="default" w:ascii="Times New Roman" w:hAnsi="Times New Roman" w:eastAsia="仿宋_GB2312" w:cs="Times New Roman"/>
          <w:color w:val="000000"/>
          <w:sz w:val="32"/>
          <w:szCs w:val="32"/>
          <w:lang w:eastAsia="zh-CN"/>
        </w:rPr>
        <w:t>县城下段</w:t>
      </w:r>
      <w:r>
        <w:rPr>
          <w:rFonts w:hint="default" w:ascii="Times New Roman" w:hAnsi="Times New Roman" w:eastAsia="仿宋_GB2312" w:cs="Times New Roman"/>
          <w:color w:val="000000"/>
          <w:sz w:val="32"/>
          <w:szCs w:val="32"/>
          <w:lang w:val="en-US" w:eastAsia="zh-CN"/>
        </w:rPr>
        <w:t>2.06km河道治理</w:t>
      </w:r>
      <w:r>
        <w:rPr>
          <w:rFonts w:hint="default" w:ascii="Times New Roman" w:hAnsi="Times New Roman" w:eastAsia="仿宋_GB2312" w:cs="Times New Roman"/>
          <w:color w:val="000000"/>
          <w:sz w:val="32"/>
          <w:szCs w:val="32"/>
          <w:lang w:eastAsia="zh-CN"/>
        </w:rPr>
        <w:t>，启动赤鹫段河道治理</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bCs/>
          <w:color w:val="000000"/>
          <w:spacing w:val="0"/>
          <w:sz w:val="32"/>
          <w:szCs w:val="32"/>
        </w:rPr>
        <w:t>三是</w:t>
      </w:r>
      <w:r>
        <w:rPr>
          <w:rFonts w:hint="default" w:ascii="Times New Roman" w:hAnsi="Times New Roman" w:eastAsia="仿宋_GB2312" w:cs="Times New Roman"/>
          <w:color w:val="000000"/>
          <w:sz w:val="32"/>
          <w:szCs w:val="32"/>
          <w:lang w:eastAsia="zh-CN"/>
        </w:rPr>
        <w:t>投资</w:t>
      </w:r>
      <w:r>
        <w:rPr>
          <w:rFonts w:hint="default" w:ascii="Times New Roman" w:hAnsi="Times New Roman" w:eastAsia="仿宋_GB2312" w:cs="Times New Roman"/>
          <w:color w:val="000000"/>
          <w:sz w:val="32"/>
          <w:szCs w:val="32"/>
        </w:rPr>
        <w:t>536.68万元</w:t>
      </w:r>
      <w:r>
        <w:rPr>
          <w:rFonts w:hint="default" w:ascii="Times New Roman" w:hAnsi="Times New Roman" w:eastAsia="仿宋_GB2312" w:cs="Times New Roman"/>
          <w:color w:val="000000"/>
          <w:sz w:val="32"/>
          <w:szCs w:val="32"/>
          <w:lang w:eastAsia="zh-CN"/>
        </w:rPr>
        <w:t>完成</w:t>
      </w:r>
      <w:r>
        <w:rPr>
          <w:rFonts w:hint="default" w:ascii="Times New Roman" w:hAnsi="Times New Roman" w:eastAsia="仿宋_GB2312" w:cs="Times New Roman"/>
          <w:b w:val="0"/>
          <w:bCs w:val="0"/>
          <w:color w:val="000000"/>
          <w:spacing w:val="0"/>
          <w:sz w:val="32"/>
          <w:szCs w:val="32"/>
          <w:lang w:eastAsia="zh-CN"/>
        </w:rPr>
        <w:t>东村镇中民片区山区小水网项目</w:t>
      </w:r>
      <w:r>
        <w:rPr>
          <w:rFonts w:hint="default" w:ascii="Times New Roman" w:hAnsi="Times New Roman" w:eastAsia="仿宋_GB2312" w:cs="Times New Roman"/>
          <w:b w:val="0"/>
          <w:bCs w:val="0"/>
          <w:color w:val="000000"/>
          <w:spacing w:val="0"/>
          <w:sz w:val="32"/>
          <w:szCs w:val="32"/>
          <w:lang w:val="en-US" w:eastAsia="zh-CN"/>
        </w:rPr>
        <w:t>，</w:t>
      </w:r>
      <w:r>
        <w:rPr>
          <w:rFonts w:hint="default" w:ascii="Times New Roman" w:hAnsi="Times New Roman" w:eastAsia="仿宋_GB2312" w:cs="Times New Roman"/>
          <w:color w:val="000000"/>
          <w:sz w:val="32"/>
          <w:szCs w:val="32"/>
        </w:rPr>
        <w:t>目前审计资料已报送县审计局</w:t>
      </w:r>
      <w:r>
        <w:rPr>
          <w:rFonts w:hint="default" w:ascii="Times New Roman" w:hAnsi="Times New Roman" w:eastAsia="仿宋_GB2312" w:cs="Times New Roman"/>
          <w:color w:val="000000"/>
          <w:sz w:val="32"/>
          <w:szCs w:val="32"/>
          <w:lang w:eastAsia="zh-CN"/>
        </w:rPr>
        <w:t>进行审计</w:t>
      </w:r>
      <w:r>
        <w:rPr>
          <w:rFonts w:hint="default" w:ascii="Times New Roman" w:hAnsi="Times New Roman" w:eastAsia="仿宋_GB2312" w:cs="Times New Roman"/>
          <w:color w:val="000000"/>
          <w:sz w:val="32"/>
          <w:szCs w:val="32"/>
        </w:rPr>
        <w:t>，工程已临时移交村委会管理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bCs/>
          <w:color w:val="000000"/>
          <w:sz w:val="32"/>
          <w:szCs w:val="32"/>
          <w:lang w:eastAsia="zh-CN"/>
        </w:rPr>
        <w:t>四是</w:t>
      </w:r>
      <w:r>
        <w:rPr>
          <w:rFonts w:hint="default" w:ascii="Times New Roman" w:hAnsi="Times New Roman" w:eastAsia="仿宋_GB2312" w:cs="Times New Roman"/>
          <w:color w:val="000000"/>
          <w:sz w:val="32"/>
          <w:szCs w:val="32"/>
          <w:lang w:eastAsia="zh-CN"/>
        </w:rPr>
        <w:t>开展</w:t>
      </w:r>
      <w:r>
        <w:rPr>
          <w:rFonts w:hint="default" w:ascii="Times New Roman" w:hAnsi="Times New Roman" w:eastAsia="仿宋_GB2312" w:cs="Times New Roman"/>
          <w:color w:val="000000"/>
          <w:sz w:val="32"/>
          <w:szCs w:val="32"/>
        </w:rPr>
        <w:t>滇中引水工程建设项目</w:t>
      </w:r>
      <w:r>
        <w:rPr>
          <w:rFonts w:hint="default" w:ascii="Times New Roman" w:hAnsi="Times New Roman" w:eastAsia="仿宋_GB2312" w:cs="Times New Roman"/>
          <w:color w:val="000000"/>
          <w:sz w:val="32"/>
          <w:szCs w:val="32"/>
          <w:lang w:eastAsia="zh-CN"/>
        </w:rPr>
        <w:t>征地工作</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b/>
          <w:bCs/>
          <w:color w:val="000000"/>
          <w:sz w:val="32"/>
          <w:szCs w:val="32"/>
          <w:lang w:eastAsia="zh-CN"/>
        </w:rPr>
        <w:t>五是</w:t>
      </w:r>
      <w:r>
        <w:rPr>
          <w:rFonts w:hint="default" w:ascii="Times New Roman" w:hAnsi="Times New Roman" w:eastAsia="仿宋_GB2312" w:cs="Times New Roman"/>
          <w:color w:val="000000"/>
          <w:spacing w:val="0"/>
          <w:sz w:val="32"/>
          <w:szCs w:val="32"/>
          <w:lang w:val="en-US" w:eastAsia="zh-CN"/>
        </w:rPr>
        <w:t>全面贯彻落实中央、省、市关于深化河长制工作的安排部署，完成全县三级河长四级治理体系建设，</w:t>
      </w:r>
      <w:r>
        <w:rPr>
          <w:rFonts w:hint="default" w:ascii="Times New Roman" w:hAnsi="Times New Roman" w:eastAsia="仿宋_GB2312" w:cs="Times New Roman"/>
          <w:color w:val="000000"/>
          <w:sz w:val="32"/>
          <w:szCs w:val="32"/>
        </w:rPr>
        <w:t>因机构改革人员变动，及时调整河长名录，明确各级河长及河长协调人，进一步压实责任，做到责任明确，任务具体。</w:t>
      </w:r>
      <w:r>
        <w:rPr>
          <w:rFonts w:hint="eastAsia" w:ascii="Times New Roman" w:hAnsi="Times New Roman" w:eastAsia="仿宋_GB2312" w:cs="Times New Roman"/>
          <w:b/>
          <w:bCs/>
          <w:color w:val="000000"/>
          <w:sz w:val="32"/>
          <w:szCs w:val="32"/>
          <w:lang w:eastAsia="zh-CN"/>
        </w:rPr>
        <w:t>六是</w:t>
      </w:r>
      <w:r>
        <w:rPr>
          <w:rFonts w:hint="eastAsia" w:ascii="Times New Roman" w:hAnsi="Times New Roman" w:eastAsia="仿宋_GB2312" w:cs="Times New Roman"/>
          <w:color w:val="000000"/>
          <w:sz w:val="32"/>
          <w:szCs w:val="32"/>
          <w:lang w:val="en-US" w:eastAsia="zh-CN"/>
        </w:rPr>
        <w:t>防汛抗旱工作成效显著</w:t>
      </w:r>
      <w:r>
        <w:rPr>
          <w:rFonts w:hint="default" w:ascii="Times New Roman" w:hAnsi="Times New Roman" w:eastAsia="仿宋_GB2312" w:cs="Times New Roman"/>
          <w:color w:val="000000"/>
          <w:sz w:val="32"/>
          <w:szCs w:val="32"/>
          <w:lang w:val="en-US" w:eastAsia="zh-CN"/>
        </w:rPr>
        <w:t>统筹谋划，积极作为，切实做好抗旱工作</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b/>
          <w:bCs/>
          <w:color w:val="000000"/>
          <w:sz w:val="32"/>
          <w:szCs w:val="32"/>
          <w:lang w:val="en-US" w:eastAsia="zh-CN"/>
        </w:rPr>
        <w:t>七是</w:t>
      </w:r>
      <w:r>
        <w:rPr>
          <w:rFonts w:hint="eastAsia" w:ascii="Times New Roman" w:hAnsi="Times New Roman" w:eastAsia="仿宋_GB2312" w:cs="Times New Roman"/>
          <w:color w:val="000000"/>
          <w:kern w:val="0"/>
          <w:sz w:val="32"/>
          <w:szCs w:val="32"/>
          <w:lang w:val="en-US" w:eastAsia="zh-CN" w:bidi="ar"/>
        </w:rPr>
        <w:t>切实抓好集中式饮用水源地保护工作</w:t>
      </w:r>
      <w:r>
        <w:rPr>
          <w:rFonts w:hint="default" w:ascii="Times New Roman" w:hAnsi="Times New Roman" w:eastAsia="仿宋_GB2312" w:cs="Times New Roman"/>
          <w:color w:val="000000"/>
          <w:kern w:val="0"/>
          <w:sz w:val="32"/>
          <w:szCs w:val="32"/>
          <w:lang w:val="en-US" w:eastAsia="zh-CN" w:bidi="ar"/>
        </w:rPr>
        <w:t>组织开展</w:t>
      </w:r>
      <w:r>
        <w:rPr>
          <w:rFonts w:hint="default" w:ascii="Times New Roman" w:hAnsi="Times New Roman" w:eastAsia="仿宋_GB2312" w:cs="Times New Roman"/>
          <w:b w:val="0"/>
          <w:bCs w:val="0"/>
          <w:color w:val="000000"/>
          <w:kern w:val="0"/>
          <w:sz w:val="32"/>
          <w:szCs w:val="32"/>
          <w:lang w:val="en-US" w:eastAsia="zh-CN" w:bidi="ar"/>
        </w:rPr>
        <w:t>富民县服务人口1000人以下和1000人以上饮用水水源地保护区划界工作，</w:t>
      </w:r>
      <w:r>
        <w:rPr>
          <w:rFonts w:hint="default" w:ascii="Times New Roman" w:hAnsi="Times New Roman" w:eastAsia="仿宋_GB2312" w:cs="Times New Roman"/>
          <w:color w:val="000000"/>
          <w:kern w:val="0"/>
          <w:sz w:val="32"/>
          <w:szCs w:val="32"/>
          <w:lang w:val="en-US" w:eastAsia="zh-CN" w:bidi="ar"/>
        </w:rPr>
        <w:t>编制完成《富民县服务人口1000人以下饮用水源地保护区划分技术报告》和《富民县服务人口1000人以上饮用水源地保护区划分技术报告》，确定了饮用水水源保护区范围，绘制了保护区划分勘界图</w:t>
      </w:r>
      <w:r>
        <w:rPr>
          <w:rFonts w:hint="eastAsia"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b/>
          <w:bCs/>
          <w:color w:val="000000"/>
          <w:kern w:val="0"/>
          <w:sz w:val="32"/>
          <w:szCs w:val="32"/>
          <w:lang w:val="en-US" w:eastAsia="zh-CN" w:bidi="ar"/>
        </w:rPr>
        <w:t>八是</w:t>
      </w:r>
      <w:r>
        <w:rPr>
          <w:rFonts w:hint="default" w:ascii="Times New Roman" w:hAnsi="Times New Roman" w:eastAsia="仿宋_GB2312" w:cs="Times New Roman"/>
          <w:color w:val="000000"/>
          <w:kern w:val="0"/>
          <w:sz w:val="32"/>
          <w:szCs w:val="32"/>
          <w:lang w:val="en-US" w:eastAsia="zh-CN" w:bidi="ar"/>
        </w:rPr>
        <w:t>落实最严格水资源管理制度，强化水资源管理工作</w:t>
      </w:r>
      <w:r>
        <w:rPr>
          <w:rFonts w:hint="eastAsia" w:ascii="Times New Roman" w:hAnsi="Times New Roman" w:eastAsia="仿宋_GB2312" w:cs="Times New Roman"/>
          <w:color w:val="000000"/>
          <w:kern w:val="0"/>
          <w:sz w:val="32"/>
          <w:szCs w:val="32"/>
          <w:lang w:val="en-US" w:eastAsia="zh-CN" w:bidi="ar"/>
        </w:rPr>
        <w:t>。</w:t>
      </w:r>
    </w:p>
    <w:p>
      <w:pPr>
        <w:numPr>
          <w:ilvl w:val="0"/>
          <w:numId w:val="1"/>
        </w:numPr>
        <w:topLinePunct/>
        <w:ind w:left="0" w:leftChars="0" w:firstLine="800" w:firstLineChars="250"/>
        <w:rPr>
          <w:rFonts w:hint="eastAsia" w:ascii="仿宋_GB2312" w:hAnsi="楷体"/>
          <w:szCs w:val="32"/>
        </w:rPr>
      </w:pPr>
      <w:r>
        <w:rPr>
          <w:rFonts w:hint="eastAsia" w:ascii="仿宋_GB2312" w:hAnsi="楷体"/>
          <w:szCs w:val="32"/>
        </w:rPr>
        <w:t>部门管理制度。</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支出预算的编制必须严格按照国家政策规定和标准，逐项核定，没有政策规定的项目，不得列入预算。日常公用支出预算的编制应本着节约、从俭的原则编报。对个人和家庭的补助支出预算的编制应严格按照国家政策规定和标准，逐项核定。</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行政事业单位取得的各项收入(包括实物)，要据实及时入账，不得隐瞒，更不得另设账户或私设“小金库”</w:t>
      </w:r>
      <w:r>
        <w:rPr>
          <w:rFonts w:hint="eastAsia" w:ascii="仿宋_GB2312" w:hAnsi="仿宋_GB2312" w:eastAsia="仿宋_GB2312" w:cs="仿宋_GB2312"/>
          <w:sz w:val="32"/>
          <w:szCs w:val="32"/>
          <w:lang w:eastAsia="zh-CN"/>
        </w:rPr>
        <w:t>。</w:t>
      </w:r>
    </w:p>
    <w:p>
      <w:pPr>
        <w:widowControl/>
        <w:jc w:val="left"/>
        <w:rPr>
          <w:rFonts w:hint="eastAsia" w:ascii="仿宋_GB2312" w:hAnsi="楷体"/>
          <w:szCs w:val="32"/>
        </w:rPr>
      </w:pPr>
      <w:r>
        <w:rPr>
          <w:rFonts w:hint="eastAsia" w:ascii="仿宋_GB2312" w:hAnsi="仿宋_GB2312" w:eastAsia="仿宋_GB2312" w:cs="仿宋_GB2312"/>
          <w:sz w:val="32"/>
          <w:szCs w:val="32"/>
        </w:rPr>
        <w:t>　　按规定纳入财政专户或财政预算内管理的预算外资金或罚没款，要按规定实行收支两条线管理，并及时缴入国库或财政专户，不得滞留在单位坐支、挪用。</w:t>
      </w:r>
    </w:p>
    <w:p>
      <w:pPr>
        <w:numPr>
          <w:ilvl w:val="0"/>
          <w:numId w:val="1"/>
        </w:numPr>
        <w:topLinePunct/>
        <w:ind w:left="0" w:leftChars="0" w:firstLine="800" w:firstLineChars="250"/>
        <w:rPr>
          <w:rFonts w:hint="eastAsia" w:ascii="仿宋_GB2312" w:hAnsi="楷体"/>
          <w:szCs w:val="32"/>
        </w:rPr>
      </w:pPr>
      <w:r>
        <w:rPr>
          <w:rFonts w:hint="eastAsia" w:ascii="仿宋_GB2312" w:hAnsi="楷体"/>
          <w:szCs w:val="32"/>
        </w:rPr>
        <w:t>部门资金来源及使用情况。</w:t>
      </w:r>
    </w:p>
    <w:p>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2019年总收入为71,636,231.14元，2018年总收入为43,794,557.78元，比上年增长27841673.36元，同比增长63.6%，主要原因是水利项目资金增加。</w:t>
      </w:r>
    </w:p>
    <w:p>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2019年总支出为58,861,717.19元，2018年总支出为85,976,702.58元，比上年减少27114985.39元，同比降低31.5%。，主要原因是社会保障缴费及水利资金减少。</w:t>
      </w:r>
    </w:p>
    <w:p>
      <w:pPr>
        <w:numPr>
          <w:ilvl w:val="0"/>
          <w:numId w:val="1"/>
        </w:numPr>
        <w:topLinePunct/>
        <w:ind w:left="0" w:leftChars="0" w:firstLine="800" w:firstLineChars="250"/>
        <w:rPr>
          <w:rFonts w:hint="eastAsia" w:ascii="仿宋_GB2312" w:hAnsi="楷体"/>
          <w:szCs w:val="32"/>
        </w:rPr>
      </w:pPr>
      <w:r>
        <w:rPr>
          <w:rFonts w:hint="eastAsia" w:ascii="仿宋_GB2312" w:hAnsi="楷体"/>
          <w:szCs w:val="32"/>
        </w:rPr>
        <w:t>政府采购情况。</w:t>
      </w:r>
    </w:p>
    <w:p>
      <w:pPr>
        <w:numPr>
          <w:ilvl w:val="0"/>
          <w:numId w:val="0"/>
        </w:numPr>
        <w:topLinePunct/>
        <w:ind w:firstLine="640" w:firstLineChars="200"/>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富民县水务局201</w:t>
      </w:r>
      <w:r>
        <w:rPr>
          <w:rFonts w:hint="eastAsia" w:ascii="仿宋_GB2312" w:hAnsi="仿宋_GB2312" w:cs="仿宋_GB2312"/>
          <w:color w:val="000000" w:themeColor="text1"/>
          <w:sz w:val="32"/>
          <w:szCs w:val="32"/>
          <w:lang w:val="en-US" w:eastAsia="zh-CN"/>
        </w:rPr>
        <w:t>9</w:t>
      </w:r>
      <w:r>
        <w:rPr>
          <w:rFonts w:hint="eastAsia" w:ascii="仿宋_GB2312" w:hAnsi="仿宋_GB2312" w:eastAsia="仿宋_GB2312" w:cs="仿宋_GB2312"/>
          <w:color w:val="000000" w:themeColor="text1"/>
          <w:sz w:val="32"/>
          <w:szCs w:val="32"/>
          <w:lang w:val="en-US" w:eastAsia="zh-CN"/>
        </w:rPr>
        <w:t>年采购办公电脑</w:t>
      </w:r>
      <w:r>
        <w:rPr>
          <w:rFonts w:hint="eastAsia" w:ascii="仿宋_GB2312" w:hAnsi="仿宋_GB2312" w:cs="仿宋_GB2312"/>
          <w:color w:val="000000" w:themeColor="text1"/>
          <w:sz w:val="32"/>
          <w:szCs w:val="32"/>
          <w:lang w:val="en-US" w:eastAsia="zh-CN"/>
        </w:rPr>
        <w:t>四</w:t>
      </w:r>
      <w:r>
        <w:rPr>
          <w:rFonts w:hint="eastAsia" w:ascii="仿宋_GB2312" w:hAnsi="仿宋_GB2312" w:eastAsia="仿宋_GB2312" w:cs="仿宋_GB2312"/>
          <w:color w:val="000000" w:themeColor="text1"/>
          <w:sz w:val="32"/>
          <w:szCs w:val="32"/>
          <w:lang w:val="en-US" w:eastAsia="zh-CN"/>
        </w:rPr>
        <w:t>台，金额</w:t>
      </w:r>
      <w:r>
        <w:rPr>
          <w:rFonts w:hint="eastAsia" w:ascii="仿宋_GB2312" w:hAnsi="仿宋_GB2312" w:cs="仿宋_GB2312"/>
          <w:color w:val="000000" w:themeColor="text1"/>
          <w:sz w:val="32"/>
          <w:szCs w:val="32"/>
          <w:lang w:val="en-US" w:eastAsia="zh-CN"/>
        </w:rPr>
        <w:t>20800</w:t>
      </w:r>
      <w:r>
        <w:rPr>
          <w:rFonts w:hint="eastAsia" w:ascii="仿宋_GB2312" w:hAnsi="仿宋_GB2312" w:eastAsia="仿宋_GB2312" w:cs="仿宋_GB2312"/>
          <w:color w:val="000000" w:themeColor="text1"/>
          <w:sz w:val="32"/>
          <w:szCs w:val="32"/>
          <w:lang w:val="en-US" w:eastAsia="zh-CN"/>
        </w:rPr>
        <w:t>元，采购</w:t>
      </w:r>
      <w:r>
        <w:rPr>
          <w:rFonts w:hint="eastAsia" w:ascii="仿宋_GB2312" w:hAnsi="仿宋_GB2312" w:cs="仿宋_GB2312"/>
          <w:color w:val="000000" w:themeColor="text1"/>
          <w:sz w:val="32"/>
          <w:szCs w:val="32"/>
          <w:lang w:val="en-US" w:eastAsia="zh-CN"/>
        </w:rPr>
        <w:t>激光</w:t>
      </w:r>
      <w:r>
        <w:rPr>
          <w:rFonts w:hint="eastAsia" w:ascii="仿宋_GB2312" w:hAnsi="仿宋_GB2312" w:eastAsia="仿宋_GB2312" w:cs="仿宋_GB2312"/>
          <w:color w:val="000000" w:themeColor="text1"/>
          <w:sz w:val="32"/>
          <w:szCs w:val="32"/>
          <w:lang w:val="en-US" w:eastAsia="zh-CN"/>
        </w:rPr>
        <w:t>打印机</w:t>
      </w:r>
      <w:r>
        <w:rPr>
          <w:rFonts w:hint="eastAsia" w:ascii="仿宋_GB2312" w:hAnsi="仿宋_GB2312" w:cs="仿宋_GB2312"/>
          <w:color w:val="000000" w:themeColor="text1"/>
          <w:sz w:val="32"/>
          <w:szCs w:val="32"/>
          <w:lang w:val="en-US" w:eastAsia="zh-CN"/>
        </w:rPr>
        <w:t>三</w:t>
      </w:r>
      <w:r>
        <w:rPr>
          <w:rFonts w:hint="eastAsia" w:ascii="仿宋_GB2312" w:hAnsi="仿宋_GB2312" w:eastAsia="仿宋_GB2312" w:cs="仿宋_GB2312"/>
          <w:color w:val="000000" w:themeColor="text1"/>
          <w:sz w:val="32"/>
          <w:szCs w:val="32"/>
          <w:lang w:val="en-US" w:eastAsia="zh-CN"/>
        </w:rPr>
        <w:t>台，金额</w:t>
      </w:r>
      <w:r>
        <w:rPr>
          <w:rFonts w:hint="eastAsia" w:ascii="仿宋_GB2312" w:hAnsi="仿宋_GB2312" w:cs="仿宋_GB2312"/>
          <w:color w:val="000000" w:themeColor="text1"/>
          <w:sz w:val="32"/>
          <w:szCs w:val="32"/>
          <w:lang w:val="en-US" w:eastAsia="zh-CN"/>
        </w:rPr>
        <w:t>6480</w:t>
      </w:r>
      <w:r>
        <w:rPr>
          <w:rFonts w:hint="eastAsia" w:ascii="仿宋_GB2312" w:hAnsi="仿宋_GB2312" w:eastAsia="仿宋_GB2312" w:cs="仿宋_GB2312"/>
          <w:color w:val="000000" w:themeColor="text1"/>
          <w:sz w:val="32"/>
          <w:szCs w:val="32"/>
          <w:lang w:val="en-US" w:eastAsia="zh-CN"/>
        </w:rPr>
        <w:t>元，</w:t>
      </w:r>
      <w:r>
        <w:rPr>
          <w:rFonts w:hint="eastAsia" w:ascii="仿宋_GB2312" w:hAnsi="仿宋_GB2312" w:cs="仿宋_GB2312"/>
          <w:color w:val="000000" w:themeColor="text1"/>
          <w:sz w:val="32"/>
          <w:szCs w:val="32"/>
          <w:lang w:val="en-US" w:eastAsia="zh-CN"/>
        </w:rPr>
        <w:t>碎纸机一台</w:t>
      </w:r>
      <w:r>
        <w:rPr>
          <w:rFonts w:hint="eastAsia" w:ascii="仿宋_GB2312" w:hAnsi="仿宋_GB2312" w:eastAsia="仿宋_GB2312" w:cs="仿宋_GB2312"/>
          <w:color w:val="000000" w:themeColor="text1"/>
          <w:sz w:val="32"/>
          <w:szCs w:val="32"/>
          <w:lang w:val="en-US" w:eastAsia="zh-CN"/>
        </w:rPr>
        <w:t>，金额</w:t>
      </w:r>
      <w:r>
        <w:rPr>
          <w:rFonts w:hint="eastAsia" w:ascii="仿宋_GB2312" w:hAnsi="仿宋_GB2312" w:cs="仿宋_GB2312"/>
          <w:color w:val="000000" w:themeColor="text1"/>
          <w:sz w:val="32"/>
          <w:szCs w:val="32"/>
          <w:lang w:val="en-US" w:eastAsia="zh-CN"/>
        </w:rPr>
        <w:t>800</w:t>
      </w:r>
      <w:r>
        <w:rPr>
          <w:rFonts w:hint="eastAsia" w:ascii="仿宋_GB2312" w:hAnsi="仿宋_GB2312" w:eastAsia="仿宋_GB2312" w:cs="仿宋_GB2312"/>
          <w:color w:val="000000" w:themeColor="text1"/>
          <w:sz w:val="32"/>
          <w:szCs w:val="32"/>
          <w:lang w:val="en-US" w:eastAsia="zh-CN"/>
        </w:rPr>
        <w:t>元，</w:t>
      </w:r>
      <w:r>
        <w:rPr>
          <w:rFonts w:hint="eastAsia" w:ascii="仿宋_GB2312" w:hAnsi="仿宋_GB2312" w:cs="仿宋_GB2312"/>
          <w:color w:val="000000" w:themeColor="text1"/>
          <w:sz w:val="32"/>
          <w:szCs w:val="32"/>
          <w:lang w:val="en-US" w:eastAsia="zh-CN"/>
        </w:rPr>
        <w:t>采购彩色打印机一台，金额：3500元，</w:t>
      </w:r>
      <w:r>
        <w:rPr>
          <w:rFonts w:hint="eastAsia" w:ascii="仿宋_GB2312" w:hAnsi="仿宋_GB2312" w:eastAsia="仿宋_GB2312" w:cs="仿宋_GB2312"/>
          <w:color w:val="000000" w:themeColor="text1"/>
          <w:sz w:val="32"/>
          <w:szCs w:val="32"/>
          <w:lang w:val="en-US" w:eastAsia="zh-CN"/>
        </w:rPr>
        <w:t>共计</w:t>
      </w:r>
      <w:r>
        <w:rPr>
          <w:rFonts w:hint="eastAsia" w:ascii="仿宋_GB2312" w:hAnsi="仿宋_GB2312" w:cs="仿宋_GB2312"/>
          <w:color w:val="000000" w:themeColor="text1"/>
          <w:sz w:val="32"/>
          <w:szCs w:val="32"/>
          <w:lang w:val="en-US" w:eastAsia="zh-CN"/>
        </w:rPr>
        <w:t>31580</w:t>
      </w:r>
      <w:r>
        <w:rPr>
          <w:rFonts w:hint="eastAsia" w:ascii="仿宋_GB2312" w:hAnsi="仿宋_GB2312" w:eastAsia="仿宋_GB2312" w:cs="仿宋_GB2312"/>
          <w:color w:val="000000" w:themeColor="text1"/>
          <w:sz w:val="32"/>
          <w:szCs w:val="32"/>
          <w:lang w:val="en-US" w:eastAsia="zh-CN"/>
        </w:rPr>
        <w:t>元。严格按照政府采购相关程序执行。</w:t>
      </w:r>
    </w:p>
    <w:p>
      <w:pPr>
        <w:numPr>
          <w:ilvl w:val="0"/>
          <w:numId w:val="1"/>
        </w:numPr>
        <w:topLinePunct/>
        <w:ind w:left="0" w:leftChars="0" w:firstLine="800" w:firstLineChars="250"/>
        <w:rPr>
          <w:rFonts w:hint="eastAsia" w:ascii="仿宋_GB2312" w:hAnsi="楷体"/>
          <w:szCs w:val="32"/>
        </w:rPr>
      </w:pPr>
      <w:r>
        <w:rPr>
          <w:rFonts w:hint="eastAsia" w:ascii="仿宋_GB2312" w:hAnsi="楷体"/>
          <w:szCs w:val="32"/>
        </w:rPr>
        <w:t>固定资产情况。</w:t>
      </w:r>
    </w:p>
    <w:p>
      <w:pPr>
        <w:snapToGrid w:val="0"/>
        <w:spacing w:line="520" w:lineRule="exact"/>
        <w:ind w:firstLine="640" w:firstLineChars="200"/>
        <w:rPr>
          <w:rFonts w:hint="eastAsia" w:ascii="仿宋_GB2312" w:hAnsi="楷体"/>
          <w:szCs w:val="32"/>
        </w:rPr>
      </w:pPr>
      <w:r>
        <w:rPr>
          <w:rFonts w:hint="eastAsia" w:ascii="仿宋_GB2312" w:hAnsi="仿宋_GB2312" w:eastAsia="仿宋_GB2312" w:cs="仿宋_GB2312"/>
          <w:color w:val="000000" w:themeColor="text1"/>
          <w:sz w:val="32"/>
          <w:szCs w:val="32"/>
          <w:lang w:val="en-US" w:eastAsia="zh-CN"/>
        </w:rPr>
        <w:t>201</w:t>
      </w:r>
      <w:r>
        <w:rPr>
          <w:rFonts w:hint="eastAsia" w:ascii="仿宋_GB2312" w:hAnsi="仿宋_GB2312" w:cs="仿宋_GB2312"/>
          <w:color w:val="000000" w:themeColor="text1"/>
          <w:sz w:val="32"/>
          <w:szCs w:val="32"/>
          <w:lang w:val="en-US" w:eastAsia="zh-CN"/>
        </w:rPr>
        <w:t>8</w:t>
      </w:r>
      <w:r>
        <w:rPr>
          <w:rFonts w:hint="eastAsia" w:ascii="仿宋_GB2312" w:hAnsi="仿宋_GB2312" w:eastAsia="仿宋_GB2312" w:cs="仿宋_GB2312"/>
          <w:color w:val="000000" w:themeColor="text1"/>
          <w:sz w:val="32"/>
          <w:szCs w:val="32"/>
          <w:lang w:val="en-US" w:eastAsia="zh-CN"/>
        </w:rPr>
        <w:t>年资产总计为</w:t>
      </w:r>
      <w:r>
        <w:rPr>
          <w:rFonts w:hint="eastAsia" w:ascii="仿宋_GB2312" w:hAnsi="仿宋_GB2312" w:eastAsia="仿宋_GB2312" w:cs="仿宋_GB2312"/>
          <w:color w:val="000000" w:themeColor="text1"/>
          <w:sz w:val="32"/>
          <w:szCs w:val="32"/>
          <w:vertAlign w:val="baseline"/>
          <w:lang w:val="en-US" w:eastAsia="zh-CN"/>
        </w:rPr>
        <w:t>15652241.1元，</w:t>
      </w:r>
      <w:r>
        <w:rPr>
          <w:rFonts w:hint="eastAsia" w:ascii="仿宋_GB2312" w:hAnsi="仿宋_GB2312" w:cs="仿宋_GB2312"/>
          <w:color w:val="000000" w:themeColor="text1"/>
          <w:sz w:val="32"/>
          <w:szCs w:val="32"/>
          <w:vertAlign w:val="baseline"/>
          <w:lang w:val="en-US" w:eastAsia="zh-CN"/>
        </w:rPr>
        <w:t>2019年资产总计为23887273.36元，</w:t>
      </w:r>
      <w:r>
        <w:rPr>
          <w:rFonts w:hint="eastAsia" w:ascii="仿宋_GB2312" w:hAnsi="仿宋_GB2312" w:eastAsia="仿宋_GB2312" w:cs="仿宋_GB2312"/>
          <w:color w:val="000000" w:themeColor="text1"/>
          <w:sz w:val="32"/>
          <w:szCs w:val="32"/>
          <w:vertAlign w:val="baseline"/>
          <w:lang w:val="en-US" w:eastAsia="zh-CN"/>
        </w:rPr>
        <w:t>比201</w:t>
      </w:r>
      <w:r>
        <w:rPr>
          <w:rFonts w:hint="eastAsia" w:ascii="仿宋_GB2312" w:hAnsi="仿宋_GB2312" w:cs="仿宋_GB2312"/>
          <w:color w:val="000000" w:themeColor="text1"/>
          <w:sz w:val="32"/>
          <w:szCs w:val="32"/>
          <w:vertAlign w:val="baseline"/>
          <w:lang w:val="en-US" w:eastAsia="zh-CN"/>
        </w:rPr>
        <w:t>8</w:t>
      </w:r>
      <w:r>
        <w:rPr>
          <w:rFonts w:hint="eastAsia" w:ascii="仿宋_GB2312" w:hAnsi="仿宋_GB2312" w:eastAsia="仿宋_GB2312" w:cs="仿宋_GB2312"/>
          <w:color w:val="000000" w:themeColor="text1"/>
          <w:sz w:val="32"/>
          <w:szCs w:val="32"/>
          <w:vertAlign w:val="baseline"/>
          <w:lang w:val="en-US" w:eastAsia="zh-CN"/>
        </w:rPr>
        <w:t>年</w:t>
      </w:r>
      <w:r>
        <w:rPr>
          <w:rFonts w:hint="eastAsia" w:ascii="仿宋_GB2312" w:hAnsi="仿宋_GB2312" w:cs="仿宋_GB2312"/>
          <w:color w:val="000000" w:themeColor="text1"/>
          <w:sz w:val="32"/>
          <w:szCs w:val="32"/>
          <w:vertAlign w:val="baseline"/>
          <w:lang w:val="en-US" w:eastAsia="zh-CN"/>
        </w:rPr>
        <w:t>增加8235032.26</w:t>
      </w:r>
      <w:r>
        <w:rPr>
          <w:rFonts w:hint="eastAsia" w:ascii="仿宋_GB2312" w:hAnsi="仿宋_GB2312" w:eastAsia="仿宋_GB2312" w:cs="仿宋_GB2312"/>
          <w:color w:val="000000" w:themeColor="text1"/>
          <w:sz w:val="32"/>
          <w:szCs w:val="32"/>
          <w:vertAlign w:val="baseline"/>
          <w:lang w:val="en-US" w:eastAsia="zh-CN"/>
        </w:rPr>
        <w:t>元，比201</w:t>
      </w:r>
      <w:r>
        <w:rPr>
          <w:rFonts w:hint="eastAsia" w:ascii="仿宋_GB2312" w:hAnsi="仿宋_GB2312" w:cs="仿宋_GB2312"/>
          <w:color w:val="000000" w:themeColor="text1"/>
          <w:sz w:val="32"/>
          <w:szCs w:val="32"/>
          <w:vertAlign w:val="baseline"/>
          <w:lang w:val="en-US" w:eastAsia="zh-CN"/>
        </w:rPr>
        <w:t>8</w:t>
      </w:r>
      <w:r>
        <w:rPr>
          <w:rFonts w:hint="eastAsia" w:ascii="仿宋_GB2312" w:hAnsi="仿宋_GB2312" w:eastAsia="仿宋_GB2312" w:cs="仿宋_GB2312"/>
          <w:color w:val="000000" w:themeColor="text1"/>
          <w:sz w:val="32"/>
          <w:szCs w:val="32"/>
          <w:vertAlign w:val="baseline"/>
          <w:lang w:val="en-US" w:eastAsia="zh-CN"/>
        </w:rPr>
        <w:t>年</w:t>
      </w:r>
      <w:r>
        <w:rPr>
          <w:rFonts w:hint="eastAsia" w:ascii="仿宋_GB2312" w:hAnsi="仿宋_GB2312" w:cs="仿宋_GB2312"/>
          <w:color w:val="000000" w:themeColor="text1"/>
          <w:sz w:val="32"/>
          <w:szCs w:val="32"/>
          <w:vertAlign w:val="baseline"/>
          <w:lang w:val="en-US" w:eastAsia="zh-CN"/>
        </w:rPr>
        <w:t>增加1.53</w:t>
      </w:r>
      <w:r>
        <w:rPr>
          <w:rFonts w:hint="eastAsia" w:ascii="仿宋_GB2312" w:hAnsi="仿宋_GB2312" w:eastAsia="仿宋_GB2312" w:cs="仿宋_GB2312"/>
          <w:color w:val="000000" w:themeColor="text1"/>
          <w:sz w:val="32"/>
          <w:szCs w:val="32"/>
          <w:vertAlign w:val="baseline"/>
          <w:lang w:val="en-US" w:eastAsia="zh-CN"/>
        </w:rPr>
        <w:t>%。201</w:t>
      </w:r>
      <w:r>
        <w:rPr>
          <w:rFonts w:hint="eastAsia" w:ascii="仿宋_GB2312" w:hAnsi="仿宋_GB2312" w:cs="仿宋_GB2312"/>
          <w:color w:val="000000" w:themeColor="text1"/>
          <w:sz w:val="32"/>
          <w:szCs w:val="32"/>
          <w:vertAlign w:val="baseline"/>
          <w:lang w:val="en-US" w:eastAsia="zh-CN"/>
        </w:rPr>
        <w:t>9</w:t>
      </w:r>
      <w:r>
        <w:rPr>
          <w:rFonts w:hint="eastAsia" w:ascii="仿宋_GB2312" w:hAnsi="仿宋_GB2312" w:eastAsia="仿宋_GB2312" w:cs="仿宋_GB2312"/>
          <w:color w:val="000000" w:themeColor="text1"/>
          <w:sz w:val="32"/>
          <w:szCs w:val="32"/>
          <w:vertAlign w:val="baseline"/>
          <w:lang w:val="en-US" w:eastAsia="zh-CN"/>
        </w:rPr>
        <w:t>年固定资产为</w:t>
      </w:r>
      <w:r>
        <w:rPr>
          <w:rFonts w:hint="eastAsia" w:ascii="仿宋_GB2312" w:hAnsi="仿宋_GB2312" w:cs="仿宋_GB2312"/>
          <w:color w:val="000000" w:themeColor="text1"/>
          <w:sz w:val="32"/>
          <w:szCs w:val="32"/>
          <w:vertAlign w:val="baseline"/>
          <w:lang w:val="en-US" w:eastAsia="zh-CN"/>
        </w:rPr>
        <w:t>2937808.27</w:t>
      </w:r>
      <w:r>
        <w:rPr>
          <w:rFonts w:hint="eastAsia" w:ascii="仿宋_GB2312" w:hAnsi="仿宋_GB2312" w:eastAsia="仿宋_GB2312" w:cs="仿宋_GB2312"/>
          <w:color w:val="000000" w:themeColor="text1"/>
          <w:sz w:val="32"/>
          <w:szCs w:val="32"/>
          <w:vertAlign w:val="baseline"/>
          <w:lang w:val="en-US" w:eastAsia="zh-CN"/>
        </w:rPr>
        <w:t>元，比201</w:t>
      </w:r>
      <w:r>
        <w:rPr>
          <w:rFonts w:hint="eastAsia" w:ascii="仿宋_GB2312" w:hAnsi="仿宋_GB2312" w:cs="仿宋_GB2312"/>
          <w:color w:val="000000" w:themeColor="text1"/>
          <w:sz w:val="32"/>
          <w:szCs w:val="32"/>
          <w:vertAlign w:val="baseline"/>
          <w:lang w:val="en-US" w:eastAsia="zh-CN"/>
        </w:rPr>
        <w:t>8</w:t>
      </w:r>
      <w:r>
        <w:rPr>
          <w:rFonts w:hint="eastAsia" w:ascii="仿宋_GB2312" w:hAnsi="仿宋_GB2312" w:eastAsia="仿宋_GB2312" w:cs="仿宋_GB2312"/>
          <w:color w:val="000000" w:themeColor="text1"/>
          <w:sz w:val="32"/>
          <w:szCs w:val="32"/>
          <w:vertAlign w:val="baseline"/>
          <w:lang w:val="en-US" w:eastAsia="zh-CN"/>
        </w:rPr>
        <w:t>年增加</w:t>
      </w:r>
      <w:r>
        <w:rPr>
          <w:rFonts w:hint="eastAsia" w:ascii="仿宋_GB2312" w:hAnsi="仿宋_GB2312" w:cs="仿宋_GB2312"/>
          <w:color w:val="000000" w:themeColor="text1"/>
          <w:sz w:val="32"/>
          <w:szCs w:val="32"/>
          <w:vertAlign w:val="baseline"/>
          <w:lang w:val="en-US" w:eastAsia="zh-CN"/>
        </w:rPr>
        <w:t>31580</w:t>
      </w:r>
      <w:r>
        <w:rPr>
          <w:rFonts w:hint="eastAsia" w:ascii="仿宋_GB2312" w:hAnsi="仿宋_GB2312" w:eastAsia="仿宋_GB2312" w:cs="仿宋_GB2312"/>
          <w:color w:val="000000" w:themeColor="text1"/>
          <w:sz w:val="32"/>
          <w:szCs w:val="32"/>
          <w:vertAlign w:val="baseline"/>
          <w:lang w:val="en-US" w:eastAsia="zh-CN"/>
        </w:rPr>
        <w:t>元，比201</w:t>
      </w:r>
      <w:r>
        <w:rPr>
          <w:rFonts w:hint="eastAsia" w:ascii="仿宋_GB2312" w:hAnsi="仿宋_GB2312" w:cs="仿宋_GB2312"/>
          <w:color w:val="000000" w:themeColor="text1"/>
          <w:sz w:val="32"/>
          <w:szCs w:val="32"/>
          <w:vertAlign w:val="baseline"/>
          <w:lang w:val="en-US" w:eastAsia="zh-CN"/>
        </w:rPr>
        <w:t>8</w:t>
      </w:r>
      <w:r>
        <w:rPr>
          <w:rFonts w:hint="eastAsia" w:ascii="仿宋_GB2312" w:hAnsi="仿宋_GB2312" w:eastAsia="仿宋_GB2312" w:cs="仿宋_GB2312"/>
          <w:color w:val="000000" w:themeColor="text1"/>
          <w:sz w:val="32"/>
          <w:szCs w:val="32"/>
          <w:vertAlign w:val="baseline"/>
          <w:lang w:val="en-US" w:eastAsia="zh-CN"/>
        </w:rPr>
        <w:t>年增加1.</w:t>
      </w:r>
      <w:r>
        <w:rPr>
          <w:rFonts w:hint="eastAsia" w:ascii="仿宋_GB2312" w:hAnsi="仿宋_GB2312" w:cs="仿宋_GB2312"/>
          <w:color w:val="000000" w:themeColor="text1"/>
          <w:sz w:val="32"/>
          <w:szCs w:val="32"/>
          <w:vertAlign w:val="baseline"/>
          <w:lang w:val="en-US" w:eastAsia="zh-CN"/>
        </w:rPr>
        <w:t>01</w:t>
      </w:r>
      <w:r>
        <w:rPr>
          <w:rFonts w:hint="eastAsia" w:ascii="仿宋_GB2312" w:hAnsi="仿宋_GB2312" w:eastAsia="仿宋_GB2312" w:cs="仿宋_GB2312"/>
          <w:color w:val="000000" w:themeColor="text1"/>
          <w:sz w:val="32"/>
          <w:szCs w:val="32"/>
          <w:vertAlign w:val="baseline"/>
          <w:lang w:val="en-US" w:eastAsia="zh-CN"/>
        </w:rPr>
        <w:t>%，主要原因为201</w:t>
      </w:r>
      <w:r>
        <w:rPr>
          <w:rFonts w:hint="eastAsia" w:ascii="仿宋_GB2312" w:hAnsi="仿宋_GB2312" w:cs="仿宋_GB2312"/>
          <w:color w:val="000000" w:themeColor="text1"/>
          <w:sz w:val="32"/>
          <w:szCs w:val="32"/>
          <w:vertAlign w:val="baseline"/>
          <w:lang w:val="en-US" w:eastAsia="zh-CN"/>
        </w:rPr>
        <w:t>9</w:t>
      </w:r>
      <w:r>
        <w:rPr>
          <w:rFonts w:hint="eastAsia" w:ascii="仿宋_GB2312" w:hAnsi="仿宋_GB2312" w:eastAsia="仿宋_GB2312" w:cs="仿宋_GB2312"/>
          <w:color w:val="000000" w:themeColor="text1"/>
          <w:sz w:val="32"/>
          <w:szCs w:val="32"/>
          <w:vertAlign w:val="baseline"/>
          <w:lang w:val="en-US" w:eastAsia="zh-CN"/>
        </w:rPr>
        <w:t>年度进行了资产购置，所以固定资产增加。2018年负债总计为6789642.82元，</w:t>
      </w:r>
      <w:r>
        <w:rPr>
          <w:rFonts w:hint="eastAsia" w:ascii="仿宋_GB2312" w:hAnsi="仿宋_GB2312" w:cs="仿宋_GB2312"/>
          <w:color w:val="000000" w:themeColor="text1"/>
          <w:sz w:val="32"/>
          <w:szCs w:val="32"/>
          <w:vertAlign w:val="baseline"/>
          <w:lang w:val="en-US" w:eastAsia="zh-CN"/>
        </w:rPr>
        <w:t>2019年</w:t>
      </w:r>
      <w:r>
        <w:rPr>
          <w:rFonts w:hint="eastAsia" w:ascii="仿宋_GB2312" w:hAnsi="仿宋_GB2312" w:eastAsia="仿宋_GB2312" w:cs="仿宋_GB2312"/>
          <w:color w:val="000000" w:themeColor="text1"/>
          <w:sz w:val="32"/>
          <w:szCs w:val="32"/>
          <w:vertAlign w:val="baseline"/>
          <w:lang w:val="en-US" w:eastAsia="zh-CN"/>
        </w:rPr>
        <w:t>负债总计为</w:t>
      </w:r>
      <w:r>
        <w:rPr>
          <w:rFonts w:hint="eastAsia" w:ascii="仿宋_GB2312" w:hAnsi="仿宋_GB2312" w:cs="仿宋_GB2312"/>
          <w:color w:val="000000" w:themeColor="text1"/>
          <w:sz w:val="32"/>
          <w:szCs w:val="32"/>
          <w:vertAlign w:val="baseline"/>
          <w:lang w:val="en-US" w:eastAsia="zh-CN"/>
        </w:rPr>
        <w:t>2889937.02元，</w:t>
      </w:r>
      <w:r>
        <w:rPr>
          <w:rFonts w:hint="eastAsia" w:ascii="仿宋_GB2312" w:hAnsi="仿宋_GB2312" w:eastAsia="仿宋_GB2312" w:cs="仿宋_GB2312"/>
          <w:color w:val="000000" w:themeColor="text1"/>
          <w:sz w:val="32"/>
          <w:szCs w:val="32"/>
          <w:vertAlign w:val="baseline"/>
          <w:lang w:val="en-US" w:eastAsia="zh-CN"/>
        </w:rPr>
        <w:t>比201</w:t>
      </w:r>
      <w:r>
        <w:rPr>
          <w:rFonts w:hint="eastAsia" w:ascii="仿宋_GB2312" w:hAnsi="仿宋_GB2312" w:cs="仿宋_GB2312"/>
          <w:color w:val="000000" w:themeColor="text1"/>
          <w:sz w:val="32"/>
          <w:szCs w:val="32"/>
          <w:vertAlign w:val="baseline"/>
          <w:lang w:val="en-US" w:eastAsia="zh-CN"/>
        </w:rPr>
        <w:t>8</w:t>
      </w:r>
      <w:r>
        <w:rPr>
          <w:rFonts w:hint="eastAsia" w:ascii="仿宋_GB2312" w:hAnsi="仿宋_GB2312" w:eastAsia="仿宋_GB2312" w:cs="仿宋_GB2312"/>
          <w:color w:val="000000" w:themeColor="text1"/>
          <w:sz w:val="32"/>
          <w:szCs w:val="32"/>
          <w:vertAlign w:val="baseline"/>
          <w:lang w:val="en-US" w:eastAsia="zh-CN"/>
        </w:rPr>
        <w:t>年减少</w:t>
      </w:r>
      <w:r>
        <w:rPr>
          <w:rFonts w:hint="eastAsia" w:ascii="仿宋_GB2312" w:hAnsi="仿宋_GB2312" w:cs="仿宋_GB2312"/>
          <w:color w:val="000000" w:themeColor="text1"/>
          <w:sz w:val="32"/>
          <w:szCs w:val="32"/>
          <w:vertAlign w:val="baseline"/>
          <w:lang w:val="en-US" w:eastAsia="zh-CN"/>
        </w:rPr>
        <w:t>3899705.8</w:t>
      </w:r>
      <w:r>
        <w:rPr>
          <w:rFonts w:hint="eastAsia" w:ascii="仿宋_GB2312" w:hAnsi="仿宋_GB2312" w:eastAsia="仿宋_GB2312" w:cs="仿宋_GB2312"/>
          <w:color w:val="000000" w:themeColor="text1"/>
          <w:sz w:val="32"/>
          <w:szCs w:val="32"/>
          <w:vertAlign w:val="baseline"/>
          <w:lang w:val="en-US" w:eastAsia="zh-CN"/>
        </w:rPr>
        <w:t>，比201</w:t>
      </w:r>
      <w:r>
        <w:rPr>
          <w:rFonts w:hint="eastAsia" w:ascii="仿宋_GB2312" w:hAnsi="仿宋_GB2312" w:cs="仿宋_GB2312"/>
          <w:color w:val="000000" w:themeColor="text1"/>
          <w:sz w:val="32"/>
          <w:szCs w:val="32"/>
          <w:vertAlign w:val="baseline"/>
          <w:lang w:val="en-US" w:eastAsia="zh-CN"/>
        </w:rPr>
        <w:t>8</w:t>
      </w:r>
      <w:r>
        <w:rPr>
          <w:rFonts w:hint="eastAsia" w:ascii="仿宋_GB2312" w:hAnsi="仿宋_GB2312" w:eastAsia="仿宋_GB2312" w:cs="仿宋_GB2312"/>
          <w:color w:val="000000" w:themeColor="text1"/>
          <w:sz w:val="32"/>
          <w:szCs w:val="32"/>
          <w:vertAlign w:val="baseline"/>
          <w:lang w:val="en-US" w:eastAsia="zh-CN"/>
        </w:rPr>
        <w:t>年减少</w:t>
      </w:r>
      <w:r>
        <w:rPr>
          <w:rFonts w:hint="eastAsia" w:ascii="仿宋_GB2312" w:hAnsi="仿宋_GB2312" w:cs="仿宋_GB2312"/>
          <w:color w:val="000000" w:themeColor="text1"/>
          <w:sz w:val="32"/>
          <w:szCs w:val="32"/>
          <w:vertAlign w:val="baseline"/>
          <w:lang w:val="en-US" w:eastAsia="zh-CN"/>
        </w:rPr>
        <w:t>42.6</w:t>
      </w:r>
      <w:r>
        <w:rPr>
          <w:rFonts w:hint="eastAsia" w:ascii="仿宋_GB2312" w:hAnsi="仿宋_GB2312" w:eastAsia="仿宋_GB2312" w:cs="仿宋_GB2312"/>
          <w:color w:val="000000" w:themeColor="text1"/>
          <w:sz w:val="32"/>
          <w:szCs w:val="32"/>
          <w:vertAlign w:val="baseline"/>
          <w:lang w:val="en-US" w:eastAsia="zh-CN"/>
        </w:rPr>
        <w:t>%，主要原因为项目开工建设项目资金拨付到各项目单位、支付其他应付款等负债账目，对应付款项、往来款等及时支付，不让资金滞留于本单位账户。</w:t>
      </w:r>
    </w:p>
    <w:p>
      <w:pPr>
        <w:topLinePunct/>
        <w:ind w:firstLine="800" w:firstLineChars="250"/>
        <w:rPr>
          <w:rFonts w:ascii="黑体" w:hAnsi="黑体" w:eastAsia="黑体"/>
          <w:szCs w:val="32"/>
        </w:rPr>
      </w:pPr>
      <w:r>
        <w:rPr>
          <w:rFonts w:hint="eastAsia" w:ascii="黑体" w:hAnsi="黑体" w:eastAsia="黑体"/>
          <w:szCs w:val="32"/>
        </w:rPr>
        <w:t>二、绩效目标</w:t>
      </w:r>
    </w:p>
    <w:p>
      <w:pPr>
        <w:topLinePunct/>
        <w:ind w:firstLine="800" w:firstLineChars="25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（一）部门总目标。</w:t>
      </w:r>
    </w:p>
    <w:p>
      <w:pPr>
        <w:snapToGrid w:val="0"/>
        <w:spacing w:line="52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highlight w:val="none"/>
          <w:lang w:eastAsia="zh-CN"/>
        </w:rPr>
        <w:t>本单位</w:t>
      </w:r>
      <w:r>
        <w:rPr>
          <w:rFonts w:hint="eastAsia" w:ascii="仿宋_GB2312" w:hAnsi="仿宋_GB2312" w:eastAsia="仿宋_GB2312" w:cs="仿宋_GB2312"/>
          <w:color w:val="000000" w:themeColor="text1"/>
          <w:sz w:val="32"/>
          <w:szCs w:val="32"/>
          <w:highlight w:val="none"/>
          <w:lang w:val="en-US" w:eastAsia="zh-CN"/>
        </w:rPr>
        <w:t>201</w:t>
      </w:r>
      <w:r>
        <w:rPr>
          <w:rFonts w:hint="eastAsia" w:ascii="仿宋_GB2312" w:hAnsi="仿宋_GB2312" w:cs="仿宋_GB2312"/>
          <w:color w:val="000000" w:themeColor="text1"/>
          <w:sz w:val="32"/>
          <w:szCs w:val="32"/>
          <w:highlight w:val="none"/>
          <w:lang w:val="en-US" w:eastAsia="zh-CN"/>
        </w:rPr>
        <w:t>9</w:t>
      </w:r>
      <w:r>
        <w:rPr>
          <w:rFonts w:hint="eastAsia" w:ascii="仿宋_GB2312" w:hAnsi="仿宋_GB2312" w:eastAsia="仿宋_GB2312" w:cs="仿宋_GB2312"/>
          <w:color w:val="000000" w:themeColor="text1"/>
          <w:sz w:val="32"/>
          <w:szCs w:val="32"/>
          <w:highlight w:val="none"/>
          <w:lang w:val="en-US" w:eastAsia="zh-CN"/>
        </w:rPr>
        <w:t>年整体支出绩效总体目标为：做好全县水利工程的施工管理、质量监督、安全生产及竣工验收工作。按照县级部门预决算编制通知和有关要求，按时完成预决算编报工作，按要求及时完整公开预决算信息，在预算范围内保障本单位工作正常运转。保障了辖区内防洪、抗旱、蓄水工作正常运转，在确保安全的情况下千方百计增加库、塘蓄水量，完成了市级下达的蓄水任务，确保了辖区内水利工程的良好运行，完成201</w:t>
      </w:r>
      <w:r>
        <w:rPr>
          <w:rFonts w:hint="eastAsia" w:ascii="仿宋_GB2312" w:hAnsi="仿宋_GB2312" w:cs="仿宋_GB2312"/>
          <w:color w:val="000000" w:themeColor="text1"/>
          <w:sz w:val="32"/>
          <w:szCs w:val="32"/>
          <w:highlight w:val="none"/>
          <w:lang w:val="en-US" w:eastAsia="zh-CN"/>
        </w:rPr>
        <w:t>9</w:t>
      </w:r>
      <w:r>
        <w:rPr>
          <w:rFonts w:hint="eastAsia" w:ascii="仿宋_GB2312" w:hAnsi="仿宋_GB2312" w:eastAsia="仿宋_GB2312" w:cs="仿宋_GB2312"/>
          <w:color w:val="000000" w:themeColor="text1"/>
          <w:sz w:val="32"/>
          <w:szCs w:val="32"/>
          <w:highlight w:val="none"/>
          <w:lang w:val="en-US" w:eastAsia="zh-CN"/>
        </w:rPr>
        <w:t>年市县工作目标任务。</w:t>
      </w:r>
    </w:p>
    <w:p>
      <w:pPr>
        <w:numPr>
          <w:ilvl w:val="0"/>
          <w:numId w:val="0"/>
        </w:numPr>
        <w:topLinePunct/>
        <w:ind w:firstLine="960" w:firstLineChars="3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（二）</w:t>
      </w:r>
      <w:r>
        <w:rPr>
          <w:rFonts w:hint="eastAsia" w:ascii="仿宋_GB2312" w:hAnsi="仿宋_GB2312" w:eastAsia="仿宋_GB2312" w:cs="仿宋_GB2312"/>
          <w:color w:val="000000" w:themeColor="text1"/>
          <w:sz w:val="32"/>
          <w:szCs w:val="32"/>
        </w:rPr>
        <w:t>部门项目具体计划目标。</w:t>
      </w:r>
    </w:p>
    <w:p>
      <w:pPr>
        <w:numPr>
          <w:ilvl w:val="0"/>
          <w:numId w:val="0"/>
        </w:numPr>
        <w:topLinePun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 高度重视预算支出绩效评价工作，成立了以</w:t>
      </w:r>
      <w:r>
        <w:rPr>
          <w:rFonts w:hint="eastAsia" w:ascii="仿宋_GB2312" w:hAnsi="仿宋_GB2312" w:eastAsia="仿宋_GB2312" w:cs="仿宋_GB2312"/>
          <w:color w:val="000000" w:themeColor="text1"/>
          <w:sz w:val="32"/>
          <w:szCs w:val="32"/>
          <w:lang w:eastAsia="zh-CN"/>
        </w:rPr>
        <w:t>单位负责人</w:t>
      </w:r>
      <w:r>
        <w:rPr>
          <w:rFonts w:hint="eastAsia" w:ascii="仿宋_GB2312" w:hAnsi="仿宋_GB2312" w:eastAsia="仿宋_GB2312" w:cs="仿宋_GB2312"/>
          <w:color w:val="000000" w:themeColor="text1"/>
          <w:sz w:val="32"/>
          <w:szCs w:val="32"/>
        </w:rPr>
        <w:t>为组长，其他领导为副组长</w:t>
      </w:r>
      <w:r>
        <w:rPr>
          <w:rFonts w:hint="eastAsia" w:ascii="仿宋_GB2312" w:hAnsi="仿宋_GB2312" w:eastAsia="仿宋_GB2312" w:cs="仿宋_GB2312"/>
          <w:color w:val="000000" w:themeColor="text1"/>
          <w:sz w:val="32"/>
          <w:szCs w:val="32"/>
          <w:lang w:eastAsia="zh-CN"/>
        </w:rPr>
        <w:t>的</w:t>
      </w:r>
      <w:r>
        <w:rPr>
          <w:rFonts w:hint="eastAsia" w:ascii="仿宋_GB2312" w:hAnsi="仿宋_GB2312" w:eastAsia="仿宋_GB2312" w:cs="仿宋_GB2312"/>
          <w:color w:val="000000" w:themeColor="text1"/>
          <w:sz w:val="32"/>
          <w:szCs w:val="32"/>
        </w:rPr>
        <w:t>预算支出绩效评价领导小组，明确各职能</w:t>
      </w:r>
      <w:r>
        <w:rPr>
          <w:rFonts w:hint="eastAsia" w:ascii="仿宋_GB2312" w:hAnsi="仿宋_GB2312" w:eastAsia="仿宋_GB2312" w:cs="仿宋_GB2312"/>
          <w:color w:val="000000" w:themeColor="text1"/>
          <w:sz w:val="32"/>
          <w:szCs w:val="32"/>
          <w:lang w:eastAsia="zh-CN"/>
        </w:rPr>
        <w:t>部门</w:t>
      </w:r>
      <w:r>
        <w:rPr>
          <w:rFonts w:hint="eastAsia" w:ascii="仿宋_GB2312" w:hAnsi="仿宋_GB2312" w:eastAsia="仿宋_GB2312" w:cs="仿宋_GB2312"/>
          <w:color w:val="000000" w:themeColor="text1"/>
          <w:sz w:val="32"/>
          <w:szCs w:val="32"/>
        </w:rPr>
        <w:t>的评价责任，进一步强化</w:t>
      </w:r>
      <w:r>
        <w:rPr>
          <w:rFonts w:hint="eastAsia" w:ascii="仿宋_GB2312" w:hAnsi="仿宋_GB2312" w:eastAsia="仿宋_GB2312" w:cs="仿宋_GB2312"/>
          <w:color w:val="000000" w:themeColor="text1"/>
          <w:sz w:val="32"/>
          <w:szCs w:val="32"/>
          <w:lang w:eastAsia="zh-CN"/>
        </w:rPr>
        <w:t>本单位</w:t>
      </w:r>
      <w:r>
        <w:rPr>
          <w:rFonts w:hint="eastAsia" w:ascii="仿宋_GB2312" w:hAnsi="仿宋_GB2312" w:eastAsia="仿宋_GB2312" w:cs="仿宋_GB2312"/>
          <w:color w:val="000000" w:themeColor="text1"/>
          <w:sz w:val="32"/>
          <w:szCs w:val="32"/>
        </w:rPr>
        <w:t>对财政预算支出管理意识。</w:t>
      </w:r>
    </w:p>
    <w:p>
      <w:pPr>
        <w:numPr>
          <w:ilvl w:val="0"/>
          <w:numId w:val="0"/>
        </w:numPr>
        <w:topLinePun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 建立了</w:t>
      </w:r>
      <w:r>
        <w:rPr>
          <w:rFonts w:hint="eastAsia" w:ascii="仿宋_GB2312" w:hAnsi="仿宋_GB2312" w:eastAsia="仿宋_GB2312" w:cs="仿宋_GB2312"/>
          <w:color w:val="000000" w:themeColor="text1"/>
          <w:sz w:val="32"/>
          <w:szCs w:val="32"/>
          <w:lang w:eastAsia="zh-CN"/>
        </w:rPr>
        <w:t>单位</w:t>
      </w:r>
      <w:r>
        <w:rPr>
          <w:rFonts w:hint="eastAsia" w:ascii="仿宋_GB2312" w:hAnsi="仿宋_GB2312" w:eastAsia="仿宋_GB2312" w:cs="仿宋_GB2312"/>
          <w:color w:val="000000" w:themeColor="text1"/>
          <w:sz w:val="32"/>
          <w:szCs w:val="32"/>
        </w:rPr>
        <w:t>整体支出管理方面的内控制度，并不断进行完善和修订，对招待费、公务用车等支出进行了有效管控。</w:t>
      </w:r>
    </w:p>
    <w:p>
      <w:pPr>
        <w:numPr>
          <w:ilvl w:val="0"/>
          <w:numId w:val="0"/>
        </w:numPr>
        <w:topLinePun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 严格制度执行，特别是“三公”经费的预算控制。加强对公务用车的管理，严格招待费用审核审批程序，“三公”经费较好地控制在预算范围之内。</w:t>
      </w:r>
    </w:p>
    <w:p>
      <w:pPr>
        <w:topLinePunct/>
        <w:ind w:firstLine="803" w:firstLineChars="25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三、评价结论</w:t>
      </w:r>
    </w:p>
    <w:p>
      <w:pPr>
        <w:topLinePunct/>
        <w:ind w:firstLine="800" w:firstLineChars="25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（一）主要绩效。</w:t>
      </w:r>
    </w:p>
    <w:p>
      <w:pPr>
        <w:spacing w:line="5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本次绩效评价的目的是为了全面分析和综合评价我</w:t>
      </w:r>
      <w:r>
        <w:rPr>
          <w:rFonts w:hint="eastAsia" w:ascii="仿宋_GB2312" w:hAnsi="仿宋_GB2312" w:eastAsia="仿宋_GB2312" w:cs="仿宋_GB2312"/>
          <w:color w:val="000000" w:themeColor="text1"/>
          <w:sz w:val="32"/>
          <w:szCs w:val="32"/>
          <w:lang w:eastAsia="zh-CN"/>
        </w:rPr>
        <w:t>单位</w:t>
      </w:r>
      <w:r>
        <w:rPr>
          <w:rFonts w:hint="eastAsia" w:ascii="仿宋_GB2312" w:hAnsi="仿宋_GB2312" w:eastAsia="仿宋_GB2312" w:cs="仿宋_GB2312"/>
          <w:color w:val="000000" w:themeColor="text1"/>
          <w:sz w:val="32"/>
          <w:szCs w:val="32"/>
        </w:rPr>
        <w:t>本级财政预算资金的使用管理情况，为切实提高财政资金使用效益，强化预算支出的责任和效率提供参考依据。</w:t>
      </w:r>
    </w:p>
    <w:p>
      <w:pPr>
        <w:numPr>
          <w:ilvl w:val="0"/>
          <w:numId w:val="2"/>
        </w:numPr>
        <w:spacing w:line="500" w:lineRule="exact"/>
        <w:ind w:firstLine="640" w:firstLineChars="200"/>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预算执行：严格按照财政批复的部门预算执行，严格控制部门年度结转结余，严格把控对存量资金的实际控制程度，严格控制部门“三公经费”支出。</w:t>
      </w:r>
    </w:p>
    <w:p>
      <w:pPr>
        <w:numPr>
          <w:ilvl w:val="0"/>
          <w:numId w:val="2"/>
        </w:numPr>
        <w:spacing w:line="500" w:lineRule="exact"/>
        <w:ind w:firstLine="640" w:firstLineChars="200"/>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预算管理：加强预算管理、规范财务行为，制定合理的预算管理制度，使用预算资金符合相关的预算财务管理制度的规定，按照政府信息公开有关规定公开相关预决算信息。</w:t>
      </w:r>
    </w:p>
    <w:p>
      <w:pPr>
        <w:numPr>
          <w:ilvl w:val="0"/>
          <w:numId w:val="2"/>
        </w:numPr>
        <w:spacing w:line="5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资产管理：制定合理的资产管理制度，固定资产保存完整、使用合规，定期盘点清理固定资产，利用固定资产信息管理系统实行固定资产动态管理，确保固定资产账实相符。</w:t>
      </w:r>
    </w:p>
    <w:p>
      <w:pPr>
        <w:numPr>
          <w:ilvl w:val="0"/>
          <w:numId w:val="3"/>
        </w:numPr>
        <w:topLinePunct/>
        <w:ind w:firstLine="800" w:firstLineChars="25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评价结果。</w:t>
      </w:r>
    </w:p>
    <w:p>
      <w:pPr>
        <w:topLinePun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201</w:t>
      </w:r>
      <w:r>
        <w:rPr>
          <w:rFonts w:hint="eastAsia" w:ascii="仿宋_GB2312" w:hAnsi="仿宋_GB2312" w:cs="仿宋_GB2312"/>
          <w:color w:val="000000" w:themeColor="text1"/>
          <w:sz w:val="32"/>
          <w:szCs w:val="32"/>
          <w:lang w:val="en-US" w:eastAsia="zh-CN"/>
        </w:rPr>
        <w:t>9</w:t>
      </w:r>
      <w:r>
        <w:rPr>
          <w:rFonts w:hint="eastAsia" w:ascii="仿宋_GB2312" w:hAnsi="仿宋_GB2312" w:eastAsia="仿宋_GB2312" w:cs="仿宋_GB2312"/>
          <w:color w:val="000000" w:themeColor="text1"/>
          <w:sz w:val="32"/>
          <w:szCs w:val="32"/>
        </w:rPr>
        <w:t>年，根据年初工作规划和重点性工作，较好的完成了年度工作目标。通过加强预算收支管理，不断建立健全内部管理制度，梳理内部管理流程，部门整体支出管理情况得到提升。根据201</w:t>
      </w:r>
      <w:r>
        <w:rPr>
          <w:rFonts w:hint="eastAsia" w:ascii="仿宋_GB2312" w:hAnsi="仿宋_GB2312" w:cs="仿宋_GB2312"/>
          <w:color w:val="000000" w:themeColor="text1"/>
          <w:sz w:val="32"/>
          <w:szCs w:val="32"/>
          <w:lang w:val="en-US" w:eastAsia="zh-CN"/>
        </w:rPr>
        <w:t>9</w:t>
      </w:r>
      <w:r>
        <w:rPr>
          <w:rFonts w:hint="eastAsia" w:ascii="仿宋_GB2312" w:hAnsi="仿宋_GB2312" w:eastAsia="仿宋_GB2312" w:cs="仿宋_GB2312"/>
          <w:color w:val="000000" w:themeColor="text1"/>
          <w:sz w:val="32"/>
          <w:szCs w:val="32"/>
        </w:rPr>
        <w:t>年度部门整体支出状况的概述和分析，部门整体支出绩效情况如下：</w:t>
      </w:r>
    </w:p>
    <w:p>
      <w:pPr>
        <w:numPr>
          <w:ilvl w:val="0"/>
          <w:numId w:val="4"/>
        </w:numPr>
        <w:topLinePun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经济性分析</w:t>
      </w:r>
      <w:r>
        <w:rPr>
          <w:rFonts w:hint="eastAsia" w:ascii="仿宋_GB2312" w:hAnsi="仿宋_GB2312" w:eastAsia="仿宋_GB2312" w:cs="仿宋_GB2312"/>
          <w:color w:val="000000" w:themeColor="text1"/>
          <w:sz w:val="32"/>
          <w:szCs w:val="32"/>
          <w:lang w:eastAsia="zh-CN"/>
        </w:rPr>
        <w:t>情况说明</w:t>
      </w:r>
    </w:p>
    <w:p>
      <w:pPr>
        <w:numPr>
          <w:ilvl w:val="0"/>
          <w:numId w:val="5"/>
        </w:numPr>
        <w:snapToGrid w:val="0"/>
        <w:spacing w:line="52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“三公”经费支出情况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1"/>
        <w:gridCol w:w="2160"/>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441" w:type="dxa"/>
            <w:vAlign w:val="top"/>
          </w:tcPr>
          <w:p>
            <w:pPr>
              <w:snapToGrid w:val="0"/>
              <w:spacing w:line="520" w:lineRule="exact"/>
              <w:jc w:val="left"/>
              <w:rPr>
                <w:rFonts w:hint="eastAsia" w:ascii="仿宋_GB2312" w:hAnsi="仿宋_GB2312" w:eastAsia="仿宋_GB2312" w:cs="仿宋_GB2312"/>
                <w:color w:val="000000" w:themeColor="text1"/>
                <w:sz w:val="32"/>
                <w:szCs w:val="32"/>
                <w:vertAlign w:val="baseline"/>
                <w:lang w:val="en-US" w:eastAsia="zh-CN"/>
              </w:rPr>
            </w:pPr>
          </w:p>
        </w:tc>
        <w:tc>
          <w:tcPr>
            <w:tcW w:w="2160" w:type="dxa"/>
            <w:vAlign w:val="top"/>
          </w:tcPr>
          <w:p>
            <w:pPr>
              <w:snapToGrid w:val="0"/>
              <w:spacing w:line="520" w:lineRule="exact"/>
              <w:jc w:val="center"/>
              <w:rPr>
                <w:rFonts w:hint="eastAsia" w:ascii="仿宋_GB2312" w:hAnsi="仿宋_GB2312" w:eastAsia="仿宋_GB2312" w:cs="仿宋_GB2312"/>
                <w:color w:val="000000" w:themeColor="text1"/>
                <w:sz w:val="32"/>
                <w:szCs w:val="32"/>
                <w:vertAlign w:val="baseline"/>
                <w:lang w:val="en-US" w:eastAsia="zh-CN"/>
              </w:rPr>
            </w:pPr>
            <w:r>
              <w:rPr>
                <w:rFonts w:hint="eastAsia" w:ascii="仿宋_GB2312" w:hAnsi="仿宋_GB2312" w:eastAsia="仿宋_GB2312" w:cs="仿宋_GB2312"/>
                <w:color w:val="000000" w:themeColor="text1"/>
                <w:sz w:val="32"/>
                <w:szCs w:val="32"/>
                <w:vertAlign w:val="baseline"/>
                <w:lang w:val="en-US" w:eastAsia="zh-CN"/>
              </w:rPr>
              <w:t>201</w:t>
            </w:r>
            <w:r>
              <w:rPr>
                <w:rFonts w:hint="eastAsia" w:ascii="仿宋_GB2312" w:hAnsi="仿宋_GB2312" w:cs="仿宋_GB2312"/>
                <w:color w:val="000000" w:themeColor="text1"/>
                <w:sz w:val="32"/>
                <w:szCs w:val="32"/>
                <w:vertAlign w:val="baseline"/>
                <w:lang w:val="en-US" w:eastAsia="zh-CN"/>
              </w:rPr>
              <w:t>9</w:t>
            </w:r>
            <w:r>
              <w:rPr>
                <w:rFonts w:hint="eastAsia" w:ascii="仿宋_GB2312" w:hAnsi="仿宋_GB2312" w:eastAsia="仿宋_GB2312" w:cs="仿宋_GB2312"/>
                <w:color w:val="000000" w:themeColor="text1"/>
                <w:sz w:val="32"/>
                <w:szCs w:val="32"/>
                <w:vertAlign w:val="baseline"/>
                <w:lang w:val="en-US" w:eastAsia="zh-CN"/>
              </w:rPr>
              <w:t>年度</w:t>
            </w:r>
          </w:p>
        </w:tc>
        <w:tc>
          <w:tcPr>
            <w:tcW w:w="1921" w:type="dxa"/>
            <w:vAlign w:val="top"/>
          </w:tcPr>
          <w:p>
            <w:pPr>
              <w:snapToGrid w:val="0"/>
              <w:spacing w:line="520" w:lineRule="exact"/>
              <w:jc w:val="center"/>
              <w:rPr>
                <w:rFonts w:hint="eastAsia" w:ascii="仿宋_GB2312" w:hAnsi="仿宋_GB2312" w:eastAsia="仿宋_GB2312" w:cs="仿宋_GB2312"/>
                <w:color w:val="000000" w:themeColor="text1"/>
                <w:sz w:val="32"/>
                <w:szCs w:val="32"/>
                <w:vertAlign w:val="baseline"/>
                <w:lang w:val="en-US" w:eastAsia="zh-CN"/>
              </w:rPr>
            </w:pPr>
            <w:r>
              <w:rPr>
                <w:rFonts w:hint="eastAsia" w:ascii="仿宋_GB2312" w:hAnsi="仿宋_GB2312" w:eastAsia="仿宋_GB2312" w:cs="仿宋_GB2312"/>
                <w:color w:val="000000" w:themeColor="text1"/>
                <w:sz w:val="32"/>
                <w:szCs w:val="32"/>
                <w:vertAlign w:val="baseline"/>
                <w:lang w:val="en-US" w:eastAsia="zh-CN"/>
              </w:rPr>
              <w:t>2018年度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1" w:type="dxa"/>
            <w:vAlign w:val="top"/>
          </w:tcPr>
          <w:p>
            <w:pPr>
              <w:snapToGrid w:val="0"/>
              <w:spacing w:line="520" w:lineRule="exact"/>
              <w:jc w:val="left"/>
              <w:rPr>
                <w:rFonts w:hint="eastAsia" w:ascii="仿宋_GB2312" w:hAnsi="仿宋_GB2312" w:eastAsia="仿宋_GB2312" w:cs="仿宋_GB2312"/>
                <w:color w:val="000000" w:themeColor="text1"/>
                <w:sz w:val="32"/>
                <w:szCs w:val="32"/>
                <w:vertAlign w:val="baseline"/>
                <w:lang w:val="en-US" w:eastAsia="zh-CN"/>
              </w:rPr>
            </w:pPr>
            <w:r>
              <w:rPr>
                <w:rFonts w:hint="eastAsia" w:ascii="仿宋_GB2312" w:hAnsi="仿宋_GB2312" w:eastAsia="仿宋_GB2312" w:cs="仿宋_GB2312"/>
                <w:color w:val="000000" w:themeColor="text1"/>
                <w:sz w:val="32"/>
                <w:szCs w:val="32"/>
                <w:vertAlign w:val="baseline"/>
                <w:lang w:val="en-US" w:eastAsia="zh-CN"/>
              </w:rPr>
              <w:t>“三公”经费支出：</w:t>
            </w:r>
          </w:p>
        </w:tc>
        <w:tc>
          <w:tcPr>
            <w:tcW w:w="2160" w:type="dxa"/>
            <w:vAlign w:val="top"/>
          </w:tcPr>
          <w:p>
            <w:pPr>
              <w:snapToGrid w:val="0"/>
              <w:spacing w:line="520" w:lineRule="exact"/>
              <w:jc w:val="center"/>
              <w:rPr>
                <w:rFonts w:hint="eastAsia" w:ascii="仿宋_GB2312" w:hAnsi="仿宋_GB2312" w:eastAsia="仿宋_GB2312" w:cs="仿宋_GB2312"/>
                <w:color w:val="000000" w:themeColor="text1"/>
                <w:sz w:val="32"/>
                <w:szCs w:val="32"/>
                <w:vertAlign w:val="baseline"/>
                <w:lang w:val="en-US" w:eastAsia="zh-CN"/>
              </w:rPr>
            </w:pPr>
            <w:r>
              <w:rPr>
                <w:rFonts w:hint="eastAsia" w:ascii="仿宋_GB2312" w:hAnsi="仿宋" w:eastAsia="仿宋_GB2312"/>
                <w:sz w:val="32"/>
                <w:szCs w:val="32"/>
                <w:lang w:val="en-US" w:eastAsia="zh-CN"/>
              </w:rPr>
              <w:t>13908.05</w:t>
            </w:r>
            <w:r>
              <w:rPr>
                <w:rFonts w:hint="eastAsia" w:ascii="仿宋_GB2312" w:hAnsi="仿宋_GB2312" w:eastAsia="仿宋_GB2312" w:cs="仿宋_GB2312"/>
                <w:color w:val="000000" w:themeColor="text1"/>
                <w:sz w:val="32"/>
                <w:szCs w:val="32"/>
                <w:vertAlign w:val="baseline"/>
                <w:lang w:val="en-US" w:eastAsia="zh-CN"/>
              </w:rPr>
              <w:t>元</w:t>
            </w:r>
          </w:p>
        </w:tc>
        <w:tc>
          <w:tcPr>
            <w:tcW w:w="1921" w:type="dxa"/>
            <w:vAlign w:val="top"/>
          </w:tcPr>
          <w:p>
            <w:pPr>
              <w:snapToGrid w:val="0"/>
              <w:spacing w:line="520" w:lineRule="exact"/>
              <w:jc w:val="center"/>
              <w:rPr>
                <w:rFonts w:hint="eastAsia" w:ascii="仿宋_GB2312" w:hAnsi="仿宋_GB2312" w:eastAsia="仿宋_GB2312" w:cs="仿宋_GB2312"/>
                <w:color w:val="000000" w:themeColor="text1"/>
                <w:sz w:val="32"/>
                <w:szCs w:val="32"/>
                <w:vertAlign w:val="baseline"/>
                <w:lang w:val="en-US" w:eastAsia="zh-CN"/>
              </w:rPr>
            </w:pPr>
            <w:r>
              <w:rPr>
                <w:rFonts w:hint="eastAsia" w:ascii="仿宋_GB2312" w:hAnsi="仿宋" w:eastAsia="仿宋_GB2312"/>
                <w:sz w:val="32"/>
                <w:szCs w:val="32"/>
                <w:lang w:val="en-US" w:eastAsia="zh-CN"/>
              </w:rPr>
              <w:t>26697.35</w:t>
            </w:r>
            <w:r>
              <w:rPr>
                <w:rFonts w:hint="eastAsia" w:ascii="仿宋_GB2312" w:hAnsi="仿宋_GB2312" w:eastAsia="仿宋_GB2312" w:cs="仿宋_GB2312"/>
                <w:color w:val="000000" w:themeColor="text1"/>
                <w:sz w:val="32"/>
                <w:szCs w:val="32"/>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1" w:type="dxa"/>
            <w:vAlign w:val="top"/>
          </w:tcPr>
          <w:p>
            <w:pPr>
              <w:snapToGrid w:val="0"/>
              <w:spacing w:line="520" w:lineRule="exact"/>
              <w:jc w:val="left"/>
              <w:rPr>
                <w:rFonts w:hint="eastAsia" w:ascii="仿宋_GB2312" w:hAnsi="仿宋_GB2312" w:eastAsia="仿宋_GB2312" w:cs="仿宋_GB2312"/>
                <w:color w:val="000000" w:themeColor="text1"/>
                <w:sz w:val="32"/>
                <w:szCs w:val="32"/>
                <w:vertAlign w:val="baseline"/>
                <w:lang w:val="en-US" w:eastAsia="zh-CN"/>
              </w:rPr>
            </w:pPr>
            <w:r>
              <w:rPr>
                <w:rFonts w:hint="eastAsia" w:ascii="仿宋_GB2312" w:hAnsi="仿宋_GB2312" w:eastAsia="仿宋_GB2312" w:cs="仿宋_GB2312"/>
                <w:color w:val="000000" w:themeColor="text1"/>
                <w:sz w:val="32"/>
                <w:szCs w:val="32"/>
                <w:vertAlign w:val="baseline"/>
                <w:lang w:val="en-US" w:eastAsia="zh-CN"/>
              </w:rPr>
              <w:t>其中：因公出国（境）费</w:t>
            </w:r>
          </w:p>
        </w:tc>
        <w:tc>
          <w:tcPr>
            <w:tcW w:w="2160" w:type="dxa"/>
            <w:vAlign w:val="top"/>
          </w:tcPr>
          <w:p>
            <w:pPr>
              <w:snapToGrid w:val="0"/>
              <w:spacing w:line="520" w:lineRule="exact"/>
              <w:jc w:val="center"/>
              <w:rPr>
                <w:rFonts w:hint="eastAsia" w:ascii="仿宋_GB2312" w:hAnsi="仿宋_GB2312" w:eastAsia="仿宋_GB2312" w:cs="仿宋_GB2312"/>
                <w:color w:val="000000" w:themeColor="text1"/>
                <w:sz w:val="32"/>
                <w:szCs w:val="32"/>
                <w:vertAlign w:val="baseline"/>
                <w:lang w:val="en-US" w:eastAsia="zh-CN"/>
              </w:rPr>
            </w:pPr>
            <w:r>
              <w:rPr>
                <w:rFonts w:hint="eastAsia" w:ascii="仿宋_GB2312" w:hAnsi="仿宋_GB2312" w:eastAsia="仿宋_GB2312" w:cs="仿宋_GB2312"/>
                <w:color w:val="000000" w:themeColor="text1"/>
                <w:sz w:val="32"/>
                <w:szCs w:val="32"/>
                <w:vertAlign w:val="baseline"/>
                <w:lang w:val="en-US" w:eastAsia="zh-CN"/>
              </w:rPr>
              <w:t>0</w:t>
            </w:r>
          </w:p>
        </w:tc>
        <w:tc>
          <w:tcPr>
            <w:tcW w:w="1921" w:type="dxa"/>
            <w:vAlign w:val="top"/>
          </w:tcPr>
          <w:p>
            <w:pPr>
              <w:snapToGrid w:val="0"/>
              <w:spacing w:line="520" w:lineRule="exact"/>
              <w:jc w:val="center"/>
              <w:rPr>
                <w:rFonts w:hint="eastAsia" w:ascii="仿宋_GB2312" w:hAnsi="仿宋_GB2312" w:eastAsia="仿宋_GB2312" w:cs="仿宋_GB2312"/>
                <w:color w:val="000000" w:themeColor="text1"/>
                <w:sz w:val="32"/>
                <w:szCs w:val="32"/>
                <w:vertAlign w:val="baseline"/>
                <w:lang w:val="en-US" w:eastAsia="zh-CN"/>
              </w:rPr>
            </w:pPr>
            <w:r>
              <w:rPr>
                <w:rFonts w:hint="eastAsia" w:ascii="仿宋_GB2312" w:hAnsi="仿宋_GB2312" w:eastAsia="仿宋_GB2312" w:cs="仿宋_GB2312"/>
                <w:color w:val="000000" w:themeColor="text1"/>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4441" w:type="dxa"/>
            <w:vAlign w:val="top"/>
          </w:tcPr>
          <w:p>
            <w:pPr>
              <w:snapToGrid w:val="0"/>
              <w:spacing w:line="520" w:lineRule="exact"/>
              <w:jc w:val="left"/>
              <w:rPr>
                <w:rFonts w:hint="eastAsia" w:ascii="仿宋_GB2312" w:hAnsi="仿宋_GB2312" w:eastAsia="仿宋_GB2312" w:cs="仿宋_GB2312"/>
                <w:color w:val="000000" w:themeColor="text1"/>
                <w:sz w:val="32"/>
                <w:szCs w:val="32"/>
                <w:vertAlign w:val="baseline"/>
                <w:lang w:val="en-US" w:eastAsia="zh-CN"/>
              </w:rPr>
            </w:pPr>
            <w:r>
              <w:rPr>
                <w:rFonts w:hint="eastAsia" w:ascii="仿宋_GB2312" w:hAnsi="仿宋_GB2312" w:eastAsia="仿宋_GB2312" w:cs="仿宋_GB2312"/>
                <w:color w:val="000000" w:themeColor="text1"/>
                <w:sz w:val="32"/>
                <w:szCs w:val="32"/>
                <w:vertAlign w:val="baseline"/>
                <w:lang w:val="en-US" w:eastAsia="zh-CN"/>
              </w:rPr>
              <w:t>公务用车购置及运行维护费</w:t>
            </w:r>
          </w:p>
        </w:tc>
        <w:tc>
          <w:tcPr>
            <w:tcW w:w="2160" w:type="dxa"/>
            <w:vAlign w:val="top"/>
          </w:tcPr>
          <w:p>
            <w:pPr>
              <w:snapToGrid w:val="0"/>
              <w:spacing w:line="520" w:lineRule="exact"/>
              <w:jc w:val="center"/>
              <w:rPr>
                <w:rFonts w:hint="eastAsia" w:ascii="仿宋_GB2312" w:hAnsi="仿宋_GB2312" w:eastAsia="仿宋_GB2312" w:cs="仿宋_GB2312"/>
                <w:color w:val="000000" w:themeColor="text1"/>
                <w:sz w:val="32"/>
                <w:szCs w:val="32"/>
                <w:vertAlign w:val="baseline"/>
                <w:lang w:val="en-US" w:eastAsia="zh-CN"/>
              </w:rPr>
            </w:pPr>
            <w:r>
              <w:rPr>
                <w:rFonts w:hint="eastAsia" w:ascii="仿宋_GB2312" w:hAnsi="仿宋" w:eastAsia="仿宋_GB2312"/>
                <w:sz w:val="32"/>
                <w:szCs w:val="32"/>
                <w:lang w:val="en-US" w:eastAsia="zh-CN"/>
              </w:rPr>
              <w:t>13908.05</w:t>
            </w:r>
            <w:r>
              <w:rPr>
                <w:rFonts w:hint="eastAsia" w:ascii="仿宋_GB2312" w:hAnsi="仿宋_GB2312" w:eastAsia="仿宋_GB2312" w:cs="仿宋_GB2312"/>
                <w:color w:val="000000" w:themeColor="text1"/>
                <w:sz w:val="32"/>
                <w:szCs w:val="32"/>
                <w:vertAlign w:val="baseline"/>
                <w:lang w:val="en-US" w:eastAsia="zh-CN"/>
              </w:rPr>
              <w:t>元</w:t>
            </w:r>
          </w:p>
        </w:tc>
        <w:tc>
          <w:tcPr>
            <w:tcW w:w="1921" w:type="dxa"/>
            <w:vAlign w:val="top"/>
          </w:tcPr>
          <w:p>
            <w:pPr>
              <w:snapToGrid w:val="0"/>
              <w:spacing w:line="520" w:lineRule="exact"/>
              <w:jc w:val="center"/>
              <w:rPr>
                <w:rFonts w:hint="eastAsia" w:ascii="仿宋_GB2312" w:hAnsi="仿宋_GB2312" w:eastAsia="仿宋_GB2312" w:cs="仿宋_GB2312"/>
                <w:color w:val="000000" w:themeColor="text1"/>
                <w:sz w:val="32"/>
                <w:szCs w:val="32"/>
                <w:vertAlign w:val="baseline"/>
                <w:lang w:val="en-US" w:eastAsia="zh-CN"/>
              </w:rPr>
            </w:pPr>
            <w:r>
              <w:rPr>
                <w:rFonts w:hint="eastAsia" w:ascii="仿宋_GB2312" w:hAnsi="仿宋_GB2312" w:eastAsia="仿宋_GB2312" w:cs="仿宋_GB2312"/>
                <w:color w:val="000000" w:themeColor="text1"/>
                <w:sz w:val="32"/>
                <w:szCs w:val="32"/>
                <w:vertAlign w:val="baseline"/>
                <w:lang w:val="en-US" w:eastAsia="zh-CN"/>
              </w:rPr>
              <w:t>24764.21元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1" w:type="dxa"/>
            <w:vAlign w:val="top"/>
          </w:tcPr>
          <w:p>
            <w:pPr>
              <w:snapToGrid w:val="0"/>
              <w:spacing w:line="520" w:lineRule="exact"/>
              <w:ind w:firstLine="960" w:firstLineChars="300"/>
              <w:jc w:val="left"/>
              <w:rPr>
                <w:rFonts w:hint="eastAsia" w:ascii="仿宋_GB2312" w:hAnsi="仿宋_GB2312" w:eastAsia="仿宋_GB2312" w:cs="仿宋_GB2312"/>
                <w:color w:val="000000" w:themeColor="text1"/>
                <w:sz w:val="32"/>
                <w:szCs w:val="32"/>
                <w:vertAlign w:val="baseline"/>
                <w:lang w:val="en-US" w:eastAsia="zh-CN"/>
              </w:rPr>
            </w:pPr>
            <w:r>
              <w:rPr>
                <w:rFonts w:hint="eastAsia" w:ascii="仿宋_GB2312" w:hAnsi="仿宋_GB2312" w:eastAsia="仿宋_GB2312" w:cs="仿宋_GB2312"/>
                <w:color w:val="000000" w:themeColor="text1"/>
                <w:sz w:val="32"/>
                <w:szCs w:val="32"/>
                <w:vertAlign w:val="baseline"/>
                <w:lang w:val="en-US" w:eastAsia="zh-CN"/>
              </w:rPr>
              <w:t>其中：公务用车购置费</w:t>
            </w:r>
          </w:p>
        </w:tc>
        <w:tc>
          <w:tcPr>
            <w:tcW w:w="2160" w:type="dxa"/>
            <w:vAlign w:val="top"/>
          </w:tcPr>
          <w:p>
            <w:pPr>
              <w:snapToGrid w:val="0"/>
              <w:spacing w:line="520" w:lineRule="exact"/>
              <w:jc w:val="center"/>
              <w:rPr>
                <w:rFonts w:hint="eastAsia" w:ascii="仿宋_GB2312" w:hAnsi="仿宋_GB2312" w:eastAsia="仿宋_GB2312" w:cs="仿宋_GB2312"/>
                <w:color w:val="000000" w:themeColor="text1"/>
                <w:sz w:val="32"/>
                <w:szCs w:val="32"/>
                <w:vertAlign w:val="baseline"/>
                <w:lang w:val="en-US" w:eastAsia="zh-CN"/>
              </w:rPr>
            </w:pPr>
            <w:r>
              <w:rPr>
                <w:rFonts w:hint="eastAsia" w:ascii="仿宋_GB2312" w:hAnsi="仿宋_GB2312" w:eastAsia="仿宋_GB2312" w:cs="仿宋_GB2312"/>
                <w:color w:val="000000" w:themeColor="text1"/>
                <w:sz w:val="32"/>
                <w:szCs w:val="32"/>
                <w:vertAlign w:val="baseline"/>
                <w:lang w:val="en-US" w:eastAsia="zh-CN"/>
              </w:rPr>
              <w:t>0</w:t>
            </w:r>
          </w:p>
        </w:tc>
        <w:tc>
          <w:tcPr>
            <w:tcW w:w="1921" w:type="dxa"/>
            <w:vAlign w:val="top"/>
          </w:tcPr>
          <w:p>
            <w:pPr>
              <w:snapToGrid w:val="0"/>
              <w:spacing w:line="520" w:lineRule="exact"/>
              <w:jc w:val="center"/>
              <w:rPr>
                <w:rFonts w:hint="eastAsia" w:ascii="仿宋_GB2312" w:hAnsi="仿宋_GB2312" w:eastAsia="仿宋_GB2312" w:cs="仿宋_GB2312"/>
                <w:color w:val="000000" w:themeColor="text1"/>
                <w:sz w:val="32"/>
                <w:szCs w:val="32"/>
                <w:vertAlign w:val="baseline"/>
                <w:lang w:val="en-US" w:eastAsia="zh-CN"/>
              </w:rPr>
            </w:pPr>
            <w:r>
              <w:rPr>
                <w:rFonts w:hint="eastAsia" w:ascii="仿宋_GB2312" w:hAnsi="仿宋_GB2312" w:eastAsia="仿宋_GB2312" w:cs="仿宋_GB2312"/>
                <w:color w:val="000000" w:themeColor="text1"/>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1" w:type="dxa"/>
            <w:vAlign w:val="top"/>
          </w:tcPr>
          <w:p>
            <w:pPr>
              <w:snapToGrid w:val="0"/>
              <w:spacing w:line="520" w:lineRule="exact"/>
              <w:jc w:val="left"/>
              <w:rPr>
                <w:rFonts w:hint="eastAsia" w:ascii="仿宋_GB2312" w:hAnsi="仿宋_GB2312" w:eastAsia="仿宋_GB2312" w:cs="仿宋_GB2312"/>
                <w:color w:val="000000" w:themeColor="text1"/>
                <w:sz w:val="32"/>
                <w:szCs w:val="32"/>
                <w:vertAlign w:val="baseline"/>
                <w:lang w:val="en-US" w:eastAsia="zh-CN"/>
              </w:rPr>
            </w:pPr>
            <w:r>
              <w:rPr>
                <w:rFonts w:hint="eastAsia" w:ascii="仿宋_GB2312" w:hAnsi="仿宋_GB2312" w:eastAsia="仿宋_GB2312" w:cs="仿宋_GB2312"/>
                <w:color w:val="000000" w:themeColor="text1"/>
                <w:sz w:val="32"/>
                <w:szCs w:val="32"/>
                <w:vertAlign w:val="baseline"/>
                <w:lang w:val="en-US" w:eastAsia="zh-CN"/>
              </w:rPr>
              <w:t>公务用车运行维护费</w:t>
            </w:r>
          </w:p>
        </w:tc>
        <w:tc>
          <w:tcPr>
            <w:tcW w:w="2160" w:type="dxa"/>
            <w:vAlign w:val="top"/>
          </w:tcPr>
          <w:p>
            <w:pPr>
              <w:snapToGrid w:val="0"/>
              <w:spacing w:line="520" w:lineRule="exact"/>
              <w:jc w:val="center"/>
              <w:rPr>
                <w:rFonts w:hint="eastAsia" w:ascii="仿宋_GB2312" w:hAnsi="仿宋_GB2312" w:eastAsia="仿宋_GB2312" w:cs="仿宋_GB2312"/>
                <w:color w:val="000000" w:themeColor="text1"/>
                <w:sz w:val="32"/>
                <w:szCs w:val="32"/>
                <w:vertAlign w:val="baseline"/>
                <w:lang w:val="en-US" w:eastAsia="zh-CN"/>
              </w:rPr>
            </w:pPr>
            <w:r>
              <w:rPr>
                <w:rFonts w:hint="eastAsia" w:ascii="仿宋_GB2312" w:hAnsi="仿宋" w:eastAsia="仿宋_GB2312"/>
                <w:sz w:val="32"/>
                <w:szCs w:val="32"/>
                <w:lang w:val="en-US" w:eastAsia="zh-CN"/>
              </w:rPr>
              <w:t>13908.05</w:t>
            </w:r>
            <w:r>
              <w:rPr>
                <w:rFonts w:hint="eastAsia" w:ascii="仿宋_GB2312" w:hAnsi="仿宋_GB2312" w:eastAsia="仿宋_GB2312" w:cs="仿宋_GB2312"/>
                <w:color w:val="000000" w:themeColor="text1"/>
                <w:sz w:val="32"/>
                <w:szCs w:val="32"/>
                <w:vertAlign w:val="baseline"/>
                <w:lang w:val="en-US" w:eastAsia="zh-CN"/>
              </w:rPr>
              <w:t>元</w:t>
            </w:r>
          </w:p>
        </w:tc>
        <w:tc>
          <w:tcPr>
            <w:tcW w:w="1921" w:type="dxa"/>
            <w:vAlign w:val="top"/>
          </w:tcPr>
          <w:p>
            <w:pPr>
              <w:snapToGrid w:val="0"/>
              <w:spacing w:line="520" w:lineRule="exact"/>
              <w:jc w:val="center"/>
              <w:rPr>
                <w:rFonts w:hint="eastAsia" w:ascii="仿宋_GB2312" w:hAnsi="仿宋_GB2312" w:eastAsia="仿宋_GB2312" w:cs="仿宋_GB2312"/>
                <w:color w:val="000000" w:themeColor="text1"/>
                <w:sz w:val="32"/>
                <w:szCs w:val="32"/>
                <w:vertAlign w:val="baseline"/>
                <w:lang w:val="en-US" w:eastAsia="zh-CN"/>
              </w:rPr>
            </w:pPr>
            <w:r>
              <w:rPr>
                <w:rFonts w:hint="eastAsia" w:ascii="仿宋_GB2312" w:hAnsi="仿宋_GB2312" w:eastAsia="仿宋_GB2312" w:cs="仿宋_GB2312"/>
                <w:color w:val="000000" w:themeColor="text1"/>
                <w:sz w:val="32"/>
                <w:szCs w:val="32"/>
                <w:vertAlign w:val="baseline"/>
                <w:lang w:val="en-US" w:eastAsia="zh-CN"/>
              </w:rPr>
              <w:t>24764.21元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1" w:type="dxa"/>
            <w:vAlign w:val="top"/>
          </w:tcPr>
          <w:p>
            <w:pPr>
              <w:snapToGrid w:val="0"/>
              <w:spacing w:line="520" w:lineRule="exact"/>
              <w:ind w:firstLine="960" w:firstLineChars="300"/>
              <w:jc w:val="left"/>
              <w:rPr>
                <w:rFonts w:hint="eastAsia" w:ascii="仿宋_GB2312" w:hAnsi="仿宋_GB2312" w:eastAsia="仿宋_GB2312" w:cs="仿宋_GB2312"/>
                <w:color w:val="000000" w:themeColor="text1"/>
                <w:sz w:val="32"/>
                <w:szCs w:val="32"/>
                <w:vertAlign w:val="baseline"/>
                <w:lang w:val="en-US" w:eastAsia="zh-CN"/>
              </w:rPr>
            </w:pPr>
            <w:r>
              <w:rPr>
                <w:rFonts w:hint="eastAsia" w:ascii="仿宋_GB2312" w:hAnsi="仿宋_GB2312" w:eastAsia="仿宋_GB2312" w:cs="仿宋_GB2312"/>
                <w:color w:val="000000" w:themeColor="text1"/>
                <w:sz w:val="32"/>
                <w:szCs w:val="32"/>
                <w:vertAlign w:val="baseline"/>
                <w:lang w:val="en-US" w:eastAsia="zh-CN"/>
              </w:rPr>
              <w:t>公务接待费</w:t>
            </w:r>
          </w:p>
        </w:tc>
        <w:tc>
          <w:tcPr>
            <w:tcW w:w="2160" w:type="dxa"/>
            <w:vAlign w:val="top"/>
          </w:tcPr>
          <w:p>
            <w:pPr>
              <w:snapToGrid w:val="0"/>
              <w:spacing w:line="520" w:lineRule="exact"/>
              <w:jc w:val="center"/>
              <w:rPr>
                <w:rFonts w:hint="eastAsia" w:ascii="仿宋_GB2312" w:hAnsi="仿宋_GB2312" w:eastAsia="仿宋_GB2312" w:cs="仿宋_GB2312"/>
                <w:color w:val="000000" w:themeColor="text1"/>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rPr>
              <w:t>0</w:t>
            </w:r>
            <w:r>
              <w:rPr>
                <w:rFonts w:hint="eastAsia" w:ascii="仿宋_GB2312" w:hAnsi="仿宋_GB2312" w:eastAsia="仿宋_GB2312" w:cs="仿宋_GB2312"/>
                <w:color w:val="000000" w:themeColor="text1"/>
                <w:sz w:val="32"/>
                <w:szCs w:val="32"/>
                <w:vertAlign w:val="baseline"/>
                <w:lang w:val="en-US" w:eastAsia="zh-CN"/>
              </w:rPr>
              <w:t>元</w:t>
            </w:r>
          </w:p>
        </w:tc>
        <w:tc>
          <w:tcPr>
            <w:tcW w:w="1921" w:type="dxa"/>
            <w:vAlign w:val="top"/>
          </w:tcPr>
          <w:p>
            <w:pPr>
              <w:snapToGrid w:val="0"/>
              <w:spacing w:line="520" w:lineRule="exact"/>
              <w:jc w:val="center"/>
              <w:rPr>
                <w:rFonts w:hint="eastAsia" w:ascii="仿宋_GB2312" w:hAnsi="仿宋_GB2312" w:eastAsia="仿宋_GB2312" w:cs="仿宋_GB2312"/>
                <w:color w:val="000000" w:themeColor="text1"/>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rPr>
              <w:t>1933.14</w:t>
            </w:r>
            <w:r>
              <w:rPr>
                <w:rFonts w:hint="eastAsia" w:ascii="仿宋_GB2312" w:hAnsi="仿宋_GB2312" w:eastAsia="仿宋_GB2312" w:cs="仿宋_GB2312"/>
                <w:color w:val="000000" w:themeColor="text1"/>
                <w:sz w:val="32"/>
                <w:szCs w:val="32"/>
                <w:vertAlign w:val="baseline"/>
                <w:lang w:val="en-US" w:eastAsia="zh-CN"/>
              </w:rPr>
              <w:t>元</w:t>
            </w:r>
          </w:p>
        </w:tc>
      </w:tr>
    </w:tbl>
    <w:p>
      <w:pPr>
        <w:snapToGrid w:val="0"/>
        <w:spacing w:line="520" w:lineRule="exact"/>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　　201</w:t>
      </w:r>
      <w:r>
        <w:rPr>
          <w:rFonts w:hint="eastAsia" w:ascii="仿宋_GB2312" w:hAnsi="仿宋_GB2312" w:cs="仿宋_GB2312"/>
          <w:color w:val="000000" w:themeColor="text1"/>
          <w:sz w:val="32"/>
          <w:szCs w:val="32"/>
          <w:lang w:val="en-US" w:eastAsia="zh-CN"/>
        </w:rPr>
        <w:t>9</w:t>
      </w:r>
      <w:r>
        <w:rPr>
          <w:rFonts w:hint="eastAsia" w:ascii="仿宋_GB2312" w:hAnsi="仿宋_GB2312" w:eastAsia="仿宋_GB2312" w:cs="仿宋_GB2312"/>
          <w:color w:val="000000" w:themeColor="text1"/>
          <w:sz w:val="32"/>
          <w:szCs w:val="32"/>
          <w:lang w:val="en-US" w:eastAsia="zh-CN"/>
        </w:rPr>
        <w:t>年度“三公”经费比上年减少</w:t>
      </w:r>
      <w:r>
        <w:rPr>
          <w:rFonts w:hint="eastAsia" w:ascii="仿宋_GB2312" w:hAnsi="仿宋_GB2312" w:cs="仿宋_GB2312"/>
          <w:color w:val="000000" w:themeColor="text1"/>
          <w:sz w:val="32"/>
          <w:szCs w:val="32"/>
          <w:lang w:val="en-US" w:eastAsia="zh-CN"/>
        </w:rPr>
        <w:t>12789.3</w:t>
      </w:r>
      <w:r>
        <w:rPr>
          <w:rFonts w:hint="eastAsia" w:ascii="仿宋_GB2312" w:hAnsi="仿宋_GB2312" w:eastAsia="仿宋_GB2312" w:cs="仿宋_GB2312"/>
          <w:color w:val="000000" w:themeColor="text1"/>
          <w:sz w:val="32"/>
          <w:szCs w:val="32"/>
          <w:lang w:val="en-US" w:eastAsia="zh-CN"/>
        </w:rPr>
        <w:t>元，减少</w:t>
      </w:r>
      <w:r>
        <w:rPr>
          <w:rFonts w:hint="eastAsia" w:ascii="仿宋_GB2312" w:hAnsi="仿宋_GB2312" w:cs="仿宋_GB2312"/>
          <w:color w:val="000000" w:themeColor="text1"/>
          <w:sz w:val="32"/>
          <w:szCs w:val="32"/>
          <w:lang w:val="en-US" w:eastAsia="zh-CN"/>
        </w:rPr>
        <w:t>52.1</w:t>
      </w:r>
      <w:r>
        <w:rPr>
          <w:rFonts w:hint="eastAsia" w:ascii="仿宋_GB2312" w:hAnsi="仿宋_GB2312" w:eastAsia="仿宋_GB2312" w:cs="仿宋_GB2312"/>
          <w:color w:val="000000" w:themeColor="text1"/>
          <w:sz w:val="32"/>
          <w:szCs w:val="32"/>
          <w:lang w:val="en-US" w:eastAsia="zh-CN"/>
        </w:rPr>
        <w:t>%，其中：公务用车运行维护费比上年减少</w:t>
      </w:r>
      <w:r>
        <w:rPr>
          <w:rFonts w:hint="eastAsia" w:ascii="仿宋_GB2312" w:hAnsi="仿宋_GB2312" w:cs="仿宋_GB2312"/>
          <w:color w:val="000000" w:themeColor="text1"/>
          <w:sz w:val="32"/>
          <w:szCs w:val="32"/>
          <w:lang w:val="en-US" w:eastAsia="zh-CN"/>
        </w:rPr>
        <w:t>10856.16</w:t>
      </w:r>
      <w:r>
        <w:rPr>
          <w:rFonts w:hint="eastAsia" w:ascii="仿宋_GB2312" w:hAnsi="仿宋_GB2312" w:eastAsia="仿宋_GB2312" w:cs="仿宋_GB2312"/>
          <w:color w:val="000000" w:themeColor="text1"/>
          <w:sz w:val="32"/>
          <w:szCs w:val="32"/>
          <w:lang w:val="en-US" w:eastAsia="zh-CN"/>
        </w:rPr>
        <w:t>元，减少</w:t>
      </w:r>
      <w:r>
        <w:rPr>
          <w:rFonts w:hint="eastAsia" w:ascii="仿宋_GB2312" w:hAnsi="仿宋_GB2312" w:cs="仿宋_GB2312"/>
          <w:color w:val="000000" w:themeColor="text1"/>
          <w:sz w:val="32"/>
          <w:szCs w:val="32"/>
          <w:lang w:val="en-US" w:eastAsia="zh-CN"/>
        </w:rPr>
        <w:t>56.2</w:t>
      </w:r>
      <w:r>
        <w:rPr>
          <w:rFonts w:hint="eastAsia" w:ascii="仿宋_GB2312" w:hAnsi="仿宋_GB2312" w:eastAsia="仿宋_GB2312" w:cs="仿宋_GB2312"/>
          <w:color w:val="000000" w:themeColor="text1"/>
          <w:sz w:val="32"/>
          <w:szCs w:val="32"/>
          <w:lang w:val="en-US" w:eastAsia="zh-CN"/>
        </w:rPr>
        <w:t>%，，主要原因为：本单位公务用车运行维护费控制好。公务接待费比上年减少</w:t>
      </w:r>
      <w:r>
        <w:rPr>
          <w:rFonts w:hint="eastAsia" w:ascii="仿宋_GB2312" w:hAnsi="仿宋_GB2312" w:cs="仿宋_GB2312"/>
          <w:color w:val="000000" w:themeColor="text1"/>
          <w:sz w:val="32"/>
          <w:szCs w:val="32"/>
          <w:lang w:val="en-US" w:eastAsia="zh-CN"/>
        </w:rPr>
        <w:t>1933.14</w:t>
      </w:r>
      <w:r>
        <w:rPr>
          <w:rFonts w:hint="eastAsia" w:ascii="仿宋_GB2312" w:hAnsi="仿宋_GB2312" w:eastAsia="仿宋_GB2312" w:cs="仿宋_GB2312"/>
          <w:color w:val="000000" w:themeColor="text1"/>
          <w:sz w:val="32"/>
          <w:szCs w:val="32"/>
          <w:lang w:val="en-US" w:eastAsia="zh-CN"/>
        </w:rPr>
        <w:t>元，</w:t>
      </w:r>
      <w:r>
        <w:rPr>
          <w:rFonts w:hint="eastAsia" w:ascii="仿宋_GB2312" w:hAnsi="仿宋_GB2312" w:cs="仿宋_GB2312"/>
          <w:color w:val="000000" w:themeColor="text1"/>
          <w:sz w:val="32"/>
          <w:szCs w:val="32"/>
          <w:lang w:val="en-US" w:eastAsia="zh-CN"/>
        </w:rPr>
        <w:t>下降100</w:t>
      </w:r>
      <w:r>
        <w:rPr>
          <w:rFonts w:hint="eastAsia" w:ascii="仿宋_GB2312" w:hAnsi="仿宋_GB2312" w:eastAsia="仿宋_GB2312" w:cs="仿宋_GB2312"/>
          <w:color w:val="000000" w:themeColor="text1"/>
          <w:sz w:val="32"/>
          <w:szCs w:val="32"/>
          <w:lang w:val="en-US" w:eastAsia="zh-CN"/>
        </w:rPr>
        <w:t>%，主要原因为：本单位公务接费控制好。</w:t>
      </w:r>
    </w:p>
    <w:p>
      <w:pPr>
        <w:numPr>
          <w:ilvl w:val="0"/>
          <w:numId w:val="6"/>
        </w:numPr>
        <w:snapToGrid w:val="0"/>
        <w:spacing w:line="52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会议费支出情况：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9"/>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2019年富民县水务局会议费支出为12,180.00元，2018年富民县水务局会议费支出1,060.00元，增加11120元。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9"/>
        <w:rPr>
          <w:rFonts w:hint="default" w:ascii="仿宋_GB2312" w:hAnsi="仿宋" w:eastAsia="仿宋_GB2312"/>
          <w:sz w:val="32"/>
          <w:szCs w:val="32"/>
          <w:lang w:val="en-US"/>
        </w:rPr>
      </w:pPr>
      <w:r>
        <w:rPr>
          <w:rFonts w:hint="eastAsia" w:ascii="仿宋_GB2312" w:hAnsi="仿宋_GB2312" w:eastAsia="仿宋_GB2312" w:cs="仿宋_GB2312"/>
          <w:color w:val="000000" w:themeColor="text1"/>
          <w:sz w:val="32"/>
          <w:szCs w:val="32"/>
          <w:lang w:val="en-US" w:eastAsia="zh-CN"/>
        </w:rPr>
        <w:t>增</w:t>
      </w:r>
      <w:r>
        <w:rPr>
          <w:rFonts w:hint="eastAsia" w:ascii="仿宋_GB2312" w:hAnsi="仿宋" w:eastAsia="仿宋_GB2312"/>
          <w:sz w:val="32"/>
          <w:szCs w:val="32"/>
          <w:lang w:val="en-US" w:eastAsia="zh-CN"/>
        </w:rPr>
        <w:t>加原因：2019年组织和召开会议次数增加。</w:t>
      </w:r>
    </w:p>
    <w:p>
      <w:pPr>
        <w:numPr>
          <w:ilvl w:val="0"/>
          <w:numId w:val="6"/>
        </w:numPr>
        <w:snapToGrid w:val="0"/>
        <w:spacing w:line="52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培训费支出情况：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9"/>
        <w:rPr>
          <w:rFonts w:hint="default"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2019年富民县水务局培训费支出为5670.00元，2018年富民县水务局培训费支出12,450.00元，减少6780元，同比下降54.5%。</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9"/>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降低原因：2019年组织和参加培训次数减少。</w:t>
      </w:r>
    </w:p>
    <w:p>
      <w:pPr>
        <w:widowControl w:val="0"/>
        <w:numPr>
          <w:ilvl w:val="0"/>
          <w:numId w:val="0"/>
        </w:numPr>
        <w:topLinePunct/>
        <w:ind w:left="640" w:leftChars="200" w:firstLine="0" w:firstLineChars="0"/>
        <w:jc w:val="both"/>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2、预算执行方面。</w:t>
      </w:r>
    </w:p>
    <w:p>
      <w:pPr>
        <w:widowControl w:val="0"/>
        <w:numPr>
          <w:ilvl w:val="0"/>
          <w:numId w:val="0"/>
        </w:numPr>
        <w:topLinePunct/>
        <w:ind w:firstLine="640" w:firstLineChars="200"/>
        <w:jc w:val="both"/>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预算管理制度执行总体较为有效，仍需进一步强化。</w:t>
      </w:r>
    </w:p>
    <w:p>
      <w:pPr>
        <w:widowControl w:val="0"/>
        <w:numPr>
          <w:ilvl w:val="0"/>
          <w:numId w:val="0"/>
        </w:numPr>
        <w:topLinePunct/>
        <w:ind w:firstLine="640" w:firstLineChars="200"/>
        <w:jc w:val="both"/>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资产管理方面，建立了资产管理制度，定期进行了盘点和资产清理，总体执行较好。</w:t>
      </w:r>
    </w:p>
    <w:p>
      <w:pPr>
        <w:numPr>
          <w:ilvl w:val="0"/>
          <w:numId w:val="0"/>
        </w:numPr>
        <w:topLinePunct/>
        <w:ind w:firstLine="640" w:firstLineChars="20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效率性分析</w:t>
      </w:r>
      <w:r>
        <w:rPr>
          <w:rFonts w:hint="eastAsia" w:ascii="仿宋_GB2312" w:hAnsi="仿宋_GB2312" w:eastAsia="仿宋_GB2312" w:cs="仿宋_GB2312"/>
          <w:color w:val="000000" w:themeColor="text1"/>
          <w:sz w:val="32"/>
          <w:szCs w:val="32"/>
          <w:lang w:eastAsia="zh-CN"/>
        </w:rPr>
        <w:t>和</w:t>
      </w:r>
      <w:r>
        <w:rPr>
          <w:rFonts w:hint="eastAsia" w:ascii="仿宋_GB2312" w:hAnsi="仿宋_GB2312" w:eastAsia="仿宋_GB2312" w:cs="仿宋_GB2312"/>
          <w:color w:val="000000" w:themeColor="text1"/>
          <w:sz w:val="32"/>
          <w:szCs w:val="32"/>
        </w:rPr>
        <w:t>效益性分析</w:t>
      </w:r>
      <w:r>
        <w:rPr>
          <w:rFonts w:hint="eastAsia" w:ascii="仿宋_GB2312" w:hAnsi="仿宋_GB2312" w:eastAsia="仿宋_GB2312" w:cs="仿宋_GB2312"/>
          <w:color w:val="000000" w:themeColor="text1"/>
          <w:sz w:val="32"/>
          <w:szCs w:val="32"/>
          <w:lang w:eastAsia="zh-CN"/>
        </w:rPr>
        <w:t>情况说明</w:t>
      </w:r>
    </w:p>
    <w:p>
      <w:pPr>
        <w:numPr>
          <w:ilvl w:val="0"/>
          <w:numId w:val="0"/>
        </w:numPr>
        <w:topLinePunct/>
        <w:ind w:firstLine="640" w:firstLineChars="20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我单位预算安排的基本支出保障了我单位正常的工作运转，我单位严格遵守各项财务法律法规。</w:t>
      </w:r>
    </w:p>
    <w:p>
      <w:pPr>
        <w:numPr>
          <w:ilvl w:val="0"/>
          <w:numId w:val="0"/>
        </w:numPr>
        <w:topLinePunct/>
        <w:ind w:firstLine="320" w:firstLineChars="10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lang w:eastAsia="zh-CN"/>
        </w:rPr>
        <w:t>）转变我单位工作职能，切实转变机关工作人员工作作风、工作方式、工作方法，发挥职工的积极性和创造性，从根本上解决职工“想干事、敢干事、会干事、有事干”的问题，结合机关工作实际，制定了单位工作制度，将每位职工的本职工作和单位的整体工作有机结合，实行工作责任制，工作职责细化量化，年终严格考核兑现。</w:t>
      </w:r>
    </w:p>
    <w:p>
      <w:pPr>
        <w:numPr>
          <w:ilvl w:val="0"/>
          <w:numId w:val="0"/>
        </w:numPr>
        <w:topLinePunct/>
        <w:ind w:firstLine="320" w:firstLineChars="1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2</w:t>
      </w:r>
      <w:r>
        <w:rPr>
          <w:rFonts w:hint="eastAsia" w:ascii="仿宋_GB2312" w:hAnsi="仿宋_GB2312" w:eastAsia="仿宋_GB2312" w:cs="仿宋_GB2312"/>
          <w:color w:val="000000" w:themeColor="text1"/>
          <w:sz w:val="32"/>
          <w:szCs w:val="32"/>
          <w:lang w:eastAsia="zh-CN"/>
        </w:rPr>
        <w:t>）加强内部控制工作，强化内部管理，完善财务制度。规范管理体制，做到有章可循，违章必究，有效地加强了对单位内部的人、才、物的管理。</w:t>
      </w:r>
    </w:p>
    <w:p>
      <w:pPr>
        <w:keepNext w:val="0"/>
        <w:keepLines w:val="0"/>
        <w:pageBreakBefore w:val="0"/>
        <w:widowControl w:val="0"/>
        <w:numPr>
          <w:ilvl w:val="0"/>
          <w:numId w:val="0"/>
        </w:numPr>
        <w:kinsoku/>
        <w:wordWrap/>
        <w:overflowPunct/>
        <w:topLinePunct/>
        <w:autoSpaceDE/>
        <w:autoSpaceDN/>
        <w:bidi w:val="0"/>
        <w:adjustRightInd/>
        <w:snapToGrid/>
        <w:ind w:firstLine="643" w:firstLineChars="200"/>
        <w:textAlignment w:val="auto"/>
        <w:outlineLvl w:val="9"/>
        <w:rPr>
          <w:rFonts w:hint="eastAsia" w:ascii="仿宋_GB2312" w:hAnsi="仿宋_GB2312" w:eastAsia="仿宋_GB2312" w:cs="仿宋_GB2312"/>
          <w:b/>
          <w:bCs/>
          <w:color w:val="000000" w:themeColor="text1"/>
          <w:sz w:val="32"/>
          <w:szCs w:val="32"/>
        </w:rPr>
      </w:pPr>
      <w:r>
        <w:rPr>
          <w:rFonts w:hint="eastAsia" w:ascii="仿宋_GB2312" w:hAnsi="仿宋_GB2312" w:cs="仿宋_GB2312"/>
          <w:b/>
          <w:bCs/>
          <w:color w:val="000000" w:themeColor="text1"/>
          <w:sz w:val="32"/>
          <w:szCs w:val="32"/>
          <w:lang w:eastAsia="zh-CN"/>
        </w:rPr>
        <w:t>四、</w:t>
      </w:r>
      <w:r>
        <w:rPr>
          <w:rFonts w:hint="eastAsia" w:ascii="仿宋_GB2312" w:hAnsi="仿宋_GB2312" w:eastAsia="仿宋_GB2312" w:cs="仿宋_GB2312"/>
          <w:b/>
          <w:bCs/>
          <w:color w:val="000000" w:themeColor="text1"/>
          <w:sz w:val="32"/>
          <w:szCs w:val="32"/>
        </w:rPr>
        <w:t>主要经验做法</w:t>
      </w:r>
    </w:p>
    <w:p>
      <w:pPr>
        <w:numPr>
          <w:ilvl w:val="0"/>
          <w:numId w:val="7"/>
        </w:numPr>
        <w:topLinePunct/>
        <w:ind w:firstLine="640" w:firstLineChars="200"/>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抓好财务预算管理。严格执行财务预算管理制度，充分发挥机关干部的监督作用，切实增强支出管理的透明。</w:t>
      </w:r>
    </w:p>
    <w:p>
      <w:pPr>
        <w:numPr>
          <w:ilvl w:val="0"/>
          <w:numId w:val="7"/>
        </w:numPr>
        <w:topLinePun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严格财务支出审批。抓好审核和审批两个环节在审核审批中应严把支出关，切实维护财务纪律的严肃性，做到支出符合法律和纪律规定。</w:t>
      </w:r>
    </w:p>
    <w:p>
      <w:pPr>
        <w:numPr>
          <w:ilvl w:val="0"/>
          <w:numId w:val="0"/>
        </w:numPr>
        <w:topLinePun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（3）强化“三公”经费管理。重点加强小车费、公务接待费和办公经费管理，严格控制支出，降低“三公”经费支出。</w:t>
      </w:r>
    </w:p>
    <w:p>
      <w:pPr>
        <w:numPr>
          <w:ilvl w:val="0"/>
          <w:numId w:val="0"/>
        </w:numPr>
        <w:topLinePunct/>
        <w:ind w:firstLine="643" w:firstLineChars="200"/>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lang w:eastAsia="zh-CN"/>
        </w:rPr>
        <w:t>五、</w:t>
      </w:r>
      <w:r>
        <w:rPr>
          <w:rFonts w:hint="eastAsia" w:ascii="仿宋_GB2312" w:hAnsi="仿宋_GB2312" w:eastAsia="仿宋_GB2312" w:cs="仿宋_GB2312"/>
          <w:b/>
          <w:bCs/>
          <w:color w:val="000000" w:themeColor="text1"/>
          <w:sz w:val="32"/>
          <w:szCs w:val="32"/>
        </w:rPr>
        <w:t>存在的问题</w:t>
      </w:r>
    </w:p>
    <w:p>
      <w:pPr>
        <w:numPr>
          <w:ilvl w:val="0"/>
          <w:numId w:val="0"/>
        </w:numPr>
        <w:snapToGrid w:val="0"/>
        <w:spacing w:line="520" w:lineRule="exact"/>
        <w:ind w:firstLine="640" w:firstLineChars="200"/>
        <w:rPr>
          <w:rFonts w:hint="eastAsia" w:ascii="仿宋_GB2312" w:hAnsi="仿宋_GB2312" w:eastAsia="仿宋_GB2312" w:cs="仿宋_GB2312"/>
          <w:b w:val="0"/>
          <w:bCs/>
          <w:color w:val="000000" w:themeColor="text1"/>
          <w:sz w:val="32"/>
          <w:szCs w:val="32"/>
          <w:lang w:eastAsia="zh-CN"/>
        </w:rPr>
      </w:pPr>
      <w:r>
        <w:rPr>
          <w:rFonts w:hint="eastAsia" w:ascii="仿宋_GB2312" w:hAnsi="仿宋_GB2312" w:eastAsia="仿宋_GB2312" w:cs="仿宋_GB2312"/>
          <w:b w:val="0"/>
          <w:bCs/>
          <w:color w:val="000000" w:themeColor="text1"/>
          <w:sz w:val="32"/>
          <w:szCs w:val="32"/>
          <w:lang w:val="en-US" w:eastAsia="zh-CN"/>
        </w:rPr>
        <w:t>1.</w:t>
      </w:r>
      <w:r>
        <w:rPr>
          <w:rFonts w:hint="eastAsia" w:ascii="仿宋_GB2312" w:hAnsi="仿宋_GB2312" w:eastAsia="仿宋_GB2312" w:cs="仿宋_GB2312"/>
          <w:b w:val="0"/>
          <w:bCs/>
          <w:color w:val="000000" w:themeColor="text1"/>
          <w:sz w:val="32"/>
          <w:szCs w:val="32"/>
          <w:lang w:eastAsia="zh-CN"/>
        </w:rPr>
        <w:t>积极稳妥地推进财政管理改革，构筑安全高效便捷的财政资金运行体系。</w:t>
      </w:r>
    </w:p>
    <w:p>
      <w:pPr>
        <w:numPr>
          <w:ilvl w:val="0"/>
          <w:numId w:val="0"/>
        </w:numPr>
        <w:snapToGrid w:val="0"/>
        <w:spacing w:line="520" w:lineRule="exact"/>
        <w:ind w:firstLine="640" w:firstLineChars="200"/>
        <w:rPr>
          <w:rFonts w:hint="eastAsia" w:ascii="仿宋_GB2312" w:hAnsi="仿宋_GB2312" w:eastAsia="仿宋_GB2312" w:cs="仿宋_GB2312"/>
          <w:b w:val="0"/>
          <w:bCs/>
          <w:color w:val="000000" w:themeColor="text1"/>
          <w:sz w:val="32"/>
          <w:szCs w:val="32"/>
          <w:lang w:eastAsia="zh-CN"/>
        </w:rPr>
      </w:pPr>
      <w:r>
        <w:rPr>
          <w:rFonts w:hint="eastAsia" w:ascii="仿宋_GB2312" w:hAnsi="仿宋_GB2312" w:eastAsia="仿宋_GB2312" w:cs="仿宋_GB2312"/>
          <w:b w:val="0"/>
          <w:bCs/>
          <w:color w:val="000000" w:themeColor="text1"/>
          <w:sz w:val="32"/>
          <w:szCs w:val="32"/>
          <w:lang w:val="en-US" w:eastAsia="zh-CN"/>
        </w:rPr>
        <w:t>2.</w:t>
      </w:r>
      <w:r>
        <w:rPr>
          <w:rFonts w:hint="eastAsia" w:ascii="仿宋_GB2312" w:hAnsi="仿宋_GB2312" w:eastAsia="仿宋_GB2312" w:cs="仿宋_GB2312"/>
          <w:b w:val="0"/>
          <w:bCs/>
          <w:color w:val="000000" w:themeColor="text1"/>
          <w:sz w:val="32"/>
          <w:szCs w:val="32"/>
          <w:lang w:eastAsia="zh-CN"/>
        </w:rPr>
        <w:t>加强财政基础管理工作，提高预算执行力。高度重视部门决算编制中所反映出来的预算执行过程中存在的问题，在日常基础管理工作中加以改进和调整，严格执行预算，增强预算执行刚性，细化基本支出和项目支出的划分。</w:t>
      </w:r>
    </w:p>
    <w:p>
      <w:pPr>
        <w:numPr>
          <w:ilvl w:val="0"/>
          <w:numId w:val="0"/>
        </w:numPr>
        <w:snapToGrid w:val="0"/>
        <w:spacing w:line="520" w:lineRule="exact"/>
        <w:ind w:firstLine="640" w:firstLineChars="200"/>
        <w:rPr>
          <w:rFonts w:hint="eastAsia" w:ascii="仿宋_GB2312" w:hAnsi="仿宋_GB2312" w:eastAsia="仿宋_GB2312" w:cs="仿宋_GB2312"/>
          <w:b w:val="0"/>
          <w:bCs/>
          <w:color w:val="000000" w:themeColor="text1"/>
          <w:sz w:val="32"/>
          <w:szCs w:val="32"/>
          <w:lang w:eastAsia="zh-CN"/>
        </w:rPr>
      </w:pPr>
      <w:r>
        <w:rPr>
          <w:rFonts w:hint="eastAsia" w:ascii="仿宋_GB2312" w:hAnsi="仿宋_GB2312" w:eastAsia="仿宋_GB2312" w:cs="仿宋_GB2312"/>
          <w:b w:val="0"/>
          <w:bCs/>
          <w:color w:val="000000" w:themeColor="text1"/>
          <w:sz w:val="32"/>
          <w:szCs w:val="32"/>
          <w:lang w:val="en-US" w:eastAsia="zh-CN"/>
        </w:rPr>
        <w:t>3.</w:t>
      </w:r>
      <w:r>
        <w:rPr>
          <w:rFonts w:hint="eastAsia" w:ascii="仿宋_GB2312" w:hAnsi="仿宋_GB2312" w:eastAsia="仿宋_GB2312" w:cs="仿宋_GB2312"/>
          <w:b w:val="0"/>
          <w:bCs/>
          <w:color w:val="000000" w:themeColor="text1"/>
          <w:sz w:val="32"/>
          <w:szCs w:val="32"/>
          <w:lang w:eastAsia="zh-CN"/>
        </w:rPr>
        <w:t>加强财政财务管理业务培训工作，提高财政财务管理水平。对财务从业人员开展有关职业道德修养、会计诚信建设、财经法律、法规、会计制度和现代信息技术应用的培训，不断提高财务从业人员的学习能力和工作能力，树立推崇“诚实守信，坚持原则，操守为重，不做假账”的职业道德，提高自觉遵守和维护财经法律尊严的能力，大力加强现代适用信息技术的应用能力，切实提高依法理财和现代化理财水平。</w:t>
      </w:r>
    </w:p>
    <w:p>
      <w:pPr>
        <w:numPr>
          <w:ilvl w:val="0"/>
          <w:numId w:val="0"/>
        </w:numPr>
        <w:topLinePun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val="0"/>
          <w:bCs/>
          <w:color w:val="000000" w:themeColor="text1"/>
          <w:sz w:val="32"/>
          <w:szCs w:val="32"/>
          <w:lang w:val="en-US" w:eastAsia="zh-CN"/>
        </w:rPr>
        <w:t>4.深化对绩效管理工作的认识。绩效管理在行政事业单位管理中具有很重要的作用，应在内部加强宣传，鼓励管理者和员工充分认识绩效管理工作的重要性与要求。主要领导应该做好表率工作，加强自身建设，提高管理能力，将绩效管理工作落实到日常工作中，通过检查和督促，推动绩效管理工作顺利开展。</w:t>
      </w:r>
    </w:p>
    <w:p>
      <w:pPr>
        <w:topLinePunct/>
        <w:ind w:firstLine="803" w:firstLineChars="250"/>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lang w:eastAsia="zh-CN"/>
        </w:rPr>
        <w:t>六、</w:t>
      </w:r>
      <w:r>
        <w:rPr>
          <w:rFonts w:hint="eastAsia" w:ascii="仿宋_GB2312" w:hAnsi="仿宋_GB2312" w:eastAsia="仿宋_GB2312" w:cs="仿宋_GB2312"/>
          <w:b/>
          <w:bCs/>
          <w:color w:val="000000" w:themeColor="text1"/>
          <w:sz w:val="32"/>
          <w:szCs w:val="32"/>
        </w:rPr>
        <w:t>改进措施及建议</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right="0" w:rightChars="0"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val="0"/>
          <w:i w:val="0"/>
          <w:caps w:val="0"/>
          <w:color w:val="000000" w:themeColor="text1"/>
          <w:spacing w:val="0"/>
          <w:sz w:val="32"/>
          <w:szCs w:val="32"/>
          <w:shd w:val="clear" w:color="auto" w:fill="FFFFFF"/>
          <w:lang w:eastAsia="zh-CN"/>
        </w:rPr>
        <w:t>（</w:t>
      </w:r>
      <w:r>
        <w:rPr>
          <w:rFonts w:hint="eastAsia" w:ascii="仿宋_GB2312" w:hAnsi="仿宋_GB2312" w:eastAsia="仿宋_GB2312" w:cs="仿宋_GB2312"/>
          <w:b w:val="0"/>
          <w:i w:val="0"/>
          <w:caps w:val="0"/>
          <w:color w:val="000000" w:themeColor="text1"/>
          <w:spacing w:val="0"/>
          <w:sz w:val="32"/>
          <w:szCs w:val="32"/>
          <w:shd w:val="clear" w:color="auto" w:fill="FFFFFF"/>
          <w:lang w:val="en-US" w:eastAsia="zh-CN"/>
        </w:rPr>
        <w:t>1</w:t>
      </w:r>
      <w:r>
        <w:rPr>
          <w:rFonts w:hint="eastAsia" w:ascii="仿宋_GB2312" w:hAnsi="仿宋_GB2312" w:eastAsia="仿宋_GB2312" w:cs="仿宋_GB2312"/>
          <w:b w:val="0"/>
          <w:i w:val="0"/>
          <w:caps w:val="0"/>
          <w:color w:val="000000" w:themeColor="text1"/>
          <w:spacing w:val="0"/>
          <w:sz w:val="32"/>
          <w:szCs w:val="32"/>
          <w:shd w:val="clear" w:color="auto" w:fill="FFFFFF"/>
          <w:lang w:eastAsia="zh-CN"/>
        </w:rPr>
        <w:t>）</w:t>
      </w:r>
      <w:r>
        <w:rPr>
          <w:rFonts w:hint="eastAsia" w:ascii="仿宋_GB2312" w:hAnsi="仿宋_GB2312" w:eastAsia="仿宋_GB2312" w:cs="仿宋_GB2312"/>
          <w:b w:val="0"/>
          <w:i w:val="0"/>
          <w:caps w:val="0"/>
          <w:color w:val="000000" w:themeColor="text1"/>
          <w:spacing w:val="0"/>
          <w:sz w:val="32"/>
          <w:szCs w:val="32"/>
          <w:shd w:val="clear" w:color="auto" w:fill="FFFFFF"/>
        </w:rPr>
        <w:t>严格遵守法律法规，牢固树立依法管理国有资产的意识</w:t>
      </w:r>
      <w:r>
        <w:rPr>
          <w:rFonts w:hint="eastAsia" w:ascii="仿宋_GB2312" w:hAnsi="仿宋_GB2312" w:eastAsia="仿宋_GB2312" w:cs="仿宋_GB2312"/>
          <w:b w:val="0"/>
          <w:i w:val="0"/>
          <w:caps w:val="0"/>
          <w:color w:val="000000" w:themeColor="text1"/>
          <w:spacing w:val="0"/>
          <w:sz w:val="32"/>
          <w:szCs w:val="32"/>
          <w:shd w:val="clear" w:color="auto" w:fill="FFFFFF"/>
          <w:lang w:eastAsia="zh-CN"/>
        </w:rPr>
        <w:t>。</w:t>
      </w:r>
      <w:r>
        <w:rPr>
          <w:rFonts w:hint="eastAsia" w:ascii="仿宋_GB2312" w:hAnsi="仿宋_GB2312" w:eastAsia="仿宋_GB2312" w:cs="仿宋_GB2312"/>
          <w:b w:val="0"/>
          <w:i w:val="0"/>
          <w:caps w:val="0"/>
          <w:color w:val="000000" w:themeColor="text1"/>
          <w:spacing w:val="0"/>
          <w:sz w:val="32"/>
          <w:szCs w:val="32"/>
          <w:shd w:val="clear" w:color="auto" w:fill="FFFFFF"/>
        </w:rPr>
        <w:t>严格遵守并规范执行国家有关的法律法规，固定资产的购置应坚决执行政府采购制度，节约使用国家资金;固定资产报废、调拨、变卖，坚持按规定程序申报、审批。提高管理人员的法制意识，明确落实资产的管理责任，增强并牢固树立依法管理国有资产的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739" w:firstLineChars="231"/>
        <w:rPr>
          <w:rFonts w:hint="eastAsia" w:ascii="仿宋_GB2312" w:hAnsi="仿宋_GB2312" w:eastAsia="仿宋_GB2312" w:cs="仿宋_GB2312"/>
          <w:b w:val="0"/>
          <w:i w:val="0"/>
          <w:caps w:val="0"/>
          <w:color w:val="000000" w:themeColor="text1"/>
          <w:spacing w:val="0"/>
          <w:sz w:val="32"/>
          <w:szCs w:val="32"/>
        </w:rPr>
      </w:pPr>
      <w:r>
        <w:rPr>
          <w:rFonts w:hint="eastAsia" w:ascii="仿宋_GB2312" w:hAnsi="仿宋_GB2312" w:eastAsia="仿宋_GB2312" w:cs="仿宋_GB2312"/>
          <w:b w:val="0"/>
          <w:i w:val="0"/>
          <w:caps w:val="0"/>
          <w:color w:val="000000" w:themeColor="text1"/>
          <w:spacing w:val="0"/>
          <w:sz w:val="32"/>
          <w:szCs w:val="32"/>
          <w:shd w:val="clear" w:color="auto" w:fill="FFFFFF"/>
          <w:lang w:eastAsia="zh-CN"/>
        </w:rPr>
        <w:t>（</w:t>
      </w:r>
      <w:r>
        <w:rPr>
          <w:rFonts w:hint="eastAsia" w:ascii="仿宋_GB2312" w:hAnsi="仿宋_GB2312" w:eastAsia="仿宋_GB2312" w:cs="仿宋_GB2312"/>
          <w:b w:val="0"/>
          <w:i w:val="0"/>
          <w:caps w:val="0"/>
          <w:color w:val="000000" w:themeColor="text1"/>
          <w:spacing w:val="0"/>
          <w:sz w:val="32"/>
          <w:szCs w:val="32"/>
          <w:shd w:val="clear" w:color="auto" w:fill="FFFFFF"/>
          <w:lang w:val="en-US" w:eastAsia="zh-CN"/>
        </w:rPr>
        <w:t>2</w:t>
      </w:r>
      <w:r>
        <w:rPr>
          <w:rFonts w:hint="eastAsia" w:ascii="仿宋_GB2312" w:hAnsi="仿宋_GB2312" w:eastAsia="仿宋_GB2312" w:cs="仿宋_GB2312"/>
          <w:b w:val="0"/>
          <w:i w:val="0"/>
          <w:caps w:val="0"/>
          <w:color w:val="000000" w:themeColor="text1"/>
          <w:spacing w:val="0"/>
          <w:sz w:val="32"/>
          <w:szCs w:val="32"/>
          <w:shd w:val="clear" w:color="auto" w:fill="FFFFFF"/>
          <w:lang w:eastAsia="zh-CN"/>
        </w:rPr>
        <w:t>）</w:t>
      </w:r>
      <w:r>
        <w:rPr>
          <w:rFonts w:hint="eastAsia" w:ascii="仿宋_GB2312" w:hAnsi="仿宋_GB2312" w:eastAsia="仿宋_GB2312" w:cs="仿宋_GB2312"/>
          <w:b w:val="0"/>
          <w:i w:val="0"/>
          <w:caps w:val="0"/>
          <w:color w:val="000000" w:themeColor="text1"/>
          <w:spacing w:val="0"/>
          <w:sz w:val="32"/>
          <w:szCs w:val="32"/>
          <w:shd w:val="clear" w:color="auto" w:fill="FFFFFF"/>
        </w:rPr>
        <w:t>完善资产管理机制</w:t>
      </w:r>
      <w:r>
        <w:rPr>
          <w:rFonts w:hint="eastAsia" w:ascii="仿宋_GB2312" w:hAnsi="仿宋_GB2312" w:eastAsia="仿宋_GB2312" w:cs="仿宋_GB2312"/>
          <w:b w:val="0"/>
          <w:i w:val="0"/>
          <w:caps w:val="0"/>
          <w:color w:val="000000" w:themeColor="text1"/>
          <w:spacing w:val="0"/>
          <w:sz w:val="32"/>
          <w:szCs w:val="32"/>
          <w:shd w:val="clear" w:color="auto" w:fill="FFFFFF"/>
          <w:lang w:eastAsia="zh-CN"/>
        </w:rPr>
        <w:t>。</w:t>
      </w:r>
      <w:r>
        <w:rPr>
          <w:rFonts w:hint="eastAsia" w:ascii="仿宋_GB2312" w:hAnsi="仿宋_GB2312" w:eastAsia="仿宋_GB2312" w:cs="仿宋_GB2312"/>
          <w:b w:val="0"/>
          <w:i w:val="0"/>
          <w:caps w:val="0"/>
          <w:color w:val="000000" w:themeColor="text1"/>
          <w:spacing w:val="0"/>
          <w:sz w:val="32"/>
          <w:szCs w:val="32"/>
          <w:shd w:val="clear" w:color="auto" w:fill="FFFFFF"/>
        </w:rPr>
        <w:t>完成固定资产管理的各项工作必须建立起有效的管理机制，以促进管理目标的实现｡完善固定资产管理方面的机制必须受到政府相关领导的重视与认可</w:t>
      </w:r>
      <w:r>
        <w:rPr>
          <w:rFonts w:hint="eastAsia" w:ascii="仿宋_GB2312" w:hAnsi="仿宋_GB2312" w:eastAsia="仿宋_GB2312" w:cs="仿宋_GB2312"/>
          <w:b w:val="0"/>
          <w:i w:val="0"/>
          <w:caps w:val="0"/>
          <w:color w:val="000000" w:themeColor="text1"/>
          <w:spacing w:val="0"/>
          <w:sz w:val="32"/>
          <w:szCs w:val="32"/>
          <w:shd w:val="clear" w:color="auto" w:fill="FFFFFF"/>
          <w:lang w:eastAsia="zh-CN"/>
        </w:rPr>
        <w:t>。</w:t>
      </w:r>
      <w:r>
        <w:rPr>
          <w:rFonts w:hint="eastAsia" w:ascii="仿宋_GB2312" w:hAnsi="仿宋_GB2312" w:eastAsia="仿宋_GB2312" w:cs="仿宋_GB2312"/>
          <w:b w:val="0"/>
          <w:i w:val="0"/>
          <w:caps w:val="0"/>
          <w:color w:val="000000" w:themeColor="text1"/>
          <w:spacing w:val="0"/>
          <w:sz w:val="32"/>
          <w:szCs w:val="32"/>
          <w:shd w:val="clear" w:color="auto" w:fill="FFFFFF"/>
        </w:rPr>
        <w:t>建立行政事业单位资产管理责任机制，实行单位主要领导为全面责任人、分管领导为主要责任人、使用部门负责人为直接责任人的三级管理责任制。明确相关责任人的职责范围，将资产管理责任落实到人，定期考核责任履行情况。考核结果作为人员提拔､任用等的依据。同时加大外部监督的力度，审计、财政、监察等部门要履行好职责，切实加强对行政事业单位固定资产购置、增减、租赁的监督，把固定资产的真实完整和保值增值作为经常性监督的重点，及时发现问题、分析原因，制止资产流失。对各种违法违纪的单位和个人，要坚决按照规定进行处理。</w:t>
      </w:r>
    </w:p>
    <w:p>
      <w:pPr>
        <w:snapToGrid w:val="0"/>
        <w:spacing w:line="520" w:lineRule="exact"/>
        <w:ind w:firstLine="640" w:firstLineChars="200"/>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val="0"/>
          <w:i w:val="0"/>
          <w:caps w:val="0"/>
          <w:color w:val="000000" w:themeColor="text1"/>
          <w:spacing w:val="0"/>
          <w:sz w:val="32"/>
          <w:szCs w:val="32"/>
          <w:shd w:val="clear" w:color="auto" w:fill="FFFFFF"/>
          <w:lang w:eastAsia="zh-CN"/>
        </w:rPr>
        <w:t>（</w:t>
      </w:r>
      <w:r>
        <w:rPr>
          <w:rFonts w:hint="eastAsia" w:ascii="仿宋_GB2312" w:hAnsi="仿宋_GB2312" w:eastAsia="仿宋_GB2312" w:cs="仿宋_GB2312"/>
          <w:b w:val="0"/>
          <w:i w:val="0"/>
          <w:caps w:val="0"/>
          <w:color w:val="000000" w:themeColor="text1"/>
          <w:spacing w:val="0"/>
          <w:sz w:val="32"/>
          <w:szCs w:val="32"/>
          <w:shd w:val="clear" w:color="auto" w:fill="FFFFFF"/>
          <w:lang w:val="en-US" w:eastAsia="zh-CN"/>
        </w:rPr>
        <w:t>3</w:t>
      </w:r>
      <w:r>
        <w:rPr>
          <w:rFonts w:hint="eastAsia" w:ascii="仿宋_GB2312" w:hAnsi="仿宋_GB2312" w:eastAsia="仿宋_GB2312" w:cs="仿宋_GB2312"/>
          <w:b w:val="0"/>
          <w:i w:val="0"/>
          <w:caps w:val="0"/>
          <w:color w:val="000000" w:themeColor="text1"/>
          <w:spacing w:val="0"/>
          <w:sz w:val="32"/>
          <w:szCs w:val="32"/>
          <w:shd w:val="clear" w:color="auto" w:fill="FFFFFF"/>
          <w:lang w:eastAsia="zh-CN"/>
        </w:rPr>
        <w:t>）</w:t>
      </w:r>
      <w:r>
        <w:rPr>
          <w:rFonts w:hint="eastAsia" w:ascii="仿宋_GB2312" w:hAnsi="仿宋_GB2312" w:eastAsia="仿宋_GB2312" w:cs="仿宋_GB2312"/>
          <w:b w:val="0"/>
          <w:i w:val="0"/>
          <w:caps w:val="0"/>
          <w:color w:val="000000" w:themeColor="text1"/>
          <w:spacing w:val="0"/>
          <w:sz w:val="32"/>
          <w:szCs w:val="32"/>
          <w:shd w:val="clear" w:color="auto" w:fill="FFFFFF"/>
        </w:rPr>
        <w:t>加强会计人员业务培训，提高业务素质，规范账务处理</w:t>
      </w:r>
      <w:r>
        <w:rPr>
          <w:rFonts w:hint="eastAsia" w:ascii="仿宋_GB2312" w:hAnsi="仿宋_GB2312" w:eastAsia="仿宋_GB2312" w:cs="仿宋_GB2312"/>
          <w:b w:val="0"/>
          <w:i w:val="0"/>
          <w:caps w:val="0"/>
          <w:color w:val="000000" w:themeColor="text1"/>
          <w:spacing w:val="0"/>
          <w:sz w:val="32"/>
          <w:szCs w:val="32"/>
          <w:shd w:val="clear" w:color="auto" w:fill="FFFFFF"/>
          <w:lang w:eastAsia="zh-CN"/>
        </w:rPr>
        <w:t>。</w:t>
      </w:r>
      <w:r>
        <w:rPr>
          <w:rFonts w:hint="eastAsia" w:ascii="仿宋_GB2312" w:hAnsi="仿宋_GB2312" w:eastAsia="仿宋_GB2312" w:cs="仿宋_GB2312"/>
          <w:b w:val="0"/>
          <w:i w:val="0"/>
          <w:caps w:val="0"/>
          <w:color w:val="000000" w:themeColor="text1"/>
          <w:spacing w:val="0"/>
          <w:sz w:val="32"/>
          <w:szCs w:val="32"/>
          <w:shd w:val="clear" w:color="auto" w:fill="FFFFFF"/>
        </w:rPr>
        <w:t>会计人员要加强业务培训和学习，不断提高业务素质;坚持会计人员持证上岗，杜绝无证上岗现象;严格执行有关财经法规，规范和完善账务处理，做好固定资产管理的基础工作，保证账账相符、账实相符。</w:t>
      </w:r>
    </w:p>
    <w:p>
      <w:pPr>
        <w:topLinePunct/>
        <w:ind w:firstLine="800" w:firstLineChars="250"/>
        <w:rPr>
          <w:rFonts w:hint="eastAsia" w:ascii="黑体" w:hAnsi="黑体" w:eastAsia="黑体"/>
          <w:color w:val="000000" w:themeColor="text1"/>
          <w:szCs w:val="32"/>
        </w:rPr>
      </w:pPr>
    </w:p>
    <w:p>
      <w:pPr>
        <w:spacing w:line="600" w:lineRule="exact"/>
        <w:rPr>
          <w:rFonts w:ascii="仿宋_GB2312"/>
          <w:sz w:val="21"/>
          <w:szCs w:val="21"/>
        </w:rPr>
      </w:pPr>
    </w:p>
    <w:p>
      <w:pPr>
        <w:spacing w:line="600" w:lineRule="exact"/>
        <w:jc w:val="right"/>
        <w:rPr>
          <w:rFonts w:hint="eastAsia" w:ascii="仿宋_GB2312"/>
          <w:sz w:val="32"/>
          <w:szCs w:val="32"/>
          <w:lang w:eastAsia="zh-CN"/>
        </w:rPr>
      </w:pPr>
      <w:r>
        <w:rPr>
          <w:rFonts w:hint="eastAsia" w:ascii="仿宋_GB2312"/>
          <w:sz w:val="32"/>
          <w:szCs w:val="32"/>
          <w:lang w:eastAsia="zh-CN"/>
        </w:rPr>
        <w:t>富民县水务局</w:t>
      </w:r>
    </w:p>
    <w:p>
      <w:pPr>
        <w:spacing w:line="600" w:lineRule="exact"/>
        <w:jc w:val="right"/>
        <w:rPr>
          <w:rFonts w:hint="eastAsia" w:ascii="仿宋_GB2312"/>
          <w:sz w:val="32"/>
          <w:szCs w:val="32"/>
          <w:lang w:val="en-US" w:eastAsia="zh-CN"/>
        </w:rPr>
      </w:pPr>
      <w:r>
        <w:rPr>
          <w:rFonts w:hint="eastAsia" w:ascii="仿宋_GB2312"/>
          <w:sz w:val="32"/>
          <w:szCs w:val="32"/>
          <w:lang w:val="en-US" w:eastAsia="zh-CN"/>
        </w:rPr>
        <w:t>2020年4月20日</w:t>
      </w:r>
    </w:p>
    <w:p>
      <w:pPr>
        <w:spacing w:line="600" w:lineRule="exact"/>
        <w:rPr>
          <w:rFonts w:ascii="仿宋_GB2312"/>
          <w:sz w:val="21"/>
          <w:szCs w:val="21"/>
        </w:rPr>
      </w:pPr>
    </w:p>
    <w:p>
      <w:pPr>
        <w:spacing w:line="600" w:lineRule="exact"/>
        <w:rPr>
          <w:rFonts w:ascii="仿宋_GB2312"/>
          <w:sz w:val="21"/>
          <w:szCs w:val="21"/>
        </w:rPr>
      </w:pPr>
    </w:p>
    <w:p>
      <w:pPr>
        <w:spacing w:line="600" w:lineRule="exact"/>
        <w:rPr>
          <w:rFonts w:ascii="仿宋_GB2312"/>
          <w:sz w:val="21"/>
          <w:szCs w:val="21"/>
        </w:rPr>
      </w:pPr>
    </w:p>
    <w:p>
      <w:pPr>
        <w:spacing w:line="600" w:lineRule="exact"/>
        <w:rPr>
          <w:rFonts w:ascii="仿宋_GB2312"/>
          <w:sz w:val="21"/>
          <w:szCs w:val="21"/>
        </w:rPr>
      </w:pPr>
    </w:p>
    <w:p>
      <w:pPr>
        <w:spacing w:line="600" w:lineRule="exact"/>
        <w:rPr>
          <w:rFonts w:ascii="仿宋_GB2312"/>
          <w:sz w:val="21"/>
          <w:szCs w:val="21"/>
        </w:rPr>
      </w:pPr>
    </w:p>
    <w:p>
      <w:pPr>
        <w:spacing w:line="600" w:lineRule="exact"/>
        <w:rPr>
          <w:rFonts w:ascii="仿宋_GB2312"/>
          <w:sz w:val="21"/>
          <w:szCs w:val="21"/>
        </w:rPr>
      </w:pPr>
    </w:p>
    <w:p>
      <w:pPr>
        <w:spacing w:line="600" w:lineRule="exact"/>
        <w:rPr>
          <w:rFonts w:ascii="仿宋_GB2312"/>
          <w:sz w:val="21"/>
          <w:szCs w:val="21"/>
        </w:rPr>
      </w:pPr>
    </w:p>
    <w:p>
      <w:pPr>
        <w:spacing w:line="600" w:lineRule="exact"/>
        <w:rPr>
          <w:rFonts w:ascii="仿宋_GB2312"/>
          <w:sz w:val="21"/>
          <w:szCs w:val="21"/>
        </w:rPr>
      </w:pPr>
    </w:p>
    <w:p>
      <w:pPr>
        <w:spacing w:line="600" w:lineRule="exact"/>
        <w:rPr>
          <w:rFonts w:ascii="仿宋_GB2312"/>
          <w:sz w:val="21"/>
          <w:szCs w:val="21"/>
        </w:rPr>
      </w:pPr>
    </w:p>
    <w:p>
      <w:pPr>
        <w:spacing w:line="600" w:lineRule="exact"/>
        <w:rPr>
          <w:rFonts w:ascii="仿宋_GB2312"/>
          <w:sz w:val="21"/>
          <w:szCs w:val="21"/>
        </w:rPr>
      </w:pPr>
    </w:p>
    <w:p>
      <w:pPr>
        <w:spacing w:line="600" w:lineRule="exact"/>
        <w:rPr>
          <w:rFonts w:ascii="仿宋_GB2312"/>
          <w:sz w:val="21"/>
          <w:szCs w:val="21"/>
        </w:rPr>
      </w:pPr>
    </w:p>
    <w:p>
      <w:pPr>
        <w:spacing w:line="600" w:lineRule="exact"/>
        <w:rPr>
          <w:rFonts w:ascii="仿宋_GB2312"/>
          <w:sz w:val="21"/>
          <w:szCs w:val="21"/>
        </w:rPr>
      </w:pPr>
    </w:p>
    <w:p>
      <w:pPr>
        <w:spacing w:line="600" w:lineRule="exact"/>
        <w:rPr>
          <w:rFonts w:ascii="仿宋_GB2312"/>
          <w:sz w:val="21"/>
          <w:szCs w:val="21"/>
        </w:rPr>
      </w:pPr>
    </w:p>
    <w:p>
      <w:pPr>
        <w:spacing w:line="600" w:lineRule="exact"/>
        <w:rPr>
          <w:rFonts w:ascii="仿宋_GB2312"/>
          <w:sz w:val="21"/>
          <w:szCs w:val="21"/>
        </w:rPr>
      </w:pPr>
    </w:p>
    <w:p>
      <w:pPr>
        <w:spacing w:line="600" w:lineRule="exact"/>
        <w:rPr>
          <w:rFonts w:ascii="仿宋_GB2312"/>
          <w:color w:val="0070C0"/>
          <w:sz w:val="21"/>
          <w:szCs w:val="21"/>
        </w:rPr>
      </w:pPr>
      <w:r>
        <w:rPr>
          <w:rFonts w:hint="eastAsia" w:ascii="仿宋_GB2312"/>
          <w:color w:val="0070C0"/>
          <w:sz w:val="21"/>
          <w:szCs w:val="21"/>
        </w:rPr>
        <w:t>附表：</w:t>
      </w:r>
    </w:p>
    <w:tbl>
      <w:tblPr>
        <w:tblStyle w:val="6"/>
        <w:tblW w:w="9174" w:type="dxa"/>
        <w:jc w:val="center"/>
        <w:tblInd w:w="0" w:type="dxa"/>
        <w:tblLayout w:type="fixed"/>
        <w:tblCellMar>
          <w:top w:w="0" w:type="dxa"/>
          <w:left w:w="28" w:type="dxa"/>
          <w:bottom w:w="0" w:type="dxa"/>
          <w:right w:w="28" w:type="dxa"/>
        </w:tblCellMar>
      </w:tblPr>
      <w:tblGrid>
        <w:gridCol w:w="479"/>
        <w:gridCol w:w="638"/>
        <w:gridCol w:w="1173"/>
        <w:gridCol w:w="569"/>
        <w:gridCol w:w="1842"/>
        <w:gridCol w:w="2977"/>
        <w:gridCol w:w="1496"/>
      </w:tblGrid>
      <w:tr>
        <w:tblPrEx>
          <w:tblLayout w:type="fixed"/>
          <w:tblCellMar>
            <w:top w:w="0" w:type="dxa"/>
            <w:left w:w="28" w:type="dxa"/>
            <w:bottom w:w="0" w:type="dxa"/>
            <w:right w:w="28" w:type="dxa"/>
          </w:tblCellMar>
        </w:tblPrEx>
        <w:trPr>
          <w:tblHeader/>
          <w:jc w:val="center"/>
        </w:trPr>
        <w:tc>
          <w:tcPr>
            <w:tcW w:w="9174" w:type="dxa"/>
            <w:gridSpan w:val="7"/>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lang w:val="en-US" w:eastAsia="zh-CN"/>
              </w:rPr>
              <w:t>9</w:t>
            </w:r>
            <w:r>
              <w:rPr>
                <w:rFonts w:hint="eastAsia" w:ascii="黑体" w:eastAsia="黑体"/>
                <w:bCs/>
                <w:sz w:val="36"/>
                <w:szCs w:val="36"/>
              </w:rPr>
              <w:t>年部门整体支出绩效自评指标评分表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3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指标解释</w:t>
            </w:r>
          </w:p>
        </w:tc>
        <w:tc>
          <w:tcPr>
            <w:tcW w:w="297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496"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Layout w:type="fixed"/>
          <w:tblCellMar>
            <w:top w:w="0" w:type="dxa"/>
            <w:left w:w="28" w:type="dxa"/>
            <w:bottom w:w="0" w:type="dxa"/>
            <w:right w:w="28" w:type="dxa"/>
          </w:tblCellMar>
        </w:tblPrEx>
        <w:trPr>
          <w:trHeight w:val="557" w:hRule="atLeast"/>
          <w:jc w:val="center"/>
        </w:trPr>
        <w:tc>
          <w:tcPr>
            <w:tcW w:w="479" w:type="dxa"/>
            <w:vMerge w:val="restart"/>
            <w:tcBorders>
              <w:top w:val="nil"/>
              <w:left w:val="single" w:color="auto" w:sz="4" w:space="0"/>
              <w:right w:val="single" w:color="auto" w:sz="4" w:space="0"/>
            </w:tcBorders>
            <w:tcMar>
              <w:top w:w="10" w:type="dxa"/>
              <w:left w:w="10" w:type="dxa"/>
              <w:bottom w:w="0" w:type="dxa"/>
              <w:right w:w="10" w:type="dxa"/>
            </w:tcMar>
            <w:textDirection w:val="tbRlV"/>
            <w:vAlign w:val="center"/>
          </w:tcPr>
          <w:p>
            <w:pPr>
              <w:jc w:val="center"/>
              <w:rPr>
                <w:rFonts w:ascii="仿宋_GB2312"/>
                <w:sz w:val="18"/>
                <w:szCs w:val="18"/>
              </w:rPr>
            </w:pPr>
            <w:r>
              <w:rPr>
                <w:rFonts w:hint="eastAsia" w:ascii="仿宋_GB2312"/>
                <w:sz w:val="18"/>
                <w:szCs w:val="18"/>
              </w:rPr>
              <w:t>一、部门决策（35分）</w:t>
            </w:r>
          </w:p>
        </w:tc>
        <w:tc>
          <w:tcPr>
            <w:tcW w:w="638" w:type="dxa"/>
            <w:vMerge w:val="restart"/>
            <w:tcBorders>
              <w:top w:val="nil"/>
              <w:left w:val="single" w:color="auto" w:sz="4" w:space="0"/>
              <w:right w:val="single" w:color="auto" w:sz="4" w:space="0"/>
            </w:tcBorders>
            <w:tcMar>
              <w:top w:w="10" w:type="dxa"/>
              <w:left w:w="10" w:type="dxa"/>
              <w:bottom w:w="0" w:type="dxa"/>
              <w:right w:w="10" w:type="dxa"/>
            </w:tcMar>
            <w:vAlign w:val="center"/>
          </w:tcPr>
          <w:p>
            <w:pPr>
              <w:jc w:val="left"/>
              <w:rPr>
                <w:rFonts w:ascii="仿宋_GB2312"/>
                <w:sz w:val="15"/>
                <w:szCs w:val="15"/>
              </w:rPr>
            </w:pPr>
            <w:r>
              <w:rPr>
                <w:rFonts w:hint="eastAsia" w:ascii="仿宋_GB2312"/>
                <w:sz w:val="15"/>
                <w:szCs w:val="15"/>
              </w:rPr>
              <w:t>1.部门目标（20分）</w:t>
            </w:r>
          </w:p>
        </w:tc>
        <w:tc>
          <w:tcPr>
            <w:tcW w:w="1173"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ascii="仿宋_GB2312"/>
                <w:sz w:val="15"/>
                <w:szCs w:val="15"/>
              </w:rPr>
            </w:pPr>
            <w:r>
              <w:rPr>
                <w:rFonts w:hint="eastAsia" w:ascii="仿宋_GB2312"/>
                <w:sz w:val="15"/>
                <w:szCs w:val="15"/>
              </w:rPr>
              <w:t>1.年度工作目标的明确性与合理性（6分）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eastAsia="仿宋_GB2312"/>
                <w:sz w:val="15"/>
                <w:szCs w:val="15"/>
                <w:lang w:val="en-US" w:eastAsia="zh-CN"/>
              </w:rPr>
            </w:pPr>
            <w:r>
              <w:rPr>
                <w:rFonts w:hint="eastAsia" w:ascii="仿宋_GB2312"/>
                <w:sz w:val="15"/>
                <w:szCs w:val="15"/>
                <w:lang w:val="en-US" w:eastAsia="zh-CN"/>
              </w:rPr>
              <w:t>6</w:t>
            </w:r>
          </w:p>
        </w:tc>
        <w:tc>
          <w:tcPr>
            <w:tcW w:w="184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rPr>
                <w:rFonts w:ascii="仿宋_GB2312"/>
                <w:sz w:val="15"/>
                <w:szCs w:val="15"/>
              </w:rPr>
            </w:pPr>
            <w:r>
              <w:rPr>
                <w:rFonts w:hint="eastAsia" w:ascii="仿宋_GB2312"/>
                <w:sz w:val="15"/>
                <w:szCs w:val="15"/>
              </w:rPr>
              <w:t>部门年度工作目标的设定是否明确合理</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pPr>
              <w:snapToGrid w:val="0"/>
              <w:rPr>
                <w:rFonts w:ascii="仿宋_GB2312"/>
                <w:sz w:val="15"/>
                <w:szCs w:val="15"/>
              </w:rPr>
            </w:pPr>
            <w:r>
              <w:rPr>
                <w:rFonts w:hint="eastAsia" w:ascii="仿宋_GB2312"/>
                <w:sz w:val="15"/>
                <w:szCs w:val="15"/>
              </w:rPr>
              <w:t>①部门年度工作目标是否明确设定，得3分；②年度工作目标与部门中长期规划目标一致，得3分。</w:t>
            </w:r>
          </w:p>
        </w:tc>
        <w:tc>
          <w:tcPr>
            <w:tcW w:w="1496" w:type="dxa"/>
            <w:tcBorders>
              <w:top w:val="nil"/>
              <w:left w:val="nil"/>
              <w:bottom w:val="single" w:color="auto" w:sz="4" w:space="0"/>
              <w:right w:val="single" w:color="auto" w:sz="4" w:space="0"/>
            </w:tcBorders>
            <w:vAlign w:val="center"/>
          </w:tcPr>
          <w:p>
            <w:pPr>
              <w:rPr>
                <w:rFonts w:ascii="仿宋_GB2312"/>
                <w:sz w:val="15"/>
                <w:szCs w:val="15"/>
              </w:rPr>
            </w:pPr>
            <w:r>
              <w:rPr>
                <w:rFonts w:hint="eastAsia" w:ascii="仿宋_GB2312"/>
                <w:sz w:val="15"/>
                <w:szCs w:val="15"/>
              </w:rPr>
              <w:t>年度工作目标与部门中长期规划文件</w:t>
            </w:r>
          </w:p>
        </w:tc>
      </w:tr>
      <w:tr>
        <w:tblPrEx>
          <w:tblLayout w:type="fixed"/>
          <w:tblCellMar>
            <w:top w:w="0" w:type="dxa"/>
            <w:left w:w="28" w:type="dxa"/>
            <w:bottom w:w="0" w:type="dxa"/>
            <w:right w:w="28" w:type="dxa"/>
          </w:tblCellMar>
        </w:tblPrEx>
        <w:trPr>
          <w:trHeight w:val="792" w:hRule="atLeast"/>
          <w:jc w:val="center"/>
        </w:trPr>
        <w:tc>
          <w:tcPr>
            <w:tcW w:w="479" w:type="dxa"/>
            <w:vMerge w:val="continue"/>
            <w:tcBorders>
              <w:left w:val="single" w:color="auto" w:sz="4" w:space="0"/>
              <w:right w:val="single" w:color="auto" w:sz="4" w:space="0"/>
            </w:tcBorders>
            <w:vAlign w:val="center"/>
          </w:tcPr>
          <w:p>
            <w:pPr>
              <w:rPr>
                <w:sz w:val="18"/>
                <w:szCs w:val="18"/>
              </w:rPr>
            </w:pPr>
          </w:p>
        </w:tc>
        <w:tc>
          <w:tcPr>
            <w:tcW w:w="638" w:type="dxa"/>
            <w:vMerge w:val="continue"/>
            <w:tcBorders>
              <w:left w:val="single" w:color="auto" w:sz="4" w:space="0"/>
              <w:right w:val="single" w:color="auto" w:sz="4" w:space="0"/>
            </w:tcBorders>
            <w:vAlign w:val="center"/>
          </w:tcPr>
          <w:p>
            <w:pPr>
              <w:rPr>
                <w:sz w:val="15"/>
                <w:szCs w:val="15"/>
              </w:rPr>
            </w:pPr>
          </w:p>
        </w:tc>
        <w:tc>
          <w:tcPr>
            <w:tcW w:w="1173"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ascii="仿宋_GB2312"/>
                <w:sz w:val="15"/>
                <w:szCs w:val="15"/>
              </w:rPr>
            </w:pPr>
            <w:r>
              <w:rPr>
                <w:rFonts w:hint="eastAsia" w:ascii="仿宋_GB2312"/>
                <w:sz w:val="15"/>
                <w:szCs w:val="15"/>
              </w:rPr>
              <w:t>2.绩效目标合理性（6分）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eastAsia="仿宋_GB2312"/>
                <w:sz w:val="15"/>
                <w:szCs w:val="15"/>
                <w:lang w:val="en-US" w:eastAsia="zh-CN"/>
              </w:rPr>
            </w:pPr>
            <w:r>
              <w:rPr>
                <w:rFonts w:hint="eastAsia" w:ascii="仿宋_GB2312"/>
                <w:sz w:val="15"/>
                <w:szCs w:val="15"/>
                <w:lang w:val="en-US" w:eastAsia="zh-CN"/>
              </w:rPr>
              <w:t>6</w:t>
            </w:r>
          </w:p>
        </w:tc>
        <w:tc>
          <w:tcPr>
            <w:tcW w:w="184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ascii="仿宋_GB2312"/>
                <w:sz w:val="15"/>
                <w:szCs w:val="15"/>
              </w:rPr>
            </w:pPr>
            <w:r>
              <w:rPr>
                <w:rFonts w:hint="eastAsia" w:ascii="仿宋_GB2312"/>
                <w:sz w:val="15"/>
                <w:szCs w:val="15"/>
              </w:rPr>
              <w:t>用以反映和考核部门整体绩效目标与部门职能、年度工作目标的一致性。</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ascii="仿宋_GB2312"/>
                <w:sz w:val="15"/>
                <w:szCs w:val="15"/>
              </w:rPr>
            </w:pPr>
            <w:r>
              <w:rPr>
                <w:rFonts w:hint="eastAsia" w:ascii="仿宋_GB2312"/>
                <w:sz w:val="15"/>
                <w:szCs w:val="15"/>
              </w:rPr>
              <w:t>①符合部门制定的中长期实施规划计2分；②符合部门“三定”方案确定的职责计2分；③与部门年度工作目标、任务相一致计2分。</w:t>
            </w:r>
          </w:p>
        </w:tc>
        <w:tc>
          <w:tcPr>
            <w:tcW w:w="1496" w:type="dxa"/>
            <w:tcBorders>
              <w:top w:val="nil"/>
              <w:left w:val="nil"/>
              <w:bottom w:val="single" w:color="auto" w:sz="4" w:space="0"/>
              <w:right w:val="single" w:color="auto" w:sz="4" w:space="0"/>
            </w:tcBorders>
            <w:vAlign w:val="center"/>
          </w:tcPr>
          <w:p>
            <w:pPr>
              <w:rPr>
                <w:rFonts w:ascii="仿宋_GB2312"/>
                <w:sz w:val="15"/>
                <w:szCs w:val="15"/>
              </w:rPr>
            </w:pPr>
            <w:r>
              <w:rPr>
                <w:rFonts w:hint="eastAsia" w:ascii="仿宋_GB2312"/>
                <w:sz w:val="15"/>
                <w:szCs w:val="15"/>
              </w:rPr>
              <w:t>部门中长期规划、部门“三定”方案、年度重点工作任务与工作计划</w:t>
            </w:r>
          </w:p>
        </w:tc>
      </w:tr>
      <w:tr>
        <w:tblPrEx>
          <w:tblLayout w:type="fixed"/>
          <w:tblCellMar>
            <w:top w:w="0" w:type="dxa"/>
            <w:left w:w="28" w:type="dxa"/>
            <w:bottom w:w="0" w:type="dxa"/>
            <w:right w:w="28" w:type="dxa"/>
          </w:tblCellMar>
        </w:tblPrEx>
        <w:trPr>
          <w:trHeight w:val="1706" w:hRule="atLeast"/>
          <w:jc w:val="center"/>
        </w:trPr>
        <w:tc>
          <w:tcPr>
            <w:tcW w:w="479" w:type="dxa"/>
            <w:vMerge w:val="continue"/>
            <w:tcBorders>
              <w:left w:val="single" w:color="auto" w:sz="4" w:space="0"/>
              <w:right w:val="single" w:color="auto" w:sz="4" w:space="0"/>
            </w:tcBorders>
            <w:vAlign w:val="center"/>
          </w:tcPr>
          <w:p>
            <w:pPr>
              <w:rPr>
                <w:sz w:val="18"/>
                <w:szCs w:val="18"/>
              </w:rPr>
            </w:pPr>
          </w:p>
        </w:tc>
        <w:tc>
          <w:tcPr>
            <w:tcW w:w="638" w:type="dxa"/>
            <w:vMerge w:val="continue"/>
            <w:tcBorders>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sz w:val="15"/>
                <w:szCs w:val="15"/>
              </w:rPr>
            </w:pPr>
          </w:p>
        </w:tc>
        <w:tc>
          <w:tcPr>
            <w:tcW w:w="1173"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ascii="仿宋_GB2312"/>
                <w:sz w:val="15"/>
                <w:szCs w:val="15"/>
              </w:rPr>
            </w:pPr>
            <w:r>
              <w:rPr>
                <w:rFonts w:hint="eastAsia" w:ascii="仿宋_GB2312"/>
                <w:sz w:val="15"/>
                <w:szCs w:val="15"/>
              </w:rPr>
              <w:t>3.绩效指标明确性（8分）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eastAsia="仿宋_GB2312"/>
                <w:sz w:val="15"/>
                <w:szCs w:val="15"/>
                <w:lang w:val="en-US" w:eastAsia="zh-CN"/>
              </w:rPr>
            </w:pPr>
            <w:r>
              <w:rPr>
                <w:rFonts w:hint="eastAsia" w:ascii="仿宋_GB2312"/>
                <w:sz w:val="15"/>
                <w:szCs w:val="15"/>
                <w:lang w:val="en-US" w:eastAsia="zh-CN"/>
              </w:rPr>
              <w:t>8</w:t>
            </w:r>
          </w:p>
        </w:tc>
        <w:tc>
          <w:tcPr>
            <w:tcW w:w="184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ascii="仿宋_GB2312"/>
                <w:sz w:val="15"/>
                <w:szCs w:val="15"/>
              </w:rPr>
            </w:pPr>
            <w:r>
              <w:rPr>
                <w:rFonts w:hint="eastAsia" w:ascii="仿宋_GB2312"/>
                <w:sz w:val="15"/>
                <w:szCs w:val="15"/>
              </w:rPr>
              <w:t>整体绩效目标所设定的绩效指标是否依据部门工作目标和工作任务进行细化、量化，绩效指标是否可衡量。</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ascii="仿宋_GB2312"/>
                <w:sz w:val="15"/>
                <w:szCs w:val="15"/>
              </w:rPr>
            </w:pPr>
            <w:r>
              <w:rPr>
                <w:rFonts w:hint="eastAsia" w:ascii="仿宋_GB2312"/>
                <w:sz w:val="15"/>
                <w:szCs w:val="15"/>
              </w:rPr>
              <w:t>①将部门整体的绩效目标细化分解为具体的工作任务计2分；②通过清晰、可衡量的指标值予以体现计2分。③与部门年度的任务数或计划数相对应计2分；④与本年度部门预算资金相匹配计2分。</w:t>
            </w:r>
          </w:p>
        </w:tc>
        <w:tc>
          <w:tcPr>
            <w:tcW w:w="1496" w:type="dxa"/>
            <w:tcBorders>
              <w:top w:val="nil"/>
              <w:left w:val="nil"/>
              <w:bottom w:val="single" w:color="auto" w:sz="4" w:space="0"/>
              <w:right w:val="single" w:color="auto" w:sz="4" w:space="0"/>
            </w:tcBorders>
            <w:vAlign w:val="center"/>
          </w:tcPr>
          <w:p>
            <w:pPr>
              <w:rPr>
                <w:rFonts w:ascii="仿宋_GB2312"/>
                <w:sz w:val="15"/>
                <w:szCs w:val="15"/>
              </w:rPr>
            </w:pPr>
            <w:r>
              <w:rPr>
                <w:rFonts w:hint="eastAsia" w:ascii="仿宋_GB2312"/>
                <w:sz w:val="15"/>
                <w:szCs w:val="15"/>
              </w:rPr>
              <w:t>部门年度重点工作任务与工作计划。</w:t>
            </w:r>
          </w:p>
        </w:tc>
      </w:tr>
      <w:tr>
        <w:tblPrEx>
          <w:tblLayout w:type="fixed"/>
          <w:tblCellMar>
            <w:top w:w="0" w:type="dxa"/>
            <w:left w:w="28" w:type="dxa"/>
            <w:bottom w:w="0" w:type="dxa"/>
            <w:right w:w="28" w:type="dxa"/>
          </w:tblCellMar>
        </w:tblPrEx>
        <w:trPr>
          <w:trHeight w:val="690" w:hRule="atLeast"/>
          <w:jc w:val="center"/>
        </w:trPr>
        <w:tc>
          <w:tcPr>
            <w:tcW w:w="479" w:type="dxa"/>
            <w:vMerge w:val="continue"/>
            <w:tcBorders>
              <w:left w:val="single" w:color="auto" w:sz="4" w:space="0"/>
              <w:right w:val="single" w:color="auto" w:sz="4" w:space="0"/>
            </w:tcBorders>
            <w:vAlign w:val="center"/>
          </w:tcPr>
          <w:p>
            <w:pPr>
              <w:rPr>
                <w:sz w:val="18"/>
                <w:szCs w:val="18"/>
              </w:rPr>
            </w:pPr>
          </w:p>
        </w:tc>
        <w:tc>
          <w:tcPr>
            <w:tcW w:w="638" w:type="dxa"/>
            <w:vMerge w:val="restart"/>
            <w:tcBorders>
              <w:top w:val="single" w:color="auto" w:sz="4" w:space="0"/>
              <w:left w:val="single" w:color="auto" w:sz="4" w:space="0"/>
              <w:right w:val="single" w:color="auto" w:sz="4" w:space="0"/>
            </w:tcBorders>
            <w:vAlign w:val="center"/>
          </w:tcPr>
          <w:p>
            <w:pPr>
              <w:jc w:val="left"/>
              <w:rPr>
                <w:rFonts w:ascii="仿宋_GB2312"/>
                <w:sz w:val="15"/>
                <w:szCs w:val="15"/>
              </w:rPr>
            </w:pPr>
            <w:r>
              <w:rPr>
                <w:rFonts w:hint="eastAsia" w:ascii="仿宋_GB2312"/>
                <w:sz w:val="15"/>
                <w:szCs w:val="15"/>
              </w:rPr>
              <w:t>2.部门职能（15分）</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left"/>
              <w:rPr>
                <w:rFonts w:ascii="仿宋_GB2312"/>
                <w:sz w:val="15"/>
                <w:szCs w:val="15"/>
              </w:rPr>
            </w:pPr>
            <w:r>
              <w:rPr>
                <w:rFonts w:hint="eastAsia" w:ascii="仿宋_GB2312"/>
                <w:sz w:val="15"/>
                <w:szCs w:val="15"/>
              </w:rPr>
              <w:t>1.部门职能的明确性与科学性（5分）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eastAsia="仿宋_GB2312"/>
                <w:sz w:val="15"/>
                <w:szCs w:val="15"/>
                <w:lang w:val="en-US" w:eastAsia="zh-CN"/>
              </w:rPr>
            </w:pPr>
            <w:r>
              <w:rPr>
                <w:rFonts w:hint="eastAsia" w:ascii="仿宋_GB2312"/>
                <w:sz w:val="15"/>
                <w:szCs w:val="15"/>
                <w:lang w:val="en-US" w:eastAsia="zh-CN"/>
              </w:rPr>
              <w:t>5</w:t>
            </w:r>
          </w:p>
        </w:tc>
        <w:tc>
          <w:tcPr>
            <w:tcW w:w="184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jc w:val="left"/>
              <w:rPr>
                <w:rFonts w:ascii="仿宋_GB2312"/>
                <w:sz w:val="15"/>
                <w:szCs w:val="15"/>
              </w:rPr>
            </w:pPr>
            <w:r>
              <w:rPr>
                <w:rFonts w:hint="eastAsia" w:ascii="仿宋_GB2312"/>
                <w:sz w:val="15"/>
                <w:szCs w:val="15"/>
              </w:rPr>
              <w:t>考察部门职能界定是否明确、科学，是否有相关文件。</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left"/>
              <w:rPr>
                <w:rFonts w:ascii="仿宋_GB2312"/>
                <w:sz w:val="15"/>
                <w:szCs w:val="15"/>
              </w:rPr>
            </w:pPr>
            <w:r>
              <w:rPr>
                <w:rFonts w:hint="eastAsia" w:ascii="仿宋_GB2312"/>
                <w:sz w:val="15"/>
                <w:szCs w:val="15"/>
              </w:rPr>
              <w:t>①职能明确、设定依据充分，得5分；②有“三定”文件，但职能描述不明确，得1分;③没有职能设定的文件依据且职能不清，得1分</w:t>
            </w:r>
          </w:p>
        </w:tc>
        <w:tc>
          <w:tcPr>
            <w:tcW w:w="1496" w:type="dxa"/>
            <w:tcBorders>
              <w:top w:val="nil"/>
              <w:left w:val="nil"/>
              <w:bottom w:val="single" w:color="auto" w:sz="4" w:space="0"/>
              <w:right w:val="single" w:color="auto" w:sz="4" w:space="0"/>
            </w:tcBorders>
            <w:vAlign w:val="center"/>
          </w:tcPr>
          <w:p>
            <w:pPr>
              <w:jc w:val="left"/>
              <w:rPr>
                <w:rFonts w:ascii="仿宋_GB2312"/>
                <w:sz w:val="15"/>
                <w:szCs w:val="15"/>
              </w:rPr>
            </w:pPr>
            <w:r>
              <w:rPr>
                <w:rFonts w:hint="eastAsia" w:ascii="仿宋_GB2312"/>
                <w:sz w:val="15"/>
                <w:szCs w:val="15"/>
              </w:rPr>
              <w:t>部门职能描述、“三定”文件</w:t>
            </w:r>
          </w:p>
        </w:tc>
      </w:tr>
      <w:tr>
        <w:tblPrEx>
          <w:tblLayout w:type="fixed"/>
          <w:tblCellMar>
            <w:top w:w="0" w:type="dxa"/>
            <w:left w:w="28" w:type="dxa"/>
            <w:bottom w:w="0" w:type="dxa"/>
            <w:right w:w="28" w:type="dxa"/>
          </w:tblCellMar>
        </w:tblPrEx>
        <w:trPr>
          <w:trHeight w:val="686" w:hRule="atLeast"/>
          <w:jc w:val="center"/>
        </w:trPr>
        <w:tc>
          <w:tcPr>
            <w:tcW w:w="479" w:type="dxa"/>
            <w:vMerge w:val="continue"/>
            <w:tcBorders>
              <w:left w:val="single" w:color="auto" w:sz="4" w:space="0"/>
              <w:right w:val="single" w:color="auto" w:sz="4" w:space="0"/>
            </w:tcBorders>
            <w:vAlign w:val="center"/>
          </w:tcPr>
          <w:p>
            <w:pPr>
              <w:rPr>
                <w:sz w:val="18"/>
                <w:szCs w:val="18"/>
              </w:rPr>
            </w:pPr>
          </w:p>
        </w:tc>
        <w:tc>
          <w:tcPr>
            <w:tcW w:w="638" w:type="dxa"/>
            <w:vMerge w:val="continue"/>
            <w:tcBorders>
              <w:left w:val="single" w:color="auto" w:sz="4" w:space="0"/>
              <w:right w:val="single" w:color="auto" w:sz="4" w:space="0"/>
            </w:tcBorders>
            <w:vAlign w:val="center"/>
          </w:tcPr>
          <w:p>
            <w:pPr>
              <w:rPr>
                <w:sz w:val="18"/>
                <w:szCs w:val="18"/>
              </w:rPr>
            </w:pPr>
          </w:p>
        </w:tc>
        <w:tc>
          <w:tcPr>
            <w:tcW w:w="1173"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ascii="仿宋_GB2312"/>
                <w:sz w:val="15"/>
                <w:szCs w:val="15"/>
              </w:rPr>
            </w:pPr>
            <w:r>
              <w:rPr>
                <w:rFonts w:hint="eastAsia" w:ascii="仿宋_GB2312"/>
                <w:sz w:val="15"/>
                <w:szCs w:val="15"/>
              </w:rPr>
              <w:t>2.年度具体工作与部门职能的匹配性（5分）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eastAsia="仿宋_GB2312"/>
                <w:sz w:val="15"/>
                <w:szCs w:val="15"/>
                <w:lang w:val="en-US" w:eastAsia="zh-CN"/>
              </w:rPr>
            </w:pPr>
            <w:r>
              <w:rPr>
                <w:rFonts w:hint="eastAsia" w:ascii="仿宋_GB2312"/>
                <w:sz w:val="15"/>
                <w:szCs w:val="15"/>
                <w:lang w:val="en-US" w:eastAsia="zh-CN"/>
              </w:rPr>
              <w:t>5</w:t>
            </w:r>
          </w:p>
        </w:tc>
        <w:tc>
          <w:tcPr>
            <w:tcW w:w="184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ascii="仿宋_GB2312"/>
                <w:sz w:val="15"/>
                <w:szCs w:val="15"/>
              </w:rPr>
            </w:pPr>
            <w:r>
              <w:rPr>
                <w:rFonts w:hint="eastAsia" w:ascii="仿宋_GB2312"/>
                <w:sz w:val="15"/>
                <w:szCs w:val="15"/>
              </w:rPr>
              <w:t>部门年度各类具体工作是否与部门职能相匹配。</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ascii="仿宋_GB2312"/>
                <w:sz w:val="15"/>
                <w:szCs w:val="15"/>
              </w:rPr>
            </w:pPr>
            <w:r>
              <w:rPr>
                <w:rFonts w:hint="eastAsia" w:ascii="仿宋_GB2312"/>
                <w:sz w:val="15"/>
                <w:szCs w:val="15"/>
              </w:rPr>
              <w:t>将部门年度具体工作与部门职能对应匹配，视匹配情况酌情得0-5分。</w:t>
            </w:r>
          </w:p>
        </w:tc>
        <w:tc>
          <w:tcPr>
            <w:tcW w:w="1496" w:type="dxa"/>
            <w:tcBorders>
              <w:top w:val="nil"/>
              <w:left w:val="nil"/>
              <w:bottom w:val="single" w:color="auto" w:sz="4" w:space="0"/>
              <w:right w:val="single" w:color="auto" w:sz="4" w:space="0"/>
            </w:tcBorders>
            <w:vAlign w:val="center"/>
          </w:tcPr>
          <w:p>
            <w:pPr>
              <w:rPr>
                <w:rFonts w:ascii="仿宋_GB2312"/>
                <w:sz w:val="15"/>
                <w:szCs w:val="15"/>
              </w:rPr>
            </w:pPr>
            <w:r>
              <w:rPr>
                <w:rFonts w:hint="eastAsia" w:ascii="仿宋_GB2312"/>
                <w:sz w:val="15"/>
                <w:szCs w:val="15"/>
              </w:rPr>
              <w:t>部门年度各项具体工作，部门职能</w:t>
            </w:r>
          </w:p>
        </w:tc>
      </w:tr>
      <w:tr>
        <w:tblPrEx>
          <w:tblLayout w:type="fixed"/>
          <w:tblCellMar>
            <w:top w:w="0" w:type="dxa"/>
            <w:left w:w="28" w:type="dxa"/>
            <w:bottom w:w="0" w:type="dxa"/>
            <w:right w:w="28" w:type="dxa"/>
          </w:tblCellMar>
        </w:tblPrEx>
        <w:trPr>
          <w:trHeight w:val="554" w:hRule="atLeast"/>
          <w:jc w:val="center"/>
        </w:trPr>
        <w:tc>
          <w:tcPr>
            <w:tcW w:w="479" w:type="dxa"/>
            <w:vMerge w:val="continue"/>
            <w:tcBorders>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ind w:left="113"/>
              <w:jc w:val="center"/>
              <w:rPr>
                <w:sz w:val="18"/>
                <w:szCs w:val="18"/>
              </w:rPr>
            </w:pPr>
          </w:p>
        </w:tc>
        <w:tc>
          <w:tcPr>
            <w:tcW w:w="638" w:type="dxa"/>
            <w:vMerge w:val="continue"/>
            <w:tcBorders>
              <w:left w:val="single" w:color="auto" w:sz="4" w:space="0"/>
              <w:bottom w:val="single" w:color="auto" w:sz="4" w:space="0"/>
              <w:right w:val="single" w:color="auto" w:sz="4" w:space="0"/>
            </w:tcBorders>
            <w:tcMar>
              <w:top w:w="10" w:type="dxa"/>
              <w:left w:w="10" w:type="dxa"/>
              <w:bottom w:w="0" w:type="dxa"/>
              <w:right w:w="10" w:type="dxa"/>
            </w:tcMar>
            <w:vAlign w:val="center"/>
          </w:tcPr>
          <w:p>
            <w:pPr>
              <w:rPr>
                <w:sz w:val="18"/>
                <w:szCs w:val="18"/>
              </w:rPr>
            </w:pPr>
          </w:p>
        </w:tc>
        <w:tc>
          <w:tcPr>
            <w:tcW w:w="1173"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left"/>
              <w:rPr>
                <w:rFonts w:ascii="仿宋_GB2312"/>
                <w:sz w:val="15"/>
                <w:szCs w:val="15"/>
              </w:rPr>
            </w:pPr>
            <w:r>
              <w:rPr>
                <w:rFonts w:hint="eastAsia" w:ascii="仿宋_GB2312"/>
                <w:sz w:val="15"/>
                <w:szCs w:val="15"/>
              </w:rPr>
              <w:t>3.部门内设科室及下属单位职责的明确性（5分）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eastAsia="仿宋_GB2312"/>
                <w:sz w:val="15"/>
                <w:szCs w:val="15"/>
                <w:lang w:val="en-US" w:eastAsia="zh-CN"/>
              </w:rPr>
            </w:pPr>
            <w:r>
              <w:rPr>
                <w:rFonts w:hint="eastAsia" w:ascii="仿宋_GB2312"/>
                <w:sz w:val="15"/>
                <w:szCs w:val="15"/>
                <w:lang w:val="en-US" w:eastAsia="zh-CN"/>
              </w:rPr>
              <w:t>5</w:t>
            </w:r>
          </w:p>
        </w:tc>
        <w:tc>
          <w:tcPr>
            <w:tcW w:w="184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jc w:val="left"/>
              <w:rPr>
                <w:rFonts w:ascii="仿宋_GB2312"/>
                <w:sz w:val="15"/>
                <w:szCs w:val="15"/>
              </w:rPr>
            </w:pPr>
            <w:r>
              <w:rPr>
                <w:rFonts w:hint="eastAsia" w:ascii="仿宋_GB2312"/>
                <w:sz w:val="15"/>
                <w:szCs w:val="15"/>
              </w:rPr>
              <w:t>部门内设科室及下属单位具体职责是否明确</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left"/>
              <w:rPr>
                <w:rFonts w:ascii="仿宋_GB2312"/>
                <w:sz w:val="15"/>
                <w:szCs w:val="15"/>
              </w:rPr>
            </w:pPr>
            <w:r>
              <w:rPr>
                <w:rFonts w:hint="eastAsia" w:ascii="仿宋_GB2312"/>
                <w:sz w:val="15"/>
                <w:szCs w:val="15"/>
              </w:rPr>
              <w:t>①有职责文件制度规定部门各科室及下属单位具体职责，得3分；②具体职责明确，得2分</w:t>
            </w:r>
          </w:p>
        </w:tc>
        <w:tc>
          <w:tcPr>
            <w:tcW w:w="1496" w:type="dxa"/>
            <w:tcBorders>
              <w:top w:val="nil"/>
              <w:left w:val="nil"/>
              <w:bottom w:val="single" w:color="auto" w:sz="4" w:space="0"/>
              <w:right w:val="single" w:color="auto" w:sz="4" w:space="0"/>
            </w:tcBorders>
            <w:vAlign w:val="center"/>
          </w:tcPr>
          <w:p>
            <w:pPr>
              <w:jc w:val="left"/>
              <w:rPr>
                <w:rFonts w:ascii="仿宋_GB2312"/>
                <w:sz w:val="15"/>
                <w:szCs w:val="15"/>
              </w:rPr>
            </w:pPr>
            <w:r>
              <w:rPr>
                <w:rFonts w:hint="eastAsia" w:ascii="仿宋_GB2312"/>
                <w:sz w:val="15"/>
                <w:szCs w:val="15"/>
              </w:rPr>
              <w:t>内设科室及下属单位职责文件</w:t>
            </w:r>
          </w:p>
        </w:tc>
      </w:tr>
      <w:tr>
        <w:tblPrEx>
          <w:tblLayout w:type="fixed"/>
          <w:tblCellMar>
            <w:top w:w="0" w:type="dxa"/>
            <w:left w:w="28" w:type="dxa"/>
            <w:bottom w:w="0" w:type="dxa"/>
            <w:right w:w="28" w:type="dxa"/>
          </w:tblCellMar>
        </w:tblPrEx>
        <w:trPr>
          <w:trHeight w:val="804" w:hRule="atLeast"/>
          <w:jc w:val="center"/>
        </w:trPr>
        <w:tc>
          <w:tcPr>
            <w:tcW w:w="479" w:type="dxa"/>
            <w:vMerge w:val="restart"/>
            <w:tcBorders>
              <w:top w:val="single" w:color="auto" w:sz="4" w:space="0"/>
              <w:left w:val="single" w:color="auto" w:sz="4" w:space="0"/>
              <w:right w:val="single" w:color="auto" w:sz="4" w:space="0"/>
            </w:tcBorders>
            <w:textDirection w:val="tbRlV"/>
            <w:vAlign w:val="center"/>
          </w:tcPr>
          <w:p>
            <w:pPr>
              <w:ind w:left="113" w:right="113"/>
              <w:jc w:val="center"/>
              <w:rPr>
                <w:sz w:val="18"/>
                <w:szCs w:val="18"/>
              </w:rPr>
            </w:pPr>
            <w:r>
              <w:rPr>
                <w:rFonts w:hint="eastAsia"/>
                <w:sz w:val="18"/>
                <w:szCs w:val="18"/>
              </w:rPr>
              <w:t>二、部门管理（20分）</w:t>
            </w:r>
          </w:p>
        </w:tc>
        <w:tc>
          <w:tcPr>
            <w:tcW w:w="638" w:type="dxa"/>
            <w:vMerge w:val="restart"/>
            <w:tcBorders>
              <w:left w:val="single" w:color="auto" w:sz="4" w:space="0"/>
              <w:right w:val="single" w:color="auto" w:sz="4" w:space="0"/>
            </w:tcBorders>
            <w:vAlign w:val="center"/>
          </w:tcPr>
          <w:p>
            <w:pPr>
              <w:jc w:val="center"/>
              <w:rPr>
                <w:rFonts w:ascii="仿宋_GB2312"/>
                <w:sz w:val="15"/>
                <w:szCs w:val="15"/>
              </w:rPr>
            </w:pPr>
            <w:r>
              <w:rPr>
                <w:rFonts w:hint="eastAsia" w:ascii="仿宋_GB2312"/>
                <w:sz w:val="15"/>
                <w:szCs w:val="15"/>
              </w:rPr>
              <w:t>1.预算管理（5分）</w:t>
            </w:r>
          </w:p>
        </w:tc>
        <w:tc>
          <w:tcPr>
            <w:tcW w:w="1173"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ascii="仿宋_GB2312"/>
                <w:sz w:val="15"/>
                <w:szCs w:val="15"/>
              </w:rPr>
            </w:pPr>
            <w:r>
              <w:rPr>
                <w:rFonts w:hint="eastAsia" w:ascii="仿宋_GB2312"/>
                <w:sz w:val="15"/>
                <w:szCs w:val="15"/>
              </w:rPr>
              <w:t>1.基本支出预算执行率（2分）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eastAsia="仿宋_GB2312"/>
                <w:sz w:val="15"/>
                <w:szCs w:val="15"/>
                <w:lang w:val="en-US" w:eastAsia="zh-CN"/>
              </w:rPr>
            </w:pPr>
            <w:r>
              <w:rPr>
                <w:rFonts w:hint="eastAsia" w:ascii="仿宋_GB2312"/>
                <w:sz w:val="15"/>
                <w:szCs w:val="15"/>
                <w:lang w:val="en-US" w:eastAsia="zh-CN"/>
              </w:rPr>
              <w:t>2</w:t>
            </w:r>
          </w:p>
        </w:tc>
        <w:tc>
          <w:tcPr>
            <w:tcW w:w="184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ascii="仿宋_GB2312"/>
                <w:sz w:val="15"/>
                <w:szCs w:val="15"/>
              </w:rPr>
            </w:pPr>
            <w:r>
              <w:rPr>
                <w:rFonts w:hint="eastAsia" w:ascii="仿宋_GB2312"/>
                <w:sz w:val="15"/>
                <w:szCs w:val="15"/>
              </w:rPr>
              <w:t>部门基本支出本年度决算数与预算数的比率，用以反映和考核部门（单位）基本支出预算执行程度。</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ascii="仿宋_GB2312"/>
                <w:sz w:val="15"/>
                <w:szCs w:val="15"/>
              </w:rPr>
            </w:pPr>
            <w:r>
              <w:rPr>
                <w:rFonts w:hint="eastAsia" w:ascii="仿宋_GB2312"/>
                <w:sz w:val="15"/>
                <w:szCs w:val="15"/>
              </w:rPr>
              <w:t>预算执行率=部门基本支出决算/部门基本支出预算×100%。预算执行率≥95%得满分，未达到的按权重进行扣分。</w:t>
            </w:r>
          </w:p>
        </w:tc>
        <w:tc>
          <w:tcPr>
            <w:tcW w:w="1496" w:type="dxa"/>
            <w:tcBorders>
              <w:top w:val="nil"/>
              <w:left w:val="nil"/>
              <w:bottom w:val="single" w:color="auto" w:sz="4" w:space="0"/>
              <w:right w:val="single" w:color="auto" w:sz="4" w:space="0"/>
            </w:tcBorders>
            <w:vAlign w:val="center"/>
          </w:tcPr>
          <w:p>
            <w:pPr>
              <w:rPr>
                <w:rFonts w:ascii="仿宋_GB2312"/>
                <w:sz w:val="15"/>
                <w:szCs w:val="15"/>
              </w:rPr>
            </w:pPr>
            <w:r>
              <w:rPr>
                <w:rFonts w:hint="eastAsia" w:ascii="仿宋_GB2312"/>
                <w:sz w:val="15"/>
                <w:szCs w:val="15"/>
              </w:rPr>
              <w:t>基本支出预算批复，预算调整批复、预算编制等其他资料</w:t>
            </w:r>
          </w:p>
        </w:tc>
      </w:tr>
      <w:tr>
        <w:tblPrEx>
          <w:tblLayout w:type="fixed"/>
          <w:tblCellMar>
            <w:top w:w="0" w:type="dxa"/>
            <w:left w:w="28" w:type="dxa"/>
            <w:bottom w:w="0" w:type="dxa"/>
            <w:right w:w="28" w:type="dxa"/>
          </w:tblCellMar>
        </w:tblPrEx>
        <w:trPr>
          <w:trHeight w:val="816" w:hRule="atLeast"/>
          <w:jc w:val="center"/>
        </w:trPr>
        <w:tc>
          <w:tcPr>
            <w:tcW w:w="479" w:type="dxa"/>
            <w:vMerge w:val="continue"/>
            <w:tcBorders>
              <w:left w:val="single" w:color="auto" w:sz="4" w:space="0"/>
              <w:right w:val="single" w:color="auto" w:sz="4" w:space="0"/>
            </w:tcBorders>
            <w:vAlign w:val="center"/>
          </w:tcPr>
          <w:p>
            <w:pPr>
              <w:jc w:val="center"/>
              <w:rPr>
                <w:sz w:val="18"/>
                <w:szCs w:val="18"/>
              </w:rPr>
            </w:pPr>
          </w:p>
        </w:tc>
        <w:tc>
          <w:tcPr>
            <w:tcW w:w="638" w:type="dxa"/>
            <w:vMerge w:val="continue"/>
            <w:tcBorders>
              <w:left w:val="single" w:color="auto" w:sz="4" w:space="0"/>
              <w:right w:val="single" w:color="auto" w:sz="4" w:space="0"/>
            </w:tcBorders>
            <w:vAlign w:val="center"/>
          </w:tcPr>
          <w:p>
            <w:pPr>
              <w:jc w:val="center"/>
              <w:rPr>
                <w:color w:val="0070C0"/>
                <w:sz w:val="18"/>
                <w:szCs w:val="18"/>
              </w:rPr>
            </w:pPr>
          </w:p>
        </w:tc>
        <w:tc>
          <w:tcPr>
            <w:tcW w:w="1173" w:type="dxa"/>
            <w:tcBorders>
              <w:left w:val="nil"/>
              <w:bottom w:val="single" w:color="auto" w:sz="4" w:space="0"/>
              <w:right w:val="single" w:color="auto" w:sz="4" w:space="0"/>
            </w:tcBorders>
            <w:tcMar>
              <w:top w:w="10" w:type="dxa"/>
              <w:left w:w="10" w:type="dxa"/>
              <w:bottom w:w="0" w:type="dxa"/>
              <w:right w:w="10" w:type="dxa"/>
            </w:tcMar>
            <w:vAlign w:val="center"/>
          </w:tcPr>
          <w:p>
            <w:pPr>
              <w:jc w:val="center"/>
              <w:rPr>
                <w:rFonts w:ascii="仿宋_GB2312"/>
                <w:sz w:val="15"/>
                <w:szCs w:val="15"/>
              </w:rPr>
            </w:pPr>
            <w:r>
              <w:rPr>
                <w:rFonts w:hint="eastAsia" w:ascii="仿宋_GB2312"/>
                <w:sz w:val="15"/>
                <w:szCs w:val="15"/>
              </w:rPr>
              <w:t>2.项目支出预算执行率（2分）分）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eastAsia="仿宋_GB2312"/>
                <w:sz w:val="15"/>
                <w:szCs w:val="15"/>
                <w:lang w:val="en-US" w:eastAsia="zh-CN"/>
              </w:rPr>
            </w:pPr>
            <w:r>
              <w:rPr>
                <w:rFonts w:hint="eastAsia" w:ascii="仿宋_GB2312"/>
                <w:sz w:val="15"/>
                <w:szCs w:val="15"/>
                <w:lang w:val="en-US" w:eastAsia="zh-CN"/>
              </w:rPr>
              <w:t>2</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ascii="仿宋_GB2312"/>
                <w:sz w:val="15"/>
                <w:szCs w:val="15"/>
              </w:rPr>
            </w:pPr>
            <w:r>
              <w:rPr>
                <w:rFonts w:hint="eastAsia" w:ascii="仿宋_GB2312"/>
                <w:sz w:val="15"/>
                <w:szCs w:val="15"/>
              </w:rPr>
              <w:t>部门项目支出本年度决算数与预算数的比率，用以反映和考核部门项目支出预算执行程度。</w:t>
            </w:r>
          </w:p>
        </w:tc>
        <w:tc>
          <w:tcPr>
            <w:tcW w:w="297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ascii="仿宋_GB2312"/>
                <w:sz w:val="15"/>
                <w:szCs w:val="15"/>
              </w:rPr>
            </w:pPr>
            <w:r>
              <w:rPr>
                <w:rFonts w:hint="eastAsia" w:ascii="仿宋_GB2312"/>
                <w:sz w:val="15"/>
                <w:szCs w:val="15"/>
              </w:rPr>
              <w:t>预算执行率=部门项目支出决算/部门项目支出预算×100%。预算完成率≥95%得满分，未到按权重进行扣分。</w:t>
            </w:r>
          </w:p>
        </w:tc>
        <w:tc>
          <w:tcPr>
            <w:tcW w:w="1496" w:type="dxa"/>
            <w:tcBorders>
              <w:top w:val="nil"/>
              <w:left w:val="nil"/>
              <w:bottom w:val="single" w:color="auto" w:sz="4" w:space="0"/>
              <w:right w:val="single" w:color="auto" w:sz="4" w:space="0"/>
            </w:tcBorders>
            <w:vAlign w:val="center"/>
          </w:tcPr>
          <w:p>
            <w:pPr>
              <w:rPr>
                <w:rFonts w:ascii="仿宋_GB2312"/>
                <w:sz w:val="15"/>
                <w:szCs w:val="15"/>
              </w:rPr>
            </w:pPr>
            <w:r>
              <w:rPr>
                <w:rFonts w:hint="eastAsia" w:ascii="仿宋_GB2312"/>
                <w:sz w:val="15"/>
                <w:szCs w:val="15"/>
              </w:rPr>
              <w:t>项目支出预算批复，预算调整批复、预算编制等其他资料</w:t>
            </w:r>
          </w:p>
        </w:tc>
      </w:tr>
      <w:tr>
        <w:tblPrEx>
          <w:tblLayout w:type="fixed"/>
          <w:tblCellMar>
            <w:top w:w="0" w:type="dxa"/>
            <w:left w:w="28" w:type="dxa"/>
            <w:bottom w:w="0" w:type="dxa"/>
            <w:right w:w="28" w:type="dxa"/>
          </w:tblCellMar>
        </w:tblPrEx>
        <w:trPr>
          <w:trHeight w:val="1075" w:hRule="atLeast"/>
          <w:jc w:val="center"/>
        </w:trPr>
        <w:tc>
          <w:tcPr>
            <w:tcW w:w="479" w:type="dxa"/>
            <w:vMerge w:val="continue"/>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color w:val="0070C0"/>
                <w:sz w:val="18"/>
                <w:szCs w:val="18"/>
              </w:rPr>
            </w:pP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ascii="仿宋_GB2312"/>
                <w:sz w:val="15"/>
                <w:szCs w:val="15"/>
              </w:rPr>
            </w:pPr>
            <w:r>
              <w:rPr>
                <w:rFonts w:hint="eastAsia" w:ascii="仿宋_GB2312"/>
                <w:sz w:val="15"/>
                <w:szCs w:val="15"/>
              </w:rPr>
              <w:t>3.“三公经费”控制率（1分）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eastAsia="仿宋_GB2312"/>
                <w:sz w:val="15"/>
                <w:szCs w:val="15"/>
                <w:lang w:val="en-US" w:eastAsia="zh-CN"/>
              </w:rPr>
            </w:pPr>
            <w:r>
              <w:rPr>
                <w:rFonts w:hint="eastAsia" w:ascii="仿宋_GB2312"/>
                <w:sz w:val="15"/>
                <w:szCs w:val="15"/>
                <w:lang w:val="en-US" w:eastAsia="zh-CN"/>
              </w:rPr>
              <w:t>1</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ascii="仿宋_GB2312"/>
                <w:sz w:val="15"/>
                <w:szCs w:val="15"/>
              </w:rPr>
            </w:pPr>
            <w:r>
              <w:rPr>
                <w:rFonts w:hint="eastAsia" w:ascii="仿宋_GB2312"/>
                <w:sz w:val="15"/>
                <w:szCs w:val="15"/>
              </w:rPr>
              <w:t>部门本年度“三公”经费预算数与上年度“三公”经费预算数的变动比率，用以反映和考核部门（单位）对控制行政成本的努力程度。</w:t>
            </w:r>
          </w:p>
        </w:tc>
        <w:tc>
          <w:tcPr>
            <w:tcW w:w="297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ascii="仿宋_GB2312"/>
                <w:sz w:val="15"/>
                <w:szCs w:val="15"/>
              </w:rPr>
            </w:pPr>
            <w:r>
              <w:rPr>
                <w:rFonts w:hint="eastAsia" w:ascii="仿宋_GB2312"/>
                <w:sz w:val="15"/>
                <w:szCs w:val="15"/>
              </w:rPr>
              <w:t>“三公”经费控制率=（本年度“三公”经费总额/上年度“三公”经费总额）×100%。“三公”经费：年度预算安排的因公出国（境）费、公务用车购置及运行费和公务接待费。三公经费控制率≤100%得满分，≥120%得0分，区间内按权重进行扣分。</w:t>
            </w:r>
          </w:p>
        </w:tc>
        <w:tc>
          <w:tcPr>
            <w:tcW w:w="1496" w:type="dxa"/>
            <w:tcBorders>
              <w:top w:val="single" w:color="auto" w:sz="4" w:space="0"/>
              <w:left w:val="nil"/>
              <w:bottom w:val="single" w:color="auto" w:sz="4" w:space="0"/>
              <w:right w:val="single" w:color="auto" w:sz="4" w:space="0"/>
            </w:tcBorders>
            <w:vAlign w:val="center"/>
          </w:tcPr>
          <w:p>
            <w:pPr>
              <w:rPr>
                <w:rFonts w:ascii="仿宋_GB2312"/>
                <w:sz w:val="15"/>
                <w:szCs w:val="15"/>
              </w:rPr>
            </w:pPr>
            <w:r>
              <w:rPr>
                <w:rFonts w:hint="eastAsia" w:ascii="仿宋_GB2312"/>
                <w:sz w:val="15"/>
                <w:szCs w:val="15"/>
              </w:rPr>
              <w:t>三公经费使用情况</w:t>
            </w:r>
          </w:p>
        </w:tc>
      </w:tr>
      <w:tr>
        <w:tblPrEx>
          <w:tblLayout w:type="fixed"/>
          <w:tblCellMar>
            <w:top w:w="0" w:type="dxa"/>
            <w:left w:w="28" w:type="dxa"/>
            <w:bottom w:w="0" w:type="dxa"/>
            <w:right w:w="28" w:type="dxa"/>
          </w:tblCellMar>
        </w:tblPrEx>
        <w:trPr>
          <w:trHeight w:val="2105" w:hRule="atLeast"/>
          <w:jc w:val="center"/>
        </w:trPr>
        <w:tc>
          <w:tcPr>
            <w:tcW w:w="479" w:type="dxa"/>
            <w:vMerge w:val="restart"/>
            <w:tcBorders>
              <w:top w:val="single" w:color="auto" w:sz="4" w:space="0"/>
              <w:left w:val="single" w:color="auto" w:sz="4" w:space="0"/>
              <w:right w:val="single" w:color="auto" w:sz="4" w:space="0"/>
            </w:tcBorders>
            <w:textDirection w:val="tbRlV"/>
            <w:vAlign w:val="center"/>
          </w:tcPr>
          <w:p>
            <w:pPr>
              <w:ind w:left="113" w:right="113"/>
              <w:jc w:val="center"/>
              <w:rPr>
                <w:sz w:val="18"/>
                <w:szCs w:val="18"/>
              </w:rPr>
            </w:pPr>
            <w:r>
              <w:rPr>
                <w:rFonts w:hint="eastAsia"/>
                <w:sz w:val="18"/>
                <w:szCs w:val="18"/>
              </w:rPr>
              <w:t>二、部门管理（20分）</w:t>
            </w:r>
          </w:p>
        </w:tc>
        <w:tc>
          <w:tcPr>
            <w:tcW w:w="638" w:type="dxa"/>
            <w:vMerge w:val="restart"/>
            <w:tcBorders>
              <w:left w:val="single" w:color="auto" w:sz="4" w:space="0"/>
              <w:right w:val="single" w:color="auto" w:sz="4" w:space="0"/>
            </w:tcBorders>
            <w:vAlign w:val="center"/>
          </w:tcPr>
          <w:p>
            <w:pPr>
              <w:jc w:val="center"/>
              <w:rPr>
                <w:rFonts w:ascii="仿宋_GB2312"/>
                <w:sz w:val="15"/>
                <w:szCs w:val="15"/>
              </w:rPr>
            </w:pPr>
            <w:r>
              <w:rPr>
                <w:rFonts w:hint="eastAsia" w:ascii="仿宋_GB2312"/>
                <w:sz w:val="15"/>
                <w:szCs w:val="15"/>
              </w:rPr>
              <w:t>2.财务管理（5分）</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left"/>
              <w:rPr>
                <w:rFonts w:ascii="仿宋_GB2312"/>
                <w:sz w:val="15"/>
                <w:szCs w:val="15"/>
              </w:rPr>
            </w:pPr>
            <w:r>
              <w:rPr>
                <w:rFonts w:hint="eastAsia" w:ascii="仿宋_GB2312"/>
                <w:sz w:val="15"/>
                <w:szCs w:val="15"/>
              </w:rPr>
              <w:t>1.财务管理制度健全性及执行情况（2分）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eastAsia="仿宋_GB2312"/>
                <w:sz w:val="15"/>
                <w:szCs w:val="15"/>
                <w:lang w:val="en-US" w:eastAsia="zh-CN"/>
              </w:rPr>
            </w:pPr>
            <w:r>
              <w:rPr>
                <w:rFonts w:hint="eastAsia" w:ascii="仿宋_GB2312"/>
                <w:sz w:val="15"/>
                <w:szCs w:val="15"/>
                <w:lang w:val="en-US" w:eastAsia="zh-CN"/>
              </w:rPr>
              <w:t>1</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ascii="仿宋_GB2312"/>
                <w:sz w:val="15"/>
                <w:szCs w:val="15"/>
              </w:rPr>
            </w:pPr>
            <w:r>
              <w:rPr>
                <w:rFonts w:hint="eastAsia" w:ascii="仿宋_GB2312"/>
                <w:sz w:val="15"/>
                <w:szCs w:val="15"/>
              </w:rPr>
              <w:t>部门为加强预算管理、规范财务行为而制定的财务管理制度是否健全完整。用以反映和考核部门预算管理制度对完成主要职责或促进事业发展的保障情况。</w:t>
            </w:r>
          </w:p>
        </w:tc>
        <w:tc>
          <w:tcPr>
            <w:tcW w:w="297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ascii="仿宋_GB2312"/>
                <w:sz w:val="15"/>
                <w:szCs w:val="15"/>
              </w:rPr>
            </w:pPr>
            <w:r>
              <w:rPr>
                <w:rFonts w:hint="eastAsia" w:ascii="仿宋_GB2312"/>
                <w:sz w:val="15"/>
                <w:szCs w:val="15"/>
              </w:rPr>
              <w:t>①是否已制定预算资金管理办法、内部财务管理制度、会计核算制度等管理制度；②相关管理制度是否合法、合规、完整；③相关管理制度是否得到有效执行。</w:t>
            </w:r>
          </w:p>
        </w:tc>
        <w:tc>
          <w:tcPr>
            <w:tcW w:w="1496" w:type="dxa"/>
            <w:tcBorders>
              <w:top w:val="single" w:color="auto" w:sz="4" w:space="0"/>
              <w:left w:val="nil"/>
              <w:bottom w:val="single" w:color="auto" w:sz="4" w:space="0"/>
              <w:right w:val="single" w:color="auto" w:sz="4" w:space="0"/>
            </w:tcBorders>
            <w:vAlign w:val="center"/>
          </w:tcPr>
          <w:p>
            <w:pPr>
              <w:rPr>
                <w:rFonts w:ascii="仿宋_GB2312"/>
                <w:sz w:val="15"/>
                <w:szCs w:val="15"/>
              </w:rPr>
            </w:pPr>
            <w:r>
              <w:rPr>
                <w:rFonts w:hint="eastAsia" w:ascii="仿宋_GB2312"/>
                <w:sz w:val="15"/>
                <w:szCs w:val="15"/>
              </w:rPr>
              <w:t>财务管理相关制度及执行情况调研。</w:t>
            </w:r>
          </w:p>
        </w:tc>
      </w:tr>
      <w:tr>
        <w:tblPrEx>
          <w:tblLayout w:type="fixed"/>
          <w:tblCellMar>
            <w:top w:w="0" w:type="dxa"/>
            <w:left w:w="28" w:type="dxa"/>
            <w:bottom w:w="0" w:type="dxa"/>
            <w:right w:w="28" w:type="dxa"/>
          </w:tblCellMar>
        </w:tblPrEx>
        <w:trPr>
          <w:trHeight w:val="2545" w:hRule="atLeast"/>
          <w:jc w:val="center"/>
        </w:trPr>
        <w:tc>
          <w:tcPr>
            <w:tcW w:w="479" w:type="dxa"/>
            <w:vMerge w:val="continue"/>
            <w:tcBorders>
              <w:left w:val="single" w:color="auto" w:sz="4" w:space="0"/>
              <w:right w:val="single" w:color="auto" w:sz="4" w:space="0"/>
            </w:tcBorders>
            <w:vAlign w:val="center"/>
          </w:tcPr>
          <w:p>
            <w:pPr>
              <w:ind w:left="113" w:right="113"/>
              <w:jc w:val="center"/>
              <w:rPr>
                <w:sz w:val="18"/>
                <w:szCs w:val="18"/>
              </w:rPr>
            </w:pPr>
          </w:p>
        </w:tc>
        <w:tc>
          <w:tcPr>
            <w:tcW w:w="638" w:type="dxa"/>
            <w:vMerge w:val="continue"/>
            <w:tcBorders>
              <w:left w:val="single" w:color="auto" w:sz="4" w:space="0"/>
              <w:bottom w:val="single" w:color="auto" w:sz="4" w:space="0"/>
              <w:right w:val="single" w:color="auto" w:sz="4" w:space="0"/>
            </w:tcBorders>
            <w:vAlign w:val="center"/>
          </w:tcPr>
          <w:p>
            <w:pPr>
              <w:rPr>
                <w:sz w:val="18"/>
                <w:szCs w:val="18"/>
              </w:rPr>
            </w:pP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left"/>
              <w:rPr>
                <w:rFonts w:ascii="仿宋_GB2312"/>
                <w:sz w:val="15"/>
                <w:szCs w:val="15"/>
              </w:rPr>
            </w:pPr>
            <w:r>
              <w:rPr>
                <w:rFonts w:hint="eastAsia" w:ascii="仿宋_GB2312"/>
                <w:sz w:val="15"/>
                <w:szCs w:val="15"/>
              </w:rPr>
              <w:t>2.资金使用合规性（3分）</w:t>
            </w:r>
          </w:p>
        </w:tc>
        <w:tc>
          <w:tcPr>
            <w:tcW w:w="569"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eastAsia="仿宋_GB2312"/>
                <w:sz w:val="18"/>
                <w:szCs w:val="18"/>
                <w:lang w:val="en-US" w:eastAsia="zh-CN"/>
              </w:rPr>
            </w:pPr>
            <w:r>
              <w:rPr>
                <w:rFonts w:hint="eastAsia"/>
                <w:sz w:val="18"/>
                <w:szCs w:val="18"/>
                <w:lang w:val="en-US" w:eastAsia="zh-CN"/>
              </w:rPr>
              <w:t>3</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sz w:val="15"/>
                <w:szCs w:val="15"/>
              </w:rPr>
            </w:pPr>
            <w:r>
              <w:rPr>
                <w:rFonts w:hint="eastAsia"/>
                <w:sz w:val="15"/>
                <w:szCs w:val="15"/>
              </w:rPr>
              <w:t>部门使用预算资金是否符合相关财务管理制度的规定，用以反映和考核部门预算资金的规范运行情况。</w:t>
            </w:r>
          </w:p>
        </w:tc>
        <w:tc>
          <w:tcPr>
            <w:tcW w:w="297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ascii="仿宋_GB2312"/>
                <w:sz w:val="15"/>
                <w:szCs w:val="15"/>
              </w:rPr>
            </w:pPr>
            <w:r>
              <w:rPr>
                <w:rFonts w:hint="eastAsia" w:ascii="仿宋_GB2312"/>
                <w:sz w:val="15"/>
                <w:szCs w:val="15"/>
              </w:rPr>
              <w:t>①符合国家财经法规和财务管理制度规定以及有关专项资金管理办法的规定,0.5分；②资金的拨付有完整的审批程序和手续，0.5分；③项目的重大开支经过专题论证，1分；④符合部门预算批复的用途，1分；⑤是否存在截留、挤占、挪用、虚列支出等情况，一旦存在该指标不得分。</w:t>
            </w:r>
          </w:p>
        </w:tc>
        <w:tc>
          <w:tcPr>
            <w:tcW w:w="1496" w:type="dxa"/>
            <w:tcBorders>
              <w:top w:val="single" w:color="auto" w:sz="4" w:space="0"/>
              <w:left w:val="nil"/>
              <w:bottom w:val="single" w:color="auto" w:sz="4" w:space="0"/>
              <w:right w:val="single" w:color="auto" w:sz="4" w:space="0"/>
            </w:tcBorders>
            <w:vAlign w:val="center"/>
          </w:tcPr>
          <w:p>
            <w:pPr>
              <w:rPr>
                <w:rFonts w:ascii="仿宋_GB2312"/>
                <w:sz w:val="15"/>
                <w:szCs w:val="15"/>
              </w:rPr>
            </w:pPr>
            <w:r>
              <w:rPr>
                <w:rFonts w:hint="eastAsia" w:ascii="仿宋_GB2312"/>
                <w:sz w:val="15"/>
                <w:szCs w:val="15"/>
              </w:rPr>
              <w:t>资金支出相关凭证、流程梳理等</w:t>
            </w:r>
          </w:p>
        </w:tc>
      </w:tr>
      <w:tr>
        <w:tblPrEx>
          <w:tblLayout w:type="fixed"/>
          <w:tblCellMar>
            <w:top w:w="0" w:type="dxa"/>
            <w:left w:w="28" w:type="dxa"/>
            <w:bottom w:w="0" w:type="dxa"/>
            <w:right w:w="28" w:type="dxa"/>
          </w:tblCellMar>
        </w:tblPrEx>
        <w:trPr>
          <w:trHeight w:val="2244" w:hRule="atLeast"/>
          <w:jc w:val="center"/>
        </w:trPr>
        <w:tc>
          <w:tcPr>
            <w:tcW w:w="479" w:type="dxa"/>
            <w:vMerge w:val="continue"/>
            <w:tcBorders>
              <w:left w:val="single" w:color="auto" w:sz="4" w:space="0"/>
              <w:right w:val="single" w:color="auto" w:sz="4" w:space="0"/>
            </w:tcBorders>
            <w:textDirection w:val="tbRlV"/>
            <w:vAlign w:val="center"/>
          </w:tcPr>
          <w:p>
            <w:pPr>
              <w:ind w:left="113" w:right="113"/>
              <w:jc w:val="center"/>
              <w:rPr>
                <w:sz w:val="18"/>
                <w:szCs w:val="18"/>
              </w:rPr>
            </w:pPr>
          </w:p>
        </w:tc>
        <w:tc>
          <w:tcPr>
            <w:tcW w:w="638" w:type="dxa"/>
            <w:vMerge w:val="restart"/>
            <w:tcBorders>
              <w:top w:val="single" w:color="auto" w:sz="4" w:space="0"/>
              <w:left w:val="single" w:color="auto" w:sz="4" w:space="0"/>
              <w:right w:val="single" w:color="auto" w:sz="4" w:space="0"/>
            </w:tcBorders>
            <w:vAlign w:val="center"/>
          </w:tcPr>
          <w:p>
            <w:pPr>
              <w:jc w:val="left"/>
              <w:rPr>
                <w:rFonts w:ascii="仿宋_GB2312"/>
                <w:sz w:val="15"/>
                <w:szCs w:val="15"/>
              </w:rPr>
            </w:pPr>
            <w:r>
              <w:rPr>
                <w:rFonts w:hint="eastAsia" w:ascii="仿宋_GB2312"/>
                <w:sz w:val="15"/>
                <w:szCs w:val="15"/>
              </w:rPr>
              <w:t>3.资产管理（5分）</w:t>
            </w:r>
          </w:p>
        </w:tc>
        <w:tc>
          <w:tcPr>
            <w:tcW w:w="117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left"/>
              <w:rPr>
                <w:rFonts w:ascii="仿宋_GB2312"/>
                <w:sz w:val="15"/>
                <w:szCs w:val="15"/>
              </w:rPr>
            </w:pPr>
            <w:r>
              <w:rPr>
                <w:rFonts w:hint="eastAsia" w:ascii="仿宋_GB2312"/>
                <w:sz w:val="15"/>
                <w:szCs w:val="15"/>
              </w:rPr>
              <w:t>1.资产管理制度健全性及执行情况（3分）</w:t>
            </w:r>
          </w:p>
        </w:tc>
        <w:tc>
          <w:tcPr>
            <w:tcW w:w="56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eastAsia="仿宋_GB2312"/>
                <w:sz w:val="15"/>
                <w:szCs w:val="15"/>
                <w:lang w:val="en-US" w:eastAsia="zh-CN"/>
              </w:rPr>
            </w:pPr>
            <w:r>
              <w:rPr>
                <w:rFonts w:hint="eastAsia" w:ascii="仿宋_GB2312"/>
                <w:sz w:val="15"/>
                <w:szCs w:val="15"/>
                <w:lang w:val="en-US" w:eastAsia="zh-CN"/>
              </w:rPr>
              <w:t>1</w:t>
            </w:r>
          </w:p>
        </w:tc>
        <w:tc>
          <w:tcPr>
            <w:tcW w:w="1842" w:type="dxa"/>
            <w:tcBorders>
              <w:top w:val="single" w:color="auto" w:sz="4" w:space="0"/>
              <w:left w:val="single" w:color="auto" w:sz="4" w:space="0"/>
              <w:right w:val="single" w:color="auto" w:sz="4" w:space="0"/>
            </w:tcBorders>
            <w:vAlign w:val="center"/>
          </w:tcPr>
          <w:p>
            <w:pPr>
              <w:jc w:val="left"/>
              <w:rPr>
                <w:rFonts w:ascii="仿宋_GB2312"/>
                <w:sz w:val="15"/>
                <w:szCs w:val="15"/>
              </w:rPr>
            </w:pPr>
            <w:r>
              <w:rPr>
                <w:rFonts w:hint="eastAsia" w:ascii="仿宋_GB2312"/>
                <w:sz w:val="15"/>
                <w:szCs w:val="15"/>
              </w:rPr>
              <w:t>部门为加强资产管理、规范资产使用而制定的资产管理制度是否健全完整，用以反映和考核部门资产管理制度对完成主要职责或促进事业发展的保障情况。</w:t>
            </w:r>
          </w:p>
        </w:tc>
        <w:tc>
          <w:tcPr>
            <w:tcW w:w="2977" w:type="dxa"/>
            <w:tcBorders>
              <w:top w:val="single" w:color="auto" w:sz="4" w:space="0"/>
              <w:left w:val="single" w:color="auto" w:sz="4" w:space="0"/>
              <w:right w:val="single" w:color="auto" w:sz="4" w:space="0"/>
            </w:tcBorders>
            <w:vAlign w:val="center"/>
          </w:tcPr>
          <w:p>
            <w:pPr>
              <w:jc w:val="left"/>
              <w:rPr>
                <w:rFonts w:ascii="仿宋_GB2312"/>
                <w:sz w:val="15"/>
                <w:szCs w:val="15"/>
              </w:rPr>
            </w:pPr>
            <w:r>
              <w:rPr>
                <w:rFonts w:hint="eastAsia" w:ascii="仿宋_GB2312"/>
                <w:sz w:val="15"/>
                <w:szCs w:val="15"/>
              </w:rPr>
              <w:t>①是否已制定或具有固定资产管理办法、资产使用办法等管理制度，得1分；②相关管理制度是否合法、合规、完整，得1分；③相关管理制度是否得到有效执行，得1分。</w:t>
            </w:r>
          </w:p>
        </w:tc>
        <w:tc>
          <w:tcPr>
            <w:tcW w:w="1496" w:type="dxa"/>
            <w:tcBorders>
              <w:top w:val="single" w:color="auto" w:sz="4" w:space="0"/>
              <w:left w:val="single" w:color="auto" w:sz="4" w:space="0"/>
              <w:right w:val="single" w:color="auto" w:sz="4" w:space="0"/>
            </w:tcBorders>
            <w:vAlign w:val="center"/>
          </w:tcPr>
          <w:p>
            <w:pPr>
              <w:jc w:val="left"/>
              <w:rPr>
                <w:rFonts w:ascii="仿宋_GB2312"/>
                <w:sz w:val="15"/>
                <w:szCs w:val="15"/>
              </w:rPr>
            </w:pPr>
            <w:r>
              <w:rPr>
                <w:rFonts w:hint="eastAsia" w:ascii="仿宋_GB2312"/>
                <w:sz w:val="15"/>
                <w:szCs w:val="15"/>
              </w:rPr>
              <w:t>资产管理相关办法</w:t>
            </w:r>
          </w:p>
        </w:tc>
      </w:tr>
      <w:tr>
        <w:tblPrEx>
          <w:tblLayout w:type="fixed"/>
          <w:tblCellMar>
            <w:top w:w="0" w:type="dxa"/>
            <w:left w:w="28" w:type="dxa"/>
            <w:bottom w:w="0" w:type="dxa"/>
            <w:right w:w="28" w:type="dxa"/>
          </w:tblCellMar>
        </w:tblPrEx>
        <w:trPr>
          <w:trHeight w:val="1536" w:hRule="atLeast"/>
          <w:jc w:val="center"/>
        </w:trPr>
        <w:tc>
          <w:tcPr>
            <w:tcW w:w="479" w:type="dxa"/>
            <w:vMerge w:val="continue"/>
            <w:tcBorders>
              <w:left w:val="single" w:color="auto" w:sz="4" w:space="0"/>
              <w:right w:val="single" w:color="auto" w:sz="4" w:space="0"/>
            </w:tcBorders>
            <w:vAlign w:val="center"/>
          </w:tcPr>
          <w:p>
            <w:pPr>
              <w:jc w:val="center"/>
              <w:rPr>
                <w:sz w:val="18"/>
                <w:szCs w:val="18"/>
              </w:rPr>
            </w:pPr>
          </w:p>
        </w:tc>
        <w:tc>
          <w:tcPr>
            <w:tcW w:w="638" w:type="dxa"/>
            <w:vMerge w:val="continue"/>
            <w:tcBorders>
              <w:left w:val="single" w:color="auto" w:sz="4" w:space="0"/>
              <w:bottom w:val="single" w:color="auto" w:sz="4" w:space="0"/>
              <w:right w:val="single" w:color="auto" w:sz="4" w:space="0"/>
            </w:tcBorders>
            <w:vAlign w:val="center"/>
          </w:tcPr>
          <w:p>
            <w:pPr>
              <w:jc w:val="center"/>
              <w:rPr>
                <w:sz w:val="18"/>
                <w:szCs w:val="18"/>
              </w:rPr>
            </w:pPr>
          </w:p>
        </w:tc>
        <w:tc>
          <w:tcPr>
            <w:tcW w:w="117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left"/>
              <w:rPr>
                <w:rFonts w:ascii="仿宋_GB2312"/>
                <w:sz w:val="15"/>
                <w:szCs w:val="15"/>
              </w:rPr>
            </w:pPr>
            <w:r>
              <w:rPr>
                <w:rFonts w:hint="eastAsia" w:ascii="仿宋_GB2312"/>
                <w:sz w:val="15"/>
                <w:szCs w:val="15"/>
              </w:rPr>
              <w:t>2.固定资产在用率（2分）</w:t>
            </w:r>
          </w:p>
        </w:tc>
        <w:tc>
          <w:tcPr>
            <w:tcW w:w="56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eastAsia="仿宋_GB2312"/>
                <w:sz w:val="18"/>
                <w:szCs w:val="18"/>
                <w:lang w:val="en-US" w:eastAsia="zh-CN"/>
              </w:rPr>
            </w:pPr>
            <w:r>
              <w:rPr>
                <w:rFonts w:hint="eastAsia"/>
                <w:sz w:val="18"/>
                <w:szCs w:val="18"/>
                <w:lang w:val="en-US" w:eastAsia="zh-CN"/>
              </w:rPr>
              <w:t>2</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jc w:val="left"/>
              <w:rPr>
                <w:sz w:val="15"/>
                <w:szCs w:val="15"/>
              </w:rPr>
            </w:pPr>
            <w:r>
              <w:rPr>
                <w:rFonts w:hint="eastAsia"/>
                <w:sz w:val="15"/>
                <w:szCs w:val="15"/>
              </w:rPr>
              <w:t>部门实际在用固定资产总额与所有固定资产总额的比率，用以反映和考核部门固定资产使用效率及程度。</w:t>
            </w:r>
          </w:p>
        </w:tc>
        <w:tc>
          <w:tcPr>
            <w:tcW w:w="2977"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left"/>
              <w:rPr>
                <w:rFonts w:ascii="仿宋_GB2312"/>
                <w:sz w:val="15"/>
                <w:szCs w:val="15"/>
              </w:rPr>
            </w:pPr>
            <w:r>
              <w:rPr>
                <w:rFonts w:hint="eastAsia" w:ascii="仿宋_GB2312"/>
                <w:sz w:val="15"/>
                <w:szCs w:val="15"/>
              </w:rPr>
              <w:t>固定资产在用率=（实际在用固定资产总额/所有固定资产总额）×100%。固定资产在用率达到95%以上得满分.每降低1%扣0.5分，扣完为止。</w:t>
            </w:r>
          </w:p>
        </w:tc>
        <w:tc>
          <w:tcPr>
            <w:tcW w:w="1496" w:type="dxa"/>
            <w:tcBorders>
              <w:top w:val="single" w:color="auto" w:sz="4" w:space="0"/>
              <w:left w:val="single" w:color="auto" w:sz="4" w:space="0"/>
              <w:bottom w:val="single" w:color="auto" w:sz="4" w:space="0"/>
              <w:right w:val="single" w:color="auto" w:sz="4" w:space="0"/>
            </w:tcBorders>
            <w:vAlign w:val="center"/>
          </w:tcPr>
          <w:p>
            <w:pPr>
              <w:jc w:val="left"/>
              <w:rPr>
                <w:rFonts w:ascii="仿宋_GB2312"/>
                <w:sz w:val="15"/>
                <w:szCs w:val="15"/>
              </w:rPr>
            </w:pPr>
            <w:r>
              <w:rPr>
                <w:rFonts w:hint="eastAsia" w:ascii="仿宋_GB2312"/>
                <w:sz w:val="15"/>
                <w:szCs w:val="15"/>
              </w:rPr>
              <w:t>固定资产卡片、固定资产使用信息等</w:t>
            </w:r>
          </w:p>
        </w:tc>
      </w:tr>
      <w:tr>
        <w:tblPrEx>
          <w:tblLayout w:type="fixed"/>
          <w:tblCellMar>
            <w:top w:w="0" w:type="dxa"/>
            <w:left w:w="28" w:type="dxa"/>
            <w:bottom w:w="0" w:type="dxa"/>
            <w:right w:w="28" w:type="dxa"/>
          </w:tblCellMar>
        </w:tblPrEx>
        <w:trPr>
          <w:trHeight w:val="2081" w:hRule="atLeast"/>
          <w:jc w:val="center"/>
        </w:trPr>
        <w:tc>
          <w:tcPr>
            <w:tcW w:w="479" w:type="dxa"/>
            <w:vMerge w:val="continue"/>
            <w:tcBorders>
              <w:left w:val="single" w:color="auto" w:sz="4" w:space="0"/>
              <w:right w:val="single" w:color="auto" w:sz="4" w:space="0"/>
            </w:tcBorders>
            <w:vAlign w:val="center"/>
          </w:tcPr>
          <w:p>
            <w:pPr>
              <w:jc w:val="center"/>
              <w:rPr>
                <w:sz w:val="18"/>
                <w:szCs w:val="18"/>
              </w:rPr>
            </w:pPr>
          </w:p>
        </w:tc>
        <w:tc>
          <w:tcPr>
            <w:tcW w:w="638" w:type="dxa"/>
            <w:vMerge w:val="restart"/>
            <w:tcBorders>
              <w:left w:val="single" w:color="auto" w:sz="4" w:space="0"/>
              <w:right w:val="single" w:color="auto" w:sz="4" w:space="0"/>
            </w:tcBorders>
            <w:vAlign w:val="center"/>
          </w:tcPr>
          <w:p>
            <w:pPr>
              <w:jc w:val="center"/>
              <w:rPr>
                <w:sz w:val="18"/>
                <w:szCs w:val="18"/>
              </w:rPr>
            </w:pPr>
            <w:r>
              <w:rPr>
                <w:rFonts w:hint="eastAsia"/>
                <w:sz w:val="18"/>
                <w:szCs w:val="18"/>
              </w:rPr>
              <w:t>4.业务管理（5分）</w:t>
            </w:r>
          </w:p>
        </w:tc>
        <w:tc>
          <w:tcPr>
            <w:tcW w:w="117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left"/>
              <w:rPr>
                <w:rFonts w:ascii="仿宋_GB2312"/>
                <w:sz w:val="15"/>
                <w:szCs w:val="15"/>
              </w:rPr>
            </w:pPr>
            <w:r>
              <w:rPr>
                <w:rFonts w:hint="eastAsia" w:ascii="仿宋_GB2312"/>
                <w:sz w:val="15"/>
                <w:szCs w:val="15"/>
              </w:rPr>
              <w:t>1.业务管理制度健全性及执行情况（3分）</w:t>
            </w:r>
          </w:p>
        </w:tc>
        <w:tc>
          <w:tcPr>
            <w:tcW w:w="56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eastAsia="仿宋_GB2312"/>
                <w:sz w:val="18"/>
                <w:szCs w:val="18"/>
                <w:lang w:val="en-US" w:eastAsia="zh-CN"/>
              </w:rPr>
            </w:pPr>
            <w:r>
              <w:rPr>
                <w:rFonts w:hint="eastAsia"/>
                <w:sz w:val="18"/>
                <w:szCs w:val="18"/>
                <w:lang w:val="en-US" w:eastAsia="zh-CN"/>
              </w:rPr>
              <w:t>1</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jc w:val="left"/>
              <w:rPr>
                <w:sz w:val="15"/>
                <w:szCs w:val="15"/>
              </w:rPr>
            </w:pPr>
            <w:r>
              <w:rPr>
                <w:rFonts w:hint="eastAsia"/>
                <w:sz w:val="15"/>
                <w:szCs w:val="15"/>
              </w:rPr>
              <w:t>部门为加强业务管理、规范业务执行而制定的管理制度是否健全完整，用以反映和考核部门业务管理制度对完成主要职责或促进事业发展的保障情况。</w:t>
            </w:r>
          </w:p>
        </w:tc>
        <w:tc>
          <w:tcPr>
            <w:tcW w:w="2977"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left"/>
              <w:rPr>
                <w:rFonts w:ascii="仿宋_GB2312"/>
                <w:sz w:val="15"/>
                <w:szCs w:val="15"/>
              </w:rPr>
            </w:pPr>
            <w:r>
              <w:rPr>
                <w:rFonts w:hint="eastAsia" w:ascii="仿宋_GB2312"/>
                <w:sz w:val="15"/>
                <w:szCs w:val="15"/>
              </w:rPr>
              <w:t>①已制定或具有业务管理、项目管理等管理制度，得1分；②相关管理制度合法、合规、完整，得1分；③相关管理制度得到有效执行，得1分。</w:t>
            </w:r>
          </w:p>
        </w:tc>
        <w:tc>
          <w:tcPr>
            <w:tcW w:w="1496" w:type="dxa"/>
            <w:tcBorders>
              <w:top w:val="single" w:color="auto" w:sz="4" w:space="0"/>
              <w:left w:val="single" w:color="auto" w:sz="4" w:space="0"/>
              <w:bottom w:val="single" w:color="auto" w:sz="4" w:space="0"/>
              <w:right w:val="single" w:color="auto" w:sz="4" w:space="0"/>
            </w:tcBorders>
            <w:vAlign w:val="center"/>
          </w:tcPr>
          <w:p>
            <w:pPr>
              <w:jc w:val="left"/>
              <w:rPr>
                <w:rFonts w:ascii="仿宋_GB2312"/>
                <w:sz w:val="15"/>
                <w:szCs w:val="15"/>
              </w:rPr>
            </w:pPr>
            <w:r>
              <w:rPr>
                <w:rFonts w:hint="eastAsia" w:ascii="仿宋_GB2312"/>
                <w:sz w:val="15"/>
                <w:szCs w:val="15"/>
              </w:rPr>
              <w:t>业务管理相关办法及执行情况资料</w:t>
            </w:r>
          </w:p>
        </w:tc>
      </w:tr>
      <w:tr>
        <w:tblPrEx>
          <w:tblLayout w:type="fixed"/>
          <w:tblCellMar>
            <w:top w:w="0" w:type="dxa"/>
            <w:left w:w="28" w:type="dxa"/>
            <w:bottom w:w="0" w:type="dxa"/>
            <w:right w:w="28" w:type="dxa"/>
          </w:tblCellMar>
        </w:tblPrEx>
        <w:trPr>
          <w:trHeight w:val="1188" w:hRule="atLeast"/>
          <w:jc w:val="center"/>
        </w:trPr>
        <w:tc>
          <w:tcPr>
            <w:tcW w:w="479" w:type="dxa"/>
            <w:vMerge w:val="continue"/>
            <w:tcBorders>
              <w:left w:val="single" w:color="auto" w:sz="4" w:space="0"/>
              <w:bottom w:val="single" w:color="auto" w:sz="4" w:space="0"/>
              <w:right w:val="single" w:color="auto" w:sz="4" w:space="0"/>
            </w:tcBorders>
            <w:vAlign w:val="center"/>
          </w:tcPr>
          <w:p>
            <w:pPr>
              <w:jc w:val="center"/>
              <w:rPr>
                <w:sz w:val="18"/>
                <w:szCs w:val="18"/>
              </w:rPr>
            </w:pPr>
          </w:p>
        </w:tc>
        <w:tc>
          <w:tcPr>
            <w:tcW w:w="638" w:type="dxa"/>
            <w:vMerge w:val="continue"/>
            <w:tcBorders>
              <w:left w:val="single" w:color="auto" w:sz="4" w:space="0"/>
              <w:bottom w:val="single" w:color="auto" w:sz="4" w:space="0"/>
              <w:right w:val="single" w:color="auto" w:sz="4" w:space="0"/>
            </w:tcBorders>
            <w:vAlign w:val="center"/>
          </w:tcPr>
          <w:p>
            <w:pPr>
              <w:jc w:val="center"/>
              <w:rPr>
                <w:sz w:val="18"/>
                <w:szCs w:val="18"/>
              </w:rPr>
            </w:pPr>
          </w:p>
        </w:tc>
        <w:tc>
          <w:tcPr>
            <w:tcW w:w="117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left"/>
              <w:rPr>
                <w:rFonts w:ascii="仿宋_GB2312"/>
                <w:sz w:val="15"/>
                <w:szCs w:val="15"/>
              </w:rPr>
            </w:pPr>
            <w:r>
              <w:rPr>
                <w:rFonts w:hint="eastAsia" w:ascii="仿宋_GB2312"/>
                <w:sz w:val="15"/>
                <w:szCs w:val="15"/>
              </w:rPr>
              <w:t>2.政府采购规范性（2分）</w:t>
            </w:r>
          </w:p>
        </w:tc>
        <w:tc>
          <w:tcPr>
            <w:tcW w:w="569"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eastAsia="仿宋_GB2312"/>
                <w:sz w:val="18"/>
                <w:szCs w:val="18"/>
                <w:lang w:val="en-US" w:eastAsia="zh-CN"/>
              </w:rPr>
            </w:pPr>
            <w:r>
              <w:rPr>
                <w:rFonts w:hint="eastAsia"/>
                <w:sz w:val="18"/>
                <w:szCs w:val="18"/>
                <w:lang w:val="en-US" w:eastAsia="zh-CN"/>
              </w:rPr>
              <w:t>2</w:t>
            </w:r>
          </w:p>
        </w:tc>
        <w:tc>
          <w:tcPr>
            <w:tcW w:w="184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left"/>
              <w:rPr>
                <w:rFonts w:ascii="仿宋_GB2312"/>
                <w:sz w:val="15"/>
                <w:szCs w:val="15"/>
              </w:rPr>
            </w:pPr>
            <w:r>
              <w:rPr>
                <w:rFonts w:hint="eastAsia" w:ascii="仿宋_GB2312"/>
                <w:sz w:val="15"/>
                <w:szCs w:val="15"/>
              </w:rPr>
              <w:t>考察政府采购项目的采购程序、采购方式的规范性</w:t>
            </w:r>
          </w:p>
        </w:tc>
        <w:tc>
          <w:tcPr>
            <w:tcW w:w="2977" w:type="dxa"/>
            <w:tcBorders>
              <w:top w:val="single" w:color="auto" w:sz="4" w:space="0"/>
              <w:left w:val="single" w:color="auto" w:sz="4" w:space="0"/>
              <w:bottom w:val="single" w:color="auto" w:sz="4" w:space="0"/>
              <w:right w:val="single" w:color="auto" w:sz="4" w:space="0"/>
            </w:tcBorders>
            <w:vAlign w:val="center"/>
          </w:tcPr>
          <w:p>
            <w:pPr>
              <w:jc w:val="left"/>
              <w:rPr>
                <w:rFonts w:ascii="仿宋_GB2312"/>
                <w:sz w:val="15"/>
                <w:szCs w:val="15"/>
              </w:rPr>
            </w:pPr>
            <w:r>
              <w:rPr>
                <w:rFonts w:hint="eastAsia" w:ascii="仿宋_GB2312"/>
                <w:sz w:val="15"/>
                <w:szCs w:val="15"/>
              </w:rPr>
              <w:t>①政府采购方式、程序都规范，得满分；②采购方式、程序中每有一点不规范，扣0.5分，扣完为止。</w:t>
            </w:r>
          </w:p>
        </w:tc>
        <w:tc>
          <w:tcPr>
            <w:tcW w:w="1496" w:type="dxa"/>
            <w:tcBorders>
              <w:top w:val="single" w:color="auto" w:sz="4" w:space="0"/>
              <w:left w:val="single" w:color="auto" w:sz="4" w:space="0"/>
              <w:bottom w:val="single" w:color="auto" w:sz="4" w:space="0"/>
              <w:right w:val="single" w:color="auto" w:sz="4" w:space="0"/>
            </w:tcBorders>
            <w:vAlign w:val="center"/>
          </w:tcPr>
          <w:p>
            <w:pPr>
              <w:jc w:val="left"/>
              <w:rPr>
                <w:rFonts w:ascii="仿宋_GB2312"/>
                <w:sz w:val="15"/>
                <w:szCs w:val="15"/>
              </w:rPr>
            </w:pPr>
            <w:r>
              <w:rPr>
                <w:rFonts w:hint="eastAsia" w:ascii="仿宋_GB2312"/>
                <w:sz w:val="15"/>
                <w:szCs w:val="15"/>
              </w:rPr>
              <w:t>政府采购相关资料</w:t>
            </w:r>
          </w:p>
        </w:tc>
      </w:tr>
      <w:tr>
        <w:tblPrEx>
          <w:tblLayout w:type="fixed"/>
          <w:tblCellMar>
            <w:top w:w="0" w:type="dxa"/>
            <w:left w:w="28" w:type="dxa"/>
            <w:bottom w:w="0" w:type="dxa"/>
            <w:right w:w="28" w:type="dxa"/>
          </w:tblCellMar>
        </w:tblPrEx>
        <w:trPr>
          <w:trHeight w:val="1822" w:hRule="atLeast"/>
          <w:jc w:val="center"/>
        </w:trPr>
        <w:tc>
          <w:tcPr>
            <w:tcW w:w="479" w:type="dxa"/>
            <w:vMerge w:val="restart"/>
            <w:tcBorders>
              <w:top w:val="single" w:color="auto" w:sz="4" w:space="0"/>
              <w:left w:val="single" w:color="auto" w:sz="4" w:space="0"/>
              <w:right w:val="single" w:color="auto" w:sz="4" w:space="0"/>
            </w:tcBorders>
            <w:textDirection w:val="tbRlV"/>
            <w:vAlign w:val="center"/>
          </w:tcPr>
          <w:p>
            <w:pPr>
              <w:ind w:left="113"/>
              <w:jc w:val="center"/>
              <w:rPr>
                <w:sz w:val="18"/>
                <w:szCs w:val="18"/>
              </w:rPr>
            </w:pPr>
            <w:r>
              <w:rPr>
                <w:rFonts w:hint="eastAsia" w:ascii="仿宋_GB2312"/>
                <w:sz w:val="15"/>
                <w:szCs w:val="15"/>
              </w:rPr>
              <w:t>三、部门绩效（45</w:t>
            </w:r>
            <w:r>
              <w:rPr>
                <w:rFonts w:hint="eastAsia"/>
                <w:sz w:val="18"/>
                <w:szCs w:val="18"/>
              </w:rPr>
              <w:t>分）</w:t>
            </w:r>
          </w:p>
        </w:tc>
        <w:tc>
          <w:tcPr>
            <w:tcW w:w="638" w:type="dxa"/>
            <w:vMerge w:val="restart"/>
            <w:tcBorders>
              <w:top w:val="single" w:color="auto" w:sz="4" w:space="0"/>
              <w:left w:val="single" w:color="auto" w:sz="4" w:space="0"/>
              <w:right w:val="single" w:color="auto" w:sz="4" w:space="0"/>
            </w:tcBorders>
            <w:vAlign w:val="center"/>
          </w:tcPr>
          <w:p>
            <w:pPr>
              <w:jc w:val="center"/>
              <w:rPr>
                <w:rFonts w:ascii="仿宋_GB2312"/>
                <w:sz w:val="15"/>
                <w:szCs w:val="15"/>
              </w:rPr>
            </w:pPr>
            <w:r>
              <w:rPr>
                <w:rFonts w:hint="eastAsia" w:ascii="仿宋_GB2312"/>
                <w:sz w:val="15"/>
                <w:szCs w:val="15"/>
              </w:rPr>
              <w:t>1.部门产出（25）</w:t>
            </w: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pPr>
              <w:jc w:val="center"/>
              <w:rPr>
                <w:rFonts w:ascii="仿宋_GB2312"/>
                <w:sz w:val="15"/>
                <w:szCs w:val="15"/>
              </w:rPr>
            </w:pPr>
            <w:r>
              <w:rPr>
                <w:rFonts w:hint="eastAsia" w:ascii="仿宋_GB2312"/>
                <w:sz w:val="15"/>
                <w:szCs w:val="15"/>
              </w:rPr>
              <w:t>1.际完成率（6分）</w:t>
            </w:r>
          </w:p>
        </w:tc>
        <w:tc>
          <w:tcPr>
            <w:tcW w:w="569" w:type="dxa"/>
            <w:tcBorders>
              <w:top w:val="single" w:color="auto" w:sz="4" w:space="0"/>
              <w:left w:val="single" w:color="auto" w:sz="4" w:space="0"/>
              <w:bottom w:val="single" w:color="auto" w:sz="4" w:space="0"/>
            </w:tcBorders>
            <w:vAlign w:val="center"/>
          </w:tcPr>
          <w:p>
            <w:pPr>
              <w:jc w:val="center"/>
              <w:rPr>
                <w:rFonts w:hint="eastAsia" w:ascii="仿宋_GB2312" w:eastAsia="仿宋_GB2312"/>
                <w:sz w:val="15"/>
                <w:szCs w:val="15"/>
                <w:lang w:val="en-US" w:eastAsia="zh-CN"/>
              </w:rPr>
            </w:pPr>
            <w:r>
              <w:rPr>
                <w:rFonts w:hint="eastAsia" w:ascii="仿宋_GB2312"/>
                <w:sz w:val="15"/>
                <w:szCs w:val="15"/>
                <w:lang w:val="en-US" w:eastAsia="zh-CN"/>
              </w:rPr>
              <w:t>6</w:t>
            </w:r>
          </w:p>
        </w:tc>
        <w:tc>
          <w:tcPr>
            <w:tcW w:w="1842" w:type="dxa"/>
            <w:tcBorders>
              <w:top w:val="single" w:color="auto" w:sz="4" w:space="0"/>
              <w:left w:val="single" w:color="auto" w:sz="4" w:space="0"/>
              <w:bottom w:val="single" w:color="auto" w:sz="4" w:space="0"/>
              <w:right w:val="single" w:color="auto" w:sz="4" w:space="0"/>
            </w:tcBorders>
            <w:vAlign w:val="center"/>
          </w:tcPr>
          <w:p>
            <w:pPr>
              <w:tabs>
                <w:tab w:val="left" w:pos="2604"/>
              </w:tabs>
              <w:rPr>
                <w:rFonts w:ascii="仿宋_GB2312"/>
                <w:sz w:val="15"/>
                <w:szCs w:val="15"/>
              </w:rPr>
            </w:pPr>
            <w:r>
              <w:rPr>
                <w:rFonts w:hint="eastAsia" w:ascii="仿宋_GB2312"/>
                <w:sz w:val="15"/>
                <w:szCs w:val="15"/>
              </w:rPr>
              <w:t>部门履行职责而实际完成工作数与计划工作数的比率，用以反映和考核部门履职工作任务目标的实现程度。</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仿宋_GB2312"/>
                <w:sz w:val="15"/>
                <w:szCs w:val="15"/>
              </w:rPr>
            </w:pPr>
            <w:r>
              <w:rPr>
                <w:rFonts w:hint="eastAsia" w:ascii="仿宋_GB2312"/>
                <w:sz w:val="15"/>
                <w:szCs w:val="15"/>
              </w:rPr>
              <w:t>实际完成率得分=实际完成工作数/计划工作数*6分。</w:t>
            </w:r>
          </w:p>
        </w:tc>
        <w:tc>
          <w:tcPr>
            <w:tcW w:w="1496" w:type="dxa"/>
            <w:tcBorders>
              <w:top w:val="single" w:color="auto" w:sz="4" w:space="0"/>
              <w:left w:val="single" w:color="auto" w:sz="4" w:space="0"/>
              <w:bottom w:val="single" w:color="auto" w:sz="4" w:space="0"/>
              <w:right w:val="single" w:color="auto" w:sz="4" w:space="0"/>
            </w:tcBorders>
            <w:vAlign w:val="center"/>
          </w:tcPr>
          <w:p>
            <w:pPr>
              <w:jc w:val="left"/>
              <w:rPr>
                <w:rFonts w:ascii="仿宋_GB2312"/>
                <w:sz w:val="15"/>
                <w:szCs w:val="15"/>
              </w:rPr>
            </w:pPr>
            <w:r>
              <w:rPr>
                <w:rFonts w:hint="eastAsia" w:ascii="仿宋_GB2312"/>
                <w:sz w:val="15"/>
                <w:szCs w:val="15"/>
              </w:rPr>
              <w:t>工作计划和工作总结等相关资料</w:t>
            </w:r>
          </w:p>
        </w:tc>
      </w:tr>
      <w:tr>
        <w:tblPrEx>
          <w:tblLayout w:type="fixed"/>
          <w:tblCellMar>
            <w:top w:w="0" w:type="dxa"/>
            <w:left w:w="28" w:type="dxa"/>
            <w:bottom w:w="0" w:type="dxa"/>
            <w:right w:w="28" w:type="dxa"/>
          </w:tblCellMar>
        </w:tblPrEx>
        <w:trPr>
          <w:trHeight w:val="1835" w:hRule="atLeast"/>
          <w:jc w:val="center"/>
        </w:trPr>
        <w:tc>
          <w:tcPr>
            <w:tcW w:w="479" w:type="dxa"/>
            <w:vMerge w:val="continue"/>
            <w:tcBorders>
              <w:left w:val="single" w:color="auto" w:sz="4" w:space="0"/>
              <w:right w:val="single" w:color="auto" w:sz="4" w:space="0"/>
            </w:tcBorders>
            <w:vAlign w:val="center"/>
          </w:tcPr>
          <w:p>
            <w:pPr>
              <w:ind w:left="113"/>
              <w:jc w:val="center"/>
              <w:rPr>
                <w:sz w:val="18"/>
                <w:szCs w:val="18"/>
              </w:rPr>
            </w:pPr>
          </w:p>
        </w:tc>
        <w:tc>
          <w:tcPr>
            <w:tcW w:w="638" w:type="dxa"/>
            <w:vMerge w:val="continue"/>
            <w:tcBorders>
              <w:left w:val="single" w:color="auto" w:sz="4" w:space="0"/>
              <w:right w:val="single" w:color="auto" w:sz="4" w:space="0"/>
            </w:tcBorders>
            <w:vAlign w:val="center"/>
          </w:tcPr>
          <w:p>
            <w:pPr>
              <w:jc w:val="center"/>
              <w:rPr>
                <w:rFonts w:ascii="仿宋_GB2312"/>
                <w:sz w:val="15"/>
                <w:szCs w:val="15"/>
              </w:rPr>
            </w:pP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pPr>
              <w:jc w:val="center"/>
              <w:rPr>
                <w:rFonts w:ascii="仿宋_GB2312"/>
                <w:sz w:val="15"/>
                <w:szCs w:val="15"/>
              </w:rPr>
            </w:pPr>
            <w:r>
              <w:rPr>
                <w:rFonts w:hint="eastAsia" w:ascii="仿宋_GB2312"/>
                <w:sz w:val="15"/>
                <w:szCs w:val="15"/>
              </w:rPr>
              <w:t>2.完成及时率（4分）</w:t>
            </w:r>
          </w:p>
        </w:tc>
        <w:tc>
          <w:tcPr>
            <w:tcW w:w="569" w:type="dxa"/>
            <w:tcBorders>
              <w:top w:val="single" w:color="auto" w:sz="4" w:space="0"/>
              <w:left w:val="single" w:color="auto" w:sz="4" w:space="0"/>
              <w:bottom w:val="single" w:color="auto" w:sz="4" w:space="0"/>
            </w:tcBorders>
            <w:vAlign w:val="center"/>
          </w:tcPr>
          <w:p>
            <w:pPr>
              <w:jc w:val="center"/>
              <w:rPr>
                <w:rFonts w:hint="eastAsia" w:ascii="仿宋_GB2312" w:eastAsia="仿宋_GB2312"/>
                <w:sz w:val="15"/>
                <w:szCs w:val="15"/>
                <w:lang w:val="en-US" w:eastAsia="zh-CN"/>
              </w:rPr>
            </w:pPr>
            <w:r>
              <w:rPr>
                <w:rFonts w:hint="eastAsia" w:ascii="仿宋_GB2312"/>
                <w:sz w:val="15"/>
                <w:szCs w:val="15"/>
                <w:lang w:val="en-US" w:eastAsia="zh-CN"/>
              </w:rPr>
              <w:t>4</w:t>
            </w:r>
          </w:p>
        </w:tc>
        <w:tc>
          <w:tcPr>
            <w:tcW w:w="1842" w:type="dxa"/>
            <w:tcBorders>
              <w:left w:val="single" w:color="auto" w:sz="4" w:space="0"/>
              <w:bottom w:val="single" w:color="auto" w:sz="4" w:space="0"/>
              <w:right w:val="single" w:color="auto" w:sz="4" w:space="0"/>
            </w:tcBorders>
            <w:vAlign w:val="center"/>
          </w:tcPr>
          <w:p>
            <w:pPr>
              <w:tabs>
                <w:tab w:val="left" w:pos="2604"/>
              </w:tabs>
              <w:rPr>
                <w:rFonts w:ascii="仿宋_GB2312"/>
                <w:sz w:val="15"/>
                <w:szCs w:val="15"/>
              </w:rPr>
            </w:pPr>
            <w:r>
              <w:rPr>
                <w:rFonts w:hint="eastAsia" w:ascii="仿宋_GB2312"/>
                <w:sz w:val="15"/>
                <w:szCs w:val="15"/>
              </w:rPr>
              <w:t>部门在规定时限内及时完成的实际工作数与计划工作数的比率,用以反映和考核部门履职时效目标的实现程度。</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仿宋_GB2312"/>
                <w:sz w:val="15"/>
                <w:szCs w:val="15"/>
              </w:rPr>
            </w:pPr>
            <w:r>
              <w:rPr>
                <w:rFonts w:hint="eastAsia" w:ascii="仿宋_GB2312"/>
                <w:sz w:val="15"/>
                <w:szCs w:val="15"/>
              </w:rPr>
              <w:t>完成及时率=（及时完成实际工作数/计划工作数）×100%。1-4季度各得1分。</w:t>
            </w:r>
          </w:p>
        </w:tc>
        <w:tc>
          <w:tcPr>
            <w:tcW w:w="1496" w:type="dxa"/>
            <w:tcBorders>
              <w:top w:val="single" w:color="auto" w:sz="4" w:space="0"/>
              <w:left w:val="single" w:color="auto" w:sz="4" w:space="0"/>
              <w:bottom w:val="single" w:color="auto" w:sz="4" w:space="0"/>
              <w:right w:val="single" w:color="auto" w:sz="4" w:space="0"/>
            </w:tcBorders>
            <w:vAlign w:val="center"/>
          </w:tcPr>
          <w:p>
            <w:pPr>
              <w:jc w:val="left"/>
              <w:rPr>
                <w:rFonts w:ascii="仿宋_GB2312"/>
                <w:sz w:val="15"/>
                <w:szCs w:val="15"/>
              </w:rPr>
            </w:pPr>
            <w:r>
              <w:rPr>
                <w:rFonts w:hint="eastAsia" w:ascii="仿宋_GB2312"/>
                <w:sz w:val="15"/>
                <w:szCs w:val="15"/>
              </w:rPr>
              <w:t>工作计划和工作总结等相关资料</w:t>
            </w:r>
          </w:p>
        </w:tc>
      </w:tr>
      <w:tr>
        <w:tblPrEx>
          <w:tblLayout w:type="fixed"/>
          <w:tblCellMar>
            <w:top w:w="0" w:type="dxa"/>
            <w:left w:w="28" w:type="dxa"/>
            <w:bottom w:w="0" w:type="dxa"/>
            <w:right w:w="28" w:type="dxa"/>
          </w:tblCellMar>
        </w:tblPrEx>
        <w:trPr>
          <w:trHeight w:val="1670" w:hRule="atLeast"/>
          <w:jc w:val="center"/>
        </w:trPr>
        <w:tc>
          <w:tcPr>
            <w:tcW w:w="479" w:type="dxa"/>
            <w:vMerge w:val="continue"/>
            <w:tcBorders>
              <w:left w:val="single" w:color="auto" w:sz="4" w:space="0"/>
              <w:right w:val="single" w:color="auto" w:sz="4" w:space="0"/>
            </w:tcBorders>
            <w:vAlign w:val="center"/>
          </w:tcPr>
          <w:p>
            <w:pPr>
              <w:jc w:val="center"/>
              <w:rPr>
                <w:sz w:val="18"/>
                <w:szCs w:val="18"/>
              </w:rPr>
            </w:pPr>
          </w:p>
        </w:tc>
        <w:tc>
          <w:tcPr>
            <w:tcW w:w="638" w:type="dxa"/>
            <w:vMerge w:val="continue"/>
            <w:tcBorders>
              <w:left w:val="single" w:color="auto" w:sz="4" w:space="0"/>
              <w:right w:val="single" w:color="auto" w:sz="4" w:space="0"/>
            </w:tcBorders>
            <w:vAlign w:val="center"/>
          </w:tcPr>
          <w:p>
            <w:pPr>
              <w:jc w:val="center"/>
              <w:rPr>
                <w:rFonts w:ascii="仿宋_GB2312"/>
                <w:sz w:val="15"/>
                <w:szCs w:val="15"/>
              </w:rPr>
            </w:pP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pPr>
              <w:jc w:val="center"/>
              <w:rPr>
                <w:rFonts w:ascii="仿宋_GB2312"/>
                <w:sz w:val="15"/>
                <w:szCs w:val="15"/>
              </w:rPr>
            </w:pPr>
            <w:r>
              <w:rPr>
                <w:rFonts w:hint="eastAsia" w:ascii="仿宋_GB2312"/>
                <w:sz w:val="15"/>
                <w:szCs w:val="15"/>
              </w:rPr>
              <w:t>4.质量达标率（5分）</w:t>
            </w:r>
          </w:p>
        </w:tc>
        <w:tc>
          <w:tcPr>
            <w:tcW w:w="569" w:type="dxa"/>
            <w:tcBorders>
              <w:top w:val="single" w:color="auto" w:sz="4" w:space="0"/>
              <w:left w:val="single" w:color="auto" w:sz="4" w:space="0"/>
              <w:bottom w:val="single" w:color="auto" w:sz="4" w:space="0"/>
            </w:tcBorders>
            <w:vAlign w:val="center"/>
          </w:tcPr>
          <w:p>
            <w:pPr>
              <w:jc w:val="center"/>
              <w:rPr>
                <w:rFonts w:hint="eastAsia" w:ascii="仿宋_GB2312" w:eastAsia="仿宋_GB2312"/>
                <w:color w:val="0070C0"/>
                <w:sz w:val="15"/>
                <w:szCs w:val="15"/>
                <w:lang w:val="en-US" w:eastAsia="zh-CN"/>
              </w:rPr>
            </w:pPr>
            <w:r>
              <w:rPr>
                <w:rFonts w:hint="eastAsia" w:ascii="仿宋_GB2312"/>
                <w:color w:val="0070C0"/>
                <w:sz w:val="15"/>
                <w:szCs w:val="15"/>
                <w:lang w:val="en-US" w:eastAsia="zh-CN"/>
              </w:rPr>
              <w:t>5</w:t>
            </w:r>
          </w:p>
        </w:tc>
        <w:tc>
          <w:tcPr>
            <w:tcW w:w="1842" w:type="dxa"/>
            <w:tcBorders>
              <w:left w:val="single" w:color="auto" w:sz="4" w:space="0"/>
              <w:bottom w:val="single" w:color="auto" w:sz="4" w:space="0"/>
              <w:right w:val="single" w:color="auto" w:sz="4" w:space="0"/>
            </w:tcBorders>
            <w:vAlign w:val="center"/>
          </w:tcPr>
          <w:p>
            <w:pPr>
              <w:tabs>
                <w:tab w:val="left" w:pos="2604"/>
              </w:tabs>
              <w:rPr>
                <w:rFonts w:ascii="仿宋_GB2312"/>
                <w:sz w:val="15"/>
                <w:szCs w:val="15"/>
              </w:rPr>
            </w:pPr>
            <w:r>
              <w:rPr>
                <w:rFonts w:hint="eastAsia" w:ascii="仿宋_GB2312"/>
                <w:sz w:val="15"/>
                <w:szCs w:val="15"/>
              </w:rPr>
              <w:t>达到质量标准（绩效标准值）的实际工作数与计划工作数的比率,用以反映和考核部门履职质量目标的实现程度。</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仿宋_GB2312"/>
                <w:sz w:val="15"/>
                <w:szCs w:val="15"/>
              </w:rPr>
            </w:pPr>
            <w:r>
              <w:rPr>
                <w:rFonts w:hint="eastAsia" w:ascii="仿宋_GB2312"/>
                <w:sz w:val="15"/>
                <w:szCs w:val="15"/>
              </w:rPr>
              <w:t>质量达标率=（质量达标实际工作数/计划工作数）×100%。实际得分=达标率*5分。</w:t>
            </w:r>
          </w:p>
        </w:tc>
        <w:tc>
          <w:tcPr>
            <w:tcW w:w="1496" w:type="dxa"/>
            <w:tcBorders>
              <w:top w:val="single" w:color="auto" w:sz="4" w:space="0"/>
              <w:left w:val="single" w:color="auto" w:sz="4" w:space="0"/>
              <w:bottom w:val="single" w:color="auto" w:sz="4" w:space="0"/>
              <w:right w:val="single" w:color="auto" w:sz="4" w:space="0"/>
            </w:tcBorders>
            <w:vAlign w:val="center"/>
          </w:tcPr>
          <w:p>
            <w:pPr>
              <w:jc w:val="left"/>
              <w:rPr>
                <w:rFonts w:ascii="仿宋_GB2312"/>
                <w:sz w:val="15"/>
                <w:szCs w:val="15"/>
              </w:rPr>
            </w:pPr>
            <w:r>
              <w:rPr>
                <w:rFonts w:hint="eastAsia" w:ascii="仿宋_GB2312"/>
                <w:sz w:val="15"/>
                <w:szCs w:val="15"/>
              </w:rPr>
              <w:t>工作计划和工作总结等相关资料</w:t>
            </w:r>
          </w:p>
        </w:tc>
      </w:tr>
      <w:tr>
        <w:tblPrEx>
          <w:tblLayout w:type="fixed"/>
          <w:tblCellMar>
            <w:top w:w="0" w:type="dxa"/>
            <w:left w:w="28" w:type="dxa"/>
            <w:bottom w:w="0" w:type="dxa"/>
            <w:right w:w="28" w:type="dxa"/>
          </w:tblCellMar>
        </w:tblPrEx>
        <w:trPr>
          <w:trHeight w:val="1397" w:hRule="atLeast"/>
          <w:jc w:val="center"/>
        </w:trPr>
        <w:tc>
          <w:tcPr>
            <w:tcW w:w="479" w:type="dxa"/>
            <w:vMerge w:val="continue"/>
            <w:tcBorders>
              <w:left w:val="single" w:color="auto" w:sz="4" w:space="0"/>
              <w:right w:val="single" w:color="auto" w:sz="4" w:space="0"/>
            </w:tcBorders>
            <w:vAlign w:val="center"/>
          </w:tcPr>
          <w:p>
            <w:pPr>
              <w:jc w:val="center"/>
              <w:rPr>
                <w:sz w:val="18"/>
                <w:szCs w:val="18"/>
              </w:rPr>
            </w:pPr>
          </w:p>
        </w:tc>
        <w:tc>
          <w:tcPr>
            <w:tcW w:w="638" w:type="dxa"/>
            <w:vMerge w:val="continue"/>
            <w:tcBorders>
              <w:left w:val="single" w:color="auto" w:sz="4" w:space="0"/>
              <w:bottom w:val="single" w:color="auto" w:sz="4" w:space="0"/>
              <w:right w:val="single" w:color="auto" w:sz="4" w:space="0"/>
            </w:tcBorders>
            <w:vAlign w:val="center"/>
          </w:tcPr>
          <w:p>
            <w:pPr>
              <w:jc w:val="center"/>
              <w:rPr>
                <w:rFonts w:ascii="仿宋_GB2312"/>
                <w:sz w:val="15"/>
                <w:szCs w:val="15"/>
              </w:rPr>
            </w:pP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pPr>
              <w:jc w:val="center"/>
              <w:rPr>
                <w:rFonts w:ascii="仿宋_GB2312"/>
                <w:sz w:val="15"/>
                <w:szCs w:val="15"/>
              </w:rPr>
            </w:pPr>
            <w:r>
              <w:rPr>
                <w:rFonts w:hint="eastAsia" w:ascii="仿宋_GB2312"/>
                <w:sz w:val="15"/>
                <w:szCs w:val="15"/>
              </w:rPr>
              <w:t>5.重点工作办结率（5分）</w:t>
            </w:r>
          </w:p>
        </w:tc>
        <w:tc>
          <w:tcPr>
            <w:tcW w:w="569" w:type="dxa"/>
            <w:tcBorders>
              <w:top w:val="single" w:color="auto" w:sz="4" w:space="0"/>
              <w:left w:val="single" w:color="auto" w:sz="4" w:space="0"/>
              <w:bottom w:val="single" w:color="auto" w:sz="4" w:space="0"/>
            </w:tcBorders>
            <w:vAlign w:val="center"/>
          </w:tcPr>
          <w:p>
            <w:pPr>
              <w:jc w:val="center"/>
              <w:rPr>
                <w:rFonts w:hint="eastAsia" w:ascii="仿宋_GB2312" w:eastAsia="仿宋_GB2312"/>
                <w:color w:val="0070C0"/>
                <w:sz w:val="15"/>
                <w:szCs w:val="15"/>
                <w:lang w:val="en-US" w:eastAsia="zh-CN"/>
              </w:rPr>
            </w:pPr>
            <w:r>
              <w:rPr>
                <w:rFonts w:hint="eastAsia" w:ascii="仿宋_GB2312"/>
                <w:color w:val="0070C0"/>
                <w:sz w:val="15"/>
                <w:szCs w:val="15"/>
                <w:lang w:val="en-US" w:eastAsia="zh-CN"/>
              </w:rPr>
              <w:t>5</w:t>
            </w:r>
          </w:p>
        </w:tc>
        <w:tc>
          <w:tcPr>
            <w:tcW w:w="1842" w:type="dxa"/>
            <w:tcBorders>
              <w:left w:val="single" w:color="auto" w:sz="4" w:space="0"/>
              <w:bottom w:val="single" w:color="auto" w:sz="4" w:space="0"/>
              <w:right w:val="single" w:color="auto" w:sz="4" w:space="0"/>
            </w:tcBorders>
            <w:vAlign w:val="center"/>
          </w:tcPr>
          <w:p>
            <w:pPr>
              <w:tabs>
                <w:tab w:val="left" w:pos="2604"/>
              </w:tabs>
              <w:rPr>
                <w:rFonts w:ascii="仿宋_GB2312"/>
                <w:sz w:val="15"/>
                <w:szCs w:val="15"/>
              </w:rPr>
            </w:pPr>
            <w:r>
              <w:rPr>
                <w:rFonts w:hint="eastAsia" w:ascii="仿宋_GB2312"/>
                <w:sz w:val="15"/>
                <w:szCs w:val="15"/>
              </w:rPr>
              <w:t>部门年度重点工作实际完成数与交办或下达数的比率，用以反映部门对重点工作的办理落实程度。</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仿宋_GB2312"/>
                <w:sz w:val="15"/>
                <w:szCs w:val="15"/>
              </w:rPr>
            </w:pPr>
            <w:r>
              <w:rPr>
                <w:rFonts w:hint="eastAsia" w:ascii="仿宋_GB2312"/>
                <w:sz w:val="15"/>
                <w:szCs w:val="15"/>
              </w:rPr>
              <w:t>重点工作办结率=（重点工作实际完成数/交办或下达数）×100%。实际得分=办结率*5分。</w:t>
            </w:r>
          </w:p>
        </w:tc>
        <w:tc>
          <w:tcPr>
            <w:tcW w:w="1496" w:type="dxa"/>
            <w:tcBorders>
              <w:top w:val="single" w:color="auto" w:sz="4" w:space="0"/>
              <w:left w:val="single" w:color="auto" w:sz="4" w:space="0"/>
              <w:bottom w:val="single" w:color="auto" w:sz="4" w:space="0"/>
              <w:right w:val="single" w:color="auto" w:sz="4" w:space="0"/>
            </w:tcBorders>
            <w:vAlign w:val="center"/>
          </w:tcPr>
          <w:p>
            <w:pPr>
              <w:jc w:val="left"/>
              <w:rPr>
                <w:rFonts w:ascii="仿宋_GB2312"/>
                <w:sz w:val="15"/>
                <w:szCs w:val="15"/>
              </w:rPr>
            </w:pPr>
            <w:r>
              <w:rPr>
                <w:rFonts w:hint="eastAsia" w:ascii="仿宋_GB2312"/>
                <w:sz w:val="15"/>
                <w:szCs w:val="15"/>
              </w:rPr>
              <w:t>工作计划和工作总结等相关资料</w:t>
            </w:r>
          </w:p>
        </w:tc>
      </w:tr>
      <w:tr>
        <w:tblPrEx>
          <w:tblLayout w:type="fixed"/>
          <w:tblCellMar>
            <w:top w:w="0" w:type="dxa"/>
            <w:left w:w="28" w:type="dxa"/>
            <w:bottom w:w="0" w:type="dxa"/>
            <w:right w:w="28" w:type="dxa"/>
          </w:tblCellMar>
        </w:tblPrEx>
        <w:trPr>
          <w:trHeight w:val="822" w:hRule="atLeast"/>
          <w:jc w:val="center"/>
        </w:trPr>
        <w:tc>
          <w:tcPr>
            <w:tcW w:w="479" w:type="dxa"/>
            <w:vMerge w:val="continue"/>
            <w:tcBorders>
              <w:left w:val="single" w:color="auto" w:sz="4" w:space="0"/>
              <w:right w:val="single" w:color="auto" w:sz="4" w:space="0"/>
            </w:tcBorders>
            <w:vAlign w:val="center"/>
          </w:tcPr>
          <w:p>
            <w:pPr>
              <w:jc w:val="center"/>
              <w:rPr>
                <w:sz w:val="18"/>
                <w:szCs w:val="18"/>
              </w:rPr>
            </w:pPr>
          </w:p>
        </w:tc>
        <w:tc>
          <w:tcPr>
            <w:tcW w:w="638" w:type="dxa"/>
            <w:vMerge w:val="restart"/>
            <w:tcBorders>
              <w:top w:val="single" w:color="auto" w:sz="4" w:space="0"/>
              <w:left w:val="single" w:color="auto" w:sz="4" w:space="0"/>
              <w:right w:val="single" w:color="auto" w:sz="4" w:space="0"/>
            </w:tcBorders>
            <w:vAlign w:val="center"/>
          </w:tcPr>
          <w:p>
            <w:pPr>
              <w:jc w:val="center"/>
              <w:rPr>
                <w:rFonts w:ascii="仿宋_GB2312"/>
                <w:sz w:val="15"/>
                <w:szCs w:val="15"/>
              </w:rPr>
            </w:pPr>
            <w:r>
              <w:rPr>
                <w:rFonts w:hint="eastAsia" w:ascii="仿宋_GB2312"/>
                <w:sz w:val="15"/>
                <w:szCs w:val="15"/>
              </w:rPr>
              <w:t>2.部门效果（20分）</w:t>
            </w: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pPr>
              <w:jc w:val="center"/>
              <w:rPr>
                <w:rFonts w:ascii="仿宋_GB2312"/>
                <w:sz w:val="15"/>
                <w:szCs w:val="15"/>
              </w:rPr>
            </w:pPr>
            <w:r>
              <w:rPr>
                <w:rFonts w:hint="eastAsia" w:ascii="仿宋_GB2312"/>
                <w:sz w:val="15"/>
                <w:szCs w:val="15"/>
              </w:rPr>
              <w:t>经济效益（3分）</w:t>
            </w:r>
          </w:p>
        </w:tc>
        <w:tc>
          <w:tcPr>
            <w:tcW w:w="569" w:type="dxa"/>
            <w:tcBorders>
              <w:top w:val="single" w:color="auto" w:sz="4" w:space="0"/>
              <w:left w:val="single" w:color="auto" w:sz="4" w:space="0"/>
              <w:bottom w:val="single" w:color="auto" w:sz="4" w:space="0"/>
            </w:tcBorders>
            <w:vAlign w:val="center"/>
          </w:tcPr>
          <w:p>
            <w:pPr>
              <w:jc w:val="center"/>
              <w:rPr>
                <w:rFonts w:hint="eastAsia" w:ascii="仿宋_GB2312" w:eastAsia="仿宋_GB2312"/>
                <w:sz w:val="15"/>
                <w:szCs w:val="15"/>
                <w:lang w:val="en-US" w:eastAsia="zh-CN"/>
              </w:rPr>
            </w:pPr>
            <w:r>
              <w:rPr>
                <w:rFonts w:hint="eastAsia" w:ascii="仿宋_GB2312"/>
                <w:sz w:val="15"/>
                <w:szCs w:val="15"/>
                <w:lang w:val="en-US" w:eastAsia="zh-CN"/>
              </w:rPr>
              <w:t>3</w:t>
            </w:r>
          </w:p>
        </w:tc>
        <w:tc>
          <w:tcPr>
            <w:tcW w:w="1842" w:type="dxa"/>
            <w:tcBorders>
              <w:top w:val="single" w:color="auto" w:sz="4" w:space="0"/>
              <w:left w:val="single" w:color="auto" w:sz="4" w:space="0"/>
              <w:bottom w:val="single" w:color="auto" w:sz="4" w:space="0"/>
              <w:right w:val="single" w:color="auto" w:sz="4" w:space="0"/>
            </w:tcBorders>
            <w:vAlign w:val="center"/>
          </w:tcPr>
          <w:p>
            <w:pPr>
              <w:tabs>
                <w:tab w:val="left" w:pos="2604"/>
              </w:tabs>
              <w:rPr>
                <w:rFonts w:ascii="仿宋_GB2312"/>
                <w:sz w:val="15"/>
                <w:szCs w:val="15"/>
              </w:rPr>
            </w:pPr>
            <w:r>
              <w:rPr>
                <w:rFonts w:hint="eastAsia" w:ascii="仿宋_GB2312"/>
                <w:sz w:val="15"/>
                <w:szCs w:val="15"/>
              </w:rPr>
              <w:t>部门履行职责对经济发展所带来的直接或间接影响。</w:t>
            </w:r>
          </w:p>
        </w:tc>
        <w:tc>
          <w:tcPr>
            <w:tcW w:w="2977" w:type="dxa"/>
            <w:vMerge w:val="restart"/>
            <w:tcBorders>
              <w:top w:val="single" w:color="auto" w:sz="4" w:space="0"/>
              <w:left w:val="single" w:color="auto" w:sz="4" w:space="0"/>
              <w:right w:val="single" w:color="auto" w:sz="4" w:space="0"/>
            </w:tcBorders>
            <w:vAlign w:val="center"/>
          </w:tcPr>
          <w:p>
            <w:pPr>
              <w:spacing w:line="240" w:lineRule="exact"/>
              <w:jc w:val="left"/>
              <w:rPr>
                <w:rFonts w:ascii="仿宋_GB2312"/>
                <w:sz w:val="15"/>
                <w:szCs w:val="15"/>
              </w:rPr>
            </w:pPr>
            <w:r>
              <w:rPr>
                <w:rFonts w:hint="eastAsia" w:ascii="仿宋_GB2312" w:hAnsi="宋体" w:cs="宋体"/>
                <w:kern w:val="0"/>
                <w:sz w:val="15"/>
                <w:szCs w:val="15"/>
              </w:rPr>
              <w:t>（1）工作完成实际，对照绩效目标进行分析计算。                               （2）按经济效益实现程度计算得分（3分）；按社会效益实现程度计算得分（10分）；按生态效益实现程度计算得分（2分）。</w:t>
            </w:r>
          </w:p>
        </w:tc>
        <w:tc>
          <w:tcPr>
            <w:tcW w:w="1496" w:type="dxa"/>
            <w:tcBorders>
              <w:top w:val="single" w:color="auto" w:sz="4" w:space="0"/>
              <w:left w:val="single" w:color="auto" w:sz="4" w:space="0"/>
              <w:bottom w:val="single" w:color="auto" w:sz="4" w:space="0"/>
              <w:right w:val="single" w:color="auto" w:sz="4" w:space="0"/>
            </w:tcBorders>
            <w:vAlign w:val="center"/>
          </w:tcPr>
          <w:p>
            <w:pPr>
              <w:jc w:val="left"/>
              <w:rPr>
                <w:rFonts w:ascii="仿宋_GB2312"/>
                <w:sz w:val="15"/>
                <w:szCs w:val="15"/>
              </w:rPr>
            </w:pPr>
            <w:r>
              <w:rPr>
                <w:rFonts w:hint="eastAsia" w:ascii="仿宋_GB2312"/>
                <w:sz w:val="15"/>
                <w:szCs w:val="15"/>
              </w:rPr>
              <w:t>绩效目标、工作计划和工作总结等相关资料。</w:t>
            </w:r>
          </w:p>
        </w:tc>
      </w:tr>
      <w:tr>
        <w:tblPrEx>
          <w:tblLayout w:type="fixed"/>
          <w:tblCellMar>
            <w:top w:w="0" w:type="dxa"/>
            <w:left w:w="28" w:type="dxa"/>
            <w:bottom w:w="0" w:type="dxa"/>
            <w:right w:w="28" w:type="dxa"/>
          </w:tblCellMar>
        </w:tblPrEx>
        <w:trPr>
          <w:trHeight w:val="840" w:hRule="atLeast"/>
          <w:jc w:val="center"/>
        </w:trPr>
        <w:tc>
          <w:tcPr>
            <w:tcW w:w="479" w:type="dxa"/>
            <w:vMerge w:val="continue"/>
            <w:tcBorders>
              <w:left w:val="single" w:color="auto" w:sz="4" w:space="0"/>
              <w:right w:val="single" w:color="auto" w:sz="4" w:space="0"/>
            </w:tcBorders>
            <w:vAlign w:val="center"/>
          </w:tcPr>
          <w:p>
            <w:pPr>
              <w:jc w:val="center"/>
              <w:rPr>
                <w:sz w:val="18"/>
                <w:szCs w:val="18"/>
              </w:rPr>
            </w:pPr>
          </w:p>
        </w:tc>
        <w:tc>
          <w:tcPr>
            <w:tcW w:w="638" w:type="dxa"/>
            <w:vMerge w:val="continue"/>
            <w:tcBorders>
              <w:left w:val="single" w:color="auto" w:sz="4" w:space="0"/>
              <w:right w:val="single" w:color="auto" w:sz="4" w:space="0"/>
            </w:tcBorders>
            <w:vAlign w:val="center"/>
          </w:tcPr>
          <w:p>
            <w:pPr>
              <w:jc w:val="center"/>
              <w:rPr>
                <w:rFonts w:ascii="仿宋_GB2312"/>
                <w:sz w:val="15"/>
                <w:szCs w:val="15"/>
              </w:rPr>
            </w:pP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pPr>
              <w:jc w:val="center"/>
              <w:rPr>
                <w:rFonts w:ascii="仿宋_GB2312"/>
                <w:sz w:val="15"/>
                <w:szCs w:val="15"/>
              </w:rPr>
            </w:pPr>
            <w:r>
              <w:rPr>
                <w:rFonts w:hint="eastAsia" w:ascii="仿宋_GB2312"/>
                <w:sz w:val="15"/>
                <w:szCs w:val="15"/>
              </w:rPr>
              <w:t>社会效益（10分）</w:t>
            </w:r>
          </w:p>
        </w:tc>
        <w:tc>
          <w:tcPr>
            <w:tcW w:w="569" w:type="dxa"/>
            <w:tcBorders>
              <w:top w:val="single" w:color="auto" w:sz="4" w:space="0"/>
              <w:left w:val="single" w:color="auto" w:sz="4" w:space="0"/>
              <w:bottom w:val="single" w:color="auto" w:sz="4" w:space="0"/>
            </w:tcBorders>
            <w:vAlign w:val="center"/>
          </w:tcPr>
          <w:p>
            <w:pPr>
              <w:jc w:val="center"/>
              <w:rPr>
                <w:rFonts w:hint="eastAsia" w:ascii="仿宋_GB2312" w:eastAsia="仿宋_GB2312"/>
                <w:sz w:val="15"/>
                <w:szCs w:val="15"/>
                <w:lang w:val="en-US" w:eastAsia="zh-CN"/>
              </w:rPr>
            </w:pPr>
            <w:r>
              <w:rPr>
                <w:rFonts w:hint="eastAsia" w:ascii="仿宋_GB2312"/>
                <w:sz w:val="15"/>
                <w:szCs w:val="15"/>
                <w:lang w:val="en-US" w:eastAsia="zh-CN"/>
              </w:rPr>
              <w:t>10</w:t>
            </w:r>
          </w:p>
        </w:tc>
        <w:tc>
          <w:tcPr>
            <w:tcW w:w="1842" w:type="dxa"/>
            <w:tcBorders>
              <w:top w:val="single" w:color="auto" w:sz="4" w:space="0"/>
              <w:left w:val="single" w:color="auto" w:sz="4" w:space="0"/>
              <w:bottom w:val="single" w:color="auto" w:sz="4" w:space="0"/>
              <w:right w:val="single" w:color="auto" w:sz="4" w:space="0"/>
            </w:tcBorders>
            <w:vAlign w:val="center"/>
          </w:tcPr>
          <w:p>
            <w:pPr>
              <w:tabs>
                <w:tab w:val="left" w:pos="2604"/>
              </w:tabs>
              <w:rPr>
                <w:rFonts w:ascii="仿宋_GB2312"/>
                <w:sz w:val="15"/>
                <w:szCs w:val="15"/>
              </w:rPr>
            </w:pPr>
            <w:r>
              <w:rPr>
                <w:rFonts w:hint="eastAsia" w:ascii="仿宋_GB2312"/>
                <w:sz w:val="15"/>
                <w:szCs w:val="15"/>
              </w:rPr>
              <w:t>部门履行职责对社会发展所带来的直接或间接影响。</w:t>
            </w:r>
          </w:p>
        </w:tc>
        <w:tc>
          <w:tcPr>
            <w:tcW w:w="2977" w:type="dxa"/>
            <w:vMerge w:val="continue"/>
            <w:tcBorders>
              <w:left w:val="single" w:color="auto" w:sz="4" w:space="0"/>
              <w:right w:val="single" w:color="auto" w:sz="4" w:space="0"/>
            </w:tcBorders>
            <w:vAlign w:val="center"/>
          </w:tcPr>
          <w:p>
            <w:pPr>
              <w:jc w:val="center"/>
              <w:rPr>
                <w:rFonts w:ascii="仿宋_GB2312"/>
                <w:sz w:val="15"/>
                <w:szCs w:val="15"/>
              </w:rPr>
            </w:pPr>
          </w:p>
        </w:tc>
        <w:tc>
          <w:tcPr>
            <w:tcW w:w="1496" w:type="dxa"/>
            <w:tcBorders>
              <w:top w:val="single" w:color="auto" w:sz="4" w:space="0"/>
              <w:left w:val="single" w:color="auto" w:sz="4" w:space="0"/>
              <w:bottom w:val="single" w:color="auto" w:sz="4" w:space="0"/>
              <w:right w:val="single" w:color="auto" w:sz="4" w:space="0"/>
            </w:tcBorders>
            <w:vAlign w:val="center"/>
          </w:tcPr>
          <w:p>
            <w:pPr>
              <w:jc w:val="left"/>
              <w:rPr>
                <w:rFonts w:ascii="仿宋_GB2312"/>
                <w:sz w:val="15"/>
                <w:szCs w:val="15"/>
              </w:rPr>
            </w:pPr>
            <w:r>
              <w:rPr>
                <w:rFonts w:hint="eastAsia" w:ascii="仿宋_GB2312"/>
                <w:sz w:val="15"/>
                <w:szCs w:val="15"/>
              </w:rPr>
              <w:t>绩效目标、工作计划和工作总结等相关资料。</w:t>
            </w:r>
          </w:p>
        </w:tc>
      </w:tr>
      <w:tr>
        <w:tblPrEx>
          <w:tblLayout w:type="fixed"/>
          <w:tblCellMar>
            <w:top w:w="0" w:type="dxa"/>
            <w:left w:w="28" w:type="dxa"/>
            <w:bottom w:w="0" w:type="dxa"/>
            <w:right w:w="28" w:type="dxa"/>
          </w:tblCellMar>
        </w:tblPrEx>
        <w:trPr>
          <w:trHeight w:val="824" w:hRule="atLeast"/>
          <w:jc w:val="center"/>
        </w:trPr>
        <w:tc>
          <w:tcPr>
            <w:tcW w:w="479" w:type="dxa"/>
            <w:vMerge w:val="continue"/>
            <w:tcBorders>
              <w:left w:val="single" w:color="auto" w:sz="4" w:space="0"/>
              <w:right w:val="single" w:color="auto" w:sz="4" w:space="0"/>
            </w:tcBorders>
            <w:vAlign w:val="center"/>
          </w:tcPr>
          <w:p>
            <w:pPr>
              <w:jc w:val="center"/>
              <w:rPr>
                <w:sz w:val="18"/>
                <w:szCs w:val="18"/>
              </w:rPr>
            </w:pPr>
          </w:p>
        </w:tc>
        <w:tc>
          <w:tcPr>
            <w:tcW w:w="638" w:type="dxa"/>
            <w:vMerge w:val="continue"/>
            <w:tcBorders>
              <w:left w:val="single" w:color="auto" w:sz="4" w:space="0"/>
              <w:right w:val="single" w:color="auto" w:sz="4" w:space="0"/>
            </w:tcBorders>
            <w:vAlign w:val="center"/>
          </w:tcPr>
          <w:p>
            <w:pPr>
              <w:jc w:val="center"/>
              <w:rPr>
                <w:rFonts w:ascii="仿宋_GB2312"/>
                <w:sz w:val="15"/>
                <w:szCs w:val="15"/>
              </w:rPr>
            </w:pP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pPr>
              <w:jc w:val="center"/>
              <w:rPr>
                <w:rFonts w:ascii="仿宋_GB2312"/>
                <w:sz w:val="15"/>
                <w:szCs w:val="15"/>
              </w:rPr>
            </w:pPr>
            <w:r>
              <w:rPr>
                <w:rFonts w:hint="eastAsia" w:ascii="仿宋_GB2312"/>
                <w:sz w:val="15"/>
                <w:szCs w:val="15"/>
              </w:rPr>
              <w:t>生态效益（2分）</w:t>
            </w:r>
          </w:p>
        </w:tc>
        <w:tc>
          <w:tcPr>
            <w:tcW w:w="569" w:type="dxa"/>
            <w:tcBorders>
              <w:top w:val="single" w:color="auto" w:sz="4" w:space="0"/>
              <w:left w:val="single" w:color="auto" w:sz="4" w:space="0"/>
              <w:bottom w:val="single" w:color="auto" w:sz="4" w:space="0"/>
            </w:tcBorders>
            <w:vAlign w:val="center"/>
          </w:tcPr>
          <w:p>
            <w:pPr>
              <w:jc w:val="center"/>
              <w:rPr>
                <w:rFonts w:hint="eastAsia" w:ascii="仿宋_GB2312" w:eastAsia="仿宋_GB2312"/>
                <w:sz w:val="15"/>
                <w:szCs w:val="15"/>
                <w:lang w:val="en-US" w:eastAsia="zh-CN"/>
              </w:rPr>
            </w:pPr>
            <w:r>
              <w:rPr>
                <w:rFonts w:hint="eastAsia" w:ascii="仿宋_GB2312"/>
                <w:sz w:val="15"/>
                <w:szCs w:val="15"/>
                <w:lang w:val="en-US" w:eastAsia="zh-CN"/>
              </w:rPr>
              <w:t>2</w:t>
            </w:r>
          </w:p>
        </w:tc>
        <w:tc>
          <w:tcPr>
            <w:tcW w:w="1842" w:type="dxa"/>
            <w:tcBorders>
              <w:top w:val="single" w:color="auto" w:sz="4" w:space="0"/>
              <w:left w:val="single" w:color="auto" w:sz="4" w:space="0"/>
              <w:bottom w:val="single" w:color="auto" w:sz="4" w:space="0"/>
              <w:right w:val="single" w:color="auto" w:sz="4" w:space="0"/>
            </w:tcBorders>
            <w:vAlign w:val="center"/>
          </w:tcPr>
          <w:p>
            <w:pPr>
              <w:jc w:val="left"/>
              <w:rPr>
                <w:rFonts w:ascii="仿宋_GB2312"/>
                <w:sz w:val="15"/>
                <w:szCs w:val="15"/>
              </w:rPr>
            </w:pPr>
            <w:r>
              <w:rPr>
                <w:rFonts w:hint="eastAsia" w:ascii="仿宋_GB2312"/>
                <w:sz w:val="15"/>
                <w:szCs w:val="15"/>
              </w:rPr>
              <w:t>部门履行职责对生态环境所带来的直接或间接影响。</w:t>
            </w:r>
          </w:p>
        </w:tc>
        <w:tc>
          <w:tcPr>
            <w:tcW w:w="2977" w:type="dxa"/>
            <w:vMerge w:val="continue"/>
            <w:tcBorders>
              <w:left w:val="single" w:color="auto" w:sz="4" w:space="0"/>
              <w:bottom w:val="single" w:color="auto" w:sz="4" w:space="0"/>
              <w:right w:val="single" w:color="auto" w:sz="4" w:space="0"/>
            </w:tcBorders>
            <w:vAlign w:val="center"/>
          </w:tcPr>
          <w:p>
            <w:pPr>
              <w:tabs>
                <w:tab w:val="left" w:pos="2604"/>
              </w:tabs>
              <w:jc w:val="center"/>
              <w:rPr>
                <w:rFonts w:ascii="仿宋_GB2312"/>
                <w:sz w:val="15"/>
                <w:szCs w:val="15"/>
              </w:rPr>
            </w:pPr>
          </w:p>
        </w:tc>
        <w:tc>
          <w:tcPr>
            <w:tcW w:w="1496" w:type="dxa"/>
            <w:tcBorders>
              <w:top w:val="single" w:color="auto" w:sz="4" w:space="0"/>
              <w:left w:val="single" w:color="auto" w:sz="4" w:space="0"/>
              <w:bottom w:val="single" w:color="auto" w:sz="4" w:space="0"/>
              <w:right w:val="single" w:color="auto" w:sz="4" w:space="0"/>
            </w:tcBorders>
            <w:vAlign w:val="center"/>
          </w:tcPr>
          <w:p>
            <w:pPr>
              <w:tabs>
                <w:tab w:val="left" w:pos="2604"/>
              </w:tabs>
              <w:jc w:val="left"/>
              <w:rPr>
                <w:rFonts w:ascii="仿宋_GB2312"/>
                <w:sz w:val="15"/>
                <w:szCs w:val="15"/>
              </w:rPr>
            </w:pPr>
            <w:r>
              <w:rPr>
                <w:rFonts w:hint="eastAsia" w:ascii="仿宋_GB2312"/>
                <w:sz w:val="15"/>
                <w:szCs w:val="15"/>
              </w:rPr>
              <w:t>绩效目标、工作计划和工作总结等相关资料。</w:t>
            </w:r>
          </w:p>
        </w:tc>
      </w:tr>
      <w:tr>
        <w:tblPrEx>
          <w:tblLayout w:type="fixed"/>
          <w:tblCellMar>
            <w:top w:w="0" w:type="dxa"/>
            <w:left w:w="28" w:type="dxa"/>
            <w:bottom w:w="0" w:type="dxa"/>
            <w:right w:w="28" w:type="dxa"/>
          </w:tblCellMar>
        </w:tblPrEx>
        <w:trPr>
          <w:trHeight w:val="1261" w:hRule="atLeast"/>
          <w:jc w:val="center"/>
        </w:trPr>
        <w:tc>
          <w:tcPr>
            <w:tcW w:w="479" w:type="dxa"/>
            <w:vMerge w:val="continue"/>
            <w:tcBorders>
              <w:left w:val="single" w:color="auto" w:sz="4" w:space="0"/>
              <w:bottom w:val="single" w:color="auto" w:sz="4" w:space="0"/>
              <w:right w:val="single" w:color="auto" w:sz="4" w:space="0"/>
            </w:tcBorders>
            <w:vAlign w:val="center"/>
          </w:tcPr>
          <w:p>
            <w:pPr>
              <w:jc w:val="center"/>
              <w:rPr>
                <w:sz w:val="18"/>
                <w:szCs w:val="18"/>
              </w:rPr>
            </w:pPr>
          </w:p>
        </w:tc>
        <w:tc>
          <w:tcPr>
            <w:tcW w:w="638" w:type="dxa"/>
            <w:vMerge w:val="continue"/>
            <w:tcBorders>
              <w:left w:val="single" w:color="auto" w:sz="4" w:space="0"/>
              <w:bottom w:val="single" w:color="auto" w:sz="4" w:space="0"/>
              <w:right w:val="single" w:color="auto" w:sz="4" w:space="0"/>
            </w:tcBorders>
            <w:vAlign w:val="center"/>
          </w:tcPr>
          <w:p>
            <w:pPr>
              <w:jc w:val="center"/>
              <w:rPr>
                <w:rFonts w:ascii="仿宋_GB2312"/>
                <w:sz w:val="15"/>
                <w:szCs w:val="15"/>
              </w:rPr>
            </w:pP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pPr>
              <w:jc w:val="center"/>
              <w:rPr>
                <w:rFonts w:ascii="仿宋_GB2312"/>
                <w:sz w:val="15"/>
                <w:szCs w:val="15"/>
              </w:rPr>
            </w:pPr>
            <w:r>
              <w:rPr>
                <w:rFonts w:hint="eastAsia" w:ascii="仿宋_GB2312"/>
                <w:sz w:val="15"/>
                <w:szCs w:val="15"/>
              </w:rPr>
              <w:t>社会公众或服务对象满意度（5分）</w:t>
            </w:r>
          </w:p>
        </w:tc>
        <w:tc>
          <w:tcPr>
            <w:tcW w:w="569" w:type="dxa"/>
            <w:tcBorders>
              <w:top w:val="single" w:color="auto" w:sz="4" w:space="0"/>
              <w:left w:val="single" w:color="auto" w:sz="4" w:space="0"/>
              <w:bottom w:val="single" w:color="auto" w:sz="4" w:space="0"/>
            </w:tcBorders>
            <w:vAlign w:val="center"/>
          </w:tcPr>
          <w:p>
            <w:pPr>
              <w:tabs>
                <w:tab w:val="left" w:pos="2604"/>
              </w:tabs>
              <w:jc w:val="center"/>
              <w:rPr>
                <w:rFonts w:hint="eastAsia" w:ascii="仿宋_GB2312" w:eastAsia="仿宋_GB2312"/>
                <w:sz w:val="15"/>
                <w:szCs w:val="15"/>
                <w:lang w:val="en-US" w:eastAsia="zh-CN"/>
              </w:rPr>
            </w:pPr>
            <w:r>
              <w:rPr>
                <w:rFonts w:hint="eastAsia" w:ascii="仿宋_GB2312"/>
                <w:sz w:val="15"/>
                <w:szCs w:val="15"/>
                <w:lang w:val="en-US" w:eastAsia="zh-CN"/>
              </w:rPr>
              <w:t>5</w:t>
            </w:r>
          </w:p>
        </w:tc>
        <w:tc>
          <w:tcPr>
            <w:tcW w:w="1842" w:type="dxa"/>
            <w:tcBorders>
              <w:top w:val="single" w:color="auto" w:sz="4" w:space="0"/>
              <w:left w:val="single" w:color="auto" w:sz="4" w:space="0"/>
              <w:bottom w:val="single" w:color="auto" w:sz="4" w:space="0"/>
              <w:right w:val="single" w:color="auto" w:sz="4" w:space="0"/>
            </w:tcBorders>
            <w:vAlign w:val="center"/>
          </w:tcPr>
          <w:p>
            <w:pPr>
              <w:tabs>
                <w:tab w:val="left" w:pos="2604"/>
              </w:tabs>
              <w:rPr>
                <w:rFonts w:ascii="仿宋_GB2312"/>
                <w:sz w:val="15"/>
                <w:szCs w:val="15"/>
              </w:rPr>
            </w:pPr>
            <w:r>
              <w:rPr>
                <w:rFonts w:hint="eastAsia" w:ascii="仿宋_GB2312"/>
                <w:sz w:val="15"/>
                <w:szCs w:val="15"/>
              </w:rPr>
              <w:t>社会公众或部门的服务对象对部门履职效果的满意程度。</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仿宋_GB2312"/>
                <w:sz w:val="15"/>
                <w:szCs w:val="15"/>
              </w:rPr>
            </w:pPr>
            <w:r>
              <w:rPr>
                <w:rFonts w:hint="eastAsia" w:ascii="仿宋_GB2312" w:hAnsi="宋体" w:cs="宋体"/>
                <w:kern w:val="0"/>
                <w:sz w:val="15"/>
                <w:szCs w:val="15"/>
              </w:rPr>
              <w:t>按收集到的服务对象的满意率计算得分（5分）。</w:t>
            </w: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z w:val="15"/>
                <w:szCs w:val="15"/>
              </w:rPr>
            </w:pPr>
            <w:r>
              <w:rPr>
                <w:rFonts w:hint="eastAsia" w:ascii="仿宋_GB2312"/>
                <w:sz w:val="15"/>
                <w:szCs w:val="15"/>
              </w:rPr>
              <w:t>问卷调查、访谈</w:t>
            </w:r>
          </w:p>
        </w:tc>
      </w:tr>
      <w:tr>
        <w:tblPrEx>
          <w:tblLayout w:type="fixed"/>
          <w:tblCellMar>
            <w:top w:w="0" w:type="dxa"/>
            <w:left w:w="28" w:type="dxa"/>
            <w:bottom w:w="0" w:type="dxa"/>
            <w:right w:w="28" w:type="dxa"/>
          </w:tblCellMar>
        </w:tblPrEx>
        <w:trPr>
          <w:trHeight w:val="698" w:hRule="atLeast"/>
          <w:jc w:val="center"/>
        </w:trPr>
        <w:tc>
          <w:tcPr>
            <w:tcW w:w="111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合计</w:t>
            </w:r>
          </w:p>
        </w:tc>
        <w:tc>
          <w:tcPr>
            <w:tcW w:w="1173" w:type="dxa"/>
            <w:tcBorders>
              <w:top w:val="single" w:color="auto" w:sz="4" w:space="0"/>
              <w:left w:val="single" w:color="auto" w:sz="4" w:space="0"/>
              <w:bottom w:val="single" w:color="auto" w:sz="4" w:space="0"/>
            </w:tcBorders>
            <w:tcMar>
              <w:top w:w="10" w:type="dxa"/>
              <w:left w:w="10" w:type="dxa"/>
              <w:bottom w:w="0" w:type="dxa"/>
              <w:right w:w="10" w:type="dxa"/>
            </w:tcMar>
            <w:vAlign w:val="center"/>
          </w:tcPr>
          <w:p>
            <w:pPr>
              <w:jc w:val="center"/>
              <w:rPr>
                <w:rFonts w:ascii="仿宋_GB2312"/>
                <w:sz w:val="18"/>
                <w:szCs w:val="18"/>
              </w:rPr>
            </w:pPr>
            <w:r>
              <w:rPr>
                <w:rFonts w:hint="eastAsia" w:ascii="仿宋_GB2312"/>
                <w:sz w:val="18"/>
                <w:szCs w:val="18"/>
              </w:rPr>
              <w:t>100分</w:t>
            </w:r>
          </w:p>
        </w:tc>
        <w:tc>
          <w:tcPr>
            <w:tcW w:w="569" w:type="dxa"/>
            <w:tcBorders>
              <w:top w:val="single" w:color="auto" w:sz="4" w:space="0"/>
              <w:left w:val="single" w:color="auto" w:sz="4" w:space="0"/>
              <w:bottom w:val="single" w:color="auto" w:sz="4" w:space="0"/>
            </w:tcBorders>
            <w:vAlign w:val="center"/>
          </w:tcPr>
          <w:p>
            <w:pPr>
              <w:jc w:val="center"/>
              <w:rPr>
                <w:rFonts w:hint="eastAsia" w:ascii="仿宋_GB2312" w:eastAsia="仿宋_GB2312"/>
                <w:sz w:val="18"/>
                <w:szCs w:val="18"/>
                <w:lang w:val="en-US" w:eastAsia="zh-CN"/>
              </w:rPr>
            </w:pPr>
            <w:r>
              <w:rPr>
                <w:rFonts w:hint="eastAsia" w:ascii="仿宋_GB2312"/>
                <w:sz w:val="18"/>
                <w:szCs w:val="18"/>
                <w:lang w:val="en-US" w:eastAsia="zh-CN"/>
              </w:rPr>
              <w:t>90</w:t>
            </w:r>
          </w:p>
        </w:tc>
        <w:tc>
          <w:tcPr>
            <w:tcW w:w="6315"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_GB2312"/>
                <w:sz w:val="18"/>
                <w:szCs w:val="18"/>
              </w:rPr>
            </w:pPr>
            <w:r>
              <w:rPr>
                <w:rFonts w:hint="eastAsia" w:ascii="仿宋_GB2312"/>
                <w:sz w:val="18"/>
                <w:szCs w:val="18"/>
              </w:rPr>
              <w:t>评价等次：实际得分（S）≥90,优秀；90＞S≥80,良好；80＞S≥60,合格；S＜60，不合格。</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C50D3"/>
    <w:multiLevelType w:val="singleLevel"/>
    <w:tmpl w:val="119C50D3"/>
    <w:lvl w:ilvl="0" w:tentative="0">
      <w:start w:val="1"/>
      <w:numFmt w:val="decimal"/>
      <w:suff w:val="nothing"/>
      <w:lvlText w:val="（%1）"/>
      <w:lvlJc w:val="left"/>
    </w:lvl>
  </w:abstractNum>
  <w:abstractNum w:abstractNumId="1">
    <w:nsid w:val="593F9437"/>
    <w:multiLevelType w:val="singleLevel"/>
    <w:tmpl w:val="593F9437"/>
    <w:lvl w:ilvl="0" w:tentative="0">
      <w:start w:val="1"/>
      <w:numFmt w:val="decimal"/>
      <w:suff w:val="nothing"/>
      <w:lvlText w:val="%1、"/>
      <w:lvlJc w:val="left"/>
    </w:lvl>
  </w:abstractNum>
  <w:abstractNum w:abstractNumId="2">
    <w:nsid w:val="5AF54192"/>
    <w:multiLevelType w:val="singleLevel"/>
    <w:tmpl w:val="5AF54192"/>
    <w:lvl w:ilvl="0" w:tentative="0">
      <w:start w:val="1"/>
      <w:numFmt w:val="decimal"/>
      <w:suff w:val="nothing"/>
      <w:lvlText w:val="%1."/>
      <w:lvlJc w:val="left"/>
    </w:lvl>
  </w:abstractNum>
  <w:abstractNum w:abstractNumId="3">
    <w:nsid w:val="5C2F0C75"/>
    <w:multiLevelType w:val="singleLevel"/>
    <w:tmpl w:val="5C2F0C75"/>
    <w:lvl w:ilvl="0" w:tentative="0">
      <w:start w:val="2"/>
      <w:numFmt w:val="decimal"/>
      <w:suff w:val="nothing"/>
      <w:lvlText w:val="（%1）"/>
      <w:lvlJc w:val="left"/>
    </w:lvl>
  </w:abstractNum>
  <w:abstractNum w:abstractNumId="4">
    <w:nsid w:val="5CD22E6B"/>
    <w:multiLevelType w:val="singleLevel"/>
    <w:tmpl w:val="5CD22E6B"/>
    <w:lvl w:ilvl="0" w:tentative="0">
      <w:start w:val="2"/>
      <w:numFmt w:val="chineseCounting"/>
      <w:suff w:val="nothing"/>
      <w:lvlText w:val="（%1）"/>
      <w:lvlJc w:val="left"/>
    </w:lvl>
  </w:abstractNum>
  <w:abstractNum w:abstractNumId="5">
    <w:nsid w:val="5CD234B4"/>
    <w:multiLevelType w:val="singleLevel"/>
    <w:tmpl w:val="5CD234B4"/>
    <w:lvl w:ilvl="0" w:tentative="0">
      <w:start w:val="1"/>
      <w:numFmt w:val="decimal"/>
      <w:suff w:val="nothing"/>
      <w:lvlText w:val="（%1）"/>
      <w:lvlJc w:val="left"/>
    </w:lvl>
  </w:abstractNum>
  <w:abstractNum w:abstractNumId="6">
    <w:nsid w:val="720272C2"/>
    <w:multiLevelType w:val="singleLevel"/>
    <w:tmpl w:val="720272C2"/>
    <w:lvl w:ilvl="0" w:tentative="0">
      <w:start w:val="2"/>
      <w:numFmt w:val="chineseCounting"/>
      <w:suff w:val="nothing"/>
      <w:lvlText w:val="（%1）"/>
      <w:lvlJc w:val="left"/>
      <w:rPr>
        <w:rFonts w:hint="eastAsia"/>
      </w:rPr>
    </w:lvl>
  </w:abstractNum>
  <w:num w:numId="1">
    <w:abstractNumId w:val="6"/>
  </w:num>
  <w:num w:numId="2">
    <w:abstractNumId w:val="2"/>
  </w:num>
  <w:num w:numId="3">
    <w:abstractNumId w:val="4"/>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60F8E"/>
    <w:rsid w:val="000E01B9"/>
    <w:rsid w:val="00112B1C"/>
    <w:rsid w:val="001411B7"/>
    <w:rsid w:val="00165CDE"/>
    <w:rsid w:val="002827B9"/>
    <w:rsid w:val="002919C4"/>
    <w:rsid w:val="0032728D"/>
    <w:rsid w:val="0033313D"/>
    <w:rsid w:val="004336BC"/>
    <w:rsid w:val="004852DB"/>
    <w:rsid w:val="004D77ED"/>
    <w:rsid w:val="004F2643"/>
    <w:rsid w:val="005610A2"/>
    <w:rsid w:val="005B6DCE"/>
    <w:rsid w:val="005D1E83"/>
    <w:rsid w:val="00601021"/>
    <w:rsid w:val="0068776A"/>
    <w:rsid w:val="0077779E"/>
    <w:rsid w:val="008200F2"/>
    <w:rsid w:val="00820F8E"/>
    <w:rsid w:val="0083370E"/>
    <w:rsid w:val="00864CBE"/>
    <w:rsid w:val="008B78CE"/>
    <w:rsid w:val="008C6210"/>
    <w:rsid w:val="008F25B0"/>
    <w:rsid w:val="0090046A"/>
    <w:rsid w:val="00910DC6"/>
    <w:rsid w:val="00974162"/>
    <w:rsid w:val="0097453A"/>
    <w:rsid w:val="00994DB7"/>
    <w:rsid w:val="009B21DE"/>
    <w:rsid w:val="00A530A7"/>
    <w:rsid w:val="00A730D7"/>
    <w:rsid w:val="00AB5795"/>
    <w:rsid w:val="00B5184D"/>
    <w:rsid w:val="00B60F8E"/>
    <w:rsid w:val="00B830BE"/>
    <w:rsid w:val="00B85AAB"/>
    <w:rsid w:val="00C46C7B"/>
    <w:rsid w:val="00C51F0B"/>
    <w:rsid w:val="00CC57AD"/>
    <w:rsid w:val="00D1430D"/>
    <w:rsid w:val="00D5493D"/>
    <w:rsid w:val="00D61E73"/>
    <w:rsid w:val="00D76693"/>
    <w:rsid w:val="00D877AD"/>
    <w:rsid w:val="00E270B3"/>
    <w:rsid w:val="00FB219A"/>
    <w:rsid w:val="00FD59B9"/>
    <w:rsid w:val="095674FB"/>
    <w:rsid w:val="0D8F4D62"/>
    <w:rsid w:val="117A4B86"/>
    <w:rsid w:val="1CA63B0A"/>
    <w:rsid w:val="1D67383E"/>
    <w:rsid w:val="211C6ACD"/>
    <w:rsid w:val="22E0028A"/>
    <w:rsid w:val="301A74BB"/>
    <w:rsid w:val="32C15FC3"/>
    <w:rsid w:val="34E75637"/>
    <w:rsid w:val="3DC14F03"/>
    <w:rsid w:val="3E627940"/>
    <w:rsid w:val="41005D00"/>
    <w:rsid w:val="42C35E88"/>
    <w:rsid w:val="45191537"/>
    <w:rsid w:val="494B388B"/>
    <w:rsid w:val="4E91257E"/>
    <w:rsid w:val="521129FD"/>
    <w:rsid w:val="56137E80"/>
    <w:rsid w:val="575C752C"/>
    <w:rsid w:val="57B749B8"/>
    <w:rsid w:val="5CA66467"/>
    <w:rsid w:val="60B05B64"/>
    <w:rsid w:val="6272735C"/>
    <w:rsid w:val="661136E9"/>
    <w:rsid w:val="6C9440D3"/>
    <w:rsid w:val="6CEB4E63"/>
    <w:rsid w:val="70831FA2"/>
    <w:rsid w:val="73C775F5"/>
    <w:rsid w:val="751C4342"/>
    <w:rsid w:val="75C47CFC"/>
    <w:rsid w:val="7C036A40"/>
    <w:rsid w:val="7DA62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列出段落1"/>
    <w:basedOn w:val="1"/>
    <w:qFormat/>
    <w:uiPriority w:val="0"/>
    <w:pPr>
      <w:ind w:firstLine="420" w:firstLineChars="200"/>
    </w:pPr>
    <w:rPr>
      <w:rFonts w:ascii="Calibri" w:hAnsi="Calibri" w:eastAsia="宋体" w:cs="Calibri"/>
      <w:sz w:val="21"/>
      <w:szCs w:val="21"/>
    </w:rPr>
  </w:style>
  <w:style w:type="character" w:customStyle="1" w:styleId="9">
    <w:name w:val="页眉 Char"/>
    <w:basedOn w:val="5"/>
    <w:link w:val="3"/>
    <w:semiHidden/>
    <w:qFormat/>
    <w:uiPriority w:val="99"/>
    <w:rPr>
      <w:rFonts w:eastAsia="仿宋_GB2312"/>
      <w:kern w:val="2"/>
      <w:sz w:val="18"/>
      <w:szCs w:val="18"/>
    </w:rPr>
  </w:style>
  <w:style w:type="character" w:customStyle="1" w:styleId="10">
    <w:name w:val="页脚 Char"/>
    <w:basedOn w:val="5"/>
    <w:link w:val="2"/>
    <w:semiHidden/>
    <w:qFormat/>
    <w:uiPriority w:val="99"/>
    <w:rPr>
      <w:rFonts w:eastAsia="仿宋_GB2312"/>
      <w:kern w:val="2"/>
      <w:sz w:val="18"/>
      <w:szCs w:val="18"/>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4</Pages>
  <Words>528</Words>
  <Characters>3010</Characters>
  <Lines>25</Lines>
  <Paragraphs>7</Paragraphs>
  <TotalTime>16</TotalTime>
  <ScaleCrop>false</ScaleCrop>
  <LinksUpToDate>false</LinksUpToDate>
  <CharactersWithSpaces>3531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2019-04-24T07:39:00Z</dcterms:created>
  <dc:creator>张子明</dc:creator>
  <cp:lastModifiedBy>Administrator</cp:lastModifiedBy>
  <cp:lastPrinted>2020-04-24T01:13:00Z</cp:lastPrinted>
  <dcterms:modified xsi:type="dcterms:W3CDTF">2020-04-24T01:43:35Z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