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600" w:lineRule="exact"/>
        <w:ind w:firstLine="340" w:firstLineChars="200"/>
        <w:jc w:val="left"/>
        <w:textAlignment w:val="auto"/>
        <w:rPr>
          <w:rFonts w:hint="default" w:ascii="Times New Roman" w:hAnsi="Times New Roman" w:eastAsia="黑体" w:cs="Times New Roman"/>
          <w:spacing w:val="-20"/>
          <w:sz w:val="21"/>
          <w:szCs w:val="21"/>
        </w:rPr>
      </w:pPr>
    </w:p>
    <w:p>
      <w:pPr>
        <w:keepNext w:val="0"/>
        <w:keepLines w:val="0"/>
        <w:pageBreakBefore w:val="0"/>
        <w:widowControl w:val="0"/>
        <w:kinsoku/>
        <w:wordWrap/>
        <w:overflowPunct/>
        <w:topLinePunct/>
        <w:autoSpaceDE/>
        <w:autoSpaceDN/>
        <w:bidi w:val="0"/>
        <w:spacing w:line="600" w:lineRule="exact"/>
        <w:ind w:firstLine="1800" w:firstLineChars="450"/>
        <w:jc w:val="both"/>
        <w:textAlignment w:val="auto"/>
        <w:rPr>
          <w:rFonts w:hint="default" w:ascii="Times New Roman" w:hAnsi="Times New Roman" w:eastAsia="方正小标宋简体" w:cs="Times New Roman"/>
          <w:spacing w:val="-20"/>
          <w:sz w:val="44"/>
          <w:szCs w:val="44"/>
          <w:lang w:eastAsia="zh-CN"/>
        </w:rPr>
      </w:pPr>
      <w:r>
        <w:rPr>
          <w:rFonts w:hint="default" w:ascii="Times New Roman" w:hAnsi="Times New Roman" w:eastAsia="方正小标宋简体" w:cs="Times New Roman"/>
          <w:spacing w:val="-20"/>
          <w:sz w:val="44"/>
          <w:szCs w:val="44"/>
          <w:lang w:eastAsia="zh-CN"/>
        </w:rPr>
        <w:t>富民县住房和城乡建</w:t>
      </w:r>
      <w:r>
        <w:rPr>
          <w:rFonts w:hint="eastAsia" w:eastAsia="方正小标宋简体" w:cs="Times New Roman"/>
          <w:spacing w:val="-20"/>
          <w:sz w:val="44"/>
          <w:szCs w:val="44"/>
          <w:lang w:eastAsia="zh-CN"/>
        </w:rPr>
        <w:t>设</w:t>
      </w:r>
      <w:r>
        <w:rPr>
          <w:rFonts w:hint="default" w:ascii="Times New Roman" w:hAnsi="Times New Roman" w:eastAsia="方正小标宋简体" w:cs="Times New Roman"/>
          <w:spacing w:val="-20"/>
          <w:sz w:val="44"/>
          <w:szCs w:val="44"/>
          <w:lang w:eastAsia="zh-CN"/>
        </w:rPr>
        <w:t>局</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2019年</w:t>
      </w:r>
      <w:r>
        <w:rPr>
          <w:rFonts w:hint="default" w:ascii="Times New Roman" w:hAnsi="Times New Roman" w:eastAsia="方正小标宋简体" w:cs="Times New Roman"/>
          <w:sz w:val="44"/>
          <w:szCs w:val="44"/>
          <w:lang w:eastAsia="zh-CN"/>
        </w:rPr>
        <w:t>川心营项目</w:t>
      </w:r>
      <w:r>
        <w:rPr>
          <w:rStyle w:val="10"/>
          <w:rFonts w:hint="default" w:ascii="Times New Roman" w:hAnsi="Times New Roman" w:eastAsia="方正小标宋简体" w:cs="Times New Roman"/>
          <w:kern w:val="2"/>
          <w:sz w:val="44"/>
          <w:szCs w:val="44"/>
          <w:lang w:val="en-US" w:eastAsia="zh-CN" w:bidi="ar-SA"/>
        </w:rPr>
        <w:t>失地农民社会保障金、新增建设用地土地有偿使用费</w:t>
      </w:r>
      <w:r>
        <w:rPr>
          <w:rFonts w:hint="default" w:ascii="Times New Roman" w:hAnsi="Times New Roman" w:eastAsia="方正小标宋简体" w:cs="Times New Roman"/>
          <w:sz w:val="44"/>
          <w:szCs w:val="44"/>
        </w:rPr>
        <w:t>支出绩效</w:t>
      </w:r>
    </w:p>
    <w:p>
      <w:pPr>
        <w:keepNext w:val="0"/>
        <w:keepLines w:val="0"/>
        <w:pageBreakBefore w:val="0"/>
        <w:widowControl w:val="0"/>
        <w:kinsoku/>
        <w:wordWrap/>
        <w:overflowPunct/>
        <w:topLinePunct/>
        <w:autoSpaceDE/>
        <w:autoSpaceDN/>
        <w:bidi w:val="0"/>
        <w:spacing w:line="600" w:lineRule="exact"/>
        <w:ind w:firstLine="3520" w:firstLineChars="8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评价报告</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一、项目基本情况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（一）项目概况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1.立项背景及目的。</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Style w:val="10"/>
          <w:rFonts w:hint="default" w:ascii="Times New Roman" w:hAnsi="Times New Roman" w:eastAsia="仿宋_GB2312" w:cs="Times New Roman"/>
          <w:kern w:val="2"/>
          <w:sz w:val="32"/>
          <w:szCs w:val="32"/>
          <w:lang w:val="en-US" w:eastAsia="zh-CN" w:bidi="ar-SA"/>
        </w:rPr>
        <w:t>富民县城建成区棚户区改造项目土地征收报批工作中，川心营项目与班张村片区、东城河片区在同一批次进行报件。东城河片区、班张村片区的失地农民社会保障金和新增建设用地土地有偿使用费已由昆明市保障房公司通过棚改资金进行缴纳，而川心营项目失地农民社会保障金和新增建设用地土地有偿使用费资金没有出处。为顺利推进班张村片区、东城河片区和川心营项目土地征收报批组件工作，需筹集川心营项目失地农民社会保障金171.51万元和新增建设用地土地有偿使用费80.038万元，合计251.548万元。该笔资金筹集后与东城河、班张村的失地农民社会保障金和新增建设用地土地有偿使用费棚改资金一并进行缴纳，确保《富民县2019年度第一批次城镇建设用地》尽快</w:t>
      </w:r>
      <w:r>
        <w:rPr>
          <w:rStyle w:val="10"/>
          <w:rFonts w:hint="eastAsia" w:cs="Times New Roman"/>
          <w:kern w:val="2"/>
          <w:sz w:val="32"/>
          <w:szCs w:val="32"/>
          <w:lang w:val="en-US" w:eastAsia="zh-CN" w:bidi="ar-SA"/>
        </w:rPr>
        <w:t>取得</w:t>
      </w:r>
      <w:r>
        <w:rPr>
          <w:rStyle w:val="10"/>
          <w:rFonts w:hint="default" w:ascii="Times New Roman" w:hAnsi="Times New Roman" w:eastAsia="仿宋_GB2312" w:cs="Times New Roman"/>
          <w:kern w:val="2"/>
          <w:sz w:val="32"/>
          <w:szCs w:val="32"/>
          <w:lang w:val="en-US" w:eastAsia="zh-CN" w:bidi="ar-SA"/>
        </w:rPr>
        <w:t>批复</w:t>
      </w:r>
      <w:r>
        <w:rPr>
          <w:rStyle w:val="10"/>
          <w:rFonts w:hint="eastAsia" w:cs="Times New Roman"/>
          <w:kern w:val="2"/>
          <w:sz w:val="32"/>
          <w:szCs w:val="32"/>
          <w:lang w:val="en-US" w:eastAsia="zh-CN" w:bidi="ar-SA"/>
        </w:rPr>
        <w:t>，完善棚户区改造项目土地征收手续</w:t>
      </w:r>
      <w:r>
        <w:rPr>
          <w:rStyle w:val="10"/>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项目实施情况。</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cs="Times New Roman"/>
          <w:sz w:val="32"/>
          <w:szCs w:val="32"/>
          <w:lang w:val="en-US" w:eastAsia="zh-CN"/>
        </w:rPr>
        <w:t>2019年10月15日</w:t>
      </w: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r>
        <w:rPr>
          <w:rStyle w:val="10"/>
          <w:rFonts w:hint="eastAsia" w:cs="Times New Roman"/>
          <w:kern w:val="2"/>
          <w:sz w:val="32"/>
          <w:szCs w:val="32"/>
          <w:lang w:val="en-US" w:eastAsia="zh-CN" w:bidi="ar-SA"/>
        </w:rPr>
        <w:t>家</w:t>
      </w:r>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autoSpaceDE/>
        <w:autoSpaceDN/>
        <w:bidi w:val="0"/>
        <w:spacing w:line="600" w:lineRule="exact"/>
        <w:ind w:left="0" w:leftChars="0"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资金来源及使用情况。</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Style w:val="10"/>
          <w:rFonts w:hint="eastAsia" w:cs="Times New Roman"/>
          <w:kern w:val="2"/>
          <w:sz w:val="32"/>
          <w:szCs w:val="32"/>
          <w:lang w:val="en-US" w:eastAsia="zh-CN" w:bidi="ar-SA"/>
        </w:rPr>
        <w:t>川心营项目</w:t>
      </w: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w:t>
      </w:r>
      <w:r>
        <w:rPr>
          <w:rStyle w:val="10"/>
          <w:rFonts w:hint="eastAsia" w:cs="Times New Roman"/>
          <w:kern w:val="2"/>
          <w:sz w:val="32"/>
          <w:szCs w:val="32"/>
          <w:lang w:val="en-US" w:eastAsia="zh-CN" w:bidi="ar-SA"/>
        </w:rPr>
        <w:t>由县财政承担，</w:t>
      </w:r>
      <w:r>
        <w:rPr>
          <w:rStyle w:val="10"/>
          <w:rFonts w:hint="default" w:ascii="Times New Roman" w:hAnsi="Times New Roman" w:eastAsia="仿宋_GB2312" w:cs="Times New Roman"/>
          <w:kern w:val="2"/>
          <w:sz w:val="32"/>
          <w:szCs w:val="32"/>
          <w:lang w:val="en-US" w:eastAsia="zh-CN" w:bidi="ar-SA"/>
        </w:rPr>
        <w:t>合计251.548万元</w:t>
      </w:r>
      <w:r>
        <w:rPr>
          <w:rStyle w:val="10"/>
          <w:rFonts w:hint="eastAsia" w:cs="Times New Roman"/>
          <w:kern w:val="2"/>
          <w:sz w:val="32"/>
          <w:szCs w:val="32"/>
          <w:lang w:val="en-US" w:eastAsia="zh-CN" w:bidi="ar-SA"/>
        </w:rPr>
        <w:t>已与</w:t>
      </w:r>
      <w:r>
        <w:rPr>
          <w:rStyle w:val="10"/>
          <w:rFonts w:hint="default" w:ascii="Times New Roman" w:hAnsi="Times New Roman" w:eastAsia="仿宋_GB2312" w:cs="Times New Roman"/>
          <w:kern w:val="2"/>
          <w:sz w:val="32"/>
          <w:szCs w:val="32"/>
          <w:lang w:val="en-US" w:eastAsia="zh-CN" w:bidi="ar-SA"/>
        </w:rPr>
        <w:t>棚改</w:t>
      </w:r>
      <w:r>
        <w:rPr>
          <w:rStyle w:val="10"/>
          <w:rFonts w:hint="eastAsia" w:cs="Times New Roman"/>
          <w:kern w:val="2"/>
          <w:sz w:val="32"/>
          <w:szCs w:val="32"/>
          <w:lang w:val="en-US" w:eastAsia="zh-CN" w:bidi="ar-SA"/>
        </w:rPr>
        <w:t>项目</w:t>
      </w:r>
      <w:r>
        <w:rPr>
          <w:rStyle w:val="10"/>
          <w:rFonts w:hint="default" w:ascii="Times New Roman" w:hAnsi="Times New Roman" w:eastAsia="仿宋_GB2312" w:cs="Times New Roman"/>
          <w:kern w:val="2"/>
          <w:sz w:val="32"/>
          <w:szCs w:val="32"/>
          <w:lang w:val="en-US" w:eastAsia="zh-CN" w:bidi="ar-SA"/>
        </w:rPr>
        <w:t>班张村片区、东城河片区失地农民社会保障金和新增建设用地土地有偿使用费</w:t>
      </w:r>
      <w:r>
        <w:rPr>
          <w:rStyle w:val="10"/>
          <w:rFonts w:hint="eastAsia" w:cs="Times New Roman"/>
          <w:kern w:val="2"/>
          <w:sz w:val="32"/>
          <w:szCs w:val="32"/>
          <w:lang w:val="en-US" w:eastAsia="zh-CN" w:bidi="ar-SA"/>
        </w:rPr>
        <w:t>按缴交相关规定</w:t>
      </w:r>
      <w:r>
        <w:rPr>
          <w:rStyle w:val="10"/>
          <w:rFonts w:hint="default" w:ascii="Times New Roman" w:hAnsi="Times New Roman" w:eastAsia="仿宋_GB2312" w:cs="Times New Roman"/>
          <w:kern w:val="2"/>
          <w:sz w:val="32"/>
          <w:szCs w:val="32"/>
          <w:lang w:val="en-US" w:eastAsia="zh-CN" w:bidi="ar-SA"/>
        </w:rPr>
        <w:t>一并缴入市级专户。</w:t>
      </w:r>
    </w:p>
    <w:p>
      <w:pPr>
        <w:keepNext w:val="0"/>
        <w:keepLines w:val="0"/>
        <w:pageBreakBefore w:val="0"/>
        <w:widowControl w:val="0"/>
        <w:numPr>
          <w:ilvl w:val="0"/>
          <w:numId w:val="1"/>
        </w:numPr>
        <w:kinsoku/>
        <w:wordWrap/>
        <w:overflowPunct/>
        <w:topLinePunct/>
        <w:autoSpaceDE/>
        <w:autoSpaceDN/>
        <w:bidi w:val="0"/>
        <w:spacing w:line="600" w:lineRule="exact"/>
        <w:ind w:left="0" w:leftChars="0"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组织及管理情况。（包括项目组织情况、项目实施流程、资金拨付流程）。</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Style w:val="10"/>
          <w:rFonts w:hint="eastAsia" w:cs="Times New Roman"/>
          <w:kern w:val="2"/>
          <w:sz w:val="32"/>
          <w:szCs w:val="32"/>
          <w:lang w:val="en-US" w:eastAsia="zh-CN" w:bidi="ar-SA"/>
        </w:rPr>
        <w:t>川心营项目</w:t>
      </w: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w:t>
      </w:r>
      <w:r>
        <w:rPr>
          <w:rStyle w:val="10"/>
          <w:rFonts w:hint="eastAsia" w:cs="Times New Roman"/>
          <w:kern w:val="2"/>
          <w:sz w:val="32"/>
          <w:szCs w:val="32"/>
          <w:lang w:val="en-US" w:eastAsia="zh-CN" w:bidi="ar-SA"/>
        </w:rPr>
        <w:t>与</w:t>
      </w:r>
      <w:r>
        <w:rPr>
          <w:rStyle w:val="10"/>
          <w:rFonts w:hint="default" w:ascii="Times New Roman" w:hAnsi="Times New Roman" w:eastAsia="仿宋_GB2312" w:cs="Times New Roman"/>
          <w:kern w:val="2"/>
          <w:sz w:val="32"/>
          <w:szCs w:val="32"/>
          <w:lang w:val="en-US" w:eastAsia="zh-CN" w:bidi="ar-SA"/>
        </w:rPr>
        <w:t>棚改</w:t>
      </w:r>
      <w:r>
        <w:rPr>
          <w:rStyle w:val="10"/>
          <w:rFonts w:hint="eastAsia" w:cs="Times New Roman"/>
          <w:kern w:val="2"/>
          <w:sz w:val="32"/>
          <w:szCs w:val="32"/>
          <w:lang w:val="en-US" w:eastAsia="zh-CN" w:bidi="ar-SA"/>
        </w:rPr>
        <w:t>项目</w:t>
      </w:r>
      <w:r>
        <w:rPr>
          <w:rStyle w:val="10"/>
          <w:rFonts w:hint="default" w:ascii="Times New Roman" w:hAnsi="Times New Roman" w:eastAsia="仿宋_GB2312" w:cs="Times New Roman"/>
          <w:kern w:val="2"/>
          <w:sz w:val="32"/>
          <w:szCs w:val="32"/>
          <w:lang w:val="en-US" w:eastAsia="zh-CN" w:bidi="ar-SA"/>
        </w:rPr>
        <w:t>班张村片区、东城河片区失地农民社会保障金和新增建设用地土地有偿使用费</w:t>
      </w:r>
      <w:r>
        <w:rPr>
          <w:rStyle w:val="10"/>
          <w:rFonts w:hint="eastAsia" w:cs="Times New Roman"/>
          <w:kern w:val="2"/>
          <w:sz w:val="32"/>
          <w:szCs w:val="32"/>
          <w:lang w:val="en-US" w:eastAsia="zh-CN" w:bidi="ar-SA"/>
        </w:rPr>
        <w:t>已按缴交相关规定</w:t>
      </w:r>
      <w:r>
        <w:rPr>
          <w:rStyle w:val="10"/>
          <w:rFonts w:hint="default" w:ascii="Times New Roman" w:hAnsi="Times New Roman" w:eastAsia="仿宋_GB2312" w:cs="Times New Roman"/>
          <w:kern w:val="2"/>
          <w:sz w:val="32"/>
          <w:szCs w:val="32"/>
          <w:lang w:val="en-US" w:eastAsia="zh-CN" w:bidi="ar-SA"/>
        </w:rPr>
        <w:t>一并缴入市级专户。</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（二）绩效目标</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cs="Times New Roman"/>
          <w:szCs w:val="32"/>
        </w:rPr>
      </w:pPr>
      <w:r>
        <w:rPr>
          <w:rFonts w:hint="default" w:ascii="Times New Roman" w:hAnsi="Times New Roman" w:cs="Times New Roman"/>
          <w:szCs w:val="32"/>
        </w:rPr>
        <w:t>1.总目标。</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eastAsia" w:cs="Times New Roman"/>
          <w:szCs w:val="32"/>
          <w:lang w:eastAsia="zh-CN"/>
        </w:rPr>
      </w:pPr>
      <w:r>
        <w:rPr>
          <w:rFonts w:hint="eastAsia" w:cs="Times New Roman"/>
          <w:szCs w:val="32"/>
          <w:lang w:eastAsia="zh-CN"/>
        </w:rPr>
        <w:t>完成</w:t>
      </w:r>
      <w:r>
        <w:rPr>
          <w:rFonts w:hint="default" w:ascii="Times New Roman" w:hAnsi="Times New Roman" w:cs="Times New Roman"/>
          <w:szCs w:val="32"/>
          <w:lang w:eastAsia="zh-CN"/>
        </w:rPr>
        <w:t>《</w:t>
      </w:r>
      <w:r>
        <w:rPr>
          <w:rStyle w:val="10"/>
          <w:rFonts w:hint="default" w:ascii="Times New Roman" w:hAnsi="Times New Roman" w:cs="Times New Roman"/>
          <w:kern w:val="2"/>
          <w:sz w:val="32"/>
          <w:szCs w:val="32"/>
          <w:lang w:val="en-US" w:eastAsia="zh-CN" w:bidi="ar-SA"/>
        </w:rPr>
        <w:t>富民县2019年度第一批次城镇建设用地》</w:t>
      </w:r>
      <w:r>
        <w:rPr>
          <w:rFonts w:hint="default" w:ascii="Times New Roman" w:hAnsi="Times New Roman" w:cs="Times New Roman"/>
          <w:szCs w:val="32"/>
          <w:lang w:eastAsia="zh-CN"/>
        </w:rPr>
        <w:t>土地征收</w:t>
      </w:r>
      <w:r>
        <w:rPr>
          <w:rFonts w:hint="eastAsia" w:cs="Times New Roman"/>
          <w:szCs w:val="32"/>
          <w:lang w:eastAsia="zh-CN"/>
        </w:rPr>
        <w:t>批复。</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cs="Times New Roman"/>
          <w:szCs w:val="32"/>
        </w:rPr>
      </w:pPr>
      <w:r>
        <w:rPr>
          <w:rFonts w:hint="default" w:ascii="Times New Roman" w:hAnsi="Times New Roman" w:cs="Times New Roman"/>
          <w:szCs w:val="32"/>
        </w:rPr>
        <w:t>2.年度目标。</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Cs w:val="32"/>
          <w:lang w:val="en-US" w:eastAsia="zh-CN"/>
        </w:rPr>
      </w:pPr>
      <w:r>
        <w:rPr>
          <w:rFonts w:hint="eastAsia" w:cs="Times New Roman"/>
          <w:szCs w:val="32"/>
          <w:lang w:eastAsia="zh-CN"/>
        </w:rPr>
        <w:t>年内完成</w:t>
      </w:r>
      <w:r>
        <w:rPr>
          <w:rFonts w:hint="default" w:ascii="Times New Roman" w:hAnsi="Times New Roman" w:cs="Times New Roman"/>
          <w:szCs w:val="32"/>
          <w:lang w:eastAsia="zh-CN"/>
        </w:rPr>
        <w:t>《</w:t>
      </w:r>
      <w:r>
        <w:rPr>
          <w:rStyle w:val="10"/>
          <w:rFonts w:hint="default" w:ascii="Times New Roman" w:hAnsi="Times New Roman" w:cs="Times New Roman"/>
          <w:kern w:val="2"/>
          <w:sz w:val="32"/>
          <w:szCs w:val="32"/>
          <w:lang w:val="en-US" w:eastAsia="zh-CN" w:bidi="ar-SA"/>
        </w:rPr>
        <w:t>富民县2019年度第一批次城镇建设用地》</w:t>
      </w:r>
      <w:r>
        <w:rPr>
          <w:rFonts w:hint="default" w:ascii="Times New Roman" w:hAnsi="Times New Roman" w:cs="Times New Roman"/>
          <w:szCs w:val="32"/>
          <w:lang w:eastAsia="zh-CN"/>
        </w:rPr>
        <w:t>土地征收</w:t>
      </w:r>
      <w:r>
        <w:rPr>
          <w:rFonts w:hint="eastAsia" w:cs="Times New Roman"/>
          <w:szCs w:val="32"/>
          <w:lang w:eastAsia="zh-CN"/>
        </w:rPr>
        <w:t>批复，保障棚改项目顺利推进。</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二、绩效评价工作情况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Cs w:val="32"/>
          <w:lang w:eastAsia="zh-CN"/>
        </w:rPr>
      </w:pPr>
      <w:r>
        <w:rPr>
          <w:rFonts w:hint="default" w:ascii="Times New Roman" w:hAnsi="Times New Roman" w:cs="Times New Roman"/>
          <w:szCs w:val="32"/>
          <w:lang w:eastAsia="zh-CN"/>
        </w:rPr>
        <w:t>在实施集体土地征收工作中，必须按土地征收相关工作流程开展征收工作，确保项目合法、合规，防止造成被动情况。</w:t>
      </w:r>
    </w:p>
    <w:p>
      <w:pPr>
        <w:keepNext w:val="0"/>
        <w:keepLines w:val="0"/>
        <w:pageBreakBefore w:val="0"/>
        <w:widowControl w:val="0"/>
        <w:numPr>
          <w:ilvl w:val="0"/>
          <w:numId w:val="2"/>
        </w:numPr>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评价结论</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仿宋_GB2312" w:cs="Times New Roman"/>
          <w:szCs w:val="32"/>
          <w:lang w:val="en-US" w:eastAsia="zh-CN"/>
        </w:rPr>
      </w:pP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r>
        <w:rPr>
          <w:rStyle w:val="10"/>
          <w:rFonts w:hint="eastAsia" w:cs="Times New Roman"/>
          <w:kern w:val="2"/>
          <w:sz w:val="32"/>
          <w:szCs w:val="32"/>
          <w:lang w:val="en-US" w:eastAsia="zh-CN" w:bidi="ar-SA"/>
        </w:rPr>
        <w:t>家</w:t>
      </w:r>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，保障了</w:t>
      </w:r>
      <w:r>
        <w:rPr>
          <w:rFonts w:hint="eastAsia" w:cs="Times New Roman"/>
          <w:szCs w:val="32"/>
          <w:lang w:eastAsia="zh-CN"/>
        </w:rPr>
        <w:t>棚改项目征收工作顺利推进，自评得分</w:t>
      </w:r>
      <w:r>
        <w:rPr>
          <w:rFonts w:hint="eastAsia" w:cs="Times New Roman"/>
          <w:szCs w:val="32"/>
          <w:lang w:val="en-US" w:eastAsia="zh-CN"/>
        </w:rPr>
        <w:t>91分。</w:t>
      </w:r>
      <w:bookmarkStart w:id="0" w:name="_GoBack"/>
      <w:bookmarkEnd w:id="0"/>
    </w:p>
    <w:p>
      <w:pPr>
        <w:keepNext w:val="0"/>
        <w:keepLines w:val="0"/>
        <w:pageBreakBefore w:val="0"/>
        <w:widowControl w:val="0"/>
        <w:numPr>
          <w:ilvl w:val="0"/>
          <w:numId w:val="2"/>
        </w:numPr>
        <w:kinsoku/>
        <w:wordWrap/>
        <w:overflowPunct/>
        <w:topLinePunct/>
        <w:autoSpaceDE/>
        <w:autoSpaceDN/>
        <w:bidi w:val="0"/>
        <w:spacing w:line="600" w:lineRule="exact"/>
        <w:ind w:left="0" w:leftChars="0"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成本效益分析</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default" w:ascii="Times New Roman" w:hAnsi="Times New Roman" w:eastAsia="黑体" w:cs="Times New Roman"/>
          <w:szCs w:val="32"/>
        </w:rPr>
      </w:pPr>
      <w:r>
        <w:rPr>
          <w:rStyle w:val="10"/>
          <w:rFonts w:hint="default" w:ascii="Times New Roman" w:hAnsi="Times New Roman" w:eastAsia="仿宋_GB2312" w:cs="Times New Roman"/>
          <w:kern w:val="2"/>
          <w:sz w:val="32"/>
          <w:szCs w:val="32"/>
          <w:lang w:val="en-US" w:eastAsia="zh-CN" w:bidi="ar-SA"/>
        </w:rPr>
        <w:t>失地农民社会保障金和新增建设用地土地有偿使用费缴入市级专户</w:t>
      </w:r>
      <w:r>
        <w:rPr>
          <w:rStyle w:val="10"/>
          <w:rFonts w:hint="default" w:ascii="Times New Roman" w:hAnsi="Times New Roman" w:cs="Times New Roman"/>
          <w:kern w:val="2"/>
          <w:sz w:val="32"/>
          <w:szCs w:val="32"/>
          <w:lang w:val="en-US" w:eastAsia="zh-CN" w:bidi="ar-SA"/>
        </w:rPr>
        <w:t>后，</w:t>
      </w:r>
      <w:r>
        <w:rPr>
          <w:rFonts w:hint="eastAsia" w:cs="Times New Roman"/>
          <w:sz w:val="32"/>
          <w:szCs w:val="32"/>
          <w:lang w:eastAsia="zh-CN"/>
        </w:rPr>
        <w:t>已取得</w:t>
      </w:r>
      <w:r>
        <w:rPr>
          <w:rFonts w:hint="default" w:ascii="Times New Roman" w:hAnsi="Times New Roman" w:eastAsia="仿宋_GB2312" w:cs="Times New Roman"/>
          <w:sz w:val="32"/>
          <w:szCs w:val="32"/>
          <w:lang w:eastAsia="zh-CN"/>
        </w:rPr>
        <w:t>《</w:t>
      </w:r>
      <w:r>
        <w:rPr>
          <w:rFonts w:hint="eastAsia" w:cs="Times New Roman"/>
          <w:sz w:val="32"/>
          <w:szCs w:val="32"/>
          <w:lang w:eastAsia="zh-CN"/>
        </w:rPr>
        <w:t>昆明市人民政府关于</w:t>
      </w:r>
      <w:r>
        <w:rPr>
          <w:rStyle w:val="10"/>
          <w:rFonts w:hint="default" w:ascii="Times New Roman" w:hAnsi="Times New Roman" w:eastAsia="仿宋_GB2312" w:cs="Times New Roman"/>
          <w:kern w:val="2"/>
          <w:sz w:val="32"/>
          <w:szCs w:val="32"/>
          <w:lang w:val="en-US" w:eastAsia="zh-CN" w:bidi="ar-SA"/>
        </w:rPr>
        <w:t>富民县2019年度第一批城镇建设</w:t>
      </w:r>
      <w:r>
        <w:rPr>
          <w:rStyle w:val="10"/>
          <w:rFonts w:hint="eastAsia" w:cs="Times New Roman"/>
          <w:kern w:val="2"/>
          <w:sz w:val="32"/>
          <w:szCs w:val="32"/>
          <w:lang w:val="en-US" w:eastAsia="zh-CN" w:bidi="ar-SA"/>
        </w:rPr>
        <w:t>家</w:t>
      </w:r>
      <w:r>
        <w:rPr>
          <w:rStyle w:val="10"/>
          <w:rFonts w:hint="default" w:ascii="Times New Roman" w:hAnsi="Times New Roman" w:eastAsia="仿宋_GB2312" w:cs="Times New Roman"/>
          <w:kern w:val="2"/>
          <w:sz w:val="32"/>
          <w:szCs w:val="32"/>
          <w:lang w:val="en-US" w:eastAsia="zh-CN" w:bidi="ar-SA"/>
        </w:rPr>
        <w:t>用地</w:t>
      </w:r>
      <w:r>
        <w:rPr>
          <w:rStyle w:val="10"/>
          <w:rFonts w:hint="eastAsia" w:cs="Times New Roman"/>
          <w:kern w:val="2"/>
          <w:sz w:val="32"/>
          <w:szCs w:val="32"/>
          <w:lang w:val="en-US" w:eastAsia="zh-CN" w:bidi="ar-SA"/>
        </w:rPr>
        <w:t>转用及征收的批复</w:t>
      </w:r>
      <w:r>
        <w:rPr>
          <w:rStyle w:val="10"/>
          <w:rFonts w:hint="default" w:ascii="Times New Roman" w:hAnsi="Times New Roman" w:eastAsia="仿宋_GB2312" w:cs="Times New Roman"/>
          <w:kern w:val="2"/>
          <w:sz w:val="32"/>
          <w:szCs w:val="32"/>
          <w:lang w:val="en-US" w:eastAsia="zh-CN" w:bidi="ar-SA"/>
        </w:rPr>
        <w:t>》</w:t>
      </w:r>
      <w:r>
        <w:rPr>
          <w:rStyle w:val="10"/>
          <w:rFonts w:hint="eastAsia" w:cs="Times New Roman"/>
          <w:kern w:val="2"/>
          <w:sz w:val="32"/>
          <w:szCs w:val="32"/>
          <w:lang w:val="en-US" w:eastAsia="zh-CN" w:bidi="ar-SA"/>
        </w:rPr>
        <w:t>，保障了</w:t>
      </w:r>
      <w:r>
        <w:rPr>
          <w:rFonts w:hint="eastAsia" w:cs="Times New Roman"/>
          <w:szCs w:val="32"/>
          <w:lang w:eastAsia="zh-CN"/>
        </w:rPr>
        <w:t>棚改项目征收工作顺利推进</w:t>
      </w:r>
      <w:r>
        <w:rPr>
          <w:rFonts w:hint="default" w:ascii="Times New Roman" w:hAnsi="Times New Roman" w:cs="Times New Roman"/>
          <w:szCs w:val="32"/>
          <w:lang w:eastAsia="zh-CN"/>
        </w:rPr>
        <w:t>。</w:t>
      </w:r>
    </w:p>
    <w:p>
      <w:pPr>
        <w:keepNext w:val="0"/>
        <w:keepLines w:val="0"/>
        <w:pageBreakBefore w:val="0"/>
        <w:widowControl w:val="0"/>
        <w:numPr>
          <w:ilvl w:val="0"/>
          <w:numId w:val="2"/>
        </w:numPr>
        <w:kinsoku/>
        <w:wordWrap/>
        <w:overflowPunct/>
        <w:topLinePunct/>
        <w:autoSpaceDE/>
        <w:autoSpaceDN/>
        <w:bidi w:val="0"/>
        <w:spacing w:line="600" w:lineRule="exact"/>
        <w:ind w:left="0" w:leftChars="0" w:firstLine="800" w:firstLineChars="25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主要经验及做法</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一是积极与县级主要领导汇报资金需求的紧迫性和重要性，取得领导的支持和理解。</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二是加强与县级相关审批申报部门沟通对接，做好前期准备工作。</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三是协调各有关部门加快审批，尽快取得批复，使项目在最短时间内完成审批。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5"/>
        <w:textAlignment w:val="auto"/>
        <w:rPr>
          <w:rFonts w:hint="eastAsia" w:ascii="Times New Roman" w:hAnsi="Times New Roman" w:eastAsia="仿宋_GB2312" w:cs="Times New Roman"/>
          <w:sz w:val="32"/>
          <w:szCs w:val="32"/>
          <w:lang w:val="en-US" w:eastAsia="zh-CN"/>
        </w:rPr>
      </w:pPr>
    </w:p>
    <w:tbl>
      <w:tblPr>
        <w:tblStyle w:val="7"/>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rHeight w:val="642" w:hRule="atLeast"/>
          <w:tblHeader/>
          <w:jc w:val="center"/>
        </w:trPr>
        <w:tc>
          <w:tcPr>
            <w:tcW w:w="9174" w:type="dxa"/>
            <w:gridSpan w:val="8"/>
            <w:tcBorders>
              <w:bottom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afterLines="50" w:line="60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Cs/>
                <w:sz w:val="36"/>
                <w:szCs w:val="36"/>
              </w:rPr>
              <w:t>201</w:t>
            </w:r>
            <w:r>
              <w:rPr>
                <w:rFonts w:hint="default" w:ascii="Times New Roman" w:hAnsi="Times New Roman" w:eastAsia="黑体" w:cs="Times New Roman"/>
                <w:bCs/>
                <w:sz w:val="36"/>
                <w:szCs w:val="36"/>
                <w:lang w:val="en-US" w:eastAsia="zh-CN"/>
              </w:rPr>
              <w:t>9</w:t>
            </w:r>
            <w:r>
              <w:rPr>
                <w:rFonts w:hint="default" w:ascii="Times New Roman" w:hAnsi="Times New Roman" w:eastAsia="黑体" w:cs="Times New Roman"/>
                <w:bCs/>
                <w:sz w:val="36"/>
                <w:szCs w:val="36"/>
              </w:rPr>
              <w:t>年项目支出绩效自评指标评分表</w:t>
            </w: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一级</w:t>
            </w:r>
            <w:r>
              <w:rPr>
                <w:rFonts w:hint="default" w:ascii="Times New Roman" w:hAnsi="Times New Roman" w:cs="Times New Roman"/>
                <w:bCs/>
                <w:sz w:val="21"/>
                <w:szCs w:val="21"/>
              </w:rPr>
              <w:br w:type="textWrapping"/>
            </w:r>
            <w:r>
              <w:rPr>
                <w:rFonts w:hint="default" w:ascii="Times New Roman" w:hAnsi="Times New Roman" w:cs="Times New Roman"/>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二级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三级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5"/>
                <w:szCs w:val="15"/>
              </w:rPr>
            </w:pPr>
            <w:r>
              <w:rPr>
                <w:rFonts w:hint="default" w:ascii="Times New Roman" w:hAnsi="Times New Roman" w:cs="Times New Roman"/>
                <w:sz w:val="15"/>
                <w:szCs w:val="15"/>
              </w:rPr>
              <w:t>一、项目决策（20分）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1项目立项(10)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1.与部门中长期规划目标适应性。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val="en-US" w:eastAsia="zh-CN"/>
              </w:rPr>
            </w:pPr>
            <w:r>
              <w:rPr>
                <w:rFonts w:hint="eastAsia" w:cs="Times New Roman"/>
                <w:sz w:val="18"/>
                <w:szCs w:val="18"/>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考察项目与部门中长期目标是否匹配。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①部门年度工作目标是否明确设定，得2分；②年度工作目标与部门中长期规划目标一致，得2分。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2.立项依据充分性。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考察项目是否符合政府相关发展规划和政府决策</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符合，得满分；不符合，不得分。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3.项目立项规范性。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考察项目是否与部门职责密切相关。</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2项目目标(10)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1.绩效目标设定的合理性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考察设定的绩效目标是是否与事业发展规划相关；是否完整地反应预期产出和效果；是否与年度预算相匹配。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2.绩效指标设定的明确性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考察是否将绩效目标细化分解为清晰、可衡量的绩效指标；是否与年度工作任务相对应。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二、项目管理（20分）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8"/>
                <w:szCs w:val="18"/>
              </w:rPr>
            </w:pPr>
            <w:r>
              <w:rPr>
                <w:rFonts w:hint="default" w:ascii="Times New Roman" w:hAnsi="Times New Roman" w:cs="Times New Roman"/>
                <w:sz w:val="15"/>
                <w:szCs w:val="15"/>
              </w:rPr>
              <w:t>1投入管理（4）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1.预算编制合理性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考察预算编制是否充分、合理，预计项目支出是否完整反应。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合理得满分；存在一项不合理，扣0.5分，扣完为止。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2.预算执行率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考察项目预算执行的进度。预算执行率=实际支出金额/项目预算金额×100%</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预算执行率95%以上，得满分；低于95%，每下降1%扣权重的1%；预算执行率60%以下，不计分。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2.财务管理（6）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1.资金使用情况</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考察项目资金使用是否符合预算批复的用途，是否存在截留、挤占、挪用、虚列支出等情况。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合规，得满分；存在一项不合规，扣1分，扣完为止。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2.财务管理制度健全性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考察项目的财务制度是否健全、完善、有效。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3.项目实施（10）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项目实施单位为保障项目顺利实施制订的与项目直接相关的业务管理制度是否健全、完善和有效。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制订制度或采取措施，得满分；制度不完善或措施不明确，得权重的60%；没有相关制度或措施，不得分。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2.项目管理制度执行有效性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考察项目实施单位制订的管理制度是否有效执行。</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有效执行，得满分；部分执行，得权重的60%；未执行，不得分。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三、项目绩效（60分）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1.项目产出（30分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1.数量指标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根据该项目实际，考察产出数量的实际完成情况。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对照绩效目标，按实际产出数量和计划产出数计算得分。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2.质量指标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根据该项目实际，考察项目质量应达到的行业标准。</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对照绩效目标、行业标准计算得分。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3.时效指标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根据该项目实际，考察项目的实际完成时间。</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对照绩效目标、按项目的实际完成时间和计划完成时间计算得分。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4.成本指标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根据该项目实际，考察项目总成本和单项成本。</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照绩效目标、按项目的实际成本和计划成本计算得分。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2.项目效益（30分）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1.经济效益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根据项目实际，考察项目所产生的直接或间接的经济效益。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对照绩效目标，按经济效益实现程度计算得分。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2.社会效益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20</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根据项目实际，考察项目所产生的社会效益效益。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对照绩效目标，按社会效益实现程度计算得分。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3.生态效益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根据项目实际，考察项目所产生的直接或间接的生态效益。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对照绩效目标，按生态效益实现程度计算得分。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4.服务对象满意度</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18"/>
                <w:szCs w:val="18"/>
                <w:lang w:eastAsia="zh-CN"/>
              </w:rPr>
            </w:pPr>
            <w:r>
              <w:rPr>
                <w:rFonts w:hint="eastAsia" w:cs="Times New Roman"/>
                <w:sz w:val="18"/>
                <w:szCs w:val="18"/>
                <w:lang w:val="en-US" w:eastAsia="zh-CN"/>
              </w:rPr>
              <w:t>3</w:t>
            </w:r>
          </w:p>
        </w:tc>
        <w:tc>
          <w:tcPr>
            <w:tcW w:w="2268" w:type="dxa"/>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服务对象对项目实施的满意程度。</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kern w:val="0"/>
                <w:sz w:val="15"/>
                <w:szCs w:val="15"/>
              </w:rPr>
              <w:t>按收集到的服务对象的满意率计算得分。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15"/>
                <w:szCs w:val="15"/>
              </w:rPr>
            </w:pPr>
            <w:r>
              <w:rPr>
                <w:rFonts w:hint="default" w:ascii="Times New Roman" w:hAnsi="Times New Roman" w:cs="Times New Roman"/>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合  计</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100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18"/>
                <w:szCs w:val="18"/>
                <w:lang w:val="en-US"/>
              </w:rPr>
            </w:pPr>
            <w:r>
              <w:rPr>
                <w:rFonts w:hint="eastAsia" w:cs="Times New Roman"/>
                <w:sz w:val="18"/>
                <w:szCs w:val="18"/>
                <w:lang w:val="en-US" w:eastAsia="zh-CN"/>
              </w:rPr>
              <w:t>91</w:t>
            </w:r>
          </w:p>
        </w:tc>
        <w:tc>
          <w:tcPr>
            <w:tcW w:w="576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评价等次：实际得分（S）≥90,优秀；90＞S≥80,良好；80＞S≥60,合格；S＜60，不合格。</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autoSpaceDE/>
        <w:autoSpaceDN/>
        <w:bidi w:val="0"/>
        <w:spacing w:line="560" w:lineRule="exact"/>
        <w:jc w:val="center"/>
        <w:textAlignment w:val="auto"/>
        <w:rPr>
          <w:rFonts w:hint="default" w:ascii="Times New Roman" w:hAnsi="Times New Roman" w:eastAsia="黑体" w:cs="Times New Roman"/>
          <w:bCs/>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7B2D4"/>
    <w:multiLevelType w:val="singleLevel"/>
    <w:tmpl w:val="ADB7B2D4"/>
    <w:lvl w:ilvl="0" w:tentative="0">
      <w:start w:val="2"/>
      <w:numFmt w:val="decimal"/>
      <w:lvlText w:val="%1."/>
      <w:lvlJc w:val="left"/>
      <w:pPr>
        <w:tabs>
          <w:tab w:val="left" w:pos="312"/>
        </w:tabs>
      </w:pPr>
    </w:lvl>
  </w:abstractNum>
  <w:abstractNum w:abstractNumId="1">
    <w:nsid w:val="0A3EBF9D"/>
    <w:multiLevelType w:val="singleLevel"/>
    <w:tmpl w:val="0A3EBF9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B73D0"/>
    <w:rsid w:val="00DF5C8E"/>
    <w:rsid w:val="00E07C05"/>
    <w:rsid w:val="00E30C53"/>
    <w:rsid w:val="00E560DB"/>
    <w:rsid w:val="00EA0572"/>
    <w:rsid w:val="00EA3D4A"/>
    <w:rsid w:val="00EC1DA5"/>
    <w:rsid w:val="00EF279E"/>
    <w:rsid w:val="00F3308E"/>
    <w:rsid w:val="00FA1C86"/>
    <w:rsid w:val="00FA1DD3"/>
    <w:rsid w:val="00FF23ED"/>
    <w:rsid w:val="00FF7E55"/>
    <w:rsid w:val="094D4CDB"/>
    <w:rsid w:val="1B0768C2"/>
    <w:rsid w:val="357F6768"/>
    <w:rsid w:val="3C3B70A2"/>
    <w:rsid w:val="451C0B26"/>
    <w:rsid w:val="5EDA003E"/>
    <w:rsid w:val="630019DF"/>
    <w:rsid w:val="77057E2E"/>
    <w:rsid w:val="7B4B7448"/>
    <w:rsid w:val="7C2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iPriority w:val="0"/>
    <w:rPr>
      <w:rFonts w:ascii="仿宋_GB2312" w:hAnsi="Times New Roman" w:eastAsia="仿宋_GB2312"/>
      <w:sz w:val="30"/>
      <w:szCs w:val="24"/>
    </w:rPr>
  </w:style>
  <w:style w:type="paragraph" w:styleId="3">
    <w:name w:val="toc 5"/>
    <w:basedOn w:val="1"/>
    <w:next w:val="1"/>
    <w:unhideWhenUsed/>
    <w:qFormat/>
    <w:uiPriority w:val="39"/>
    <w:pPr>
      <w:spacing w:before="100" w:beforeAutospacing="1" w:after="100" w:afterAutospacing="1"/>
      <w:ind w:left="1680"/>
    </w:pPr>
    <w:rPr>
      <w:rFonts w:ascii="Calibri" w:hAnsi="Calibri" w:eastAsia="宋体" w:cs="Times New Roma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kern w:val="2"/>
      <w:sz w:val="18"/>
      <w:szCs w:val="18"/>
    </w:rPr>
  </w:style>
  <w:style w:type="character" w:customStyle="1" w:styleId="9">
    <w:name w:val="页脚 Char"/>
    <w:basedOn w:val="6"/>
    <w:link w:val="4"/>
    <w:semiHidden/>
    <w:qFormat/>
    <w:uiPriority w:val="99"/>
    <w:rPr>
      <w:kern w:val="2"/>
      <w:sz w:val="18"/>
      <w:szCs w:val="18"/>
    </w:r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4</Pages>
  <Words>372</Words>
  <Characters>2122</Characters>
  <Lines>17</Lines>
  <Paragraphs>4</Paragraphs>
  <TotalTime>8</TotalTime>
  <ScaleCrop>false</ScaleCrop>
  <LinksUpToDate>false</LinksUpToDate>
  <CharactersWithSpaces>2490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cp:lastPrinted>2020-04-16T03:54:00Z</cp:lastPrinted>
  <dcterms:modified xsi:type="dcterms:W3CDTF">2020-04-29T09:48:19Z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