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黑体" w:hAnsi="黑体" w:eastAsia="黑体" w:cs="黑体"/>
          <w:spacing w:val="-20"/>
          <w:sz w:val="44"/>
          <w:szCs w:val="44"/>
          <w:lang w:eastAsia="zh-CN"/>
        </w:rPr>
      </w:pPr>
      <w:r>
        <w:rPr>
          <w:rFonts w:hint="eastAsia" w:ascii="黑体" w:hAnsi="黑体" w:eastAsia="黑体" w:cs="黑体"/>
          <w:spacing w:val="-20"/>
          <w:sz w:val="44"/>
          <w:szCs w:val="44"/>
          <w:lang w:eastAsia="zh-CN"/>
        </w:rPr>
        <w:t>富民县自然资源局</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pacing w:val="-20"/>
          <w:sz w:val="44"/>
          <w:szCs w:val="44"/>
          <w:lang w:eastAsia="zh-CN"/>
        </w:rPr>
        <w:t>不动产存量数据整合</w:t>
      </w:r>
      <w:r>
        <w:rPr>
          <w:rFonts w:hint="eastAsia" w:ascii="黑体" w:hAnsi="黑体" w:eastAsia="黑体" w:cs="黑体"/>
          <w:sz w:val="44"/>
          <w:szCs w:val="44"/>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bookmarkStart w:id="0" w:name="_GoBack"/>
      <w:bookmarkEnd w:id="0"/>
    </w:p>
    <w:p>
      <w:pPr>
        <w:topLinePunct/>
        <w:spacing w:line="540" w:lineRule="exact"/>
        <w:ind w:firstLine="800" w:firstLineChars="250"/>
        <w:rPr>
          <w:rFonts w:hint="eastAsia" w:ascii="仿宋_GB2312" w:hAnsi="楷体"/>
          <w:szCs w:val="32"/>
        </w:rPr>
      </w:pPr>
      <w:r>
        <w:rPr>
          <w:rFonts w:hint="default" w:ascii="Times New Roman" w:hAnsi="Times New Roman" w:eastAsia="仿宋_GB2312" w:cs="Times New Roman"/>
          <w:snapToGrid w:val="0"/>
          <w:color w:val="000000"/>
          <w:kern w:val="0"/>
          <w:sz w:val="32"/>
          <w:szCs w:val="32"/>
        </w:rPr>
        <w:t>为贯彻落实全</w:t>
      </w:r>
      <w:r>
        <w:rPr>
          <w:rFonts w:hint="eastAsia" w:ascii="仿宋_GB2312" w:hAnsi="仿宋_GB2312" w:eastAsia="仿宋_GB2312" w:cs="仿宋_GB2312"/>
          <w:snapToGrid w:val="0"/>
          <w:color w:val="000000"/>
          <w:kern w:val="0"/>
          <w:sz w:val="32"/>
          <w:szCs w:val="32"/>
        </w:rPr>
        <w:t>市做好“放管服”政策落</w:t>
      </w:r>
      <w:r>
        <w:rPr>
          <w:rFonts w:hint="default" w:ascii="Times New Roman" w:hAnsi="Times New Roman" w:eastAsia="仿宋_GB2312" w:cs="Times New Roman"/>
          <w:snapToGrid w:val="0"/>
          <w:color w:val="000000"/>
          <w:kern w:val="0"/>
          <w:sz w:val="32"/>
          <w:szCs w:val="32"/>
        </w:rPr>
        <w:t>实工作会议精神，进一步完善并夯实我县不动产统一登记基础工作，确保完成国土资源部确定的2017年不动产登记存量数据整合工作任务，根据国土资源部《2017年不动产登记完善规范和接入平台工作计划安排》、《2017年云南省不动产登记和地籍管理工作要点》和《昆明市不动产统一登记存量数据整合工作实施方案》要求，全面清理包括基础地理、土地登记、房屋登记、林权登记等在内的各类已有数据，以土地登记为基础，按照《云南省不动产登记数据整合方案（试行）》和《云南省不动产登记整合数据库标准（试行）》及有关要求，通过抽取、转换、补录、整合等方法建设不动产登记数据库，以支撑日常各类不动产登记业务，保障不动产登记的准确性和合法性，维护不动产登记结果的权威性，提高不动产登记业务办理效率，同时满足国家、省、市、县查询、共享、统计、分析等管理需要。</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800" w:firstLineChars="250"/>
        <w:rPr>
          <w:rFonts w:hint="default" w:ascii="仿宋_GB2312" w:hAnsi="楷体" w:eastAsia="仿宋_GB2312"/>
          <w:b/>
          <w:bCs/>
          <w:color w:val="000000" w:themeColor="text1"/>
          <w:szCs w:val="32"/>
          <w:lang w:val="en-US" w:eastAsia="zh-CN"/>
          <w14:textFill>
            <w14:solidFill>
              <w14:schemeClr w14:val="tx1"/>
            </w14:solidFill>
          </w14:textFill>
        </w:rPr>
      </w:pPr>
      <w:r>
        <w:rPr>
          <w:rFonts w:hint="eastAsia" w:ascii="仿宋_GB2312" w:hAnsi="楷体"/>
          <w:b w:val="0"/>
          <w:bCs w:val="0"/>
          <w:color w:val="000000" w:themeColor="text1"/>
          <w:szCs w:val="32"/>
          <w:lang w:val="en-US" w:eastAsia="zh-CN"/>
          <w14:textFill>
            <w14:solidFill>
              <w14:schemeClr w14:val="tx1"/>
            </w14:solidFill>
          </w14:textFill>
        </w:rPr>
        <w:t>截止到4月18日，不动产数据整合项目已完成：土地、房产、林权档案已清理完成，并且已对档案进行规范的整理，同时已把档案资料转换为整合数据库数据。建设用地使用权7667宗，房屋所有权15085户；土地所有权1960宗。共涉及24916条权利记录，且已在4月15日向省自然资源厅汇交。</w:t>
      </w:r>
    </w:p>
    <w:p>
      <w:pPr>
        <w:numPr>
          <w:ilvl w:val="0"/>
          <w:numId w:val="1"/>
        </w:numPr>
        <w:topLinePunct/>
        <w:spacing w:line="540" w:lineRule="exact"/>
        <w:ind w:firstLine="800" w:firstLineChars="250"/>
        <w:rPr>
          <w:rFonts w:hint="eastAsia" w:ascii="仿宋_GB2312" w:hAnsi="楷体"/>
          <w:b w:val="0"/>
          <w:bCs w:val="0"/>
          <w:color w:val="000000" w:themeColor="text1"/>
          <w:szCs w:val="32"/>
          <w14:textFill>
            <w14:solidFill>
              <w14:schemeClr w14:val="tx1"/>
            </w14:solidFill>
          </w14:textFill>
        </w:rPr>
      </w:pPr>
      <w:r>
        <w:rPr>
          <w:rFonts w:hint="eastAsia" w:ascii="仿宋_GB2312" w:hAnsi="楷体"/>
          <w:b w:val="0"/>
          <w:bCs w:val="0"/>
          <w:color w:val="000000" w:themeColor="text1"/>
          <w:szCs w:val="32"/>
          <w14:textFill>
            <w14:solidFill>
              <w14:schemeClr w14:val="tx1"/>
            </w14:solidFill>
          </w14:textFill>
        </w:rPr>
        <w:t>资金来源及使用情况。</w:t>
      </w:r>
    </w:p>
    <w:p>
      <w:pPr>
        <w:numPr>
          <w:ilvl w:val="0"/>
          <w:numId w:val="0"/>
        </w:numPr>
        <w:topLinePunct/>
        <w:spacing w:line="540" w:lineRule="exact"/>
        <w:rPr>
          <w:rFonts w:hint="eastAsia" w:ascii="仿宋_GB2312" w:hAnsi="楷体"/>
          <w:b w:val="0"/>
          <w:bCs w:val="0"/>
          <w:color w:val="000000" w:themeColor="text1"/>
          <w:szCs w:val="32"/>
          <w14:textFill>
            <w14:solidFill>
              <w14:schemeClr w14:val="tx1"/>
            </w14:solidFill>
          </w14:textFill>
        </w:rPr>
      </w:pPr>
      <w:r>
        <w:rPr>
          <w:rFonts w:hint="eastAsia" w:ascii="仿宋_GB2312" w:hAnsi="楷体"/>
          <w:b w:val="0"/>
          <w:bCs w:val="0"/>
          <w:color w:val="000000" w:themeColor="text1"/>
          <w:szCs w:val="32"/>
          <w:lang w:val="en-US" w:eastAsia="zh-CN"/>
          <w14:textFill>
            <w14:solidFill>
              <w14:schemeClr w14:val="tx1"/>
            </w14:solidFill>
          </w14:textFill>
        </w:rPr>
        <w:t xml:space="preserve">    根据富财预〔2019〕1号，2019年拨入市级资金2018年度昆明市不动产统一登记存量数据整合工作市级补助经费123.6万元，因项目未完工，暂未使用。</w:t>
      </w:r>
    </w:p>
    <w:p>
      <w:pPr>
        <w:topLinePunct/>
        <w:spacing w:line="540" w:lineRule="exact"/>
        <w:ind w:firstLine="800" w:firstLineChars="250"/>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Cs w:val="32"/>
        </w:rPr>
      </w:pPr>
      <w:r>
        <w:rPr>
          <w:rFonts w:hint="eastAsia" w:ascii="仿宋" w:hAnsi="仿宋" w:eastAsia="仿宋" w:cs="Arial"/>
          <w:color w:val="000000"/>
          <w:kern w:val="0"/>
          <w:sz w:val="32"/>
          <w:szCs w:val="32"/>
        </w:rPr>
        <w:t>为加快推进富民县不动产存量数据整合工作，</w:t>
      </w:r>
      <w:r>
        <w:rPr>
          <w:rFonts w:hint="eastAsia" w:ascii="仿宋" w:hAnsi="仿宋" w:eastAsia="仿宋"/>
          <w:color w:val="000000"/>
          <w:sz w:val="32"/>
          <w:szCs w:val="32"/>
        </w:rPr>
        <w:t>2017年5月25日向县政府上报了《关于请求解决“富民县不动产登记存量数据整合及数据库建设”工作经费的请示》,7月19日上报了《关于报请批准实施富民县不动产登记存量数据整合及数据库建设工作实施方案的请示》。2017年8月8日县政府正式印发了《富民县不动产登记存量数据整合及数据库建设工作实施方案的通知》（富政办通</w:t>
      </w:r>
      <w:r>
        <w:rPr>
          <w:rFonts w:hint="eastAsia" w:ascii="仿宋" w:hAnsi="仿宋" w:eastAsia="仿宋"/>
          <w:color w:val="000000"/>
          <w:spacing w:val="12"/>
          <w:sz w:val="32"/>
          <w:szCs w:val="32"/>
        </w:rPr>
        <w:t>〔2017〕</w:t>
      </w:r>
      <w:r>
        <w:rPr>
          <w:rFonts w:hint="eastAsia" w:ascii="仿宋" w:hAnsi="仿宋" w:eastAsia="仿宋"/>
          <w:color w:val="000000"/>
          <w:sz w:val="32"/>
          <w:szCs w:val="32"/>
        </w:rPr>
        <w:t>59号），成立了富民县不动产存量数据整合的组织机构，明确了各成员单位的职责分工，制定了具体的工作计划和工作步骤，为项目的实施提供了保障。</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pPr>
        <w:topLinePunct/>
        <w:spacing w:line="540" w:lineRule="exact"/>
        <w:ind w:firstLine="800" w:firstLineChars="250"/>
        <w:rPr>
          <w:rFonts w:hint="default" w:ascii="仿宋_GB2312" w:hAnsi="楷体" w:eastAsia="仿宋_GB2312"/>
          <w:color w:val="000000" w:themeColor="text1"/>
          <w:szCs w:val="32"/>
          <w:lang w:val="en-US" w:eastAsia="zh-CN"/>
          <w14:textFill>
            <w14:solidFill>
              <w14:schemeClr w14:val="tx1"/>
            </w14:solidFill>
          </w14:textFill>
        </w:rPr>
      </w:pPr>
      <w:r>
        <w:rPr>
          <w:rFonts w:hint="eastAsia" w:ascii="仿宋_GB2312" w:hAnsi="楷体"/>
          <w:color w:val="000000" w:themeColor="text1"/>
          <w:szCs w:val="32"/>
          <w:lang w:val="en-US" w:eastAsia="zh-CN"/>
          <w14:textFill>
            <w14:solidFill>
              <w14:schemeClr w14:val="tx1"/>
            </w14:solidFill>
          </w14:textFill>
        </w:rPr>
        <w:t>完成土地房产林权数据整合项目，简化办证环节，加快业务效率。</w:t>
      </w:r>
    </w:p>
    <w:p>
      <w:pPr>
        <w:topLinePunct/>
        <w:spacing w:line="540" w:lineRule="exact"/>
        <w:ind w:firstLine="800" w:firstLineChars="250"/>
        <w:rPr>
          <w:rFonts w:ascii="仿宋_GB2312" w:hAnsi="楷体"/>
          <w:szCs w:val="32"/>
        </w:rPr>
      </w:pPr>
      <w:r>
        <w:rPr>
          <w:rFonts w:hint="eastAsia" w:ascii="仿宋_GB2312" w:hAnsi="楷体"/>
          <w:szCs w:val="32"/>
        </w:rPr>
        <w:t>2.年度目标。</w:t>
      </w:r>
    </w:p>
    <w:p>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pPr>
        <w:topLinePunct/>
        <w:spacing w:line="540" w:lineRule="exact"/>
        <w:ind w:firstLine="800" w:firstLineChars="250"/>
        <w:rPr>
          <w:rFonts w:hint="eastAsia" w:ascii="仿宋_GB2312" w:hAnsi="楷体" w:eastAsia="仿宋_GB2312"/>
          <w:szCs w:val="32"/>
          <w:lang w:eastAsia="zh-CN"/>
        </w:rPr>
      </w:pPr>
      <w:r>
        <w:rPr>
          <w:rFonts w:hint="eastAsia" w:ascii="仿宋_GB2312" w:hAnsi="楷体"/>
          <w:szCs w:val="32"/>
          <w:lang w:eastAsia="zh-CN"/>
        </w:rPr>
        <w:t>完成分散登记时期纸质档案的电子化，电子数据整合入库。</w:t>
      </w:r>
    </w:p>
    <w:p>
      <w:pPr>
        <w:numPr>
          <w:ilvl w:val="0"/>
          <w:numId w:val="2"/>
        </w:numPr>
        <w:topLinePunct/>
        <w:spacing w:line="540" w:lineRule="exact"/>
        <w:ind w:firstLine="800" w:firstLineChars="250"/>
        <w:rPr>
          <w:rFonts w:hint="eastAsia" w:ascii="仿宋_GB2312" w:hAnsi="楷体"/>
          <w:szCs w:val="32"/>
        </w:rPr>
      </w:pPr>
      <w:r>
        <w:rPr>
          <w:rFonts w:hint="eastAsia" w:ascii="仿宋_GB2312" w:hAnsi="楷体"/>
          <w:szCs w:val="32"/>
        </w:rPr>
        <w:t>效果目标。</w:t>
      </w:r>
    </w:p>
    <w:p>
      <w:pPr>
        <w:numPr>
          <w:ilvl w:val="0"/>
          <w:numId w:val="0"/>
        </w:numPr>
        <w:topLinePunct/>
        <w:spacing w:line="540" w:lineRule="exact"/>
        <w:rPr>
          <w:rFonts w:hint="eastAsia" w:ascii="仿宋_GB2312" w:hAnsi="楷体" w:eastAsia="仿宋_GB2312"/>
          <w:szCs w:val="32"/>
          <w:lang w:val="en-US" w:eastAsia="zh-CN"/>
        </w:rPr>
      </w:pPr>
      <w:r>
        <w:rPr>
          <w:rFonts w:hint="eastAsia" w:ascii="仿宋_GB2312" w:hAnsi="楷体"/>
          <w:szCs w:val="32"/>
          <w:lang w:val="en-US" w:eastAsia="zh-CN"/>
        </w:rPr>
        <w:t xml:space="preserve">    将整合入库存部分的不动产转移登记，由原来的15个工作日提高到7个工作日内。</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0" w:firstLineChars="250"/>
        <w:rPr>
          <w:rFonts w:hint="eastAsia" w:ascii="仿宋_GB2312" w:hAnsi="楷体"/>
          <w:sz w:val="24"/>
          <w:szCs w:val="24"/>
        </w:rPr>
      </w:pPr>
      <w:r>
        <w:rPr>
          <w:rFonts w:hint="eastAsia" w:ascii="仿宋_GB2312" w:hAnsi="楷体"/>
          <w:szCs w:val="32"/>
        </w:rPr>
        <w:t>（一）阐述的主要内容：</w:t>
      </w:r>
    </w:p>
    <w:p>
      <w:pPr>
        <w:topLinePunct/>
        <w:spacing w:line="540" w:lineRule="exact"/>
        <w:ind w:firstLine="800" w:firstLineChars="250"/>
        <w:rPr>
          <w:rFonts w:hint="eastAsia" w:ascii="仿宋_GB2312" w:hAnsi="楷体" w:eastAsia="仿宋_GB2312"/>
          <w:sz w:val="32"/>
          <w:szCs w:val="32"/>
          <w:lang w:val="en-US" w:eastAsia="zh-CN"/>
        </w:rPr>
      </w:pPr>
      <w:r>
        <w:rPr>
          <w:rFonts w:hint="eastAsia" w:ascii="仿宋_GB2312" w:hAnsi="楷体"/>
          <w:sz w:val="32"/>
          <w:szCs w:val="32"/>
          <w:lang w:val="en-US" w:eastAsia="zh-CN"/>
        </w:rPr>
        <w:t>目前该项目已完成房管、土地及林业档案的电子化，因前期未能将修补测工作纳入合同范围，造成数据汇交率仅为40%，下一步将重点围绕数据补测补录工作，提高数据整合的质量。</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hint="eastAsia" w:ascii="仿宋_GB2312" w:hAnsi="楷体"/>
          <w:sz w:val="24"/>
          <w:szCs w:val="24"/>
        </w:rPr>
      </w:pPr>
      <w:r>
        <w:rPr>
          <w:rFonts w:hint="eastAsia" w:ascii="仿宋_GB2312" w:hAnsi="楷体"/>
          <w:szCs w:val="32"/>
        </w:rPr>
        <w:t>1.绩效评价原则。</w:t>
      </w:r>
    </w:p>
    <w:p>
      <w:pPr>
        <w:topLinePunct/>
        <w:spacing w:line="540" w:lineRule="exact"/>
        <w:ind w:firstLine="800" w:firstLineChars="250"/>
        <w:rPr>
          <w:rFonts w:hint="eastAsia" w:ascii="仿宋_GB2312" w:hAnsi="楷体" w:eastAsia="仿宋_GB2312"/>
          <w:sz w:val="32"/>
          <w:szCs w:val="32"/>
          <w:lang w:eastAsia="zh-CN"/>
        </w:rPr>
      </w:pPr>
      <w:r>
        <w:rPr>
          <w:rFonts w:hint="eastAsia" w:ascii="仿宋_GB2312" w:hAnsi="楷体"/>
          <w:sz w:val="32"/>
          <w:szCs w:val="32"/>
          <w:lang w:eastAsia="zh-CN"/>
        </w:rPr>
        <w:t>本评价遵循科学规范，紧紧围绕数据整合内容，公平公正的对数据整合工作中的资金使用，以及项目实施后所取得的各种效益进行评价。</w:t>
      </w:r>
    </w:p>
    <w:p>
      <w:pPr>
        <w:numPr>
          <w:ilvl w:val="0"/>
          <w:numId w:val="0"/>
        </w:numPr>
        <w:topLinePunct/>
        <w:spacing w:line="540" w:lineRule="exact"/>
        <w:ind w:firstLine="640" w:firstLineChars="200"/>
        <w:rPr>
          <w:rFonts w:hint="eastAsia" w:ascii="仿宋_GB2312" w:hAnsi="楷体"/>
          <w:sz w:val="24"/>
          <w:szCs w:val="24"/>
        </w:rPr>
      </w:pPr>
      <w:r>
        <w:rPr>
          <w:rFonts w:hint="eastAsia" w:ascii="仿宋_GB2312" w:hAnsi="楷体"/>
          <w:szCs w:val="32"/>
          <w:lang w:val="en-US" w:eastAsia="zh-CN"/>
        </w:rPr>
        <w:t>2.</w:t>
      </w:r>
      <w:r>
        <w:rPr>
          <w:rFonts w:hint="eastAsia" w:ascii="仿宋_GB2312" w:hAnsi="楷体"/>
          <w:szCs w:val="32"/>
        </w:rPr>
        <w:t>绩效评价方法。</w:t>
      </w:r>
    </w:p>
    <w:p>
      <w:pPr>
        <w:numPr>
          <w:ilvl w:val="0"/>
          <w:numId w:val="0"/>
        </w:numPr>
        <w:topLinePunct/>
        <w:spacing w:line="540" w:lineRule="exact"/>
        <w:rPr>
          <w:rFonts w:hint="eastAsia" w:ascii="仿宋_GB2312" w:hAnsi="楷体" w:eastAsia="仿宋_GB2312"/>
          <w:sz w:val="32"/>
          <w:szCs w:val="32"/>
          <w:lang w:val="en-US" w:eastAsia="zh-CN"/>
        </w:rPr>
      </w:pPr>
      <w:r>
        <w:rPr>
          <w:rFonts w:hint="eastAsia" w:ascii="仿宋_GB2312" w:hAnsi="楷体"/>
          <w:sz w:val="24"/>
          <w:szCs w:val="24"/>
          <w:lang w:val="en-US" w:eastAsia="zh-CN"/>
        </w:rPr>
        <w:t xml:space="preserve">    </w:t>
      </w:r>
      <w:r>
        <w:rPr>
          <w:rFonts w:hint="eastAsia" w:ascii="仿宋_GB2312" w:hAnsi="楷体"/>
          <w:sz w:val="32"/>
          <w:szCs w:val="32"/>
          <w:lang w:val="en-US" w:eastAsia="zh-CN"/>
        </w:rPr>
        <w:t>本次评价通过认真分析对比数据整合前后、以及已完成整合部分和未完成整合部分的，不动产数据完整性、连续性及在办理相关不动产登记的便利性等方面，反映出数据整合所取得的成果及意义。</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hint="eastAsia" w:ascii="仿宋_GB2312" w:hAnsi="仿宋"/>
          <w:szCs w:val="32"/>
        </w:rPr>
      </w:pPr>
      <w:r>
        <w:rPr>
          <w:rFonts w:hint="eastAsia" w:ascii="仿宋_GB2312" w:hAnsi="仿宋"/>
          <w:szCs w:val="32"/>
        </w:rPr>
        <w:t>（一）评价结果。</w:t>
      </w:r>
    </w:p>
    <w:p>
      <w:pPr>
        <w:topLinePunct/>
        <w:spacing w:line="540" w:lineRule="exact"/>
        <w:ind w:firstLine="800" w:firstLineChars="250"/>
        <w:rPr>
          <w:rFonts w:hint="eastAsia" w:ascii="仿宋_GB2312" w:hAnsi="仿宋" w:eastAsia="仿宋_GB2312"/>
          <w:szCs w:val="32"/>
          <w:lang w:eastAsia="zh-CN"/>
        </w:rPr>
      </w:pPr>
      <w:r>
        <w:rPr>
          <w:rFonts w:hint="eastAsia" w:ascii="仿宋_GB2312" w:hAnsi="仿宋"/>
          <w:szCs w:val="32"/>
          <w:lang w:eastAsia="zh-CN"/>
        </w:rPr>
        <w:t>通过本次评价各项年度相关目标已完成，无违反规定支付相关费用的情况，财政资金的支出已取得较好的经济及社会效益。</w:t>
      </w:r>
    </w:p>
    <w:p>
      <w:pPr>
        <w:numPr>
          <w:ilvl w:val="0"/>
          <w:numId w:val="3"/>
        </w:numPr>
        <w:tabs>
          <w:tab w:val="left" w:pos="1411"/>
        </w:tabs>
        <w:topLinePunct/>
        <w:spacing w:line="540" w:lineRule="exact"/>
        <w:ind w:firstLine="800" w:firstLineChars="250"/>
        <w:rPr>
          <w:rFonts w:hint="eastAsia" w:ascii="仿宋_GB2312" w:hAnsi="仿宋"/>
          <w:szCs w:val="32"/>
        </w:rPr>
      </w:pPr>
      <w:r>
        <w:rPr>
          <w:rFonts w:hint="eastAsia" w:ascii="仿宋_GB2312" w:hAnsi="仿宋"/>
          <w:szCs w:val="32"/>
        </w:rPr>
        <w:t>主要绩效。</w:t>
      </w:r>
    </w:p>
    <w:p>
      <w:pPr>
        <w:numPr>
          <w:ilvl w:val="0"/>
          <w:numId w:val="0"/>
        </w:numPr>
        <w:topLinePunct/>
        <w:spacing w:line="540" w:lineRule="exact"/>
        <w:rPr>
          <w:rFonts w:hint="eastAsia" w:ascii="仿宋_GB2312" w:hAnsi="仿宋" w:eastAsia="仿宋_GB2312"/>
          <w:szCs w:val="32"/>
          <w:lang w:val="en-US" w:eastAsia="zh-CN"/>
        </w:rPr>
      </w:pPr>
      <w:r>
        <w:rPr>
          <w:rFonts w:hint="eastAsia" w:ascii="仿宋_GB2312" w:hAnsi="仿宋"/>
          <w:szCs w:val="32"/>
          <w:lang w:val="en-US" w:eastAsia="zh-CN"/>
        </w:rPr>
        <w:t xml:space="preserve">    </w:t>
      </w:r>
      <w:r>
        <w:rPr>
          <w:rFonts w:hint="eastAsia" w:ascii="仿宋_GB2312" w:hAnsi="楷体"/>
          <w:szCs w:val="32"/>
          <w:lang w:val="en-US" w:eastAsia="zh-CN"/>
        </w:rPr>
        <w:t xml:space="preserve"> 已整合入库存部分的不动产转移登记由原来的15个工作日提高到7个工作日内，抵押登记由原来的10个工作日提高到了3个工作日内。</w:t>
      </w:r>
    </w:p>
    <w:p>
      <w:pPr>
        <w:numPr>
          <w:numId w:val="0"/>
        </w:numPr>
        <w:topLinePunct/>
        <w:spacing w:line="540" w:lineRule="exact"/>
        <w:ind w:firstLine="640" w:firstLineChars="200"/>
        <w:rPr>
          <w:rFonts w:hint="eastAsia" w:ascii="仿宋_GB2312" w:hAnsi="仿宋"/>
          <w:i w:val="0"/>
          <w:iCs w:val="0"/>
          <w:sz w:val="32"/>
          <w:szCs w:val="32"/>
        </w:rPr>
      </w:pPr>
      <w:r>
        <w:rPr>
          <w:rFonts w:hint="eastAsia" w:ascii="黑体" w:hAnsi="黑体" w:eastAsia="黑体"/>
          <w:i w:val="0"/>
          <w:iCs w:val="0"/>
          <w:sz w:val="32"/>
          <w:szCs w:val="32"/>
          <w:lang w:eastAsia="zh-CN"/>
        </w:rPr>
        <w:t>四、</w:t>
      </w:r>
      <w:r>
        <w:rPr>
          <w:rFonts w:hint="eastAsia" w:ascii="黑体" w:hAnsi="黑体" w:eastAsia="黑体"/>
          <w:i w:val="0"/>
          <w:iCs w:val="0"/>
          <w:sz w:val="32"/>
          <w:szCs w:val="32"/>
        </w:rPr>
        <w:t>成本效益分析。</w:t>
      </w:r>
    </w:p>
    <w:p>
      <w:pPr>
        <w:numPr>
          <w:ilvl w:val="0"/>
          <w:numId w:val="0"/>
        </w:numPr>
        <w:topLinePunct/>
        <w:spacing w:line="540" w:lineRule="exact"/>
        <w:rPr>
          <w:rFonts w:hint="eastAsia" w:ascii="仿宋_GB2312" w:hAnsi="仿宋" w:eastAsia="仿宋_GB2312"/>
          <w:sz w:val="32"/>
          <w:szCs w:val="32"/>
          <w:lang w:val="en-US" w:eastAsia="zh-CN"/>
        </w:rPr>
      </w:pPr>
      <w:r>
        <w:rPr>
          <w:rFonts w:hint="eastAsia" w:ascii="仿宋_GB2312" w:hAnsi="仿宋"/>
          <w:sz w:val="32"/>
          <w:szCs w:val="32"/>
          <w:lang w:val="en-US" w:eastAsia="zh-CN"/>
        </w:rPr>
        <w:t xml:space="preserve">    该项目为经公开招标后实施，大大节约了项目成本。已支出部分产生的数据成果，提高了不动产登记工作的便利化，优化了有关财产登记方面的营商环境，对提高经济活力起到的相应的作用。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hint="eastAsia" w:ascii="仿宋_GB2312" w:hAnsi="楷体"/>
          <w:szCs w:val="32"/>
        </w:rPr>
      </w:pPr>
      <w:r>
        <w:rPr>
          <w:rFonts w:hint="eastAsia" w:ascii="仿宋_GB2312" w:hAnsi="楷体"/>
          <w:szCs w:val="32"/>
        </w:rPr>
        <w:t>（一）主要经验及做法；</w:t>
      </w:r>
    </w:p>
    <w:p>
      <w:pPr>
        <w:topLinePunct/>
        <w:spacing w:line="540" w:lineRule="exact"/>
        <w:ind w:firstLine="800" w:firstLineChars="250"/>
        <w:rPr>
          <w:rFonts w:hint="default" w:ascii="仿宋_GB2312" w:hAnsi="楷体" w:eastAsia="仿宋_GB2312"/>
          <w:color w:val="000000" w:themeColor="text1"/>
          <w:szCs w:val="32"/>
          <w:lang w:val="en-US" w:eastAsia="zh-CN"/>
          <w14:textFill>
            <w14:solidFill>
              <w14:schemeClr w14:val="tx1"/>
            </w14:solidFill>
          </w14:textFill>
        </w:rPr>
      </w:pPr>
      <w:r>
        <w:rPr>
          <w:rFonts w:hint="eastAsia" w:ascii="仿宋_GB2312" w:hAnsi="楷体"/>
          <w:color w:val="000000" w:themeColor="text1"/>
          <w:szCs w:val="32"/>
          <w:lang w:val="en-US" w:eastAsia="zh-CN"/>
          <w14:textFill>
            <w14:solidFill>
              <w14:schemeClr w14:val="tx1"/>
            </w14:solidFill>
          </w14:textFill>
        </w:rPr>
        <w:t>在进行数据整合过程中，通过大量人工翻阅档案资料，对富民县现有土地数据及房产数据进行记录、核查，并且完成了房产与自然幢、土地的关联。在此过程中，基础资料，档案资料的完整性根本上影响着项目进度。数据整合完成后，对于不动产登记中心办理业务，会更加统一高效，便民利民。</w:t>
      </w:r>
    </w:p>
    <w:p>
      <w:pPr>
        <w:numPr>
          <w:ilvl w:val="0"/>
          <w:numId w:val="4"/>
        </w:numPr>
        <w:topLinePunct/>
        <w:spacing w:line="540" w:lineRule="exact"/>
        <w:ind w:firstLine="800" w:firstLineChars="250"/>
        <w:rPr>
          <w:rFonts w:hint="eastAsia"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存在的问题；</w:t>
      </w:r>
    </w:p>
    <w:p>
      <w:pPr>
        <w:numPr>
          <w:ilvl w:val="0"/>
          <w:numId w:val="0"/>
        </w:numPr>
        <w:topLinePunct/>
        <w:spacing w:line="540" w:lineRule="exact"/>
        <w:rPr>
          <w:rFonts w:hint="default" w:ascii="仿宋_GB2312" w:hAnsi="楷体" w:eastAsia="仿宋_GB2312"/>
          <w:color w:val="000000" w:themeColor="text1"/>
          <w:szCs w:val="32"/>
          <w:lang w:val="en-US" w:eastAsia="zh-CN"/>
          <w14:textFill>
            <w14:solidFill>
              <w14:schemeClr w14:val="tx1"/>
            </w14:solidFill>
          </w14:textFill>
        </w:rPr>
      </w:pPr>
      <w:r>
        <w:rPr>
          <w:rFonts w:hint="eastAsia" w:ascii="仿宋_GB2312" w:hAnsi="楷体"/>
          <w:color w:val="000000" w:themeColor="text1"/>
          <w:szCs w:val="32"/>
          <w:lang w:val="en-US" w:eastAsia="zh-CN"/>
          <w14:textFill>
            <w14:solidFill>
              <w14:schemeClr w14:val="tx1"/>
            </w14:solidFill>
          </w14:textFill>
        </w:rPr>
        <w:t xml:space="preserve">     档案资料部分内容缺失（如：权利人身份证号）；基础资料较为薄弱。</w:t>
      </w:r>
    </w:p>
    <w:p>
      <w:pPr>
        <w:topLinePunct/>
        <w:spacing w:line="540" w:lineRule="exact"/>
        <w:ind w:firstLine="80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（三）建议和改进措施。</w:t>
      </w:r>
    </w:p>
    <w:p>
      <w:pPr>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办证发证业务过程中，规范的填写字段，并核实权利人信息，解决数据库的完整性，保证必要字段没有缺失、错误；对档案进行规范的管理，已保证档案资料内数据内容完整，手续齐全。</w:t>
      </w:r>
    </w:p>
    <w:p>
      <w:pPr>
        <w:rPr>
          <w:color w:val="000000" w:themeColor="text1"/>
          <w14:textFill>
            <w14:solidFill>
              <w14:schemeClr w14:val="tx1"/>
            </w14:solidFill>
          </w14:textFill>
        </w:rPr>
      </w:pPr>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100</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408B11"/>
    <w:multiLevelType w:val="singleLevel"/>
    <w:tmpl w:val="E5408B11"/>
    <w:lvl w:ilvl="0" w:tentative="0">
      <w:start w:val="2"/>
      <w:numFmt w:val="chineseCounting"/>
      <w:suff w:val="nothing"/>
      <w:lvlText w:val="（%1）"/>
      <w:lvlJc w:val="left"/>
      <w:rPr>
        <w:rFonts w:hint="eastAsia"/>
      </w:rPr>
    </w:lvl>
  </w:abstractNum>
  <w:abstractNum w:abstractNumId="1">
    <w:nsid w:val="5E9D0AD6"/>
    <w:multiLevelType w:val="singleLevel"/>
    <w:tmpl w:val="5E9D0AD6"/>
    <w:lvl w:ilvl="0" w:tentative="0">
      <w:start w:val="3"/>
      <w:numFmt w:val="decimal"/>
      <w:suff w:val="nothing"/>
      <w:lvlText w:val="%1."/>
      <w:lvlJc w:val="left"/>
    </w:lvl>
  </w:abstractNum>
  <w:abstractNum w:abstractNumId="2">
    <w:nsid w:val="5E9D0FDE"/>
    <w:multiLevelType w:val="singleLevel"/>
    <w:tmpl w:val="5E9D0FDE"/>
    <w:lvl w:ilvl="0" w:tentative="0">
      <w:start w:val="2"/>
      <w:numFmt w:val="decimal"/>
      <w:suff w:val="nothing"/>
      <w:lvlText w:val="（%1）"/>
      <w:lvlJc w:val="left"/>
    </w:lvl>
  </w:abstractNum>
  <w:abstractNum w:abstractNumId="3">
    <w:nsid w:val="5E9D14CB"/>
    <w:multiLevelType w:val="singleLevel"/>
    <w:tmpl w:val="5E9D14CB"/>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B280EA2"/>
    <w:rsid w:val="0F2F2BFE"/>
    <w:rsid w:val="14D16CAA"/>
    <w:rsid w:val="46A108FE"/>
    <w:rsid w:val="54507DA6"/>
    <w:rsid w:val="55314F72"/>
    <w:rsid w:val="55610AB9"/>
    <w:rsid w:val="57804052"/>
    <w:rsid w:val="596E431B"/>
    <w:rsid w:val="5AF04D42"/>
    <w:rsid w:val="611A7EF7"/>
    <w:rsid w:val="7ADD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10</TotalTime>
  <ScaleCrop>false</ScaleCrop>
  <LinksUpToDate>false</LinksUpToDate>
  <CharactersWithSpaces>2746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cp:lastPrinted>2020-04-23T03:10:44Z</cp:lastPrinted>
  <dcterms:modified xsi:type="dcterms:W3CDTF">2020-04-23T03:11:26Z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