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黑体" w:eastAsia="黑体" w:cs="黑体"/>
          <w:spacing w:val="0"/>
          <w:sz w:val="44"/>
          <w:szCs w:val="44"/>
        </w:rPr>
      </w:pPr>
      <w:r>
        <w:rPr>
          <w:rFonts w:hint="eastAsia" w:ascii="黑体" w:hAnsi="黑体" w:eastAsia="黑体" w:cs="黑体"/>
          <w:spacing w:val="0"/>
          <w:sz w:val="44"/>
          <w:szCs w:val="44"/>
          <w:lang w:eastAsia="zh-CN"/>
        </w:rPr>
        <w:t>省返</w:t>
      </w:r>
      <w:r>
        <w:rPr>
          <w:rFonts w:hint="eastAsia" w:ascii="黑体" w:hAnsi="黑体" w:eastAsia="黑体" w:cs="黑体"/>
          <w:spacing w:val="0"/>
          <w:sz w:val="44"/>
          <w:szCs w:val="44"/>
          <w:lang w:val="en-US" w:eastAsia="zh-CN"/>
        </w:rPr>
        <w:t>2016年、2017年探矿权采矿权价款及2016年探矿权采矿权使用费</w:t>
      </w:r>
      <w:r>
        <w:rPr>
          <w:rFonts w:hint="eastAsia" w:ascii="黑体" w:hAnsi="黑体" w:eastAsia="黑体" w:cs="黑体"/>
          <w:spacing w:val="0"/>
          <w:sz w:val="44"/>
          <w:szCs w:val="44"/>
        </w:rPr>
        <w:t>绩效评价报告</w:t>
      </w:r>
    </w:p>
    <w:p>
      <w:pPr>
        <w:topLinePunct/>
        <w:spacing w:line="540" w:lineRule="exact"/>
        <w:ind w:firstLine="800" w:firstLineChars="250"/>
        <w:jc w:val="center"/>
        <w:rPr>
          <w:rFonts w:ascii="黑体" w:eastAsia="黑体"/>
          <w:spacing w:val="0"/>
          <w:szCs w:val="32"/>
        </w:rPr>
      </w:pP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一、项目基本情况</w:t>
      </w:r>
    </w:p>
    <w:p>
      <w:pPr>
        <w:keepNext w:val="0"/>
        <w:keepLines w:val="0"/>
        <w:pageBreakBefore w:val="0"/>
        <w:widowControl w:val="0"/>
        <w:kinsoku/>
        <w:wordWrap/>
        <w:overflowPunct/>
        <w:topLinePunct/>
        <w:autoSpaceDE/>
        <w:autoSpaceDN/>
        <w:bidi w:val="0"/>
        <w:spacing w:line="600" w:lineRule="exact"/>
        <w:ind w:firstLine="800" w:firstLineChars="250"/>
        <w:textAlignment w:val="auto"/>
        <w:rPr>
          <w:rFonts w:hint="eastAsia" w:ascii="仿宋_GB2312" w:hAnsi="仿宋_GB2312" w:cs="仿宋_GB2312"/>
          <w:color w:val="000000"/>
          <w:spacing w:val="0"/>
          <w:sz w:val="32"/>
          <w:szCs w:val="32"/>
          <w:lang w:val="en-US" w:eastAsia="zh-CN"/>
        </w:rPr>
      </w:pPr>
      <w:r>
        <w:rPr>
          <w:rFonts w:hint="default" w:ascii="Times New Roman" w:hAnsi="Times New Roman" w:eastAsia="楷体_GB2312" w:cs="Times New Roman"/>
          <w:szCs w:val="32"/>
        </w:rPr>
        <w:t>（一）项目概况</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rPr>
          <w:rFonts w:hint="default" w:ascii="仿宋_GB2312" w:hAnsi="仿宋_GB2312" w:eastAsia="仿宋_GB2312" w:cs="仿宋_GB2312"/>
          <w:color w:val="000000"/>
          <w:spacing w:val="0"/>
          <w:sz w:val="32"/>
          <w:szCs w:val="32"/>
          <w:lang w:val="en-US" w:eastAsia="zh-CN"/>
        </w:rPr>
      </w:pPr>
      <w:r>
        <w:rPr>
          <w:rFonts w:hint="eastAsia" w:ascii="仿宋_GB2312" w:hAnsi="仿宋_GB2312" w:cs="仿宋_GB2312"/>
          <w:color w:val="000000"/>
          <w:spacing w:val="0"/>
          <w:sz w:val="32"/>
          <w:szCs w:val="32"/>
          <w:lang w:val="en-US" w:eastAsia="zh-CN"/>
        </w:rPr>
        <w:t>根据国务院第241号《矿产资源开采登记管理办法》、《云南省矿产资源开采登记管理办法》、《云南省探矿权采矿权使用费和价款收缴使用管理暂行办法》和《云南省探矿权采矿权管理办法》的规定，富民县自然资源局每年按文件规定将探矿权采矿权价款、探矿权采矿权使用费收</w:t>
      </w:r>
      <w:bookmarkStart w:id="0" w:name="_GoBack"/>
      <w:bookmarkEnd w:id="0"/>
      <w:r>
        <w:rPr>
          <w:rFonts w:hint="eastAsia" w:ascii="仿宋_GB2312" w:hAnsi="仿宋_GB2312" w:cs="仿宋_GB2312"/>
          <w:color w:val="000000"/>
          <w:spacing w:val="0"/>
          <w:sz w:val="32"/>
          <w:szCs w:val="32"/>
          <w:lang w:val="en-US" w:eastAsia="zh-CN"/>
        </w:rPr>
        <w:t>缴县财政非税收入汇缴结算户。2019年，财政拨来省返2016年、2017年探矿权采矿权价款及2016年探矿权采矿权使用费县级部分300元。</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（二）绩效目标。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b w:val="0"/>
          <w:bCs/>
          <w:spacing w:val="0"/>
          <w:sz w:val="32"/>
          <w:szCs w:val="32"/>
          <w:lang w:val="en-US" w:eastAsia="zh-CN"/>
        </w:rPr>
      </w:pPr>
      <w:r>
        <w:rPr>
          <w:rFonts w:hint="eastAsia" w:ascii="仿宋_GB2312" w:hAnsi="仿宋_GB2312" w:eastAsia="仿宋_GB2312" w:cs="仿宋_GB2312"/>
          <w:b w:val="0"/>
          <w:bCs/>
          <w:spacing w:val="0"/>
          <w:sz w:val="32"/>
          <w:szCs w:val="32"/>
          <w:lang w:val="en-US" w:eastAsia="zh-CN"/>
        </w:rPr>
        <w:t>1.总目标</w:t>
      </w:r>
    </w:p>
    <w:p>
      <w:pPr>
        <w:keepNext w:val="0"/>
        <w:keepLines w:val="0"/>
        <w:pageBreakBefore w:val="0"/>
        <w:widowControl w:val="0"/>
        <w:numPr>
          <w:ilvl w:val="0"/>
          <w:numId w:val="0"/>
        </w:numPr>
        <w:kinsoku/>
        <w:wordWrap/>
        <w:overflowPunct/>
        <w:autoSpaceDE/>
        <w:autoSpaceDN/>
        <w:bidi w:val="0"/>
        <w:adjustRightInd/>
        <w:snapToGrid/>
        <w:spacing w:line="520" w:lineRule="exact"/>
        <w:ind w:firstLine="640"/>
        <w:jc w:val="both"/>
        <w:textAlignment w:val="auto"/>
        <w:rPr>
          <w:rFonts w:hint="eastAsia" w:ascii="仿宋_GB2312" w:hAnsi="仿宋_GB2312" w:eastAsia="仿宋_GB2312" w:cs="仿宋_GB2312"/>
          <w:spacing w:val="0"/>
          <w:sz w:val="32"/>
          <w:szCs w:val="32"/>
        </w:rPr>
      </w:pPr>
      <w:r>
        <w:rPr>
          <w:rFonts w:hint="eastAsia" w:ascii="仿宋_GB2312" w:hAnsi="仿宋_GB2312" w:cs="仿宋_GB2312"/>
          <w:spacing w:val="0"/>
          <w:sz w:val="32"/>
          <w:szCs w:val="32"/>
          <w:lang w:eastAsia="zh-CN"/>
        </w:rPr>
        <w:t>完成年度</w:t>
      </w:r>
      <w:r>
        <w:rPr>
          <w:rFonts w:hint="eastAsia" w:ascii="仿宋_GB2312" w:hAnsi="仿宋_GB2312" w:cs="仿宋_GB2312"/>
          <w:color w:val="000000"/>
          <w:spacing w:val="0"/>
          <w:sz w:val="32"/>
          <w:szCs w:val="32"/>
          <w:lang w:val="en-US" w:eastAsia="zh-CN"/>
        </w:rPr>
        <w:t>探矿权采矿权价款及探矿权采矿权使用费收缴工作</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二、绩效评价工作情况</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rPr>
          <w:rFonts w:hint="eastAsia" w:ascii="仿宋_GB2312" w:hAnsi="仿宋_GB2312" w:eastAsia="仿宋_GB2312" w:cs="仿宋_GB2312"/>
          <w:spacing w:val="0"/>
          <w:sz w:val="32"/>
          <w:szCs w:val="32"/>
        </w:rPr>
      </w:pPr>
      <w:r>
        <w:rPr>
          <w:rFonts w:hint="eastAsia" w:ascii="仿宋" w:hAnsi="仿宋" w:eastAsia="仿宋" w:cs="仿宋"/>
          <w:spacing w:val="0"/>
          <w:sz w:val="32"/>
          <w:szCs w:val="32"/>
          <w:lang w:val="en-US" w:eastAsia="zh-CN"/>
        </w:rPr>
        <w:t>2019年</w:t>
      </w:r>
      <w:r>
        <w:rPr>
          <w:rFonts w:hint="eastAsia" w:ascii="仿宋" w:hAnsi="仿宋" w:eastAsia="仿宋" w:cs="仿宋"/>
          <w:spacing w:val="0"/>
          <w:sz w:val="32"/>
          <w:szCs w:val="32"/>
          <w:lang w:eastAsia="zh-CN"/>
        </w:rPr>
        <w:t>根据昆财非税〔</w:t>
      </w:r>
      <w:r>
        <w:rPr>
          <w:rFonts w:hint="eastAsia" w:ascii="仿宋" w:hAnsi="仿宋" w:eastAsia="仿宋" w:cs="仿宋"/>
          <w:spacing w:val="0"/>
          <w:sz w:val="32"/>
          <w:szCs w:val="32"/>
          <w:lang w:val="en-US" w:eastAsia="zh-CN"/>
        </w:rPr>
        <w:t>2019</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55号</w:t>
      </w:r>
      <w:r>
        <w:rPr>
          <w:rFonts w:hint="eastAsia" w:ascii="仿宋" w:hAnsi="仿宋" w:eastAsia="仿宋" w:cs="仿宋"/>
          <w:color w:val="000000"/>
          <w:spacing w:val="0"/>
          <w:sz w:val="32"/>
          <w:szCs w:val="32"/>
          <w:lang w:val="en-US" w:eastAsia="zh-CN"/>
        </w:rPr>
        <w:t>省返2016年、2017年探矿权采矿权价款及2016年探矿权采矿权使用费</w:t>
      </w:r>
      <w:r>
        <w:rPr>
          <w:rFonts w:hint="eastAsia" w:ascii="仿宋" w:hAnsi="仿宋" w:eastAsia="仿宋" w:cs="仿宋"/>
          <w:spacing w:val="0"/>
          <w:sz w:val="32"/>
          <w:szCs w:val="32"/>
          <w:lang w:eastAsia="zh-CN"/>
        </w:rPr>
        <w:t>的文件，</w:t>
      </w:r>
      <w:r>
        <w:rPr>
          <w:rFonts w:hint="eastAsia" w:ascii="仿宋" w:hAnsi="仿宋" w:eastAsia="仿宋" w:cs="仿宋"/>
          <w:color w:val="000000"/>
          <w:spacing w:val="0"/>
          <w:sz w:val="32"/>
          <w:szCs w:val="32"/>
          <w:lang w:val="en-US" w:eastAsia="zh-CN"/>
        </w:rPr>
        <w:t>财政拨付300元，将全部用于矿产资源管理支出。</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800" w:firstLineChars="25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三、评价结论</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800" w:firstLineChars="25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（一）评价结果。</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rPr>
          <w:rFonts w:hint="eastAsia" w:ascii="仿宋" w:hAnsi="仿宋" w:eastAsia="仿宋" w:cs="仿宋"/>
          <w:b w:val="0"/>
          <w:bCs w:val="0"/>
          <w:sz w:val="32"/>
          <w:szCs w:val="32"/>
          <w:lang w:eastAsia="zh-CN"/>
        </w:rPr>
      </w:pPr>
      <w:r>
        <w:rPr>
          <w:rFonts w:hint="eastAsia" w:ascii="仿宋" w:hAnsi="仿宋" w:eastAsia="仿宋" w:cs="仿宋"/>
          <w:szCs w:val="32"/>
          <w:lang w:eastAsia="zh-CN"/>
        </w:rPr>
        <w:t>年度相关目标已完成，无违反规定支付相关费用的情况，</w:t>
      </w:r>
      <w:r>
        <w:rPr>
          <w:rFonts w:hint="eastAsia" w:ascii="仿宋" w:hAnsi="仿宋" w:eastAsia="仿宋" w:cs="仿宋"/>
          <w:b w:val="0"/>
          <w:bCs w:val="0"/>
          <w:sz w:val="32"/>
          <w:szCs w:val="32"/>
        </w:rPr>
        <w:t>评价小组根据评价指标体系进行了量化考核</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20" w:lineRule="exact"/>
        <w:ind w:firstLine="800" w:firstLineChars="250"/>
        <w:textAlignment w:val="auto"/>
        <w:rPr>
          <w:rFonts w:ascii="仿宋_GB2312" w:hAnsi="仿宋"/>
          <w:szCs w:val="32"/>
        </w:rPr>
      </w:pPr>
      <w:r>
        <w:rPr>
          <w:rFonts w:hint="eastAsia" w:ascii="仿宋_GB2312" w:hAnsi="仿宋"/>
          <w:szCs w:val="32"/>
        </w:rPr>
        <w:t>（二）主要绩效。</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cs="仿宋_GB2312"/>
          <w:spacing w:val="0"/>
          <w:sz w:val="32"/>
          <w:szCs w:val="32"/>
          <w:lang w:eastAsia="zh-CN"/>
        </w:rPr>
        <w:t>完成年度</w:t>
      </w:r>
      <w:r>
        <w:rPr>
          <w:rFonts w:hint="eastAsia" w:ascii="仿宋_GB2312" w:hAnsi="仿宋_GB2312" w:cs="仿宋_GB2312"/>
          <w:color w:val="000000"/>
          <w:spacing w:val="0"/>
          <w:sz w:val="32"/>
          <w:szCs w:val="32"/>
          <w:lang w:val="en-US" w:eastAsia="zh-CN"/>
        </w:rPr>
        <w:t>探矿权采矿权价款及探矿权采矿权使用费收缴工作</w:t>
      </w:r>
      <w:r>
        <w:rPr>
          <w:rFonts w:hint="eastAsia" w:ascii="仿宋_GB2312" w:hAnsi="仿宋_GB2312" w:eastAsia="仿宋_GB2312" w:cs="仿宋_GB2312"/>
          <w:spacing w:val="0"/>
          <w:sz w:val="32"/>
          <w:szCs w:val="32"/>
        </w:rPr>
        <w:t>。</w:t>
      </w:r>
    </w:p>
    <w:p>
      <w:pPr>
        <w:keepNext w:val="0"/>
        <w:keepLines w:val="0"/>
        <w:pageBreakBefore w:val="0"/>
        <w:widowControl w:val="0"/>
        <w:numPr>
          <w:ilvl w:val="0"/>
          <w:numId w:val="1"/>
        </w:numPr>
        <w:kinsoku/>
        <w:wordWrap/>
        <w:overflowPunct/>
        <w:topLinePunct/>
        <w:autoSpaceDE/>
        <w:autoSpaceDN/>
        <w:bidi w:val="0"/>
        <w:adjustRightInd/>
        <w:snapToGrid/>
        <w:spacing w:line="52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成本效益分析</w:t>
      </w:r>
    </w:p>
    <w:p>
      <w:pPr>
        <w:keepNext w:val="0"/>
        <w:keepLines w:val="0"/>
        <w:pageBreakBefore w:val="0"/>
        <w:widowControl w:val="0"/>
        <w:numPr>
          <w:numId w:val="0"/>
        </w:numPr>
        <w:kinsoku/>
        <w:wordWrap/>
        <w:overflowPunct/>
        <w:topLinePunct/>
        <w:autoSpaceDE/>
        <w:autoSpaceDN/>
        <w:bidi w:val="0"/>
        <w:adjustRightInd/>
        <w:snapToGrid/>
        <w:spacing w:line="520" w:lineRule="exact"/>
        <w:textAlignment w:val="auto"/>
        <w:rPr>
          <w:rFonts w:hint="eastAsia" w:ascii="仿宋" w:hAnsi="仿宋" w:eastAsia="仿宋" w:cs="仿宋"/>
          <w:szCs w:val="32"/>
          <w:lang w:val="en-US" w:eastAsia="zh-CN"/>
        </w:rPr>
      </w:pPr>
      <w:r>
        <w:rPr>
          <w:rFonts w:hint="eastAsia" w:ascii="Times New Roman" w:hAnsi="Times New Roman" w:eastAsia="黑体" w:cs="Times New Roman"/>
          <w:szCs w:val="32"/>
          <w:lang w:val="en-US" w:eastAsia="zh-CN"/>
        </w:rPr>
        <w:t xml:space="preserve">    </w:t>
      </w:r>
      <w:r>
        <w:rPr>
          <w:rFonts w:hint="eastAsia" w:ascii="仿宋" w:hAnsi="仿宋" w:eastAsia="仿宋" w:cs="仿宋"/>
          <w:szCs w:val="32"/>
          <w:lang w:val="en-US" w:eastAsia="zh-CN"/>
        </w:rPr>
        <w:t>探矿权采矿权使用费和价款返还可用于支持我县矿山地质灾害防治和矿山地质环境恢复治理项目，可以促进矿山合理开发利用和保护矿产资源。</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textAlignment w:val="auto"/>
        <w:rPr>
          <w:rFonts w:hint="default" w:ascii="Times New Roman" w:hAnsi="Times New Roman" w:eastAsia="黑体" w:cs="Times New Roman"/>
          <w:szCs w:val="32"/>
        </w:rPr>
      </w:pPr>
      <w:r>
        <w:rPr>
          <w:rFonts w:hint="eastAsia" w:eastAsia="黑体" w:cs="Times New Roman"/>
          <w:szCs w:val="32"/>
          <w:lang w:eastAsia="zh-CN"/>
        </w:rPr>
        <w:t>五、</w:t>
      </w:r>
      <w:r>
        <w:rPr>
          <w:rFonts w:hint="default" w:ascii="Times New Roman" w:hAnsi="Times New Roman" w:eastAsia="黑体" w:cs="Times New Roman"/>
          <w:szCs w:val="32"/>
        </w:rPr>
        <w:t>主要经验及做法</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cs="仿宋_GB2312"/>
          <w:szCs w:val="32"/>
          <w:lang w:eastAsia="zh-CN"/>
        </w:rPr>
        <w:t>积极加强与各部门的对接，</w:t>
      </w:r>
      <w:r>
        <w:rPr>
          <w:rFonts w:hint="eastAsia" w:ascii="仿宋_GB2312" w:hAnsi="仿宋_GB2312" w:eastAsia="仿宋_GB2312" w:cs="仿宋_GB2312"/>
          <w:szCs w:val="32"/>
          <w:lang w:eastAsia="zh-CN"/>
        </w:rPr>
        <w:t>做好</w:t>
      </w:r>
      <w:r>
        <w:rPr>
          <w:rFonts w:hint="eastAsia" w:ascii="仿宋_GB2312" w:hAnsi="仿宋_GB2312" w:cs="仿宋_GB2312"/>
          <w:szCs w:val="32"/>
          <w:lang w:eastAsia="zh-CN"/>
        </w:rPr>
        <w:t>资金拨付的各项</w:t>
      </w:r>
      <w:r>
        <w:rPr>
          <w:rFonts w:hint="eastAsia" w:ascii="仿宋_GB2312" w:hAnsi="仿宋_GB2312" w:eastAsia="仿宋_GB2312" w:cs="仿宋_GB2312"/>
          <w:szCs w:val="32"/>
          <w:lang w:eastAsia="zh-CN"/>
        </w:rPr>
        <w:t>准备工作。</w:t>
      </w:r>
    </w:p>
    <w:p>
      <w:pPr>
        <w:numPr>
          <w:ilvl w:val="0"/>
          <w:numId w:val="0"/>
        </w:numPr>
        <w:ind w:firstLine="640"/>
        <w:jc w:val="both"/>
        <w:rPr>
          <w:rFonts w:hint="eastAsia" w:ascii="仿宋_GB2312" w:hAnsi="仿宋_GB2312" w:eastAsia="仿宋_GB2312" w:cs="仿宋_GB2312"/>
          <w:spacing w:val="0"/>
          <w:sz w:val="32"/>
          <w:szCs w:val="32"/>
        </w:rPr>
      </w:pPr>
    </w:p>
    <w:p>
      <w:pPr>
        <w:numPr>
          <w:ilvl w:val="0"/>
          <w:numId w:val="0"/>
        </w:numPr>
        <w:ind w:firstLine="640"/>
        <w:jc w:val="both"/>
        <w:rPr>
          <w:rFonts w:hint="eastAsia" w:ascii="仿宋_GB2312" w:hAnsi="仿宋_GB2312" w:eastAsia="仿宋_GB2312" w:cs="仿宋_GB2312"/>
          <w:spacing w:val="0"/>
          <w:sz w:val="32"/>
          <w:szCs w:val="32"/>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eastAsia" w:ascii="仿宋_GB2312" w:hAnsi="仿宋_GB2312" w:cs="仿宋_GB2312"/>
          <w:spacing w:val="0"/>
          <w:sz w:val="32"/>
          <w:szCs w:val="32"/>
          <w:lang w:val="en-US" w:eastAsia="zh-CN"/>
        </w:rPr>
      </w:pPr>
    </w:p>
    <w:tbl>
      <w:tblPr>
        <w:tblStyle w:val="4"/>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100</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numPr>
          <w:ilvl w:val="0"/>
          <w:numId w:val="0"/>
        </w:numPr>
        <w:ind w:firstLine="640"/>
        <w:jc w:val="both"/>
        <w:rPr>
          <w:rFonts w:hint="eastAsia" w:ascii="仿宋_GB2312" w:hAnsi="仿宋_GB2312" w:cs="仿宋_GB2312"/>
          <w:spacing w:val="0"/>
          <w:sz w:val="32"/>
          <w:szCs w:val="32"/>
          <w:lang w:val="en-US" w:eastAsia="zh-CN"/>
        </w:rPr>
      </w:pPr>
    </w:p>
    <w:p>
      <w:pPr>
        <w:numPr>
          <w:ilvl w:val="0"/>
          <w:numId w:val="0"/>
        </w:numPr>
        <w:ind w:firstLine="640"/>
        <w:jc w:val="both"/>
        <w:rPr>
          <w:rFonts w:hint="default" w:ascii="仿宋_GB2312" w:hAnsi="仿宋_GB2312" w:cs="仿宋_GB2312"/>
          <w:spacing w:val="0"/>
          <w:sz w:val="32"/>
          <w:szCs w:val="32"/>
          <w:lang w:val="en-US" w:eastAsia="zh-CN"/>
        </w:rPr>
      </w:pPr>
    </w:p>
    <w:p>
      <w:pPr>
        <w:topLinePunct/>
        <w:spacing w:line="540" w:lineRule="exact"/>
        <w:ind w:firstLine="800" w:firstLineChars="250"/>
        <w:rPr>
          <w:rFonts w:hint="eastAsia" w:ascii="仿宋_GB2312" w:hAnsi="仿宋_GB2312" w:eastAsia="仿宋_GB2312" w:cs="仿宋_GB2312"/>
          <w:spacing w:val="0"/>
          <w:sz w:val="32"/>
          <w:szCs w:val="32"/>
        </w:rPr>
      </w:pPr>
    </w:p>
    <w:p>
      <w:pPr>
        <w:rPr>
          <w:rFonts w:hint="eastAsia" w:ascii="仿宋_GB2312" w:hAnsi="仿宋_GB2312" w:eastAsia="仿宋_GB2312" w:cs="仿宋_GB2312"/>
          <w:spacing w:val="0"/>
          <w:sz w:val="32"/>
          <w:szCs w:val="32"/>
        </w:rPr>
      </w:pPr>
    </w:p>
    <w:p>
      <w:pPr>
        <w:rPr>
          <w:rFonts w:hint="eastAsia" w:ascii="仿宋_GB2312" w:hAnsi="仿宋_GB2312" w:eastAsia="仿宋_GB2312" w:cs="仿宋_GB2312"/>
          <w:spacing w:val="0"/>
          <w:sz w:val="32"/>
          <w:szCs w:val="32"/>
        </w:rPr>
      </w:pPr>
    </w:p>
    <w:p>
      <w:pPr>
        <w:rPr>
          <w:rFonts w:hint="eastAsia" w:ascii="仿宋_GB2312" w:hAnsi="仿宋_GB2312" w:eastAsia="仿宋_GB2312" w:cs="仿宋_GB2312"/>
          <w:spacing w:val="0"/>
          <w:sz w:val="32"/>
          <w:szCs w:val="32"/>
        </w:rPr>
      </w:pPr>
    </w:p>
    <w:p>
      <w:pPr>
        <w:jc w:val="center"/>
        <w:rPr>
          <w:rFonts w:hint="eastAsia" w:ascii="仿宋_GB2312" w:hAnsi="仿宋_GB2312" w:eastAsia="仿宋_GB2312" w:cs="仿宋_GB2312"/>
          <w:bCs/>
          <w:spacing w:val="0"/>
          <w:sz w:val="32"/>
          <w:szCs w:val="32"/>
        </w:rPr>
      </w:pPr>
    </w:p>
    <w:p>
      <w:pPr>
        <w:jc w:val="center"/>
        <w:rPr>
          <w:rFonts w:ascii="黑体" w:eastAsia="黑体"/>
          <w:bCs/>
          <w:spacing w:val="0"/>
          <w:sz w:val="36"/>
          <w:szCs w:val="36"/>
        </w:rPr>
      </w:pPr>
    </w:p>
    <w:p>
      <w:pPr>
        <w:jc w:val="both"/>
        <w:rPr>
          <w:rFonts w:ascii="黑体" w:eastAsia="黑体"/>
          <w:bCs/>
          <w:spacing w:val="0"/>
          <w:sz w:val="36"/>
          <w:szCs w:val="36"/>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E7A13B"/>
    <w:multiLevelType w:val="singleLevel"/>
    <w:tmpl w:val="D2E7A13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7A863CD"/>
    <w:rsid w:val="0F3179CC"/>
    <w:rsid w:val="11CE47A1"/>
    <w:rsid w:val="15271C5A"/>
    <w:rsid w:val="197C036D"/>
    <w:rsid w:val="1C035C85"/>
    <w:rsid w:val="23DC4F6A"/>
    <w:rsid w:val="2E204333"/>
    <w:rsid w:val="3B4C3206"/>
    <w:rsid w:val="3CEA1614"/>
    <w:rsid w:val="42005AB4"/>
    <w:rsid w:val="43D156B3"/>
    <w:rsid w:val="47C34210"/>
    <w:rsid w:val="48EB616B"/>
    <w:rsid w:val="4EB63854"/>
    <w:rsid w:val="520241CC"/>
    <w:rsid w:val="56273090"/>
    <w:rsid w:val="5B2D3109"/>
    <w:rsid w:val="642947DE"/>
    <w:rsid w:val="659A14CD"/>
    <w:rsid w:val="6A901FE5"/>
    <w:rsid w:val="72B16835"/>
    <w:rsid w:val="79C36636"/>
    <w:rsid w:val="7AE208C3"/>
    <w:rsid w:val="7FB4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 w:type="character" w:customStyle="1" w:styleId="8">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41</TotalTime>
  <ScaleCrop>false</ScaleCrop>
  <LinksUpToDate>false</LinksUpToDate>
  <CharactersWithSpaces>2746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杨海丽-昆明富民</cp:lastModifiedBy>
  <cp:lastPrinted>2020-04-27T01:36:59Z</cp:lastPrinted>
  <dcterms:modified xsi:type="dcterms:W3CDTF">2020-04-27T02:16:48Z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