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2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0"/>
          <w:sz w:val="44"/>
          <w:szCs w:val="44"/>
          <w:lang w:val="en-US" w:eastAsia="zh-CN"/>
        </w:rPr>
        <w:t>2019年度富民县土地变更调查与遥感监测工作</w:t>
      </w:r>
      <w:r>
        <w:rPr>
          <w:rFonts w:hint="eastAsia" w:ascii="方正小标宋简体" w:hAnsi="方正小标宋简体" w:eastAsia="方正小标宋简体" w:cs="方正小标宋简体"/>
          <w:sz w:val="44"/>
          <w:szCs w:val="44"/>
        </w:rPr>
        <w:t>项目支出绩效评价报告</w:t>
      </w:r>
    </w:p>
    <w:p>
      <w:pPr>
        <w:keepNext w:val="0"/>
        <w:keepLines w:val="0"/>
        <w:pageBreakBefore w:val="0"/>
        <w:widowControl w:val="0"/>
        <w:kinsoku/>
        <w:wordWrap/>
        <w:overflowPunct/>
        <w:topLinePunct/>
        <w:autoSpaceDE/>
        <w:autoSpaceDN/>
        <w:bidi w:val="0"/>
        <w:adjustRightInd/>
        <w:snapToGrid/>
        <w:spacing w:line="520" w:lineRule="exact"/>
        <w:ind w:firstLine="800" w:firstLineChars="250"/>
        <w:textAlignment w:val="auto"/>
        <w:outlineLvl w:val="9"/>
        <w:rPr>
          <w:rFonts w:hint="eastAsia" w:ascii="仿宋_GB2312" w:hAnsi="仿宋_GB2312" w:eastAsia="仿宋_GB2312" w:cs="仿宋_GB2312"/>
          <w:sz w:val="32"/>
          <w:szCs w:val="32"/>
        </w:rPr>
      </w:pPr>
      <w:bookmarkStart w:id="2" w:name="_GoBack"/>
      <w:bookmarkEnd w:id="2"/>
    </w:p>
    <w:p>
      <w:pPr>
        <w:keepNext w:val="0"/>
        <w:keepLines w:val="0"/>
        <w:pageBreakBefore w:val="0"/>
        <w:widowControl w:val="0"/>
        <w:kinsoku/>
        <w:wordWrap/>
        <w:overflowPunct/>
        <w:topLinePunct/>
        <w:autoSpaceDE/>
        <w:autoSpaceDN/>
        <w:bidi w:val="0"/>
        <w:adjustRightInd/>
        <w:snapToGrid/>
        <w:spacing w:line="520" w:lineRule="exact"/>
        <w:ind w:firstLine="800" w:firstLineChars="250"/>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autoSpaceDE/>
        <w:autoSpaceDN/>
        <w:bidi w:val="0"/>
        <w:adjustRightInd/>
        <w:snapToGrid/>
        <w:spacing w:line="520" w:lineRule="exact"/>
        <w:ind w:firstLine="800" w:firstLineChars="25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一、项目基本情况</w:t>
      </w:r>
    </w:p>
    <w:p>
      <w:pPr>
        <w:keepNext w:val="0"/>
        <w:keepLines w:val="0"/>
        <w:pageBreakBefore w:val="0"/>
        <w:widowControl w:val="0"/>
        <w:kinsoku/>
        <w:wordWrap/>
        <w:overflowPunct/>
        <w:topLinePunct/>
        <w:autoSpaceDE/>
        <w:autoSpaceDN/>
        <w:bidi w:val="0"/>
        <w:adjustRightInd/>
        <w:snapToGrid/>
        <w:spacing w:line="520" w:lineRule="exact"/>
        <w:ind w:firstLine="803" w:firstLineChars="25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pPr>
        <w:keepNext w:val="0"/>
        <w:keepLines w:val="0"/>
        <w:pageBreakBefore w:val="0"/>
        <w:widowControl w:val="0"/>
        <w:kinsoku/>
        <w:wordWrap/>
        <w:overflowPunct/>
        <w:topLinePunct/>
        <w:autoSpaceDE/>
        <w:autoSpaceDN/>
        <w:bidi w:val="0"/>
        <w:adjustRightInd/>
        <w:snapToGrid/>
        <w:spacing w:line="520" w:lineRule="exact"/>
        <w:ind w:firstLine="803" w:firstLineChars="25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1.立项背景及目的。</w:t>
      </w:r>
    </w:p>
    <w:p>
      <w:pPr>
        <w:keepNext w:val="0"/>
        <w:keepLines w:val="0"/>
        <w:pageBreakBefore w:val="0"/>
        <w:widowControl w:val="0"/>
        <w:kinsoku/>
        <w:wordWrap/>
        <w:overflowPunct/>
        <w:topLinePunct/>
        <w:autoSpaceDE/>
        <w:autoSpaceDN/>
        <w:bidi w:val="0"/>
        <w:adjustRightInd/>
        <w:snapToGrid/>
        <w:spacing w:line="520" w:lineRule="exact"/>
        <w:ind w:firstLine="800" w:firstLineChars="25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为掌握全国土地利用变化情况，按照《土地调查条例》、《土地调查条例实施办法》和《土地变更调查技术规程》，自然资源部决定开展</w:t>
      </w:r>
      <w:r>
        <w:rPr>
          <w:rFonts w:hint="eastAsia" w:ascii="仿宋_GB2312" w:hAnsi="仿宋_GB2312" w:eastAsia="仿宋_GB2312" w:cs="仿宋_GB2312"/>
          <w:sz w:val="32"/>
          <w:szCs w:val="32"/>
          <w:lang w:val="en-US" w:eastAsia="zh-CN"/>
        </w:rPr>
        <w:t>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lang w:val="en-US" w:eastAsia="zh-CN"/>
        </w:rPr>
        <w:t>年度土地变更调查与遥感监测工作。</w:t>
      </w:r>
    </w:p>
    <w:p>
      <w:pPr>
        <w:keepNext w:val="0"/>
        <w:keepLines w:val="0"/>
        <w:pageBreakBefore w:val="0"/>
        <w:widowControl w:val="0"/>
        <w:kinsoku/>
        <w:wordWrap/>
        <w:overflowPunct/>
        <w:topLinePunct/>
        <w:autoSpaceDE/>
        <w:autoSpaceDN/>
        <w:bidi w:val="0"/>
        <w:adjustRightInd/>
        <w:snapToGrid/>
        <w:spacing w:line="520" w:lineRule="exact"/>
        <w:ind w:firstLine="800" w:firstLineChars="2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土地变更调查与遥感监测是准确获取土地基础数据的重要途径，其成果已广泛用于农用地转用、土地利用规划修改完善、永久基本农田划定、城乡建设用地增减挂钩、土地开发整治等实际工作中，</w:t>
      </w:r>
      <w:r>
        <w:rPr>
          <w:rFonts w:hint="eastAsia" w:ascii="仿宋_GB2312" w:hAnsi="仿宋_GB2312" w:eastAsia="仿宋_GB2312" w:cs="仿宋_GB2312"/>
          <w:sz w:val="32"/>
          <w:szCs w:val="32"/>
          <w:lang w:val="en-US" w:eastAsia="zh-CN"/>
        </w:rPr>
        <w:t>以201</w:t>
      </w: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lang w:val="en-US" w:eastAsia="zh-CN"/>
        </w:rPr>
        <w:t>年度土地变更调查成果为基础，通过开展201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lang w:val="en-US" w:eastAsia="zh-CN"/>
        </w:rPr>
        <w:t>年度土地变更调查与遥感监测工作，全面汇总全县土地利用现状及变化情况，及时更新土地调查数据库和国土资源综合信息监管平台，保持全县土地调查数据的现势性，保证图、数、实地、数据库四者一致，深化土地变更调查成果应用范围，实现国土资源“以图管地”的精确调查与有效监管，满足国土资源“一张图”建设和“批、供、用、补、查”日常监管的需要，为富民县、昆明市、云南省国土资源管理及经济社会发展提供基础资料和决策依据。</w:t>
      </w:r>
    </w:p>
    <w:p>
      <w:pPr>
        <w:keepNext w:val="0"/>
        <w:keepLines w:val="0"/>
        <w:pageBreakBefore w:val="0"/>
        <w:widowControl w:val="0"/>
        <w:kinsoku/>
        <w:wordWrap/>
        <w:overflowPunct/>
        <w:topLinePunct/>
        <w:autoSpaceDE/>
        <w:autoSpaceDN/>
        <w:bidi w:val="0"/>
        <w:adjustRightInd/>
        <w:snapToGrid/>
        <w:spacing w:line="520" w:lineRule="exact"/>
        <w:ind w:firstLine="800" w:firstLineChars="2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lang w:val="en-US" w:eastAsia="zh-CN"/>
        </w:rPr>
        <w:t>年度全国土地变更调查与遥感监测工作主要任务包括：各类用地管理信息符合及补充，土地利用现状变更调查，基本农田上图，变更成果合理性审查，用地管理信息套合标注，数据统计汇总及分析，更新土地调查数据库，坝区土地利用数据更新汇总等。</w:t>
      </w:r>
    </w:p>
    <w:p>
      <w:pPr>
        <w:keepNext w:val="0"/>
        <w:keepLines w:val="0"/>
        <w:pageBreakBefore w:val="0"/>
        <w:widowControl w:val="0"/>
        <w:numPr>
          <w:ilvl w:val="0"/>
          <w:numId w:val="1"/>
        </w:numPr>
        <w:kinsoku/>
        <w:wordWrap/>
        <w:overflowPunct/>
        <w:topLinePunct/>
        <w:autoSpaceDE/>
        <w:autoSpaceDN/>
        <w:bidi w:val="0"/>
        <w:adjustRightInd/>
        <w:snapToGrid/>
        <w:spacing w:line="520" w:lineRule="exact"/>
        <w:ind w:firstLine="803" w:firstLineChars="25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项目实施情况。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富民县201</w:t>
      </w:r>
      <w:r>
        <w:rPr>
          <w:rFonts w:hint="eastAsia" w:ascii="仿宋_GB2312" w:hAnsi="仿宋_GB2312" w:cs="仿宋_GB2312"/>
          <w:b w:val="0"/>
          <w:bCs/>
          <w:sz w:val="32"/>
          <w:szCs w:val="32"/>
          <w:lang w:val="en-US" w:eastAsia="zh-CN"/>
        </w:rPr>
        <w:t>9</w:t>
      </w:r>
      <w:r>
        <w:rPr>
          <w:rFonts w:hint="eastAsia" w:ascii="仿宋_GB2312" w:hAnsi="仿宋_GB2312" w:eastAsia="仿宋_GB2312" w:cs="仿宋_GB2312"/>
          <w:b w:val="0"/>
          <w:bCs/>
          <w:sz w:val="32"/>
          <w:szCs w:val="32"/>
          <w:lang w:val="en-US" w:eastAsia="zh-CN"/>
        </w:rPr>
        <w:t>年度土地变更调查与遥感监测工作于20</w:t>
      </w:r>
      <w:r>
        <w:rPr>
          <w:rFonts w:hint="eastAsia" w:ascii="仿宋_GB2312" w:hAnsi="仿宋_GB2312" w:cs="仿宋_GB2312"/>
          <w:b w:val="0"/>
          <w:bCs/>
          <w:sz w:val="32"/>
          <w:szCs w:val="32"/>
          <w:lang w:val="en-US" w:eastAsia="zh-CN"/>
        </w:rPr>
        <w:t>20年3月与富民县第三次全国国土调查时点更新工作一同开展</w:t>
      </w:r>
      <w:r>
        <w:rPr>
          <w:rFonts w:hint="eastAsia" w:ascii="仿宋_GB2312" w:hAnsi="仿宋_GB2312" w:eastAsia="仿宋_GB2312" w:cs="仿宋_GB2312"/>
          <w:b w:val="0"/>
          <w:bCs/>
          <w:sz w:val="32"/>
          <w:szCs w:val="32"/>
          <w:lang w:val="en-US" w:eastAsia="zh-CN"/>
        </w:rPr>
        <w:t>，承担调查工作的技术单位为昆明市土地开发整理中心</w:t>
      </w:r>
      <w:r>
        <w:rPr>
          <w:rFonts w:hint="eastAsia" w:ascii="仿宋_GB2312" w:hAnsi="仿宋_GB2312" w:cs="仿宋_GB2312"/>
          <w:b w:val="0"/>
          <w:bCs/>
          <w:sz w:val="32"/>
          <w:szCs w:val="32"/>
          <w:lang w:val="en-US" w:eastAsia="zh-CN"/>
        </w:rPr>
        <w:t>，调查工作正在开展中。</w:t>
      </w:r>
    </w:p>
    <w:p>
      <w:pPr>
        <w:keepNext w:val="0"/>
        <w:keepLines w:val="0"/>
        <w:pageBreakBefore w:val="0"/>
        <w:widowControl w:val="0"/>
        <w:numPr>
          <w:ilvl w:val="0"/>
          <w:numId w:val="1"/>
        </w:numPr>
        <w:kinsoku/>
        <w:wordWrap/>
        <w:overflowPunct/>
        <w:topLinePunct/>
        <w:autoSpaceDE/>
        <w:autoSpaceDN/>
        <w:bidi w:val="0"/>
        <w:adjustRightInd/>
        <w:snapToGrid/>
        <w:spacing w:line="520" w:lineRule="exact"/>
        <w:ind w:firstLine="803" w:firstLineChars="25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资金来源及使用情况。</w:t>
      </w:r>
    </w:p>
    <w:p>
      <w:pPr>
        <w:keepNext w:val="0"/>
        <w:keepLines w:val="0"/>
        <w:pageBreakBefore w:val="0"/>
        <w:widowControl w:val="0"/>
        <w:numPr>
          <w:ilvl w:val="0"/>
          <w:numId w:val="0"/>
        </w:numPr>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w:t>
      </w:r>
      <w:r>
        <w:rPr>
          <w:rFonts w:hint="eastAsia" w:ascii="仿宋_GB2312" w:hAnsi="仿宋_GB2312" w:cs="仿宋_GB2312"/>
          <w:sz w:val="32"/>
          <w:szCs w:val="32"/>
          <w:lang w:eastAsia="zh-CN"/>
        </w:rPr>
        <w:t>昆财非税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53</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2019</w:t>
      </w:r>
      <w:r>
        <w:rPr>
          <w:rFonts w:hint="eastAsia" w:ascii="仿宋_GB2312" w:hAnsi="仿宋_GB2312" w:eastAsia="仿宋_GB2312" w:cs="仿宋_GB2312"/>
          <w:sz w:val="32"/>
          <w:szCs w:val="32"/>
          <w:lang w:val="en-US" w:eastAsia="zh-CN"/>
        </w:rPr>
        <w:t>年土地变更调查与遥感监测工作省对下专项转移支付资金的通知</w:t>
      </w:r>
      <w:r>
        <w:rPr>
          <w:rFonts w:hint="eastAsia" w:ascii="仿宋_GB2312" w:hAnsi="仿宋_GB2312" w:eastAsia="仿宋_GB2312" w:cs="仿宋_GB2312"/>
          <w:sz w:val="32"/>
          <w:szCs w:val="32"/>
          <w:lang w:eastAsia="zh-CN"/>
        </w:rPr>
        <w:t>》的安排，省级配套</w:t>
      </w:r>
      <w:r>
        <w:rPr>
          <w:rFonts w:hint="eastAsia" w:ascii="仿宋_GB2312" w:hAnsi="仿宋_GB2312" w:eastAsia="仿宋_GB2312" w:cs="仿宋_GB2312"/>
          <w:b w:val="0"/>
          <w:bCs/>
          <w:sz w:val="32"/>
          <w:szCs w:val="32"/>
        </w:rPr>
        <w:t>富民县</w:t>
      </w:r>
      <w:r>
        <w:rPr>
          <w:rFonts w:hint="eastAsia" w:ascii="仿宋_GB2312" w:hAnsi="仿宋_GB2312" w:eastAsia="仿宋_GB2312" w:cs="仿宋_GB2312"/>
          <w:b w:val="0"/>
          <w:bCs/>
          <w:spacing w:val="-20"/>
          <w:kern w:val="0"/>
          <w:sz w:val="32"/>
          <w:szCs w:val="32"/>
        </w:rPr>
        <w:t>201</w:t>
      </w:r>
      <w:r>
        <w:rPr>
          <w:rFonts w:hint="eastAsia" w:ascii="仿宋_GB2312" w:hAnsi="仿宋_GB2312" w:cs="仿宋_GB2312"/>
          <w:b w:val="0"/>
          <w:bCs/>
          <w:spacing w:val="-20"/>
          <w:kern w:val="0"/>
          <w:sz w:val="32"/>
          <w:szCs w:val="32"/>
          <w:lang w:val="en-US" w:eastAsia="zh-CN"/>
        </w:rPr>
        <w:t>9</w:t>
      </w:r>
      <w:r>
        <w:rPr>
          <w:rFonts w:hint="eastAsia" w:ascii="仿宋_GB2312" w:hAnsi="仿宋_GB2312" w:eastAsia="仿宋_GB2312" w:cs="仿宋_GB2312"/>
          <w:b w:val="0"/>
          <w:bCs/>
          <w:sz w:val="32"/>
          <w:szCs w:val="32"/>
        </w:rPr>
        <w:t>年度土地变更调查与遥感监测工作</w:t>
      </w:r>
      <w:r>
        <w:rPr>
          <w:rFonts w:hint="eastAsia" w:ascii="仿宋_GB2312" w:hAnsi="仿宋_GB2312" w:eastAsia="仿宋_GB2312" w:cs="仿宋_GB2312"/>
          <w:b w:val="0"/>
          <w:bCs/>
          <w:sz w:val="32"/>
          <w:szCs w:val="32"/>
          <w:lang w:eastAsia="zh-CN"/>
        </w:rPr>
        <w:t>经费为</w:t>
      </w:r>
      <w:r>
        <w:rPr>
          <w:rFonts w:hint="eastAsia" w:ascii="仿宋_GB2312" w:hAnsi="仿宋_GB2312" w:eastAsia="仿宋_GB2312" w:cs="仿宋_GB2312"/>
          <w:b w:val="0"/>
          <w:bCs/>
          <w:sz w:val="32"/>
          <w:szCs w:val="32"/>
          <w:lang w:val="en-US" w:eastAsia="zh-CN"/>
        </w:rPr>
        <w:t>11万元，目前配套资金已到位。</w:t>
      </w:r>
    </w:p>
    <w:p>
      <w:pPr>
        <w:keepNext w:val="0"/>
        <w:keepLines w:val="0"/>
        <w:pageBreakBefore w:val="0"/>
        <w:widowControl w:val="0"/>
        <w:numPr>
          <w:ilvl w:val="0"/>
          <w:numId w:val="1"/>
        </w:numPr>
        <w:kinsoku/>
        <w:wordWrap/>
        <w:overflowPunct/>
        <w:topLinePunct/>
        <w:autoSpaceDE/>
        <w:autoSpaceDN/>
        <w:bidi w:val="0"/>
        <w:adjustRightInd/>
        <w:snapToGrid/>
        <w:spacing w:line="520" w:lineRule="exact"/>
        <w:ind w:firstLine="803" w:firstLineChars="25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组织及管理情况</w:t>
      </w:r>
      <w:r>
        <w:rPr>
          <w:rFonts w:hint="eastAsia" w:ascii="楷体" w:hAnsi="楷体" w:eastAsia="楷体" w:cs="楷体"/>
          <w:b/>
          <w:bCs/>
          <w:sz w:val="32"/>
          <w:szCs w:val="32"/>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①</w:t>
      </w:r>
      <w:r>
        <w:rPr>
          <w:rFonts w:hint="eastAsia" w:ascii="仿宋_GB2312" w:hAnsi="仿宋_GB2312" w:eastAsia="仿宋_GB2312" w:cs="仿宋_GB2312"/>
          <w:b w:val="0"/>
          <w:bCs w:val="0"/>
          <w:sz w:val="32"/>
          <w:szCs w:val="32"/>
          <w:lang w:eastAsia="zh-CN"/>
        </w:rPr>
        <w:t>组织情况。</w:t>
      </w:r>
      <w:r>
        <w:rPr>
          <w:rFonts w:hint="eastAsia" w:ascii="仿宋_GB2312" w:hAnsi="仿宋_GB2312" w:eastAsia="仿宋_GB2312" w:cs="仿宋_GB2312"/>
          <w:b w:val="0"/>
          <w:bCs w:val="0"/>
          <w:sz w:val="32"/>
          <w:szCs w:val="32"/>
        </w:rPr>
        <w:t>按相关规定及规范的要求，</w:t>
      </w:r>
      <w:r>
        <w:rPr>
          <w:rFonts w:hint="eastAsia" w:ascii="仿宋_GB2312" w:hAnsi="仿宋_GB2312" w:eastAsia="仿宋_GB2312" w:cs="仿宋_GB2312"/>
          <w:b w:val="0"/>
          <w:bCs w:val="0"/>
          <w:sz w:val="32"/>
          <w:szCs w:val="32"/>
          <w:lang w:eastAsia="zh-CN"/>
        </w:rPr>
        <w:t>富民县</w:t>
      </w:r>
      <w:r>
        <w:rPr>
          <w:rFonts w:hint="eastAsia" w:ascii="仿宋_GB2312" w:hAnsi="仿宋_GB2312" w:cs="仿宋_GB2312"/>
          <w:b w:val="0"/>
          <w:bCs w:val="0"/>
          <w:sz w:val="32"/>
          <w:szCs w:val="32"/>
          <w:lang w:eastAsia="zh-CN"/>
        </w:rPr>
        <w:t>自然</w:t>
      </w:r>
      <w:r>
        <w:rPr>
          <w:rFonts w:hint="eastAsia" w:ascii="仿宋_GB2312" w:hAnsi="仿宋_GB2312" w:eastAsia="仿宋_GB2312" w:cs="仿宋_GB2312"/>
          <w:b w:val="0"/>
          <w:bCs w:val="0"/>
          <w:sz w:val="32"/>
          <w:szCs w:val="32"/>
          <w:lang w:eastAsia="zh-CN"/>
        </w:rPr>
        <w:t>资源局于</w:t>
      </w:r>
      <w:r>
        <w:rPr>
          <w:rFonts w:hint="eastAsia" w:ascii="仿宋_GB2312" w:hAnsi="仿宋_GB2312" w:eastAsia="仿宋_GB2312" w:cs="仿宋_GB2312"/>
          <w:spacing w:val="-4"/>
          <w:sz w:val="32"/>
          <w:szCs w:val="32"/>
        </w:rPr>
        <w:t>20</w:t>
      </w:r>
      <w:r>
        <w:rPr>
          <w:rFonts w:hint="eastAsia" w:ascii="仿宋_GB2312" w:hAnsi="仿宋_GB2312" w:cs="仿宋_GB2312"/>
          <w:spacing w:val="-4"/>
          <w:sz w:val="32"/>
          <w:szCs w:val="32"/>
          <w:lang w:val="en-US" w:eastAsia="zh-CN"/>
        </w:rPr>
        <w:t>20</w:t>
      </w:r>
      <w:r>
        <w:rPr>
          <w:rFonts w:hint="eastAsia" w:ascii="仿宋_GB2312" w:hAnsi="仿宋_GB2312" w:eastAsia="仿宋_GB2312" w:cs="仿宋_GB2312"/>
          <w:spacing w:val="-4"/>
          <w:sz w:val="32"/>
          <w:szCs w:val="32"/>
        </w:rPr>
        <w:t>年</w:t>
      </w:r>
      <w:r>
        <w:rPr>
          <w:rFonts w:hint="eastAsia" w:ascii="仿宋_GB2312" w:hAnsi="仿宋_GB2312" w:cs="仿宋_GB2312"/>
          <w:spacing w:val="-4"/>
          <w:sz w:val="32"/>
          <w:szCs w:val="32"/>
          <w:lang w:val="en-US" w:eastAsia="zh-CN"/>
        </w:rPr>
        <w:t>2</w:t>
      </w:r>
      <w:r>
        <w:rPr>
          <w:rFonts w:hint="eastAsia" w:ascii="仿宋_GB2312" w:hAnsi="仿宋_GB2312" w:eastAsia="仿宋_GB2312" w:cs="仿宋_GB2312"/>
          <w:spacing w:val="-4"/>
          <w:sz w:val="32"/>
          <w:szCs w:val="32"/>
        </w:rPr>
        <w:t>月</w:t>
      </w:r>
      <w:r>
        <w:rPr>
          <w:rFonts w:hint="eastAsia" w:ascii="仿宋_GB2312" w:hAnsi="仿宋_GB2312" w:cs="仿宋_GB2312"/>
          <w:spacing w:val="-4"/>
          <w:sz w:val="32"/>
          <w:szCs w:val="32"/>
          <w:lang w:val="en-US" w:eastAsia="zh-CN"/>
        </w:rPr>
        <w:t>10</w:t>
      </w:r>
      <w:r>
        <w:rPr>
          <w:rFonts w:hint="eastAsia" w:ascii="仿宋_GB2312" w:hAnsi="仿宋_GB2312" w:eastAsia="仿宋_GB2312" w:cs="仿宋_GB2312"/>
          <w:spacing w:val="-4"/>
          <w:sz w:val="32"/>
          <w:szCs w:val="32"/>
        </w:rPr>
        <w:t>日</w:t>
      </w:r>
      <w:r>
        <w:rPr>
          <w:rFonts w:hint="eastAsia" w:ascii="仿宋_GB2312" w:hAnsi="仿宋_GB2312" w:eastAsia="仿宋_GB2312" w:cs="仿宋_GB2312"/>
          <w:b w:val="0"/>
          <w:bCs w:val="0"/>
          <w:sz w:val="32"/>
          <w:szCs w:val="32"/>
        </w:rPr>
        <w:t>成立</w:t>
      </w:r>
      <w:r>
        <w:rPr>
          <w:rFonts w:hint="eastAsia" w:ascii="仿宋_GB2312" w:hAnsi="仿宋_GB2312" w:eastAsia="仿宋_GB2312" w:cs="仿宋_GB2312"/>
          <w:b w:val="0"/>
          <w:bCs w:val="0"/>
          <w:sz w:val="32"/>
          <w:szCs w:val="32"/>
          <w:lang w:eastAsia="zh-CN"/>
        </w:rPr>
        <w:t>了以文业斌局长为组长的</w:t>
      </w:r>
      <w:r>
        <w:rPr>
          <w:rFonts w:hint="eastAsia" w:ascii="仿宋_GB2312" w:hAnsi="仿宋_GB2312" w:eastAsia="仿宋_GB2312" w:cs="仿宋_GB2312"/>
          <w:b w:val="0"/>
          <w:bCs w:val="0"/>
          <w:sz w:val="32"/>
          <w:szCs w:val="32"/>
        </w:rPr>
        <w:t>富民县201</w:t>
      </w:r>
      <w:r>
        <w:rPr>
          <w:rFonts w:hint="eastAsia" w:ascii="仿宋_GB2312" w:hAnsi="仿宋_GB2312" w:cs="仿宋_GB2312"/>
          <w:b w:val="0"/>
          <w:bCs w:val="0"/>
          <w:sz w:val="32"/>
          <w:szCs w:val="32"/>
          <w:lang w:val="en-US" w:eastAsia="zh-CN"/>
        </w:rPr>
        <w:t>9</w:t>
      </w:r>
      <w:r>
        <w:rPr>
          <w:rFonts w:hint="eastAsia" w:ascii="仿宋_GB2312" w:hAnsi="仿宋_GB2312" w:eastAsia="仿宋_GB2312" w:cs="仿宋_GB2312"/>
          <w:b w:val="0"/>
          <w:bCs w:val="0"/>
          <w:sz w:val="32"/>
          <w:szCs w:val="32"/>
        </w:rPr>
        <w:t>年度土地变更调查与遥感监测工作领导小组，领导小组具体负责富民县201</w:t>
      </w:r>
      <w:r>
        <w:rPr>
          <w:rFonts w:hint="eastAsia" w:ascii="仿宋_GB2312" w:hAnsi="仿宋_GB2312" w:cs="仿宋_GB2312"/>
          <w:b w:val="0"/>
          <w:bCs w:val="0"/>
          <w:sz w:val="32"/>
          <w:szCs w:val="32"/>
          <w:lang w:val="en-US" w:eastAsia="zh-CN"/>
        </w:rPr>
        <w:t>9</w:t>
      </w:r>
      <w:r>
        <w:rPr>
          <w:rFonts w:hint="eastAsia" w:ascii="仿宋_GB2312" w:hAnsi="仿宋_GB2312" w:eastAsia="仿宋_GB2312" w:cs="仿宋_GB2312"/>
          <w:b w:val="0"/>
          <w:bCs w:val="0"/>
          <w:sz w:val="32"/>
          <w:szCs w:val="32"/>
        </w:rPr>
        <w:t>年度土地利用变更调查与遥感监测工作的组织实施</w:t>
      </w:r>
      <w:r>
        <w:rPr>
          <w:rFonts w:hint="eastAsia" w:ascii="仿宋_GB2312" w:hAnsi="仿宋_GB2312" w:eastAsia="仿宋_GB2312" w:cs="仿宋_GB2312"/>
          <w:b w:val="0"/>
          <w:bCs w:val="0"/>
          <w:sz w:val="32"/>
          <w:szCs w:val="32"/>
          <w:lang w:eastAsia="zh-CN"/>
        </w:rPr>
        <w:t>，并制定下发了《</w:t>
      </w:r>
      <w:r>
        <w:rPr>
          <w:rFonts w:hint="eastAsia" w:ascii="仿宋_GB2312" w:hAnsi="仿宋_GB2312" w:eastAsia="仿宋_GB2312" w:cs="仿宋_GB2312"/>
          <w:b w:val="0"/>
          <w:bCs/>
          <w:sz w:val="32"/>
          <w:szCs w:val="32"/>
        </w:rPr>
        <w:t>富民县</w:t>
      </w:r>
      <w:r>
        <w:rPr>
          <w:rFonts w:hint="eastAsia" w:ascii="仿宋_GB2312" w:hAnsi="仿宋_GB2312" w:eastAsia="仿宋_GB2312" w:cs="仿宋_GB2312"/>
          <w:b w:val="0"/>
          <w:bCs/>
          <w:spacing w:val="-20"/>
          <w:kern w:val="0"/>
          <w:sz w:val="32"/>
          <w:szCs w:val="32"/>
        </w:rPr>
        <w:t>201</w:t>
      </w:r>
      <w:r>
        <w:rPr>
          <w:rFonts w:hint="eastAsia" w:ascii="仿宋_GB2312" w:hAnsi="仿宋_GB2312" w:cs="仿宋_GB2312"/>
          <w:b w:val="0"/>
          <w:bCs/>
          <w:spacing w:val="-20"/>
          <w:kern w:val="0"/>
          <w:sz w:val="32"/>
          <w:szCs w:val="32"/>
          <w:lang w:val="en-US" w:eastAsia="zh-CN"/>
        </w:rPr>
        <w:t>9</w:t>
      </w:r>
      <w:r>
        <w:rPr>
          <w:rFonts w:hint="eastAsia" w:ascii="仿宋_GB2312" w:hAnsi="仿宋_GB2312" w:eastAsia="仿宋_GB2312" w:cs="仿宋_GB2312"/>
          <w:b w:val="0"/>
          <w:bCs/>
          <w:sz w:val="32"/>
          <w:szCs w:val="32"/>
        </w:rPr>
        <w:t>年度土地变更调查与遥感监测工作实施方案</w:t>
      </w:r>
      <w:r>
        <w:rPr>
          <w:rFonts w:hint="eastAsia" w:ascii="仿宋_GB2312" w:hAnsi="仿宋_GB2312" w:eastAsia="仿宋_GB2312" w:cs="仿宋_GB2312"/>
          <w:b w:val="0"/>
          <w:bCs/>
          <w:sz w:val="32"/>
          <w:szCs w:val="32"/>
          <w:lang w:eastAsia="zh-CN"/>
        </w:rPr>
        <w:t>》。②项目实施流程。</w:t>
      </w:r>
      <w:r>
        <w:rPr>
          <w:rFonts w:hint="eastAsia" w:ascii="仿宋_GB2312" w:hAnsi="仿宋_GB2312" w:cs="仿宋_GB2312"/>
          <w:b w:val="0"/>
          <w:bCs/>
          <w:sz w:val="32"/>
          <w:szCs w:val="32"/>
          <w:lang w:eastAsia="zh-CN"/>
        </w:rPr>
        <w:t>成立调查领导小组，昆明市土地开发整理中心负责调查、数据采集核对、数据库建立，上报省市核查调查信息，通过验收后下发调查数据投入日常自然资源调查工作。</w:t>
      </w:r>
      <w:r>
        <w:rPr>
          <w:rFonts w:hint="eastAsia" w:ascii="仿宋_GB2312" w:hAnsi="仿宋_GB2312" w:eastAsia="仿宋_GB2312" w:cs="仿宋_GB2312"/>
          <w:b w:val="0"/>
          <w:bCs/>
          <w:sz w:val="32"/>
          <w:szCs w:val="32"/>
          <w:lang w:eastAsia="zh-CN"/>
        </w:rPr>
        <w:t>③资金拨付流程。</w:t>
      </w:r>
      <w:r>
        <w:rPr>
          <w:rFonts w:hint="eastAsia" w:ascii="仿宋_GB2312" w:hAnsi="仿宋_GB2312" w:eastAsia="仿宋_GB2312" w:cs="仿宋_GB2312"/>
          <w:b w:val="0"/>
          <w:bCs/>
          <w:sz w:val="32"/>
          <w:szCs w:val="32"/>
          <w:lang w:val="en-US" w:eastAsia="zh-CN"/>
        </w:rPr>
        <w:t>待201</w:t>
      </w:r>
      <w:r>
        <w:rPr>
          <w:rFonts w:hint="eastAsia" w:ascii="仿宋_GB2312" w:hAnsi="仿宋_GB2312" w:cs="仿宋_GB2312"/>
          <w:b w:val="0"/>
          <w:bCs/>
          <w:sz w:val="32"/>
          <w:szCs w:val="32"/>
          <w:lang w:val="en-US" w:eastAsia="zh-CN"/>
        </w:rPr>
        <w:t>9</w:t>
      </w:r>
      <w:r>
        <w:rPr>
          <w:rFonts w:hint="eastAsia" w:ascii="仿宋_GB2312" w:hAnsi="仿宋_GB2312" w:eastAsia="仿宋_GB2312" w:cs="仿宋_GB2312"/>
          <w:b w:val="0"/>
          <w:bCs/>
          <w:sz w:val="32"/>
          <w:szCs w:val="32"/>
          <w:lang w:val="en-US" w:eastAsia="zh-CN"/>
        </w:rPr>
        <w:t>年调查成果下发后</w:t>
      </w:r>
      <w:r>
        <w:rPr>
          <w:rFonts w:hint="eastAsia" w:ascii="仿宋_GB2312" w:hAnsi="仿宋_GB2312" w:cs="仿宋_GB2312"/>
          <w:b w:val="0"/>
          <w:bCs/>
          <w:sz w:val="32"/>
          <w:szCs w:val="32"/>
          <w:lang w:val="en-US" w:eastAsia="zh-CN"/>
        </w:rPr>
        <w:t>15日内</w:t>
      </w:r>
      <w:r>
        <w:rPr>
          <w:rFonts w:hint="eastAsia" w:ascii="仿宋_GB2312" w:hAnsi="仿宋_GB2312" w:eastAsia="仿宋_GB2312" w:cs="仿宋_GB2312"/>
          <w:b w:val="0"/>
          <w:bCs/>
          <w:sz w:val="32"/>
          <w:szCs w:val="32"/>
          <w:lang w:val="en-US" w:eastAsia="zh-CN"/>
        </w:rPr>
        <w:t>支付调查经费11万元。</w:t>
      </w:r>
    </w:p>
    <w:p>
      <w:pPr>
        <w:keepNext w:val="0"/>
        <w:keepLines w:val="0"/>
        <w:pageBreakBefore w:val="0"/>
        <w:widowControl w:val="0"/>
        <w:kinsoku/>
        <w:wordWrap/>
        <w:overflowPunct/>
        <w:topLinePunct/>
        <w:autoSpaceDE/>
        <w:autoSpaceDN/>
        <w:bidi w:val="0"/>
        <w:adjustRightInd/>
        <w:snapToGrid/>
        <w:spacing w:line="520" w:lineRule="exact"/>
        <w:ind w:firstLine="803" w:firstLineChars="25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（二）绩效目标。</w:t>
      </w:r>
    </w:p>
    <w:p>
      <w:pPr>
        <w:keepNext w:val="0"/>
        <w:keepLines w:val="0"/>
        <w:pageBreakBefore w:val="0"/>
        <w:widowControl w:val="0"/>
        <w:kinsoku/>
        <w:wordWrap/>
        <w:overflowPunct/>
        <w:topLinePunct/>
        <w:autoSpaceDE/>
        <w:autoSpaceDN/>
        <w:bidi w:val="0"/>
        <w:adjustRightInd/>
        <w:snapToGrid/>
        <w:spacing w:line="520" w:lineRule="exact"/>
        <w:ind w:firstLine="803" w:firstLineChars="25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1.总目标。</w:t>
      </w:r>
    </w:p>
    <w:p>
      <w:pPr>
        <w:keepNext w:val="0"/>
        <w:keepLines w:val="0"/>
        <w:pageBreakBefore w:val="0"/>
        <w:widowControl w:val="0"/>
        <w:kinsoku/>
        <w:wordWrap/>
        <w:overflowPunct/>
        <w:topLinePunct/>
        <w:autoSpaceDE/>
        <w:autoSpaceDN/>
        <w:bidi w:val="0"/>
        <w:adjustRightInd/>
        <w:snapToGrid/>
        <w:spacing w:line="520" w:lineRule="exact"/>
        <w:ind w:firstLine="800" w:firstLineChars="25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全面掌握</w:t>
      </w:r>
      <w:r>
        <w:rPr>
          <w:rFonts w:hint="eastAsia" w:ascii="仿宋_GB2312" w:hAnsi="仿宋_GB2312" w:eastAsia="仿宋_GB2312" w:cs="仿宋_GB2312"/>
          <w:sz w:val="32"/>
          <w:szCs w:val="32"/>
          <w:lang w:val="en-US" w:eastAsia="zh-CN"/>
        </w:rPr>
        <w:t>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lang w:val="en-US" w:eastAsia="zh-CN"/>
        </w:rPr>
        <w:t>年度土地利用变化情况，持续更新全国土地调查成果，有力支撑自然资源“一张图”和综合监管平台平稳运行，不断夯实“以图管地”工作基础，加快推进国家治理体系和治理能力现代化。</w:t>
      </w:r>
    </w:p>
    <w:p>
      <w:pPr>
        <w:keepNext w:val="0"/>
        <w:keepLines w:val="0"/>
        <w:pageBreakBefore w:val="0"/>
        <w:widowControl w:val="0"/>
        <w:numPr>
          <w:ilvl w:val="0"/>
          <w:numId w:val="2"/>
        </w:numPr>
        <w:kinsoku/>
        <w:wordWrap/>
        <w:overflowPunct/>
        <w:topLinePunct/>
        <w:autoSpaceDE/>
        <w:autoSpaceDN/>
        <w:bidi w:val="0"/>
        <w:adjustRightInd/>
        <w:snapToGrid/>
        <w:spacing w:line="520" w:lineRule="exact"/>
        <w:ind w:firstLine="803" w:firstLineChars="250"/>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rPr>
        <w:t>年度目标。</w:t>
      </w:r>
    </w:p>
    <w:p>
      <w:pPr>
        <w:keepNext w:val="0"/>
        <w:keepLines w:val="0"/>
        <w:pageBreakBefore w:val="0"/>
        <w:widowControl/>
        <w:kinsoku/>
        <w:wordWrap/>
        <w:overflowPunct/>
        <w:autoSpaceDE/>
        <w:autoSpaceDN/>
        <w:bidi w:val="0"/>
        <w:spacing w:line="520" w:lineRule="exact"/>
        <w:ind w:firstLine="627" w:firstLineChars="196"/>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lang w:val="en-US" w:eastAsia="zh-CN"/>
        </w:rPr>
        <w:t>年完成</w:t>
      </w:r>
      <w:r>
        <w:rPr>
          <w:rFonts w:hint="eastAsia" w:ascii="仿宋_GB2312" w:hAnsi="仿宋_GB2312" w:cs="仿宋_GB2312"/>
          <w:sz w:val="32"/>
          <w:szCs w:val="32"/>
          <w:lang w:val="en-US" w:eastAsia="zh-CN"/>
        </w:rPr>
        <w:t>省级</w:t>
      </w:r>
      <w:r>
        <w:rPr>
          <w:rFonts w:hint="eastAsia" w:ascii="仿宋_GB2312" w:hAnsi="仿宋_GB2312" w:eastAsia="仿宋_GB2312" w:cs="仿宋_GB2312"/>
          <w:sz w:val="32"/>
          <w:szCs w:val="32"/>
          <w:lang w:val="en-US" w:eastAsia="zh-CN"/>
        </w:rPr>
        <w:t>下发图斑的监测与调查，配合完成年度土地利用变化情况核查，进而形成年度土地利用现状数据，建立完善我县土地变更调查数据库。</w:t>
      </w: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autoSpaceDE/>
        <w:autoSpaceDN/>
        <w:bidi w:val="0"/>
        <w:adjustRightInd/>
        <w:snapToGrid/>
        <w:spacing w:line="520" w:lineRule="exact"/>
        <w:ind w:firstLine="800" w:firstLineChars="250"/>
        <w:textAlignment w:val="auto"/>
        <w:outlineLvl w:val="9"/>
        <w:rPr>
          <w:rFonts w:hint="eastAsia" w:ascii="黑体" w:hAnsi="黑体" w:eastAsia="黑体" w:cs="黑体"/>
          <w:sz w:val="32"/>
          <w:szCs w:val="32"/>
        </w:rPr>
      </w:pPr>
      <w:r>
        <w:rPr>
          <w:rFonts w:hint="eastAsia" w:ascii="黑体" w:hAnsi="黑体" w:eastAsia="黑体" w:cs="黑体"/>
          <w:sz w:val="32"/>
          <w:szCs w:val="32"/>
        </w:rPr>
        <w:t>二、绩效评价工作情况</w:t>
      </w:r>
    </w:p>
    <w:p>
      <w:pPr>
        <w:keepNext w:val="0"/>
        <w:keepLines w:val="0"/>
        <w:pageBreakBefore w:val="0"/>
        <w:kinsoku/>
        <w:wordWrap/>
        <w:overflowPunct/>
        <w:autoSpaceDE/>
        <w:autoSpaceDN/>
        <w:bidi w:val="0"/>
        <w:spacing w:line="520" w:lineRule="exact"/>
        <w:ind w:firstLine="643" w:firstLineChars="200"/>
        <w:textAlignment w:val="auto"/>
        <w:rPr>
          <w:rFonts w:hint="eastAsia" w:ascii="仿宋_GB2312" w:hAnsi="仿宋_GB2312" w:cs="仿宋_GB2312"/>
          <w:b/>
          <w:bCs/>
          <w:sz w:val="32"/>
          <w:szCs w:val="32"/>
          <w:lang w:eastAsia="zh-CN"/>
        </w:rPr>
      </w:pPr>
      <w:r>
        <w:rPr>
          <w:rFonts w:hint="eastAsia" w:ascii="仿宋_GB2312" w:hAnsi="仿宋_GB2312" w:eastAsia="仿宋_GB2312" w:cs="仿宋_GB2312"/>
          <w:b/>
          <w:bCs/>
          <w:sz w:val="32"/>
          <w:szCs w:val="32"/>
        </w:rPr>
        <w:t>（一）阐述的主要内容</w:t>
      </w:r>
      <w:r>
        <w:rPr>
          <w:rFonts w:hint="eastAsia" w:ascii="仿宋_GB2312" w:hAnsi="仿宋_GB2312" w:cs="仿宋_GB2312"/>
          <w:b/>
          <w:bCs/>
          <w:sz w:val="32"/>
          <w:szCs w:val="32"/>
          <w:lang w:eastAsia="zh-CN"/>
        </w:rPr>
        <w:t>。</w:t>
      </w:r>
    </w:p>
    <w:p>
      <w:pPr>
        <w:keepNext w:val="0"/>
        <w:keepLines w:val="0"/>
        <w:pageBreakBefore w:val="0"/>
        <w:kinsoku/>
        <w:wordWrap/>
        <w:overflowPunct/>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通过开展本次</w:t>
      </w:r>
      <w:r>
        <w:rPr>
          <w:rFonts w:hint="eastAsia" w:ascii="仿宋_GB2312" w:hAnsi="仿宋_GB2312" w:eastAsia="仿宋_GB2312" w:cs="仿宋_GB2312"/>
          <w:sz w:val="32"/>
          <w:szCs w:val="32"/>
          <w:lang w:eastAsia="zh-CN"/>
        </w:rPr>
        <w:t>富民县</w:t>
      </w:r>
      <w:r>
        <w:rPr>
          <w:rFonts w:hint="eastAsia" w:ascii="仿宋_GB2312" w:hAnsi="仿宋_GB2312" w:eastAsia="仿宋_GB2312" w:cs="仿宋_GB2312"/>
          <w:sz w:val="32"/>
          <w:szCs w:val="32"/>
        </w:rPr>
        <w:t>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年度土地变更调查与遥感监测项目绩效评价，可以确保项目资金投入方获知该项目进展情况，满足检查项目进展情况的需求，进一步确认项目组织对项目承诺的实现程度，并作为预测项目建设终结绩效的依据，作为考核工作成果和实施奖惩的依据。同时，通过绩效评价，可以发现项目实施的问题，以便提前采取措施。</w:t>
      </w:r>
    </w:p>
    <w:p>
      <w:pPr>
        <w:keepNext w:val="0"/>
        <w:keepLines w:val="0"/>
        <w:pageBreakBefore w:val="0"/>
        <w:widowControl w:val="0"/>
        <w:kinsoku/>
        <w:wordWrap/>
        <w:overflowPunct/>
        <w:topLinePunct/>
        <w:autoSpaceDE/>
        <w:autoSpaceDN/>
        <w:bidi w:val="0"/>
        <w:adjustRightInd/>
        <w:snapToGrid/>
        <w:spacing w:line="520" w:lineRule="exact"/>
        <w:ind w:firstLine="803" w:firstLineChars="25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（二）绩效评价原则、评价方法</w:t>
      </w:r>
      <w:r>
        <w:rPr>
          <w:rFonts w:hint="eastAsia" w:ascii="仿宋_GB2312" w:hAnsi="仿宋_GB2312" w:cs="仿宋_GB2312"/>
          <w:b/>
          <w:bCs/>
          <w:sz w:val="32"/>
          <w:szCs w:val="32"/>
          <w:lang w:eastAsia="zh-CN"/>
        </w:rPr>
        <w:t>。</w:t>
      </w:r>
    </w:p>
    <w:p>
      <w:pPr>
        <w:keepNext w:val="0"/>
        <w:keepLines w:val="0"/>
        <w:pageBreakBefore w:val="0"/>
        <w:kinsoku/>
        <w:wordWrap/>
        <w:overflowPunct/>
        <w:autoSpaceDE/>
        <w:autoSpaceDN/>
        <w:bidi w:val="0"/>
        <w:spacing w:line="52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1.绩效评价原则。</w:t>
      </w:r>
    </w:p>
    <w:p>
      <w:pPr>
        <w:keepNext w:val="0"/>
        <w:keepLines w:val="0"/>
        <w:pageBreakBefore w:val="0"/>
        <w:kinsoku/>
        <w:wordWrap/>
        <w:overflowPunct/>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（1）相关性原则。应当与绩效目标有直接的联系，能够恰当反映目标的实现程度；</w:t>
      </w:r>
    </w:p>
    <w:p>
      <w:pPr>
        <w:keepNext w:val="0"/>
        <w:keepLines w:val="0"/>
        <w:pageBreakBefore w:val="0"/>
        <w:kinsoku/>
        <w:wordWrap/>
        <w:overflowPunct/>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（2）重要性原则。应当优先使用最具评价对象代表性、最能反映评价要求的核心指标；</w:t>
      </w:r>
    </w:p>
    <w:p>
      <w:pPr>
        <w:keepNext w:val="0"/>
        <w:keepLines w:val="0"/>
        <w:pageBreakBefore w:val="0"/>
        <w:kinsoku/>
        <w:wordWrap/>
        <w:overflowPunct/>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（3）可比性原则。对同类评价对象要设定共性的绩效评价指标，以便于评价结果可以相互比较；</w:t>
      </w:r>
    </w:p>
    <w:p>
      <w:pPr>
        <w:keepNext w:val="0"/>
        <w:keepLines w:val="0"/>
        <w:pageBreakBefore w:val="0"/>
        <w:kinsoku/>
        <w:wordWrap/>
        <w:overflowPunct/>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（4）系统性原则。应当将定量指标与定性指标相结合，系统反映财政支出所产生的社会效益、经济效益、环境效益和可持续影响等；</w:t>
      </w:r>
    </w:p>
    <w:p>
      <w:pPr>
        <w:keepNext w:val="0"/>
        <w:keepLines w:val="0"/>
        <w:pageBreakBefore w:val="0"/>
        <w:kinsoku/>
        <w:wordWrap/>
        <w:overflowPunct/>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（5）经济性原则。应当通俗易懂、简便易行，数据的获取应当考虑现实条件和可操作性，符合成本效益原则。</w:t>
      </w:r>
    </w:p>
    <w:p>
      <w:pPr>
        <w:keepNext w:val="0"/>
        <w:keepLines w:val="0"/>
        <w:pageBreakBefore w:val="0"/>
        <w:widowControl w:val="0"/>
        <w:kinsoku/>
        <w:wordWrap/>
        <w:overflowPunct/>
        <w:topLinePunct/>
        <w:autoSpaceDE/>
        <w:autoSpaceDN/>
        <w:bidi w:val="0"/>
        <w:adjustRightInd/>
        <w:snapToGrid/>
        <w:spacing w:line="520" w:lineRule="exact"/>
        <w:ind w:firstLine="803" w:firstLineChars="25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2.绩效评价方法。</w:t>
      </w:r>
    </w:p>
    <w:p>
      <w:pPr>
        <w:keepNext w:val="0"/>
        <w:keepLines w:val="0"/>
        <w:pageBreakBefore w:val="0"/>
        <w:kinsoku/>
        <w:wordWrap/>
        <w:overflowPunct/>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（1）比较分析法</w:t>
      </w:r>
    </w:p>
    <w:p>
      <w:pPr>
        <w:keepNext w:val="0"/>
        <w:keepLines w:val="0"/>
        <w:pageBreakBefore w:val="0"/>
        <w:kinsoku/>
        <w:wordWrap/>
        <w:overflowPunct/>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通过对绩效目标与实施效果、历史与当期情况的比较，综合分析绩效目标实现程度。</w:t>
      </w:r>
    </w:p>
    <w:p>
      <w:pPr>
        <w:keepNext w:val="0"/>
        <w:keepLines w:val="0"/>
        <w:pageBreakBefore w:val="0"/>
        <w:kinsoku/>
        <w:wordWrap/>
        <w:overflowPunct/>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（2）因素分析法</w:t>
      </w:r>
    </w:p>
    <w:p>
      <w:pPr>
        <w:keepNext w:val="0"/>
        <w:keepLines w:val="0"/>
        <w:pageBreakBefore w:val="0"/>
        <w:kinsoku/>
        <w:wordWrap/>
        <w:overflowPunct/>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是指通过综合分析影响绩效目标实现、实施效果的内外因素，评价绩效目标的实现程度。许多支出项目运用因素分析法，通过不同因素的权重评比，进行综合分析。</w:t>
      </w:r>
    </w:p>
    <w:p>
      <w:pPr>
        <w:keepNext w:val="0"/>
        <w:keepLines w:val="0"/>
        <w:pageBreakBefore w:val="0"/>
        <w:kinsoku/>
        <w:wordWrap/>
        <w:overflowPunct/>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（3）公众评判法</w:t>
      </w:r>
    </w:p>
    <w:p>
      <w:pPr>
        <w:keepNext w:val="0"/>
        <w:keepLines w:val="0"/>
        <w:pageBreakBefore w:val="0"/>
        <w:kinsoku/>
        <w:wordWrap/>
        <w:overflowPunct/>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通过公众问卷及抽样调查等对财政支出效果进行评判，评价绩效目标的实现程度。</w:t>
      </w:r>
    </w:p>
    <w:p>
      <w:pPr>
        <w:keepNext w:val="0"/>
        <w:keepLines w:val="0"/>
        <w:pageBreakBefore w:val="0"/>
        <w:widowControl w:val="0"/>
        <w:kinsoku/>
        <w:wordWrap/>
        <w:overflowPunct/>
        <w:topLinePunct/>
        <w:autoSpaceDE/>
        <w:autoSpaceDN/>
        <w:bidi w:val="0"/>
        <w:adjustRightInd/>
        <w:snapToGrid/>
        <w:spacing w:line="520" w:lineRule="exact"/>
        <w:ind w:firstLine="800" w:firstLineChars="250"/>
        <w:textAlignment w:val="auto"/>
        <w:outlineLvl w:val="9"/>
        <w:rPr>
          <w:rFonts w:hint="eastAsia" w:ascii="黑体" w:hAnsi="黑体" w:eastAsia="黑体" w:cs="黑体"/>
          <w:sz w:val="32"/>
          <w:szCs w:val="32"/>
        </w:rPr>
      </w:pPr>
      <w:r>
        <w:rPr>
          <w:rFonts w:hint="eastAsia" w:ascii="黑体" w:hAnsi="黑体" w:eastAsia="黑体" w:cs="黑体"/>
          <w:sz w:val="32"/>
          <w:szCs w:val="32"/>
        </w:rPr>
        <w:t>三、评价结论</w:t>
      </w:r>
    </w:p>
    <w:p>
      <w:pPr>
        <w:keepNext w:val="0"/>
        <w:keepLines w:val="0"/>
        <w:pageBreakBefore w:val="0"/>
        <w:widowControl w:val="0"/>
        <w:kinsoku/>
        <w:wordWrap/>
        <w:overflowPunct/>
        <w:topLinePunct/>
        <w:autoSpaceDE/>
        <w:autoSpaceDN/>
        <w:bidi w:val="0"/>
        <w:adjustRightInd/>
        <w:snapToGrid/>
        <w:spacing w:line="520" w:lineRule="exact"/>
        <w:ind w:firstLine="803" w:firstLineChars="25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（一）评价结果。</w:t>
      </w:r>
    </w:p>
    <w:p>
      <w:pPr>
        <w:keepNext w:val="0"/>
        <w:keepLines w:val="0"/>
        <w:pageBreakBefore w:val="0"/>
        <w:kinsoku/>
        <w:wordWrap/>
        <w:overflowPunct/>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综合本项目的绩效指标完成情况、201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年度资金使用情况、项目组织管理及项目效益实现情况，本项目绩效评价自评得分98分。</w:t>
      </w:r>
    </w:p>
    <w:p>
      <w:pPr>
        <w:keepNext w:val="0"/>
        <w:keepLines w:val="0"/>
        <w:pageBreakBefore w:val="0"/>
        <w:widowControl w:val="0"/>
        <w:numPr>
          <w:ilvl w:val="0"/>
          <w:numId w:val="3"/>
        </w:numPr>
        <w:kinsoku/>
        <w:wordWrap/>
        <w:overflowPunct/>
        <w:topLinePunct/>
        <w:autoSpaceDE/>
        <w:autoSpaceDN/>
        <w:bidi w:val="0"/>
        <w:adjustRightInd/>
        <w:snapToGrid/>
        <w:spacing w:line="520" w:lineRule="exact"/>
        <w:ind w:firstLine="803" w:firstLineChars="25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主要绩效。</w:t>
      </w:r>
    </w:p>
    <w:p>
      <w:pPr>
        <w:keepNext w:val="0"/>
        <w:keepLines w:val="0"/>
        <w:pageBreakBefore w:val="0"/>
        <w:kinsoku/>
        <w:wordWrap/>
        <w:overflowPunct/>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富民县</w:t>
      </w:r>
      <w:r>
        <w:rPr>
          <w:rFonts w:hint="eastAsia" w:ascii="仿宋_GB2312" w:hAnsi="仿宋_GB2312" w:eastAsia="仿宋_GB2312" w:cs="仿宋_GB2312"/>
          <w:sz w:val="32"/>
          <w:szCs w:val="32"/>
          <w:lang w:val="en-US" w:eastAsia="zh-CN"/>
        </w:rPr>
        <w:t>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lang w:val="en-US" w:eastAsia="zh-CN"/>
        </w:rPr>
        <w:t>年度</w:t>
      </w:r>
      <w:r>
        <w:rPr>
          <w:rFonts w:hint="eastAsia" w:ascii="仿宋_GB2312" w:hAnsi="仿宋_GB2312" w:eastAsia="仿宋_GB2312" w:cs="仿宋_GB2312"/>
          <w:sz w:val="32"/>
          <w:szCs w:val="32"/>
        </w:rPr>
        <w:t>土地变更调查工作提供</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能够</w:t>
      </w:r>
      <w:r>
        <w:rPr>
          <w:rFonts w:hint="eastAsia" w:ascii="仿宋_GB2312" w:hAnsi="仿宋_GB2312" w:eastAsia="仿宋_GB2312" w:cs="仿宋_GB2312"/>
          <w:sz w:val="32"/>
          <w:szCs w:val="32"/>
        </w:rPr>
        <w:t>顺利进行，有力保障全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土地变更调查成果质量，准确掌握201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年度全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土地利用实际变化情况，保持</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土地调查数据库和国土资源综合监管平台基础信息的准确性和现势性，以满足国土资源管理和经济社会发展的需要，为实施国土资源规划、管理、保护与合理利用提供依据；为编制国民经济和社会发展规划、有关专项规划提供基础数据，充分发挥土地管理参与国民经济的宏观调控作用，实施最严格的耕地保护和节约集约用地等土地管理制度。</w:t>
      </w:r>
    </w:p>
    <w:p>
      <w:pPr>
        <w:keepNext w:val="0"/>
        <w:keepLines w:val="0"/>
        <w:pageBreakBefore w:val="0"/>
        <w:widowControl w:val="0"/>
        <w:numPr>
          <w:ilvl w:val="0"/>
          <w:numId w:val="4"/>
        </w:numPr>
        <w:kinsoku/>
        <w:wordWrap/>
        <w:overflowPunct/>
        <w:topLinePunct/>
        <w:autoSpaceDE/>
        <w:autoSpaceDN/>
        <w:bidi w:val="0"/>
        <w:adjustRightInd/>
        <w:snapToGrid/>
        <w:spacing w:line="520" w:lineRule="exact"/>
        <w:ind w:firstLine="800" w:firstLineChars="250"/>
        <w:textAlignment w:val="auto"/>
        <w:outlineLvl w:val="9"/>
        <w:rPr>
          <w:rFonts w:hint="eastAsia" w:ascii="黑体" w:hAnsi="黑体" w:eastAsia="黑体" w:cs="黑体"/>
          <w:sz w:val="32"/>
          <w:szCs w:val="32"/>
        </w:rPr>
      </w:pPr>
      <w:r>
        <w:rPr>
          <w:rFonts w:hint="eastAsia" w:ascii="黑体" w:hAnsi="黑体" w:eastAsia="黑体" w:cs="黑体"/>
          <w:sz w:val="32"/>
          <w:szCs w:val="32"/>
        </w:rPr>
        <w:t>成本效益分析</w:t>
      </w:r>
    </w:p>
    <w:p>
      <w:pPr>
        <w:pStyle w:val="8"/>
        <w:keepNext w:val="0"/>
        <w:keepLines w:val="0"/>
        <w:pageBreakBefore w:val="0"/>
        <w:kinsoku/>
        <w:wordWrap/>
        <w:overflowPunct/>
        <w:autoSpaceDE/>
        <w:autoSpaceDN/>
        <w:bidi w:val="0"/>
        <w:spacing w:line="520" w:lineRule="exact"/>
        <w:textAlignment w:val="auto"/>
        <w:outlineLvl w:val="2"/>
        <w:rPr>
          <w:rFonts w:hint="eastAsia" w:ascii="仿宋_GB2312" w:hAnsi="仿宋_GB2312" w:eastAsia="仿宋_GB2312" w:cs="仿宋_GB2312"/>
          <w:sz w:val="32"/>
          <w:szCs w:val="32"/>
        </w:rPr>
      </w:pPr>
      <w:bookmarkStart w:id="0" w:name="_Toc451175811"/>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项目决策分析</w:t>
      </w:r>
      <w:bookmarkEnd w:id="0"/>
    </w:p>
    <w:p>
      <w:pPr>
        <w:keepNext w:val="0"/>
        <w:keepLines w:val="0"/>
        <w:pageBreakBefore w:val="0"/>
        <w:kinsoku/>
        <w:wordWrap/>
        <w:overflowPunct/>
        <w:autoSpaceDE/>
        <w:autoSpaceDN/>
        <w:bidi w:val="0"/>
        <w:spacing w:line="520" w:lineRule="exact"/>
        <w:ind w:firstLine="640" w:firstLineChars="200"/>
        <w:textAlignment w:val="auto"/>
        <w:rPr>
          <w:rFonts w:hint="eastAsia" w:ascii="仿宋_GB2312" w:hAnsi="仿宋_GB2312" w:eastAsia="仿宋_GB2312" w:cs="仿宋_GB2312"/>
          <w:sz w:val="32"/>
          <w:szCs w:val="32"/>
        </w:rPr>
      </w:pPr>
      <w:bookmarkStart w:id="1" w:name="_Toc451175812"/>
      <w:r>
        <w:rPr>
          <w:rFonts w:hint="eastAsia" w:ascii="仿宋_GB2312" w:hAnsi="仿宋_GB2312" w:eastAsia="仿宋_GB2312" w:cs="仿宋_GB2312"/>
          <w:sz w:val="32"/>
          <w:szCs w:val="32"/>
        </w:rPr>
        <w:t>《土地调查条例》规定全国每年进行一次土地变更调查，该项目能有力保障全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土地变更调查工作顺利开展，保障全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土地变更调查成果质量，保持</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土地调查数据的现势性和准确性，为国土资源管理和经济社会发展提供准确的基础数据，为科学规划、合理利用、有效保护土地资源、实施最严格的耕地保护制度、加强和改善宏观调控提供依据，意义重大。</w:t>
      </w:r>
    </w:p>
    <w:p>
      <w:pPr>
        <w:pStyle w:val="8"/>
        <w:keepNext w:val="0"/>
        <w:keepLines w:val="0"/>
        <w:pageBreakBefore w:val="0"/>
        <w:kinsoku/>
        <w:wordWrap/>
        <w:overflowPunct/>
        <w:autoSpaceDE/>
        <w:autoSpaceDN/>
        <w:bidi w:val="0"/>
        <w:spacing w:line="520" w:lineRule="exact"/>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项目管理分析</w:t>
      </w:r>
      <w:bookmarkEnd w:id="1"/>
    </w:p>
    <w:p>
      <w:pPr>
        <w:keepNext w:val="0"/>
        <w:keepLines w:val="0"/>
        <w:pageBreakBefore w:val="0"/>
        <w:kinsoku/>
        <w:wordWrap/>
        <w:overflowPunct/>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富民县</w:t>
      </w:r>
      <w:r>
        <w:rPr>
          <w:rFonts w:hint="eastAsia" w:ascii="仿宋_GB2312" w:hAnsi="仿宋_GB2312" w:eastAsia="仿宋_GB2312" w:cs="仿宋_GB2312"/>
          <w:sz w:val="32"/>
          <w:szCs w:val="32"/>
        </w:rPr>
        <w:t>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年度土地变更调查与遥感监测工作，具体由</w:t>
      </w:r>
      <w:r>
        <w:rPr>
          <w:rFonts w:hint="eastAsia" w:ascii="仿宋_GB2312" w:hAnsi="仿宋_GB2312" w:eastAsia="仿宋_GB2312" w:cs="仿宋_GB2312"/>
          <w:sz w:val="32"/>
          <w:szCs w:val="32"/>
          <w:lang w:eastAsia="zh-CN"/>
        </w:rPr>
        <w:t>富民县</w:t>
      </w:r>
      <w:r>
        <w:rPr>
          <w:rFonts w:hint="eastAsia" w:ascii="仿宋_GB2312" w:hAnsi="仿宋_GB2312" w:cs="仿宋_GB2312"/>
          <w:sz w:val="32"/>
          <w:szCs w:val="32"/>
          <w:lang w:eastAsia="zh-CN"/>
        </w:rPr>
        <w:t>自然</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局</w:t>
      </w:r>
      <w:r>
        <w:rPr>
          <w:rFonts w:hint="eastAsia" w:ascii="仿宋_GB2312" w:hAnsi="仿宋_GB2312" w:cs="仿宋_GB2312"/>
          <w:sz w:val="32"/>
          <w:szCs w:val="32"/>
          <w:lang w:eastAsia="zh-CN"/>
        </w:rPr>
        <w:t>自然资源调查与确权登记</w:t>
      </w:r>
      <w:r>
        <w:rPr>
          <w:rFonts w:hint="eastAsia" w:ascii="仿宋_GB2312" w:hAnsi="仿宋_GB2312" w:eastAsia="仿宋_GB2312" w:cs="仿宋_GB2312"/>
          <w:sz w:val="32"/>
          <w:szCs w:val="32"/>
          <w:lang w:eastAsia="zh-CN"/>
        </w:rPr>
        <w:t>管理科</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昆明市土地开发整理中心</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eastAsia="zh-CN"/>
        </w:rPr>
        <w:t>县</w:t>
      </w:r>
      <w:r>
        <w:rPr>
          <w:rFonts w:hint="eastAsia" w:ascii="仿宋_GB2312" w:hAnsi="仿宋_GB2312" w:cs="仿宋_GB2312"/>
          <w:sz w:val="32"/>
          <w:szCs w:val="32"/>
          <w:lang w:eastAsia="zh-CN"/>
        </w:rPr>
        <w:t>自然</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相关</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室配合完成。此种管理组织实施方式有利于工作的开展，能够保证在项目顺利完成，对项目涉及的全部工作进行有效地管理，即从项目的投资决策开始到项目结束的全过程进行计划、组织、指挥、协调、控制和评价，以实现项目的目标。</w:t>
      </w:r>
    </w:p>
    <w:p>
      <w:pPr>
        <w:keepNext w:val="0"/>
        <w:keepLines w:val="0"/>
        <w:pageBreakBefore w:val="0"/>
        <w:widowControl w:val="0"/>
        <w:numPr>
          <w:ilvl w:val="0"/>
          <w:numId w:val="0"/>
        </w:numPr>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五、主要经验及做法、存在的问题和建议</w:t>
      </w:r>
    </w:p>
    <w:p>
      <w:pPr>
        <w:keepNext w:val="0"/>
        <w:keepLines w:val="0"/>
        <w:pageBreakBefore w:val="0"/>
        <w:widowControl w:val="0"/>
        <w:kinsoku/>
        <w:wordWrap/>
        <w:overflowPunct/>
        <w:topLinePunct/>
        <w:autoSpaceDE/>
        <w:autoSpaceDN/>
        <w:bidi w:val="0"/>
        <w:adjustRightInd/>
        <w:snapToGrid/>
        <w:spacing w:line="520" w:lineRule="exact"/>
        <w:ind w:firstLine="803" w:firstLineChars="25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（一）主要经验及做法</w:t>
      </w:r>
      <w:r>
        <w:rPr>
          <w:rFonts w:hint="eastAsia" w:ascii="仿宋_GB2312" w:hAnsi="仿宋_GB2312" w:cs="仿宋_GB2312"/>
          <w:b/>
          <w:bCs/>
          <w:sz w:val="32"/>
          <w:szCs w:val="32"/>
          <w:lang w:eastAsia="zh-CN"/>
        </w:rPr>
        <w:t>。</w:t>
      </w:r>
    </w:p>
    <w:p>
      <w:pPr>
        <w:keepNext w:val="0"/>
        <w:keepLines w:val="0"/>
        <w:pageBreakBefore w:val="0"/>
        <w:kinsoku/>
        <w:wordWrap/>
        <w:overflowPunct/>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整个项目顺利完成离不开领导的重视、人员的配合和技术的保障等。总体来说有四点体会，分别为领导重视是关键、部门配合是保障、集中对接是基础、严格把关是保证。</w:t>
      </w:r>
    </w:p>
    <w:p>
      <w:pPr>
        <w:pStyle w:val="8"/>
        <w:keepNext w:val="0"/>
        <w:keepLines w:val="0"/>
        <w:pageBreakBefore w:val="0"/>
        <w:kinsoku/>
        <w:wordWrap/>
        <w:overflowPunct/>
        <w:autoSpaceDE/>
        <w:autoSpaceDN/>
        <w:bidi w:val="0"/>
        <w:spacing w:line="520" w:lineRule="exact"/>
        <w:textAlignment w:val="auto"/>
        <w:outlineLvl w:val="2"/>
        <w:rPr>
          <w:rFonts w:hint="eastAsia" w:ascii="楷体" w:hAnsi="楷体" w:eastAsia="楷体" w:cs="楷体"/>
          <w:sz w:val="32"/>
          <w:szCs w:val="32"/>
        </w:rPr>
      </w:pPr>
      <w:r>
        <w:rPr>
          <w:rFonts w:hint="eastAsia" w:ascii="楷体" w:hAnsi="楷体" w:eastAsia="楷体" w:cs="楷体"/>
          <w:sz w:val="32"/>
          <w:szCs w:val="32"/>
        </w:rPr>
        <w:t>1.领导重视，高位推动</w:t>
      </w:r>
      <w:r>
        <w:rPr>
          <w:rFonts w:hint="eastAsia" w:ascii="楷体" w:hAnsi="楷体" w:eastAsia="楷体" w:cs="楷体"/>
          <w:sz w:val="32"/>
          <w:szCs w:val="32"/>
          <w:lang w:eastAsia="zh-CN"/>
        </w:rPr>
        <w:t>。</w:t>
      </w:r>
    </w:p>
    <w:p>
      <w:pPr>
        <w:keepNext w:val="0"/>
        <w:keepLines w:val="0"/>
        <w:pageBreakBefore w:val="0"/>
        <w:kinsoku/>
        <w:wordWrap/>
        <w:overflowPunct/>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在国土资源部部署开展201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年度全国土地变更调查与遥感监测工作后，</w:t>
      </w:r>
      <w:r>
        <w:rPr>
          <w:rFonts w:hint="eastAsia" w:ascii="仿宋_GB2312" w:hAnsi="仿宋_GB2312" w:eastAsia="仿宋_GB2312" w:cs="仿宋_GB2312"/>
          <w:sz w:val="32"/>
          <w:szCs w:val="32"/>
          <w:lang w:eastAsia="zh-CN"/>
        </w:rPr>
        <w:t>富民县</w:t>
      </w:r>
      <w:r>
        <w:rPr>
          <w:rFonts w:hint="eastAsia" w:ascii="仿宋_GB2312" w:hAnsi="仿宋_GB2312" w:cs="仿宋_GB2312"/>
          <w:sz w:val="32"/>
          <w:szCs w:val="32"/>
          <w:lang w:eastAsia="zh-CN"/>
        </w:rPr>
        <w:t>自然</w:t>
      </w:r>
      <w:r>
        <w:rPr>
          <w:rFonts w:hint="eastAsia" w:ascii="仿宋_GB2312" w:hAnsi="仿宋_GB2312" w:eastAsia="仿宋_GB2312" w:cs="仿宋_GB2312"/>
          <w:sz w:val="32"/>
          <w:szCs w:val="32"/>
          <w:lang w:eastAsia="zh-CN"/>
        </w:rPr>
        <w:t>资源局</w:t>
      </w:r>
      <w:r>
        <w:rPr>
          <w:rFonts w:hint="eastAsia" w:ascii="仿宋_GB2312" w:hAnsi="仿宋_GB2312" w:eastAsia="仿宋_GB2312" w:cs="仿宋_GB2312"/>
          <w:sz w:val="32"/>
          <w:szCs w:val="32"/>
        </w:rPr>
        <w:t>领导高度重视，立刻召开专项调</w:t>
      </w:r>
      <w:r>
        <w:rPr>
          <w:rFonts w:hint="eastAsia" w:ascii="仿宋_GB2312" w:hAnsi="仿宋_GB2312" w:eastAsia="仿宋_GB2312" w:cs="仿宋_GB2312"/>
          <w:sz w:val="32"/>
          <w:szCs w:val="32"/>
          <w:lang w:eastAsia="zh-CN"/>
        </w:rPr>
        <w:t>会议</w:t>
      </w:r>
      <w:r>
        <w:rPr>
          <w:rFonts w:hint="eastAsia" w:ascii="仿宋_GB2312" w:hAnsi="仿宋_GB2312" w:eastAsia="仿宋_GB2312" w:cs="仿宋_GB2312"/>
          <w:sz w:val="32"/>
          <w:szCs w:val="32"/>
        </w:rPr>
        <w:t>，全面部署我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年度土地变更调查与遥感监测工作。一方面加强各</w:t>
      </w:r>
      <w:r>
        <w:rPr>
          <w:rFonts w:hint="eastAsia" w:ascii="仿宋_GB2312" w:hAnsi="仿宋_GB2312" w:eastAsia="仿宋_GB2312" w:cs="仿宋_GB2312"/>
          <w:sz w:val="32"/>
          <w:szCs w:val="32"/>
          <w:lang w:eastAsia="zh-CN"/>
        </w:rPr>
        <w:t>相关科室与</w:t>
      </w:r>
      <w:r>
        <w:rPr>
          <w:rFonts w:hint="eastAsia" w:ascii="仿宋_GB2312" w:hAnsi="仿宋_GB2312" w:eastAsia="仿宋_GB2312" w:cs="仿宋_GB2312"/>
          <w:sz w:val="32"/>
          <w:szCs w:val="32"/>
        </w:rPr>
        <w:t>作业单位的</w:t>
      </w:r>
      <w:r>
        <w:rPr>
          <w:rFonts w:hint="eastAsia" w:ascii="仿宋_GB2312" w:hAnsi="仿宋_GB2312" w:eastAsia="仿宋_GB2312" w:cs="仿宋_GB2312"/>
          <w:sz w:val="32"/>
          <w:szCs w:val="32"/>
          <w:lang w:eastAsia="zh-CN"/>
        </w:rPr>
        <w:t>沟通对接</w:t>
      </w:r>
      <w:r>
        <w:rPr>
          <w:rFonts w:hint="eastAsia" w:ascii="仿宋_GB2312" w:hAnsi="仿宋_GB2312" w:eastAsia="仿宋_GB2312" w:cs="仿宋_GB2312"/>
          <w:sz w:val="32"/>
          <w:szCs w:val="32"/>
        </w:rPr>
        <w:t>；另一方面积极向</w:t>
      </w:r>
      <w:r>
        <w:rPr>
          <w:rFonts w:hint="eastAsia" w:ascii="仿宋_GB2312" w:hAnsi="仿宋_GB2312" w:eastAsia="仿宋_GB2312" w:cs="仿宋_GB2312"/>
          <w:sz w:val="32"/>
          <w:szCs w:val="32"/>
          <w:lang w:eastAsia="zh-CN"/>
        </w:rPr>
        <w:t>县级人民</w:t>
      </w:r>
      <w:r>
        <w:rPr>
          <w:rFonts w:hint="eastAsia" w:ascii="仿宋_GB2312" w:hAnsi="仿宋_GB2312" w:eastAsia="仿宋_GB2312" w:cs="仿宋_GB2312"/>
          <w:sz w:val="32"/>
          <w:szCs w:val="32"/>
        </w:rPr>
        <w:t>政府汇报，加强与</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的联系，申请落实调查工作经费。</w:t>
      </w:r>
    </w:p>
    <w:p>
      <w:pPr>
        <w:pStyle w:val="8"/>
        <w:keepNext w:val="0"/>
        <w:keepLines w:val="0"/>
        <w:pageBreakBefore w:val="0"/>
        <w:kinsoku/>
        <w:wordWrap/>
        <w:overflowPunct/>
        <w:autoSpaceDE/>
        <w:autoSpaceDN/>
        <w:bidi w:val="0"/>
        <w:spacing w:line="520" w:lineRule="exact"/>
        <w:textAlignment w:val="auto"/>
        <w:outlineLvl w:val="2"/>
        <w:rPr>
          <w:rFonts w:hint="eastAsia" w:ascii="楷体" w:hAnsi="楷体" w:eastAsia="楷体" w:cs="楷体"/>
          <w:sz w:val="32"/>
          <w:szCs w:val="32"/>
        </w:rPr>
      </w:pPr>
      <w:r>
        <w:rPr>
          <w:rFonts w:hint="eastAsia" w:ascii="楷体" w:hAnsi="楷体" w:eastAsia="楷体" w:cs="楷体"/>
          <w:sz w:val="32"/>
          <w:szCs w:val="32"/>
        </w:rPr>
        <w:t>2</w:t>
      </w:r>
      <w:r>
        <w:rPr>
          <w:rFonts w:hint="eastAsia" w:ascii="楷体" w:hAnsi="楷体" w:eastAsia="楷体" w:cs="楷体"/>
          <w:sz w:val="32"/>
          <w:szCs w:val="32"/>
          <w:lang w:val="en-US" w:eastAsia="zh-CN"/>
        </w:rPr>
        <w:t>.</w:t>
      </w:r>
      <w:r>
        <w:rPr>
          <w:rFonts w:hint="eastAsia" w:ascii="楷体" w:hAnsi="楷体" w:eastAsia="楷体" w:cs="楷体"/>
          <w:sz w:val="32"/>
          <w:szCs w:val="32"/>
        </w:rPr>
        <w:t>统筹安排，多部门协作</w:t>
      </w:r>
      <w:r>
        <w:rPr>
          <w:rFonts w:hint="eastAsia" w:ascii="楷体" w:hAnsi="楷体" w:eastAsia="楷体" w:cs="楷体"/>
          <w:sz w:val="32"/>
          <w:szCs w:val="32"/>
          <w:lang w:eastAsia="zh-CN"/>
        </w:rPr>
        <w:t>。</w:t>
      </w:r>
    </w:p>
    <w:p>
      <w:pPr>
        <w:keepNext w:val="0"/>
        <w:keepLines w:val="0"/>
        <w:pageBreakBefore w:val="0"/>
        <w:kinsoku/>
        <w:wordWrap/>
        <w:overflowPunct/>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土地变更调查工作，按照省</w:t>
      </w:r>
      <w:r>
        <w:rPr>
          <w:rFonts w:hint="eastAsia" w:ascii="仿宋_GB2312" w:hAnsi="仿宋_GB2312" w:cs="仿宋_GB2312"/>
          <w:sz w:val="32"/>
          <w:szCs w:val="32"/>
          <w:lang w:eastAsia="zh-CN"/>
        </w:rPr>
        <w:t>自然</w:t>
      </w:r>
      <w:r>
        <w:rPr>
          <w:rFonts w:hint="eastAsia" w:ascii="仿宋_GB2312" w:hAnsi="仿宋_GB2312" w:eastAsia="仿宋_GB2312" w:cs="仿宋_GB2312"/>
          <w:sz w:val="32"/>
          <w:szCs w:val="32"/>
          <w:lang w:eastAsia="zh-CN"/>
        </w:rPr>
        <w:t>资源</w:t>
      </w:r>
      <w:r>
        <w:rPr>
          <w:rFonts w:hint="eastAsia" w:ascii="仿宋_GB2312" w:hAnsi="仿宋_GB2312" w:eastAsia="仿宋_GB2312" w:cs="仿宋_GB2312"/>
          <w:sz w:val="32"/>
          <w:szCs w:val="32"/>
        </w:rPr>
        <w:t>厅</w:t>
      </w:r>
      <w:r>
        <w:rPr>
          <w:rFonts w:hint="eastAsia" w:ascii="仿宋_GB2312" w:hAnsi="仿宋_GB2312" w:eastAsia="仿宋_GB2312" w:cs="仿宋_GB2312"/>
          <w:sz w:val="32"/>
          <w:szCs w:val="32"/>
          <w:lang w:eastAsia="zh-CN"/>
        </w:rPr>
        <w:t>、市</w:t>
      </w:r>
      <w:r>
        <w:rPr>
          <w:rFonts w:hint="eastAsia" w:ascii="仿宋_GB2312" w:hAnsi="仿宋_GB2312" w:cs="仿宋_GB2312"/>
          <w:sz w:val="32"/>
          <w:szCs w:val="32"/>
          <w:lang w:eastAsia="zh-CN"/>
        </w:rPr>
        <w:t>自然</w:t>
      </w:r>
      <w:r>
        <w:rPr>
          <w:rFonts w:hint="eastAsia" w:ascii="仿宋_GB2312" w:hAnsi="仿宋_GB2312" w:eastAsia="仿宋_GB2312" w:cs="仿宋_GB2312"/>
          <w:sz w:val="32"/>
          <w:szCs w:val="32"/>
          <w:lang w:eastAsia="zh-CN"/>
        </w:rPr>
        <w:t>资源</w:t>
      </w:r>
      <w:r>
        <w:rPr>
          <w:rFonts w:hint="eastAsia" w:ascii="仿宋_GB2312" w:hAnsi="仿宋_GB2312" w:cs="仿宋_GB2312"/>
          <w:sz w:val="32"/>
          <w:szCs w:val="32"/>
          <w:lang w:eastAsia="zh-CN"/>
        </w:rPr>
        <w:t>和规划</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统一组织、统筹安排、一查多用、分级实施，</w:t>
      </w:r>
      <w:r>
        <w:rPr>
          <w:rFonts w:hint="eastAsia" w:ascii="仿宋_GB2312" w:hAnsi="仿宋_GB2312" w:eastAsia="仿宋_GB2312" w:cs="仿宋_GB2312"/>
          <w:sz w:val="32"/>
          <w:szCs w:val="32"/>
          <w:lang w:eastAsia="zh-CN"/>
        </w:rPr>
        <w:t>领导小组成员单位及局</w:t>
      </w:r>
      <w:r>
        <w:rPr>
          <w:rFonts w:hint="eastAsia" w:ascii="仿宋_GB2312" w:hAnsi="仿宋_GB2312" w:eastAsia="仿宋_GB2312" w:cs="仿宋_GB2312"/>
          <w:sz w:val="32"/>
          <w:szCs w:val="32"/>
        </w:rPr>
        <w:t>各相关业务部门分工协作、多方参与、各司其职、共同负责的原则组织开展。</w:t>
      </w:r>
    </w:p>
    <w:p>
      <w:pPr>
        <w:pStyle w:val="8"/>
        <w:keepNext w:val="0"/>
        <w:keepLines w:val="0"/>
        <w:pageBreakBefore w:val="0"/>
        <w:kinsoku/>
        <w:wordWrap/>
        <w:overflowPunct/>
        <w:autoSpaceDE/>
        <w:autoSpaceDN/>
        <w:bidi w:val="0"/>
        <w:spacing w:line="520" w:lineRule="exact"/>
        <w:textAlignment w:val="auto"/>
        <w:outlineLvl w:val="2"/>
        <w:rPr>
          <w:rFonts w:hint="eastAsia" w:ascii="楷体" w:hAnsi="楷体" w:eastAsia="楷体" w:cs="楷体"/>
          <w:sz w:val="32"/>
          <w:szCs w:val="32"/>
        </w:rPr>
      </w:pPr>
      <w:r>
        <w:rPr>
          <w:rFonts w:hint="eastAsia" w:ascii="楷体" w:hAnsi="楷体" w:eastAsia="楷体" w:cs="楷体"/>
          <w:sz w:val="32"/>
          <w:szCs w:val="32"/>
        </w:rPr>
        <w:t>3.严格把关，开展外业</w:t>
      </w:r>
      <w:r>
        <w:rPr>
          <w:rFonts w:hint="eastAsia" w:ascii="楷体" w:hAnsi="楷体" w:eastAsia="楷体" w:cs="楷体"/>
          <w:sz w:val="32"/>
          <w:szCs w:val="32"/>
          <w:lang w:eastAsia="zh-CN"/>
        </w:rPr>
        <w:t>调</w:t>
      </w:r>
      <w:r>
        <w:rPr>
          <w:rFonts w:hint="eastAsia" w:ascii="楷体" w:hAnsi="楷体" w:eastAsia="楷体" w:cs="楷体"/>
          <w:sz w:val="32"/>
          <w:szCs w:val="32"/>
        </w:rPr>
        <w:t>查</w:t>
      </w:r>
      <w:r>
        <w:rPr>
          <w:rFonts w:hint="eastAsia" w:ascii="楷体" w:hAnsi="楷体" w:eastAsia="楷体" w:cs="楷体"/>
          <w:sz w:val="32"/>
          <w:szCs w:val="32"/>
          <w:lang w:eastAsia="zh-CN"/>
        </w:rPr>
        <w:t>。</w:t>
      </w:r>
    </w:p>
    <w:p>
      <w:pPr>
        <w:keepNext w:val="0"/>
        <w:keepLines w:val="0"/>
        <w:pageBreakBefore w:val="0"/>
        <w:kinsoku/>
        <w:wordWrap/>
        <w:overflowPunct/>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按照下发</w:t>
      </w:r>
      <w:r>
        <w:rPr>
          <w:rFonts w:hint="eastAsia" w:ascii="仿宋_GB2312" w:hAnsi="仿宋_GB2312" w:eastAsia="仿宋_GB2312" w:cs="仿宋_GB2312"/>
          <w:sz w:val="32"/>
          <w:szCs w:val="32"/>
        </w:rPr>
        <w:t>图斑，</w:t>
      </w:r>
      <w:r>
        <w:rPr>
          <w:rFonts w:hint="eastAsia" w:ascii="仿宋_GB2312" w:hAnsi="仿宋_GB2312" w:eastAsia="仿宋_GB2312" w:cs="仿宋_GB2312"/>
          <w:sz w:val="32"/>
          <w:szCs w:val="32"/>
          <w:lang w:eastAsia="zh-CN"/>
        </w:rPr>
        <w:t>针对</w:t>
      </w:r>
      <w:r>
        <w:rPr>
          <w:rFonts w:hint="eastAsia" w:ascii="仿宋_GB2312" w:hAnsi="仿宋_GB2312" w:eastAsia="仿宋_GB2312" w:cs="仿宋_GB2312"/>
          <w:sz w:val="32"/>
          <w:szCs w:val="32"/>
        </w:rPr>
        <w:t>未变更遥感监测问题图斑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设施农用地问题图斑、临时用地问题图斑和其他变更问题图斑等进行外业</w:t>
      </w:r>
      <w:r>
        <w:rPr>
          <w:rFonts w:hint="eastAsia" w:ascii="仿宋_GB2312" w:hAnsi="仿宋_GB2312" w:eastAsia="仿宋_GB2312" w:cs="仿宋_GB2312"/>
          <w:sz w:val="32"/>
          <w:szCs w:val="32"/>
          <w:lang w:eastAsia="zh-CN"/>
        </w:rPr>
        <w:t>调</w:t>
      </w:r>
      <w:r>
        <w:rPr>
          <w:rFonts w:hint="eastAsia" w:ascii="仿宋_GB2312" w:hAnsi="仿宋_GB2312" w:eastAsia="仿宋_GB2312" w:cs="仿宋_GB2312"/>
          <w:sz w:val="32"/>
          <w:szCs w:val="32"/>
        </w:rPr>
        <w:t>查，核实变更图斑的地类、范围和面积等。通过外业</w:t>
      </w:r>
      <w:r>
        <w:rPr>
          <w:rFonts w:hint="eastAsia" w:ascii="仿宋_GB2312" w:hAnsi="仿宋_GB2312" w:eastAsia="仿宋_GB2312" w:cs="仿宋_GB2312"/>
          <w:sz w:val="32"/>
          <w:szCs w:val="32"/>
          <w:lang w:eastAsia="zh-CN"/>
        </w:rPr>
        <w:t>调</w:t>
      </w:r>
      <w:r>
        <w:rPr>
          <w:rFonts w:hint="eastAsia" w:ascii="仿宋_GB2312" w:hAnsi="仿宋_GB2312" w:eastAsia="仿宋_GB2312" w:cs="仿宋_GB2312"/>
          <w:sz w:val="32"/>
          <w:szCs w:val="32"/>
        </w:rPr>
        <w:t>查可以分析新增建设用地审批、利用中存在的问题、原因及解决措施，违法用地行为的特点、发生原因及对违法用地的查处情况等，是对我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土地管理工作的一种推动。</w:t>
      </w:r>
    </w:p>
    <w:p>
      <w:pPr>
        <w:keepNext w:val="0"/>
        <w:keepLines w:val="0"/>
        <w:pageBreakBefore w:val="0"/>
        <w:widowControl w:val="0"/>
        <w:numPr>
          <w:ilvl w:val="0"/>
          <w:numId w:val="5"/>
        </w:numPr>
        <w:kinsoku/>
        <w:wordWrap/>
        <w:overflowPunct/>
        <w:topLinePunct/>
        <w:autoSpaceDE/>
        <w:autoSpaceDN/>
        <w:bidi w:val="0"/>
        <w:adjustRightInd/>
        <w:snapToGrid/>
        <w:spacing w:line="520" w:lineRule="exact"/>
        <w:ind w:firstLine="803" w:firstLineChars="25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存在的问题</w:t>
      </w:r>
      <w:r>
        <w:rPr>
          <w:rFonts w:hint="eastAsia" w:ascii="仿宋_GB2312" w:hAnsi="仿宋_GB2312" w:cs="仿宋_GB2312"/>
          <w:b/>
          <w:bCs/>
          <w:sz w:val="32"/>
          <w:szCs w:val="32"/>
          <w:lang w:eastAsia="zh-CN"/>
        </w:rPr>
        <w:t>。</w:t>
      </w:r>
    </w:p>
    <w:p>
      <w:pPr>
        <w:keepNext w:val="0"/>
        <w:keepLines w:val="0"/>
        <w:pageBreakBefore w:val="0"/>
        <w:kinsoku/>
        <w:wordWrap/>
        <w:overflowPunct/>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从2010年的第一次变更调查开始历经</w:t>
      </w: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rPr>
        <w:t>年，土地变更调查与遥感监测项目日益成熟。通过项目的实施，保持了全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土地调查数据和综合监管平台基础信息的准确性和现势性，满足了管理和经济社会发展的需要，为实施规划、管理、保护与合理利用提供了依据。但是通过绩效自我评价，也发现一些不足，存在一些问题和困难，主要表现在：</w:t>
      </w:r>
    </w:p>
    <w:p>
      <w:pPr>
        <w:keepNext w:val="0"/>
        <w:keepLines w:val="0"/>
        <w:pageBreakBefore w:val="0"/>
        <w:kinsoku/>
        <w:wordWrap/>
        <w:overflowPunct/>
        <w:autoSpaceDE/>
        <w:autoSpaceDN/>
        <w:bidi w:val="0"/>
        <w:spacing w:line="52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1.个别存在干预成果质量情况。</w:t>
      </w:r>
      <w:r>
        <w:rPr>
          <w:rFonts w:hint="eastAsia" w:ascii="仿宋_GB2312" w:hAnsi="仿宋_GB2312" w:eastAsia="仿宋_GB2312" w:cs="仿宋_GB2312"/>
          <w:sz w:val="32"/>
          <w:szCs w:val="32"/>
        </w:rPr>
        <w:t>土地变更调查反映年度土地利用现状的变化情况，调查成果还将作为年度土地卫片执法检查的基础数据。正因如此，为应对执法检查，可能存在规避的心理，未</w:t>
      </w:r>
      <w:r>
        <w:rPr>
          <w:rFonts w:hint="eastAsia" w:ascii="仿宋_GB2312" w:hAnsi="仿宋_GB2312" w:eastAsia="仿宋_GB2312" w:cs="仿宋_GB2312"/>
          <w:sz w:val="32"/>
          <w:szCs w:val="32"/>
          <w:lang w:eastAsia="zh-CN"/>
        </w:rPr>
        <w:t>能及时、如实</w:t>
      </w:r>
      <w:r>
        <w:rPr>
          <w:rFonts w:hint="eastAsia" w:ascii="仿宋_GB2312" w:hAnsi="仿宋_GB2312" w:eastAsia="仿宋_GB2312" w:cs="仿宋_GB2312"/>
          <w:sz w:val="32"/>
          <w:szCs w:val="32"/>
        </w:rPr>
        <w:t>上报变更数据，影响变更调查成果质量和可靠性。</w:t>
      </w:r>
    </w:p>
    <w:p>
      <w:pPr>
        <w:keepNext w:val="0"/>
        <w:keepLines w:val="0"/>
        <w:pageBreakBefore w:val="0"/>
        <w:kinsoku/>
        <w:wordWrap/>
        <w:overflowPunct/>
        <w:autoSpaceDE/>
        <w:autoSpaceDN/>
        <w:bidi w:val="0"/>
        <w:spacing w:line="52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2.地方技术人员力量薄弱，难以保证质量。</w:t>
      </w:r>
      <w:r>
        <w:rPr>
          <w:rFonts w:hint="eastAsia" w:ascii="仿宋_GB2312" w:hAnsi="仿宋_GB2312" w:eastAsia="仿宋_GB2312" w:cs="仿宋_GB2312"/>
          <w:sz w:val="32"/>
          <w:szCs w:val="32"/>
        </w:rPr>
        <w:t>数据库更新工作技术性强，软件操作复杂，对技术人员要求高。县级地籍部门技术人员少，技术力量较为薄弱，对数据库管理软件的操作不够熟练，给土地变更调查带来了较大的困难，难以保证质量。</w:t>
      </w:r>
    </w:p>
    <w:p>
      <w:pPr>
        <w:keepNext w:val="0"/>
        <w:keepLines w:val="0"/>
        <w:pageBreakBefore w:val="0"/>
        <w:kinsoku/>
        <w:wordWrap/>
        <w:overflowPunct/>
        <w:autoSpaceDE/>
        <w:autoSpaceDN/>
        <w:bidi w:val="0"/>
        <w:spacing w:line="52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3.国家标准和规定迟迟未确定，变动较大。</w:t>
      </w:r>
      <w:r>
        <w:rPr>
          <w:rFonts w:hint="eastAsia" w:ascii="仿宋_GB2312" w:hAnsi="仿宋_GB2312" w:eastAsia="仿宋_GB2312" w:cs="仿宋_GB2312"/>
          <w:sz w:val="32"/>
          <w:szCs w:val="32"/>
        </w:rPr>
        <w:t>国家标准和规定迟迟未确定，实时更改，变更较大，且土地变更调查软件、更新数据上报软件的开发处于完善阶段，这样会在一定程度上影响变更调查工作的效率。</w:t>
      </w:r>
    </w:p>
    <w:p>
      <w:pPr>
        <w:keepNext w:val="0"/>
        <w:keepLines w:val="0"/>
        <w:pageBreakBefore w:val="0"/>
        <w:widowControl w:val="0"/>
        <w:kinsoku/>
        <w:wordWrap/>
        <w:overflowPunct/>
        <w:topLinePunct/>
        <w:autoSpaceDE/>
        <w:autoSpaceDN/>
        <w:bidi w:val="0"/>
        <w:adjustRightInd/>
        <w:snapToGrid/>
        <w:spacing w:line="520" w:lineRule="exact"/>
        <w:ind w:firstLine="803" w:firstLineChars="25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（三）建议和改进措施。</w:t>
      </w:r>
    </w:p>
    <w:p>
      <w:pPr>
        <w:keepNext w:val="0"/>
        <w:keepLines w:val="0"/>
        <w:pageBreakBefore w:val="0"/>
        <w:kinsoku/>
        <w:wordWrap/>
        <w:overflowPunct/>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由于土地变更调查与遥感监测是一项长期的、系统的、复杂的工程，必须长期坚持不懈。针对上述存在的具体问题建议：加大对变更调查与遥感监测的宣传力度，</w:t>
      </w:r>
      <w:r>
        <w:rPr>
          <w:rFonts w:hint="eastAsia" w:ascii="仿宋_GB2312" w:hAnsi="仿宋_GB2312" w:eastAsia="仿宋_GB2312" w:cs="仿宋_GB2312"/>
          <w:color w:val="000000"/>
          <w:sz w:val="32"/>
          <w:szCs w:val="32"/>
        </w:rPr>
        <w:t>努力改善软硬件设备，为变更调查与遥感监测提供有利条件。</w:t>
      </w:r>
    </w:p>
    <w:p>
      <w:pPr>
        <w:keepNext w:val="0"/>
        <w:keepLines w:val="0"/>
        <w:pageBreakBefore w:val="0"/>
        <w:kinsoku/>
        <w:wordWrap/>
        <w:overflowPunct/>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议对项目年度预算安排、评价结果进行公开，一方面起到监督管理的作用，另一方面对项目之间有个比较和促进。另外对项目绩效评价优秀的项目可进行适当的奖励，对绩效评价结果较差的项目给予适当惩罚，以激励项目的顺利完成。</w:t>
      </w:r>
    </w:p>
    <w:p>
      <w:pPr>
        <w:keepNext w:val="0"/>
        <w:keepLines w:val="0"/>
        <w:pageBreakBefore w:val="0"/>
        <w:widowControl w:val="0"/>
        <w:kinsoku/>
        <w:wordWrap/>
        <w:overflowPunct/>
        <w:topLinePunct/>
        <w:autoSpaceDE/>
        <w:autoSpaceDN/>
        <w:bidi w:val="0"/>
        <w:adjustRightInd/>
        <w:snapToGrid/>
        <w:spacing w:line="520" w:lineRule="exact"/>
        <w:ind w:firstLine="800" w:firstLineChars="25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line="520" w:lineRule="exact"/>
        <w:ind w:firstLine="800" w:firstLineChars="25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line="520" w:lineRule="exact"/>
        <w:ind w:firstLine="800" w:firstLineChars="25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line="520" w:lineRule="exact"/>
        <w:ind w:firstLine="800" w:firstLineChars="25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line="520" w:lineRule="exact"/>
        <w:ind w:firstLine="800" w:firstLineChars="25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line="520" w:lineRule="exact"/>
        <w:ind w:firstLine="800" w:firstLineChars="250"/>
        <w:textAlignment w:val="auto"/>
        <w:outlineLvl w:val="9"/>
        <w:rPr>
          <w:rFonts w:hint="eastAsia" w:ascii="仿宋_GB2312" w:hAnsi="仿宋_GB2312" w:eastAsia="仿宋_GB2312" w:cs="仿宋_GB2312"/>
          <w:sz w:val="32"/>
          <w:szCs w:val="32"/>
        </w:rPr>
      </w:pPr>
    </w:p>
    <w:tbl>
      <w:tblPr>
        <w:tblStyle w:val="4"/>
        <w:tblpPr w:leftFromText="180" w:rightFromText="180" w:vertAnchor="text" w:horzAnchor="page" w:tblpX="1450" w:tblpY="120"/>
        <w:tblOverlap w:val="never"/>
        <w:tblW w:w="9174" w:type="dxa"/>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rHeight w:val="864" w:hRule="atLeast"/>
          <w:tblHeader/>
        </w:trPr>
        <w:tc>
          <w:tcPr>
            <w:tcW w:w="9174" w:type="dxa"/>
            <w:gridSpan w:val="8"/>
            <w:tcBorders>
              <w:bottom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autoSpaceDE/>
              <w:autoSpaceDN/>
              <w:bidi w:val="0"/>
              <w:adjustRightInd/>
              <w:snapToGrid/>
              <w:spacing w:afterLines="50" w:line="520" w:lineRule="exact"/>
              <w:jc w:val="center"/>
              <w:textAlignment w:val="auto"/>
              <w:outlineLvl w:val="9"/>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201</w:t>
            </w:r>
            <w:r>
              <w:rPr>
                <w:rFonts w:hint="eastAsia" w:ascii="方正小标宋简体" w:hAnsi="方正小标宋简体" w:eastAsia="方正小标宋简体" w:cs="方正小标宋简体"/>
                <w:bCs/>
                <w:sz w:val="36"/>
                <w:szCs w:val="36"/>
                <w:lang w:val="en-US" w:eastAsia="zh-CN"/>
              </w:rPr>
              <w:t>9</w:t>
            </w:r>
            <w:r>
              <w:rPr>
                <w:rFonts w:hint="eastAsia" w:ascii="方正小标宋简体" w:hAnsi="方正小标宋简体" w:eastAsia="方正小标宋简体" w:cs="方正小标宋简体"/>
                <w:bCs/>
                <w:sz w:val="36"/>
                <w:szCs w:val="36"/>
              </w:rPr>
              <w:t>年项目支出绩效自评指标评分表</w:t>
            </w:r>
          </w:p>
          <w:p>
            <w:pPr>
              <w:keepNext w:val="0"/>
              <w:keepLines w:val="0"/>
              <w:pageBreakBefore w:val="0"/>
              <w:widowControl w:val="0"/>
              <w:kinsoku/>
              <w:wordWrap/>
              <w:overflowPunct/>
              <w:autoSpaceDE/>
              <w:autoSpaceDN/>
              <w:bidi w:val="0"/>
              <w:adjustRightInd/>
              <w:snapToGrid/>
              <w:spacing w:afterLines="50" w:line="520" w:lineRule="exact"/>
              <w:jc w:val="center"/>
              <w:textAlignment w:val="auto"/>
              <w:outlineLvl w:val="9"/>
              <w:rPr>
                <w:rFonts w:hint="eastAsia" w:ascii="仿宋_GB2312" w:hAnsi="仿宋_GB2312" w:eastAsia="仿宋_GB2312" w:cs="仿宋_GB2312"/>
                <w:b/>
                <w:bCs/>
                <w:sz w:val="32"/>
                <w:szCs w:val="32"/>
              </w:rPr>
            </w:pPr>
          </w:p>
        </w:tc>
      </w:tr>
      <w:tr>
        <w:tblPrEx>
          <w:tblLayout w:type="fixed"/>
          <w:tblCellMar>
            <w:top w:w="0" w:type="dxa"/>
            <w:left w:w="28" w:type="dxa"/>
            <w:bottom w:w="0" w:type="dxa"/>
            <w:right w:w="28" w:type="dxa"/>
          </w:tblCellMar>
        </w:tblPrEx>
        <w:trPr>
          <w:trHeight w:val="703" w:hRule="atLeast"/>
          <w:tblHead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bCs/>
                <w:sz w:val="15"/>
                <w:szCs w:val="15"/>
              </w:rPr>
            </w:pPr>
            <w:r>
              <w:rPr>
                <w:rFonts w:hint="eastAsia" w:ascii="仿宋_GB2312" w:hAnsi="仿宋_GB2312" w:eastAsia="仿宋_GB2312" w:cs="仿宋_GB2312"/>
                <w:bCs/>
                <w:sz w:val="15"/>
                <w:szCs w:val="15"/>
              </w:rPr>
              <w:t>一级</w:t>
            </w:r>
            <w:r>
              <w:rPr>
                <w:rFonts w:hint="eastAsia" w:ascii="仿宋_GB2312" w:hAnsi="仿宋_GB2312" w:eastAsia="仿宋_GB2312" w:cs="仿宋_GB2312"/>
                <w:bCs/>
                <w:sz w:val="15"/>
                <w:szCs w:val="15"/>
              </w:rPr>
              <w:br w:type="textWrapping"/>
            </w:r>
            <w:r>
              <w:rPr>
                <w:rFonts w:hint="eastAsia" w:ascii="仿宋_GB2312" w:hAnsi="仿宋_GB2312" w:eastAsia="仿宋_GB2312" w:cs="仿宋_GB2312"/>
                <w:bCs/>
                <w:sz w:val="15"/>
                <w:szCs w:val="15"/>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bCs/>
                <w:sz w:val="15"/>
                <w:szCs w:val="15"/>
              </w:rPr>
            </w:pPr>
            <w:r>
              <w:rPr>
                <w:rFonts w:hint="eastAsia" w:ascii="仿宋_GB2312" w:hAnsi="仿宋_GB2312" w:eastAsia="仿宋_GB2312" w:cs="仿宋_GB2312"/>
                <w:bCs/>
                <w:sz w:val="15"/>
                <w:szCs w:val="15"/>
              </w:rPr>
              <w:t>二级</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bCs/>
                <w:sz w:val="15"/>
                <w:szCs w:val="15"/>
              </w:rPr>
            </w:pPr>
            <w:r>
              <w:rPr>
                <w:rFonts w:hint="eastAsia" w:ascii="仿宋_GB2312" w:hAnsi="仿宋_GB2312" w:eastAsia="仿宋_GB2312" w:cs="仿宋_GB2312"/>
                <w:bCs/>
                <w:sz w:val="15"/>
                <w:szCs w:val="15"/>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bCs/>
                <w:sz w:val="15"/>
                <w:szCs w:val="15"/>
              </w:rPr>
            </w:pPr>
            <w:r>
              <w:rPr>
                <w:rFonts w:hint="eastAsia" w:ascii="仿宋_GB2312" w:hAnsi="仿宋_GB2312" w:eastAsia="仿宋_GB2312" w:cs="仿宋_GB2312"/>
                <w:bCs/>
                <w:sz w:val="15"/>
                <w:szCs w:val="15"/>
              </w:rPr>
              <w:t>三级</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bCs/>
                <w:sz w:val="15"/>
                <w:szCs w:val="15"/>
              </w:rPr>
            </w:pPr>
            <w:r>
              <w:rPr>
                <w:rFonts w:hint="eastAsia" w:ascii="仿宋_GB2312" w:hAnsi="仿宋_GB2312" w:eastAsia="仿宋_GB2312" w:cs="仿宋_GB2312"/>
                <w:bCs/>
                <w:sz w:val="15"/>
                <w:szCs w:val="15"/>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bCs/>
                <w:sz w:val="15"/>
                <w:szCs w:val="15"/>
              </w:rPr>
            </w:pPr>
            <w:r>
              <w:rPr>
                <w:rFonts w:hint="eastAsia" w:ascii="仿宋_GB2312" w:hAnsi="仿宋_GB2312" w:eastAsia="仿宋_GB2312" w:cs="仿宋_GB2312"/>
                <w:bCs/>
                <w:sz w:val="15"/>
                <w:szCs w:val="15"/>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bCs/>
                <w:sz w:val="15"/>
                <w:szCs w:val="15"/>
              </w:rPr>
            </w:pPr>
            <w:r>
              <w:rPr>
                <w:rFonts w:hint="eastAsia" w:ascii="仿宋_GB2312" w:hAnsi="仿宋_GB2312" w:eastAsia="仿宋_GB2312" w:cs="仿宋_GB2312"/>
                <w:bCs/>
                <w:sz w:val="15"/>
                <w:szCs w:val="15"/>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bCs/>
                <w:sz w:val="15"/>
                <w:szCs w:val="15"/>
              </w:rPr>
            </w:pPr>
            <w:r>
              <w:rPr>
                <w:rFonts w:hint="eastAsia" w:ascii="仿宋_GB2312" w:hAnsi="仿宋_GB2312" w:eastAsia="仿宋_GB2312" w:cs="仿宋_GB2312"/>
                <w:bCs/>
                <w:sz w:val="15"/>
                <w:szCs w:val="15"/>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bCs/>
                <w:sz w:val="15"/>
                <w:szCs w:val="15"/>
              </w:rPr>
            </w:pPr>
            <w:r>
              <w:rPr>
                <w:rFonts w:hint="eastAsia" w:ascii="仿宋_GB2312" w:hAnsi="仿宋_GB2312" w:eastAsia="仿宋_GB2312" w:cs="仿宋_GB2312"/>
                <w:bCs/>
                <w:sz w:val="15"/>
                <w:szCs w:val="15"/>
              </w:rPr>
              <w:t>指标评分细则</w:t>
            </w:r>
          </w:p>
        </w:tc>
        <w:tc>
          <w:tcPr>
            <w:tcW w:w="136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bCs/>
                <w:sz w:val="15"/>
                <w:szCs w:val="15"/>
              </w:rPr>
            </w:pPr>
            <w:r>
              <w:rPr>
                <w:rFonts w:hint="eastAsia" w:ascii="仿宋_GB2312" w:hAnsi="仿宋_GB2312" w:eastAsia="仿宋_GB2312" w:cs="仿宋_GB2312"/>
                <w:bCs/>
                <w:sz w:val="15"/>
                <w:szCs w:val="15"/>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476" w:type="dxa"/>
            <w:vMerge w:val="restart"/>
            <w:textDirection w:val="tbRlV"/>
            <w:vAlign w:val="bottom"/>
          </w:tcPr>
          <w:p>
            <w:pPr>
              <w:keepNext w:val="0"/>
              <w:keepLines w:val="0"/>
              <w:pageBreakBefore w:val="0"/>
              <w:widowControl w:val="0"/>
              <w:kinsoku/>
              <w:wordWrap/>
              <w:overflowPunct/>
              <w:topLinePunct w:val="0"/>
              <w:autoSpaceDE/>
              <w:autoSpaceDN/>
              <w:bidi w:val="0"/>
              <w:adjustRightInd/>
              <w:snapToGrid/>
              <w:spacing w:line="280" w:lineRule="exact"/>
              <w:ind w:left="113" w:right="113"/>
              <w:jc w:val="center"/>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一、项目决策（20分）</w:t>
            </w: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1项目立项(10)</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1.与部门中长期规划目标适应性。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4</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cs="仿宋_GB2312"/>
                <w:sz w:val="15"/>
                <w:szCs w:val="15"/>
                <w:lang w:val="en-US" w:eastAsia="zh-CN"/>
              </w:rPr>
              <w:t>4</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考察项目与部门中长期目标是否匹配。</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①部门年度工作目标是否明确设定，得2分；②年度工作目标与部门中长期规划目标一致，得2分。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2.立项依据充分性。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cs="仿宋_GB2312"/>
                <w:sz w:val="15"/>
                <w:szCs w:val="15"/>
                <w:lang w:val="en-US" w:eastAsia="zh-CN"/>
              </w:rPr>
              <w:t>3</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考察项目是否符合政府相关发展规划和政府决策</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符合，得满分；不符合，不得分。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3.项目立项规范性。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cs="仿宋_GB2312"/>
                <w:sz w:val="15"/>
                <w:szCs w:val="15"/>
                <w:lang w:val="en-US" w:eastAsia="zh-CN"/>
              </w:rPr>
              <w:t>3</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考察项目是否与部门职责密切相关。</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是，得满分；否，不得分。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sz w:val="15"/>
                <w:szCs w:val="15"/>
              </w:rPr>
            </w:pP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2项目目标(10)</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1.绩效目标设定的合理性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5</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cs="仿宋_GB2312"/>
                <w:sz w:val="15"/>
                <w:szCs w:val="15"/>
                <w:lang w:val="en-US" w:eastAsia="zh-CN"/>
              </w:rPr>
              <w:t>5</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考察设定的绩效目标是是否与事业发展规划相关；是否完整地反应预期产出和效果；是否与年度预算相匹配。</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是，得满分；否，不得分。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2.绩效指标设定的明确性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5</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cs="仿宋_GB2312"/>
                <w:sz w:val="15"/>
                <w:szCs w:val="15"/>
                <w:lang w:val="en-US" w:eastAsia="zh-CN"/>
              </w:rPr>
              <w:t>5</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考察是否将绩效目标细化分解为清晰、可衡量的绩效指标；是否与年度工作任务相对应。</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是，得满分；否，不得分。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76" w:type="dxa"/>
            <w:vMerge w:val="restart"/>
            <w:textDirection w:val="tbRlV"/>
          </w:tcPr>
          <w:p>
            <w:pPr>
              <w:keepNext w:val="0"/>
              <w:keepLines w:val="0"/>
              <w:pageBreakBefore w:val="0"/>
              <w:widowControl w:val="0"/>
              <w:kinsoku/>
              <w:wordWrap/>
              <w:overflowPunct/>
              <w:topLinePunct w:val="0"/>
              <w:autoSpaceDE/>
              <w:autoSpaceDN/>
              <w:bidi w:val="0"/>
              <w:adjustRightInd/>
              <w:snapToGrid/>
              <w:spacing w:line="280" w:lineRule="exact"/>
              <w:ind w:left="113" w:right="113"/>
              <w:jc w:val="center"/>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二、项目管理（20分）</w:t>
            </w: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1投入管理（4）</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1.预算编制合理性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2</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cs="仿宋_GB2312"/>
                <w:sz w:val="15"/>
                <w:szCs w:val="15"/>
                <w:lang w:val="en-US" w:eastAsia="zh-CN"/>
              </w:rPr>
              <w:t>2</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考察预算编制是否充分、合理，预计项目支出是否完整反应。</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合理得满分；存在一项不合理，扣0.5分，扣完为止。</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2.预算执行率</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2</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cs="仿宋_GB2312"/>
                <w:sz w:val="15"/>
                <w:szCs w:val="15"/>
                <w:lang w:val="en-US" w:eastAsia="zh-CN"/>
              </w:rPr>
              <w:t>2</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考察项目预算执行的进度。预算执行率=实际支出金额/项目预算金额×100%</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预算执行率95%以上，得满分；低于95%，每下降1%扣权重的1%；预算执行率60%以下，不计分。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sz w:val="15"/>
                <w:szCs w:val="15"/>
              </w:rPr>
            </w:pP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2.财务管理（6）</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1.资金使用情况</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cs="仿宋_GB2312"/>
                <w:sz w:val="15"/>
                <w:szCs w:val="15"/>
                <w:lang w:val="en-US" w:eastAsia="zh-CN"/>
              </w:rPr>
              <w:t>3</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考察项目资金使用是否符合预算批复的用途，是否存在截留、挤占、挪用、虚列支出等情况。</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合规，得满分；存在一项不合规，扣1分，扣完为止。</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2.财务管理制度健全性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cs="仿宋_GB2312"/>
                <w:sz w:val="15"/>
                <w:szCs w:val="15"/>
                <w:lang w:val="en-US" w:eastAsia="zh-CN"/>
              </w:rPr>
              <w:t>3</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考察项目的财务制度是否健全、完善、有效。</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sz w:val="15"/>
                <w:szCs w:val="15"/>
              </w:rPr>
            </w:pP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3.项目实施（10）</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1.项目管理制度健全性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5</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cs="仿宋_GB2312"/>
                <w:sz w:val="15"/>
                <w:szCs w:val="15"/>
                <w:lang w:val="en-US" w:eastAsia="zh-CN"/>
              </w:rPr>
              <w:t>5</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项目实施单位为保障项目顺利实施制订的与项目直接相关的业务管理制度是否健全、完善和有效。</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制订制度或采取措施，得满分；制度不完善或措施不明确，得权重的60%；没有相关制度或措施，不得分。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sz w:val="15"/>
                <w:szCs w:val="15"/>
              </w:rPr>
            </w:pPr>
          </w:p>
        </w:tc>
        <w:tc>
          <w:tcPr>
            <w:tcW w:w="640"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2.项目管理制度执行有效性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5</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cs="仿宋_GB2312"/>
                <w:sz w:val="15"/>
                <w:szCs w:val="15"/>
                <w:lang w:val="en-US" w:eastAsia="zh-CN"/>
              </w:rPr>
              <w:t>4</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考察项目实施单位制订的管理制度是否有效执行。</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有效执行，得满分；部分执行，得权重的60%；未执行，不得分。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47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80" w:lineRule="exact"/>
              <w:ind w:left="113" w:right="113"/>
              <w:jc w:val="center"/>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三、项目绩效（60分）</w:t>
            </w: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1.项目产出（30分</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1.数量指标</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8</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cs="仿宋_GB2312"/>
                <w:sz w:val="15"/>
                <w:szCs w:val="15"/>
                <w:lang w:val="en-US" w:eastAsia="zh-CN"/>
              </w:rPr>
              <w:t>8</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根据该项目实际，考察产出数量的实际完成情况。</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对照绩效目标，按实际产出数量和计划产出数计算得分。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2.质量指标</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8</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cs="仿宋_GB2312"/>
                <w:sz w:val="15"/>
                <w:szCs w:val="15"/>
                <w:lang w:val="en-US" w:eastAsia="zh-CN"/>
              </w:rPr>
              <w:t>8</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根据该项目实际，考察项目质量应达到的行业标准。</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对照绩效目标、行业标准计算得分。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3.时效指标</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7</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cs="仿宋_GB2312"/>
                <w:sz w:val="15"/>
                <w:szCs w:val="15"/>
                <w:lang w:val="en-US" w:eastAsia="zh-CN"/>
              </w:rPr>
              <w:t>7</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根据该项目实际，考察项目的实际完成时间。</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对照绩效目标、按项目的实际完成时间和计划完成时间计</w:t>
            </w:r>
            <w:r>
              <w:rPr>
                <w:rFonts w:hint="eastAsia" w:ascii="仿宋_GB2312" w:hAnsi="仿宋_GB2312" w:cs="仿宋_GB2312"/>
                <w:sz w:val="15"/>
                <w:szCs w:val="15"/>
                <w:lang w:val="en-US" w:eastAsia="zh-CN"/>
              </w:rPr>
              <w:t>7</w:t>
            </w:r>
            <w:r>
              <w:rPr>
                <w:rFonts w:hint="eastAsia" w:ascii="仿宋_GB2312" w:hAnsi="仿宋_GB2312" w:eastAsia="仿宋_GB2312" w:cs="仿宋_GB2312"/>
                <w:sz w:val="15"/>
                <w:szCs w:val="15"/>
              </w:rPr>
              <w:t>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4.成本指标</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7</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cs="仿宋_GB2312"/>
                <w:sz w:val="15"/>
                <w:szCs w:val="15"/>
                <w:lang w:val="en-US" w:eastAsia="zh-CN"/>
              </w:rPr>
              <w:t>7</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根据该项目实际，考察项目总成本和单项成本。</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照绩效目标、按项目的实际成本和计划成本计算得分。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sz w:val="15"/>
                <w:szCs w:val="15"/>
              </w:rPr>
            </w:pP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2.项目效益（30分）</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1.经济效益</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cs="仿宋_GB2312"/>
                <w:sz w:val="15"/>
                <w:szCs w:val="15"/>
                <w:lang w:val="en-US" w:eastAsia="zh-CN"/>
              </w:rPr>
              <w:t>3</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根据项目实际，考察项目所产生的直接或间接的经济效益。</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对照绩效目标，按经济效益实现程度计算得分。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sz w:val="15"/>
                <w:szCs w:val="15"/>
              </w:rPr>
            </w:pPr>
          </w:p>
        </w:tc>
        <w:tc>
          <w:tcPr>
            <w:tcW w:w="640"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2.社会效益</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20</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cs="仿宋_GB2312"/>
                <w:sz w:val="15"/>
                <w:szCs w:val="15"/>
                <w:lang w:val="en-US" w:eastAsia="zh-CN"/>
              </w:rPr>
              <w:t>20</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根据项目实际，考察项目所产生的社会效益效益。</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对照绩效目标，按社会效益实现程度计算得分。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sz w:val="15"/>
                <w:szCs w:val="15"/>
              </w:rPr>
            </w:pPr>
          </w:p>
        </w:tc>
        <w:tc>
          <w:tcPr>
            <w:tcW w:w="640"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3.生态效益</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2</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cs="仿宋_GB2312"/>
                <w:sz w:val="15"/>
                <w:szCs w:val="15"/>
                <w:lang w:val="en-US" w:eastAsia="zh-CN"/>
              </w:rPr>
              <w:t>2</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根据项目实际，考察项目所产生的直接或间接的生态效益。</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对照绩效目标，按生态效益实现程度计算得分。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4.服务对象满意度</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5</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cs="仿宋_GB2312"/>
                <w:sz w:val="15"/>
                <w:szCs w:val="15"/>
                <w:lang w:val="en-US" w:eastAsia="zh-CN"/>
              </w:rPr>
              <w:t>4</w:t>
            </w:r>
          </w:p>
        </w:tc>
        <w:tc>
          <w:tcPr>
            <w:tcW w:w="2268" w:type="dxa"/>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服务对象对项目实施的满意程度。</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kern w:val="0"/>
                <w:sz w:val="15"/>
                <w:szCs w:val="15"/>
              </w:rPr>
              <w:t>按收集到的服务对象的满意率计算得分。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28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b/>
                <w:sz w:val="15"/>
                <w:szCs w:val="15"/>
              </w:rPr>
            </w:pPr>
            <w:r>
              <w:rPr>
                <w:rFonts w:hint="eastAsia" w:ascii="仿宋_GB2312" w:hAnsi="仿宋_GB2312" w:eastAsia="仿宋_GB2312" w:cs="仿宋_GB2312"/>
                <w:b/>
                <w:sz w:val="15"/>
                <w:szCs w:val="15"/>
              </w:rPr>
              <w:t>合  计</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100</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cs="仿宋_GB2312"/>
                <w:sz w:val="15"/>
                <w:szCs w:val="15"/>
                <w:lang w:val="en-US" w:eastAsia="zh-CN"/>
              </w:rPr>
              <w:t>98</w:t>
            </w:r>
          </w:p>
        </w:tc>
        <w:tc>
          <w:tcPr>
            <w:tcW w:w="5763"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评价等次：实际得分（S）≥90,优秀；90＞S≥80,良好；80＞S≥60,合格；S＜60，不合格。</w:t>
            </w:r>
          </w:p>
        </w:tc>
      </w:tr>
    </w:tbl>
    <w:p>
      <w:pPr>
        <w:keepNext w:val="0"/>
        <w:keepLines w:val="0"/>
        <w:pageBreakBefore w:val="0"/>
        <w:widowControl w:val="0"/>
        <w:kinsoku/>
        <w:wordWrap/>
        <w:overflowPunct/>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autoSpaceDE/>
        <w:autoSpaceDN/>
        <w:bidi w:val="0"/>
        <w:adjustRightInd/>
        <w:snapToGrid/>
        <w:spacing w:line="520" w:lineRule="exact"/>
        <w:jc w:val="center"/>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autoSpaceDE/>
        <w:autoSpaceDN/>
        <w:bidi w:val="0"/>
        <w:adjustRightInd/>
        <w:snapToGrid/>
        <w:spacing w:line="520" w:lineRule="exact"/>
        <w:jc w:val="center"/>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autoSpaceDE/>
        <w:autoSpaceDN/>
        <w:bidi w:val="0"/>
        <w:adjustRightInd/>
        <w:snapToGrid/>
        <w:spacing w:line="520" w:lineRule="exact"/>
        <w:jc w:val="center"/>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autoSpaceDE/>
        <w:autoSpaceDN/>
        <w:bidi w:val="0"/>
        <w:adjustRightInd/>
        <w:snapToGrid/>
        <w:spacing w:line="520" w:lineRule="exact"/>
        <w:jc w:val="center"/>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autoSpaceDE/>
        <w:autoSpaceDN/>
        <w:bidi w:val="0"/>
        <w:adjustRightInd/>
        <w:snapToGrid/>
        <w:spacing w:line="520" w:lineRule="exact"/>
        <w:jc w:val="center"/>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autoSpaceDE/>
        <w:autoSpaceDN/>
        <w:bidi w:val="0"/>
        <w:adjustRightInd/>
        <w:snapToGrid/>
        <w:spacing w:line="520" w:lineRule="exact"/>
        <w:jc w:val="center"/>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autoSpaceDE/>
        <w:autoSpaceDN/>
        <w:bidi w:val="0"/>
        <w:adjustRightInd/>
        <w:snapToGrid/>
        <w:spacing w:line="520" w:lineRule="exact"/>
        <w:jc w:val="center"/>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autoSpaceDE/>
        <w:autoSpaceDN/>
        <w:bidi w:val="0"/>
        <w:adjustRightInd/>
        <w:snapToGrid/>
        <w:spacing w:line="520" w:lineRule="exact"/>
        <w:jc w:val="center"/>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autoSpaceDE/>
        <w:autoSpaceDN/>
        <w:bidi w:val="0"/>
        <w:adjustRightInd/>
        <w:snapToGrid/>
        <w:spacing w:line="520" w:lineRule="exact"/>
        <w:jc w:val="center"/>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autoSpaceDE/>
        <w:autoSpaceDN/>
        <w:bidi w:val="0"/>
        <w:adjustRightInd/>
        <w:snapToGrid/>
        <w:spacing w:line="520" w:lineRule="exact"/>
        <w:jc w:val="center"/>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autoSpaceDE/>
        <w:autoSpaceDN/>
        <w:bidi w:val="0"/>
        <w:adjustRightInd/>
        <w:snapToGrid/>
        <w:spacing w:line="520" w:lineRule="exact"/>
        <w:jc w:val="center"/>
        <w:textAlignment w:val="auto"/>
        <w:outlineLvl w:val="9"/>
        <w:rPr>
          <w:rFonts w:hint="eastAsia" w:ascii="仿宋_GB2312" w:hAnsi="仿宋_GB2312" w:eastAsia="仿宋_GB2312" w:cs="仿宋_GB2312"/>
          <w:bCs/>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sz w:val="28"/>
                              <w:szCs w:val="28"/>
                              <w:lang w:val="en-US"/>
                            </w:rPr>
                          </w:pPr>
                          <w:r>
                            <w:rPr>
                              <w:sz w:val="28"/>
                              <w:szCs w:val="28"/>
                              <w:lang w:val="en-US"/>
                            </w:rPr>
                            <w:fldChar w:fldCharType="begin"/>
                          </w:r>
                          <w:r>
                            <w:rPr>
                              <w:sz w:val="28"/>
                              <w:szCs w:val="28"/>
                              <w:lang w:val="en-US"/>
                            </w:rPr>
                            <w:instrText xml:space="preserve"> PAGE  \* MERGEFORMAT </w:instrText>
                          </w:r>
                          <w:r>
                            <w:rPr>
                              <w:sz w:val="28"/>
                              <w:szCs w:val="28"/>
                              <w:lang w:val="en-US"/>
                            </w:rPr>
                            <w:fldChar w:fldCharType="separate"/>
                          </w:r>
                          <w:r>
                            <w:rPr>
                              <w:sz w:val="28"/>
                              <w:szCs w:val="28"/>
                              <w:lang w:val="en-US"/>
                            </w:rPr>
                            <w:t>1</w:t>
                          </w:r>
                          <w:r>
                            <w:rPr>
                              <w:sz w:val="28"/>
                              <w:szCs w:val="28"/>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default"/>
                        <w:sz w:val="28"/>
                        <w:szCs w:val="28"/>
                        <w:lang w:val="en-US"/>
                      </w:rPr>
                    </w:pPr>
                    <w:r>
                      <w:rPr>
                        <w:sz w:val="28"/>
                        <w:szCs w:val="28"/>
                        <w:lang w:val="en-US"/>
                      </w:rPr>
                      <w:fldChar w:fldCharType="begin"/>
                    </w:r>
                    <w:r>
                      <w:rPr>
                        <w:sz w:val="28"/>
                        <w:szCs w:val="28"/>
                        <w:lang w:val="en-US"/>
                      </w:rPr>
                      <w:instrText xml:space="preserve"> PAGE  \* MERGEFORMAT </w:instrText>
                    </w:r>
                    <w:r>
                      <w:rPr>
                        <w:sz w:val="28"/>
                        <w:szCs w:val="28"/>
                        <w:lang w:val="en-US"/>
                      </w:rPr>
                      <w:fldChar w:fldCharType="separate"/>
                    </w:r>
                    <w:r>
                      <w:rPr>
                        <w:sz w:val="28"/>
                        <w:szCs w:val="28"/>
                        <w:lang w:val="en-US"/>
                      </w:rPr>
                      <w:t>1</w:t>
                    </w:r>
                    <w:r>
                      <w:rPr>
                        <w:sz w:val="28"/>
                        <w:szCs w:val="28"/>
                        <w:lang w:val="en-US"/>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254F5"/>
    <w:multiLevelType w:val="singleLevel"/>
    <w:tmpl w:val="5CD254F5"/>
    <w:lvl w:ilvl="0" w:tentative="0">
      <w:start w:val="2"/>
      <w:numFmt w:val="decimal"/>
      <w:suff w:val="nothing"/>
      <w:lvlText w:val="%1."/>
      <w:lvlJc w:val="left"/>
    </w:lvl>
  </w:abstractNum>
  <w:abstractNum w:abstractNumId="1">
    <w:nsid w:val="5CD29A01"/>
    <w:multiLevelType w:val="singleLevel"/>
    <w:tmpl w:val="5CD29A01"/>
    <w:lvl w:ilvl="0" w:tentative="0">
      <w:start w:val="2"/>
      <w:numFmt w:val="decimal"/>
      <w:suff w:val="nothing"/>
      <w:lvlText w:val="%1."/>
      <w:lvlJc w:val="left"/>
    </w:lvl>
  </w:abstractNum>
  <w:abstractNum w:abstractNumId="2">
    <w:nsid w:val="5CD4D1E4"/>
    <w:multiLevelType w:val="singleLevel"/>
    <w:tmpl w:val="5CD4D1E4"/>
    <w:lvl w:ilvl="0" w:tentative="0">
      <w:start w:val="2"/>
      <w:numFmt w:val="chineseCounting"/>
      <w:suff w:val="nothing"/>
      <w:lvlText w:val="（%1）"/>
      <w:lvlJc w:val="left"/>
    </w:lvl>
  </w:abstractNum>
  <w:abstractNum w:abstractNumId="3">
    <w:nsid w:val="5CD4D284"/>
    <w:multiLevelType w:val="singleLevel"/>
    <w:tmpl w:val="5CD4D284"/>
    <w:lvl w:ilvl="0" w:tentative="0">
      <w:start w:val="4"/>
      <w:numFmt w:val="chineseCounting"/>
      <w:suff w:val="nothing"/>
      <w:lvlText w:val="%1、"/>
      <w:lvlJc w:val="left"/>
    </w:lvl>
  </w:abstractNum>
  <w:abstractNum w:abstractNumId="4">
    <w:nsid w:val="5CD4D71B"/>
    <w:multiLevelType w:val="singleLevel"/>
    <w:tmpl w:val="5CD4D71B"/>
    <w:lvl w:ilvl="0" w:tentative="0">
      <w:start w:val="2"/>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57"/>
    <w:rsid w:val="000A2E4C"/>
    <w:rsid w:val="000D37FE"/>
    <w:rsid w:val="000F16B4"/>
    <w:rsid w:val="001104B7"/>
    <w:rsid w:val="00175AAC"/>
    <w:rsid w:val="00197507"/>
    <w:rsid w:val="001C5DCB"/>
    <w:rsid w:val="00246DAD"/>
    <w:rsid w:val="0025715A"/>
    <w:rsid w:val="002C1657"/>
    <w:rsid w:val="002E3518"/>
    <w:rsid w:val="003033E4"/>
    <w:rsid w:val="00341940"/>
    <w:rsid w:val="00364740"/>
    <w:rsid w:val="003C2470"/>
    <w:rsid w:val="003D7DDC"/>
    <w:rsid w:val="003E1CE8"/>
    <w:rsid w:val="004404E8"/>
    <w:rsid w:val="004E1CFF"/>
    <w:rsid w:val="0059730F"/>
    <w:rsid w:val="005B6DCE"/>
    <w:rsid w:val="005C4EBC"/>
    <w:rsid w:val="0068776A"/>
    <w:rsid w:val="006B646E"/>
    <w:rsid w:val="006C69CD"/>
    <w:rsid w:val="007A2AEE"/>
    <w:rsid w:val="007B15FD"/>
    <w:rsid w:val="008200F2"/>
    <w:rsid w:val="00825412"/>
    <w:rsid w:val="008429E3"/>
    <w:rsid w:val="008C67AB"/>
    <w:rsid w:val="008D1B0B"/>
    <w:rsid w:val="00907C08"/>
    <w:rsid w:val="0092199E"/>
    <w:rsid w:val="00991C6C"/>
    <w:rsid w:val="00993DEC"/>
    <w:rsid w:val="009A7C71"/>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B8D"/>
    <w:rsid w:val="00DA414F"/>
    <w:rsid w:val="00DF5C8E"/>
    <w:rsid w:val="00E07C05"/>
    <w:rsid w:val="00E30C53"/>
    <w:rsid w:val="00E560DB"/>
    <w:rsid w:val="00EA0572"/>
    <w:rsid w:val="00EA3D4A"/>
    <w:rsid w:val="00EF279E"/>
    <w:rsid w:val="00FA1C86"/>
    <w:rsid w:val="00FA1DD3"/>
    <w:rsid w:val="00FF23ED"/>
    <w:rsid w:val="00FF7E55"/>
    <w:rsid w:val="015242A4"/>
    <w:rsid w:val="02B33B9D"/>
    <w:rsid w:val="1161631C"/>
    <w:rsid w:val="19183D87"/>
    <w:rsid w:val="23832AAD"/>
    <w:rsid w:val="28FD5F84"/>
    <w:rsid w:val="290A6A98"/>
    <w:rsid w:val="29513012"/>
    <w:rsid w:val="2AD47D87"/>
    <w:rsid w:val="32D16F93"/>
    <w:rsid w:val="3C2466E5"/>
    <w:rsid w:val="67A17520"/>
    <w:rsid w:val="705A7067"/>
    <w:rsid w:val="72B801C3"/>
    <w:rsid w:val="75016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 w:type="paragraph" w:customStyle="1" w:styleId="8">
    <w:name w:val="样式2"/>
    <w:basedOn w:val="1"/>
    <w:qFormat/>
    <w:uiPriority w:val="0"/>
    <w:pPr>
      <w:tabs>
        <w:tab w:val="left" w:pos="5610"/>
      </w:tabs>
      <w:adjustRightInd w:val="0"/>
      <w:snapToGrid w:val="0"/>
      <w:ind w:firstLine="602" w:firstLineChars="200"/>
      <w:outlineLvl w:val="1"/>
    </w:pPr>
    <w:rPr>
      <w:rFonts w:ascii="楷体_GB2312" w:hAnsi="仿宋_GB2312" w:eastAsia="楷体_GB2312" w:cs="仿宋_GB2312"/>
      <w:b/>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6</Pages>
  <Words>601</Words>
  <Characters>3429</Characters>
  <Lines>28</Lines>
  <Paragraphs>8</Paragraphs>
  <TotalTime>39</TotalTime>
  <ScaleCrop>false</ScaleCrop>
  <LinksUpToDate>false</LinksUpToDate>
  <CharactersWithSpaces>4022</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杨海丽-昆明富民</cp:lastModifiedBy>
  <cp:lastPrinted>2019-05-10T01:53:00Z</cp:lastPrinted>
  <dcterms:modified xsi:type="dcterms:W3CDTF">2020-04-23T03:34:15Z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