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heme="majorEastAsia" w:hAnsiTheme="majorEastAsia" w:eastAsiaTheme="majorEastAsia"/>
          <w:sz w:val="44"/>
          <w:szCs w:val="44"/>
        </w:rPr>
      </w:pPr>
      <w:r>
        <w:rPr>
          <w:rFonts w:hint="eastAsia" w:asciiTheme="majorEastAsia" w:hAnsiTheme="majorEastAsia" w:eastAsiaTheme="majorEastAsia"/>
          <w:sz w:val="44"/>
          <w:szCs w:val="44"/>
        </w:rPr>
        <w:t>武昆高速匝道联络线18米支路</w:t>
      </w:r>
      <w:bookmarkStart w:id="0" w:name="_GoBack"/>
      <w:bookmarkEnd w:id="0"/>
      <w:r>
        <w:rPr>
          <w:rFonts w:hint="eastAsia" w:asciiTheme="majorEastAsia" w:hAnsiTheme="majorEastAsia" w:eastAsiaTheme="majorEastAsia"/>
          <w:sz w:val="44"/>
          <w:szCs w:val="44"/>
        </w:rPr>
        <w:t>建设部分工程款支出绩效评价报告</w:t>
      </w:r>
    </w:p>
    <w:p>
      <w:pPr>
        <w:topLinePunct/>
        <w:spacing w:line="540" w:lineRule="exact"/>
        <w:ind w:firstLine="800" w:firstLineChars="250"/>
        <w:rPr>
          <w:rFonts w:hint="eastAsia" w:ascii="黑体" w:eastAsia="黑体"/>
          <w:szCs w:val="32"/>
        </w:rPr>
      </w:pPr>
    </w:p>
    <w:p>
      <w:pPr>
        <w:topLinePunct/>
        <w:spacing w:line="540" w:lineRule="exact"/>
        <w:ind w:firstLine="800" w:firstLineChars="250"/>
        <w:rPr>
          <w:rFonts w:ascii="黑体" w:eastAsia="黑体"/>
          <w:szCs w:val="32"/>
        </w:rPr>
      </w:pPr>
    </w:p>
    <w:p>
      <w:pPr>
        <w:topLinePunct/>
        <w:spacing w:line="540" w:lineRule="exact"/>
        <w:ind w:firstLine="800" w:firstLineChars="250"/>
        <w:rPr>
          <w:rFonts w:hint="eastAsia" w:ascii="黑体" w:hAnsi="黑体" w:eastAsia="黑体" w:cs="黑体"/>
          <w:sz w:val="32"/>
          <w:szCs w:val="32"/>
        </w:rPr>
      </w:pPr>
      <w:r>
        <w:rPr>
          <w:rFonts w:hint="eastAsia" w:ascii="黑体" w:hAnsi="黑体" w:eastAsia="黑体" w:cs="黑体"/>
          <w:sz w:val="32"/>
          <w:szCs w:val="32"/>
        </w:rPr>
        <w:t>一、项目基本情况</w:t>
      </w:r>
    </w:p>
    <w:p>
      <w:pPr>
        <w:topLinePunct/>
        <w:spacing w:line="5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pPr>
        <w:topLinePunct/>
        <w:spacing w:line="5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1.立项背景及目的</w:t>
      </w:r>
    </w:p>
    <w:p>
      <w:pPr>
        <w:topLinePunct/>
        <w:spacing w:line="54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2013年6月20日富民县土地开发复垦收购储备交易中心与云南鼎易房地产开发有限责任公司签订了富民县商贸中心区---城器墩片区一级开发整理项目《投资建设合同》，</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确富民县武昆高速匝道联络线18m支路建设工程在</w:t>
      </w:r>
      <w:r>
        <w:rPr>
          <w:rFonts w:hint="eastAsia" w:ascii="仿宋_GB2312" w:hAnsi="仿宋_GB2312" w:eastAsia="仿宋_GB2312" w:cs="仿宋_GB2312"/>
          <w:sz w:val="32"/>
          <w:szCs w:val="32"/>
          <w:lang w:eastAsia="zh-CN"/>
        </w:rPr>
        <w:t>片区</w:t>
      </w:r>
      <w:r>
        <w:rPr>
          <w:rFonts w:hint="eastAsia" w:ascii="仿宋_GB2312" w:hAnsi="仿宋_GB2312" w:eastAsia="仿宋_GB2312" w:cs="仿宋_GB2312"/>
          <w:sz w:val="32"/>
          <w:szCs w:val="32"/>
        </w:rPr>
        <w:t>一级开发整理项目范围内。2017年4月18日富民县土地开发复垦收购储备交易中心与云南鼎易房地产开发有限责任公司签订了《富民县武昆高速匝道联络线18米支路建设工程施工合同》</w:t>
      </w:r>
      <w:r>
        <w:rPr>
          <w:rFonts w:hint="eastAsia" w:ascii="仿宋_GB2312" w:hAnsi="仿宋_GB2312" w:eastAsia="仿宋_GB2312" w:cs="仿宋_GB2312"/>
          <w:sz w:val="32"/>
          <w:szCs w:val="32"/>
          <w:lang w:eastAsia="zh-CN"/>
        </w:rPr>
        <w:t>，正式启动项目建设。</w:t>
      </w:r>
    </w:p>
    <w:p>
      <w:pPr>
        <w:topLinePunct/>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2.项目实施情况</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2017年4月24日开工，于2018年5月11日竣工验收。验收结果各分部分项工程为合格。已将本工程各分部分项进行移交，移交内容由以下分部工程组成：道路工程、桥涵工程、交通工程、照明工程、绿化工程六部分组成。经验工程已完成了设计施工图及施工合同约定的所有内容，各分部分项工程符合设计及施工验收规范要求，工程质量评定为合格。</w:t>
      </w:r>
    </w:p>
    <w:p>
      <w:pPr>
        <w:topLinePunct/>
        <w:spacing w:line="540" w:lineRule="exact"/>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3.资金来源及使用情况</w:t>
      </w:r>
    </w:p>
    <w:p>
      <w:pPr>
        <w:topLinePunct/>
        <w:spacing w:line="520" w:lineRule="exact"/>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bCs/>
          <w:spacing w:val="-20"/>
          <w:kern w:val="0"/>
          <w:sz w:val="32"/>
          <w:szCs w:val="32"/>
        </w:rPr>
        <w:t>2019</w:t>
      </w:r>
      <w:r>
        <w:rPr>
          <w:rFonts w:hint="eastAsia" w:ascii="仿宋_GB2312" w:hAnsi="仿宋_GB2312" w:eastAsia="仿宋_GB2312" w:cs="仿宋_GB2312"/>
          <w:bCs/>
          <w:sz w:val="32"/>
          <w:szCs w:val="32"/>
        </w:rPr>
        <w:t>年度富民县</w:t>
      </w:r>
      <w:r>
        <w:rPr>
          <w:rFonts w:hint="eastAsia" w:ascii="仿宋_GB2312" w:hAnsi="仿宋_GB2312" w:eastAsia="仿宋_GB2312" w:cs="仿宋_GB2312"/>
          <w:bCs/>
          <w:sz w:val="32"/>
          <w:szCs w:val="32"/>
          <w:lang w:eastAsia="zh-CN"/>
        </w:rPr>
        <w:t>政府安排财政资金</w:t>
      </w:r>
      <w:r>
        <w:rPr>
          <w:rFonts w:hint="eastAsia" w:ascii="仿宋_GB2312" w:hAnsi="仿宋_GB2312" w:eastAsia="仿宋_GB2312" w:cs="仿宋_GB2312"/>
          <w:bCs/>
          <w:sz w:val="32"/>
          <w:szCs w:val="32"/>
        </w:rPr>
        <w:t>100万元</w:t>
      </w:r>
      <w:r>
        <w:rPr>
          <w:rFonts w:hint="eastAsia" w:ascii="仿宋_GB2312" w:hAnsi="仿宋_GB2312" w:eastAsia="仿宋_GB2312" w:cs="仿宋_GB2312"/>
          <w:bCs/>
          <w:sz w:val="32"/>
          <w:szCs w:val="32"/>
          <w:lang w:eastAsia="zh-CN"/>
        </w:rPr>
        <w:t>，用于支付</w:t>
      </w:r>
      <w:r>
        <w:rPr>
          <w:rFonts w:hint="eastAsia" w:ascii="仿宋_GB2312" w:hAnsi="仿宋_GB2312" w:eastAsia="仿宋_GB2312" w:cs="仿宋_GB2312"/>
          <w:bCs/>
          <w:sz w:val="32"/>
          <w:szCs w:val="32"/>
        </w:rPr>
        <w:t>武昆高速匝道联络线18米支路建设部分工程款，现已按要求支付到施工单位。</w:t>
      </w:r>
    </w:p>
    <w:p>
      <w:pPr>
        <w:topLinePunct/>
        <w:spacing w:line="540" w:lineRule="exact"/>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4.组织及管理情况</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（1）组织情况：成立相关项目小组，强化监督，派专人长期对项目实施定期或不定期的进行现场检查和监督，及时协调解决困难和问题，保证项目按质按量完成。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（2）项目实施流程：</w:t>
      </w:r>
      <w:r>
        <w:rPr>
          <w:rFonts w:hint="eastAsia" w:ascii="仿宋_GB2312" w:hAnsi="仿宋_GB2312" w:eastAsia="仿宋_GB2312" w:cs="仿宋_GB2312"/>
          <w:sz w:val="32"/>
          <w:szCs w:val="32"/>
          <w:lang w:eastAsia="zh-CN"/>
        </w:rPr>
        <w:t>该项目严格按国家工程建设标准实施。</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（3）资金拨付流程：</w:t>
      </w:r>
      <w:r>
        <w:rPr>
          <w:rFonts w:hint="eastAsia" w:ascii="仿宋_GB2312" w:hAnsi="仿宋_GB2312" w:eastAsia="仿宋_GB2312" w:cs="仿宋_GB2312"/>
          <w:sz w:val="32"/>
          <w:szCs w:val="32"/>
        </w:rPr>
        <w:t>严格按土储中心财务管理</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支付。</w:t>
      </w:r>
    </w:p>
    <w:p>
      <w:pPr>
        <w:topLinePunct/>
        <w:spacing w:line="5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（二）绩效目标</w:t>
      </w:r>
    </w:p>
    <w:p>
      <w:pPr>
        <w:topLinePunct/>
        <w:spacing w:line="5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1.总目标</w:t>
      </w:r>
    </w:p>
    <w:p>
      <w:pPr>
        <w:topLinePunct/>
        <w:spacing w:line="540" w:lineRule="exact"/>
        <w:ind w:firstLine="480" w:firstLineChars="1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为加快推进推进富民商贸中心区城器墩片区建设步伐，</w:t>
      </w:r>
      <w:r>
        <w:rPr>
          <w:rFonts w:hint="eastAsia" w:ascii="仿宋_GB2312" w:hAnsi="仿宋_GB2312" w:eastAsia="仿宋_GB2312" w:cs="仿宋_GB2312"/>
          <w:sz w:val="32"/>
          <w:szCs w:val="32"/>
          <w:lang w:eastAsia="zh-CN"/>
        </w:rPr>
        <w:t>提升片区土地开发利用的成熟度，促进招商引资和土地供应，进一步改</w:t>
      </w:r>
      <w:r>
        <w:rPr>
          <w:rFonts w:hint="eastAsia" w:ascii="仿宋_GB2312" w:hAnsi="仿宋_GB2312" w:eastAsia="仿宋_GB2312" w:cs="仿宋_GB2312"/>
          <w:sz w:val="32"/>
          <w:szCs w:val="32"/>
        </w:rPr>
        <w:t>善</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城配套</w:t>
      </w:r>
      <w:r>
        <w:rPr>
          <w:rFonts w:hint="eastAsia" w:ascii="仿宋_GB2312" w:hAnsi="仿宋_GB2312" w:eastAsia="仿宋_GB2312" w:cs="仿宋_GB2312"/>
          <w:sz w:val="32"/>
          <w:szCs w:val="32"/>
          <w:lang w:eastAsia="zh-CN"/>
        </w:rPr>
        <w:t>基础设施建设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及早完成</w:t>
      </w:r>
      <w:r>
        <w:rPr>
          <w:rFonts w:hint="eastAsia" w:ascii="仿宋_GB2312" w:hAnsi="仿宋_GB2312" w:eastAsia="仿宋_GB2312" w:cs="仿宋_GB2312"/>
          <w:sz w:val="32"/>
          <w:szCs w:val="32"/>
        </w:rPr>
        <w:t>武昆高速匝道联络线18米支路</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建设目标。</w:t>
      </w:r>
    </w:p>
    <w:p>
      <w:pPr>
        <w:topLinePunct/>
        <w:spacing w:line="540" w:lineRule="exact"/>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2.年度目标</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（1）产出目标</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民县武昆高速匝道联络线18米支路工程于2017年4月24日开工，工程在各方的努力积极配合下，现已完成设计施工图的全部内容，并于2018年3月29日组织了初步验收，现施工单位已对初步验收结果需整改完善相关工程项目已整改完成，具备竣工验收条件。</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（2）效果目标</w:t>
      </w:r>
    </w:p>
    <w:p>
      <w:pPr>
        <w:topLinePunct/>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已完成年度目标，作业单位已提交成果资料。</w:t>
      </w:r>
    </w:p>
    <w:p>
      <w:pPr>
        <w:topLinePunct/>
        <w:spacing w:line="540" w:lineRule="exact"/>
        <w:ind w:firstLine="800" w:firstLineChars="250"/>
        <w:rPr>
          <w:rFonts w:hint="eastAsia" w:ascii="黑体" w:hAnsi="黑体" w:eastAsia="黑体" w:cs="黑体"/>
          <w:b w:val="0"/>
          <w:bCs/>
          <w:sz w:val="32"/>
          <w:szCs w:val="32"/>
        </w:rPr>
      </w:pPr>
      <w:r>
        <w:rPr>
          <w:rFonts w:hint="eastAsia" w:ascii="黑体" w:hAnsi="黑体" w:eastAsia="黑体" w:cs="黑体"/>
          <w:b w:val="0"/>
          <w:bCs/>
          <w:sz w:val="32"/>
          <w:szCs w:val="32"/>
        </w:rPr>
        <w:t>二、绩效评价工作情况</w:t>
      </w:r>
    </w:p>
    <w:p>
      <w:pPr>
        <w:topLinePunct/>
        <w:spacing w:line="540" w:lineRule="exact"/>
        <w:ind w:firstLine="800" w:firstLineChars="250"/>
        <w:rPr>
          <w:rFonts w:hint="eastAsia" w:ascii="仿宋_GB2312" w:hAnsi="仿宋_GB2312" w:eastAsia="仿宋_GB2312" w:cs="仿宋_GB2312"/>
          <w:b w:val="0"/>
          <w:bCs/>
          <w:sz w:val="32"/>
          <w:szCs w:val="32"/>
        </w:rPr>
      </w:pPr>
      <w:r>
        <w:rPr>
          <w:rFonts w:hint="eastAsia" w:ascii="仿宋_GB2312" w:hAnsi="仿宋_GB2312" w:eastAsia="仿宋_GB2312" w:cs="仿宋_GB2312"/>
          <w:color w:val="2B2B2B"/>
          <w:kern w:val="0"/>
          <w:sz w:val="32"/>
          <w:szCs w:val="32"/>
          <w:shd w:val="clear" w:color="auto" w:fill="FFFFFF"/>
          <w:lang w:val="en-US" w:eastAsia="zh-CN" w:bidi="ar-SA"/>
        </w:rPr>
        <w:t>（一）阐述的主要内容。富民县武昆高速匝道联络线18米支路建设工程经县政府同意，由云南鼎易房地产开发有限责任公司招标，确定具备资质的云南文诚建筑有限公司承建，于2017年4月18日签订了建设施工合同，2017年4月24日动工，2018年5月11日通过竣工验收正式投入使用。该工程中标价为15542509.88元，施工过程中因设计变更新增部分工程造价5000000元，经2018年1月22日富民县政府专题会议(第8期)审议决定，工程造价概算调整为20542509.88元，工程建设全额由施工单位垫资建设。工程完工后，财政安排资金支付了工程款950万元。后因施工单无力支付拖欠的农民工工资及材料款，为确保社会稳定和缓解施工单位的资金压力，经请示县人民政府批准同意，从财政拨付100万元用于支付武昆高速匝道联络线18米支路建设工程款。</w:t>
      </w:r>
    </w:p>
    <w:p>
      <w:pPr>
        <w:topLinePunct/>
        <w:spacing w:line="540" w:lineRule="exact"/>
        <w:ind w:firstLine="800" w:firstLineChars="2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（二）绩效评价原则、评价方法</w:t>
      </w:r>
    </w:p>
    <w:p>
      <w:pPr>
        <w:pStyle w:val="6"/>
        <w:widowControl/>
        <w:shd w:val="clear" w:color="auto" w:fill="FFFFFF"/>
        <w:spacing w:beforeAutospacing="0" w:afterAutospacing="0" w:line="360" w:lineRule="atLeast"/>
        <w:ind w:firstLine="640" w:firstLineChars="200"/>
        <w:rPr>
          <w:rFonts w:hint="eastAsia" w:ascii="仿宋_GB2312" w:hAnsi="仿宋_GB2312" w:eastAsia="仿宋_GB2312" w:cs="仿宋_GB2312"/>
          <w:b w:val="0"/>
          <w:bCs/>
          <w:color w:val="2B2B2B"/>
          <w:sz w:val="32"/>
          <w:szCs w:val="32"/>
          <w:shd w:val="clear" w:color="auto" w:fill="FFFFFF"/>
        </w:rPr>
      </w:pPr>
      <w:r>
        <w:rPr>
          <w:rFonts w:hint="eastAsia" w:ascii="仿宋_GB2312" w:hAnsi="仿宋_GB2312" w:eastAsia="仿宋_GB2312" w:cs="仿宋_GB2312"/>
          <w:b w:val="0"/>
          <w:bCs/>
          <w:color w:val="2B2B2B"/>
          <w:sz w:val="32"/>
          <w:szCs w:val="32"/>
          <w:shd w:val="clear" w:color="auto" w:fill="FFFFFF"/>
        </w:rPr>
        <w:t>绩效评价原则：</w:t>
      </w:r>
    </w:p>
    <w:p>
      <w:pPr>
        <w:pStyle w:val="6"/>
        <w:widowControl/>
        <w:shd w:val="clear" w:color="auto" w:fill="FFFFFF"/>
        <w:spacing w:beforeAutospacing="0" w:afterAutospacing="0" w:line="360" w:lineRule="atLeast"/>
        <w:ind w:firstLine="640" w:firstLineChars="200"/>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shd w:val="clear" w:color="auto" w:fill="FFFFFF"/>
        </w:rPr>
        <w:t>（1）科学规范原则。绩效评价注重财政支出的经济性、效率性和有效性，严格执行规定的程序。</w:t>
      </w:r>
    </w:p>
    <w:p>
      <w:pPr>
        <w:pStyle w:val="6"/>
        <w:widowControl/>
        <w:shd w:val="clear" w:color="auto" w:fill="FFFFFF"/>
        <w:spacing w:beforeAutospacing="0" w:afterAutospacing="0" w:line="360" w:lineRule="atLeast"/>
        <w:ind w:firstLine="640" w:firstLineChars="200"/>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shd w:val="clear" w:color="auto" w:fill="FFFFFF"/>
        </w:rPr>
        <w:t>（2）公正公开原则。绩效评价应当客观、公正；标准统一、资料可靠，依法公开并接受监督。</w:t>
      </w:r>
    </w:p>
    <w:p>
      <w:pPr>
        <w:pStyle w:val="6"/>
        <w:widowControl/>
        <w:shd w:val="clear" w:color="auto" w:fill="FFFFFF"/>
        <w:spacing w:beforeAutospacing="0" w:afterAutospacing="0" w:line="360" w:lineRule="atLeast"/>
        <w:ind w:firstLine="640" w:firstLineChars="200"/>
        <w:rPr>
          <w:rFonts w:hint="eastAsia" w:ascii="仿宋_GB2312" w:hAnsi="仿宋_GB2312" w:eastAsia="仿宋_GB2312" w:cs="仿宋_GB2312"/>
          <w:color w:val="2B2B2B"/>
          <w:sz w:val="32"/>
          <w:szCs w:val="32"/>
        </w:rPr>
      </w:pPr>
      <w:r>
        <w:rPr>
          <w:rFonts w:hint="eastAsia" w:ascii="仿宋_GB2312" w:hAnsi="仿宋_GB2312" w:eastAsia="仿宋_GB2312" w:cs="仿宋_GB2312"/>
          <w:color w:val="2B2B2B"/>
          <w:sz w:val="32"/>
          <w:szCs w:val="32"/>
          <w:shd w:val="clear" w:color="auto" w:fill="FFFFFF"/>
        </w:rPr>
        <w:t>（3）分级分类原则。绩效评价由各级财政部门、单位根据评价对象的特点分类组织实施。</w:t>
      </w:r>
    </w:p>
    <w:p>
      <w:pPr>
        <w:topLinePunct/>
        <w:spacing w:line="4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color w:val="2B2B2B"/>
          <w:sz w:val="32"/>
          <w:szCs w:val="32"/>
          <w:shd w:val="clear" w:color="auto" w:fill="FFFFFF"/>
        </w:rPr>
        <w:t>（4）绩效相关原则。绩效评价应当针对具体支出及其产出绩效进行，评价结果应清晰反映支出和产出绩效之间的紧密对应关系。</w:t>
      </w:r>
      <w:r>
        <w:rPr>
          <w:rFonts w:hint="eastAsia" w:ascii="仿宋_GB2312" w:hAnsi="仿宋_GB2312" w:eastAsia="仿宋_GB2312" w:cs="仿宋_GB2312"/>
          <w:sz w:val="32"/>
          <w:szCs w:val="32"/>
        </w:rPr>
        <w:t xml:space="preserve">     </w:t>
      </w:r>
    </w:p>
    <w:p>
      <w:pPr>
        <w:topLinePunct/>
        <w:spacing w:line="4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绩效评价方法：</w:t>
      </w:r>
    </w:p>
    <w:p>
      <w:pPr>
        <w:topLinePunct/>
        <w:spacing w:line="540" w:lineRule="exact"/>
        <w:ind w:firstLine="640" w:firstLineChars="200"/>
        <w:rPr>
          <w:rFonts w:hint="eastAsia" w:ascii="仿宋_GB2312" w:hAnsi="仿宋_GB2312" w:eastAsia="仿宋_GB2312" w:cs="仿宋_GB2312"/>
          <w:color w:val="2B2B2B"/>
          <w:kern w:val="0"/>
          <w:sz w:val="32"/>
          <w:szCs w:val="32"/>
          <w:shd w:val="clear" w:color="auto" w:fill="FFFFFF"/>
        </w:rPr>
      </w:pPr>
      <w:r>
        <w:rPr>
          <w:rFonts w:hint="eastAsia" w:ascii="仿宋_GB2312" w:hAnsi="仿宋_GB2312" w:eastAsia="仿宋_GB2312" w:cs="仿宋_GB2312"/>
          <w:color w:val="2B2B2B"/>
          <w:kern w:val="0"/>
          <w:sz w:val="32"/>
          <w:szCs w:val="32"/>
          <w:shd w:val="clear" w:color="auto" w:fill="FFFFFF"/>
        </w:rPr>
        <w:t>对财政支出的绩效评价采用成本效益法、比较法、因素分析法、公众评议法、定量分析与定性分析相结合的综合判断法等方法，依据 《富民县国土局土地储备项目财政支出绩效评价指标体系》进行评价。</w:t>
      </w:r>
    </w:p>
    <w:p>
      <w:pPr>
        <w:topLinePunct/>
        <w:spacing w:line="540" w:lineRule="exact"/>
        <w:ind w:firstLine="800" w:firstLineChars="250"/>
        <w:rPr>
          <w:rFonts w:hint="eastAsia" w:ascii="黑体" w:hAnsi="黑体" w:eastAsia="黑体" w:cs="黑体"/>
          <w:b w:val="0"/>
          <w:bCs/>
          <w:sz w:val="32"/>
          <w:szCs w:val="32"/>
        </w:rPr>
      </w:pPr>
      <w:r>
        <w:rPr>
          <w:rFonts w:hint="eastAsia" w:ascii="黑体" w:hAnsi="黑体" w:eastAsia="黑体" w:cs="黑体"/>
          <w:b w:val="0"/>
          <w:bCs/>
          <w:sz w:val="32"/>
          <w:szCs w:val="32"/>
        </w:rPr>
        <w:t>三、评价结论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项目在实施过程中，项目单位措施得当积极推动项目按年度目标顺利完成，符合程序，资金管理使用规范，产生较好的绩效效果，人民群众满意度较高，评价小组根据评价指标体系进行了量化考核，该项目绩效评价得分为</w:t>
      </w:r>
      <w:r>
        <w:rPr>
          <w:rFonts w:hint="eastAsia" w:ascii="仿宋_GB2312" w:hAnsi="仿宋_GB2312" w:eastAsia="仿宋_GB2312" w:cs="仿宋_GB2312"/>
          <w:sz w:val="32"/>
          <w:szCs w:val="32"/>
          <w:lang w:val="en-US" w:eastAsia="zh-CN"/>
        </w:rPr>
        <w:t xml:space="preserve"> 9</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评价等次</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优秀（具体情况见附件）。</w:t>
      </w:r>
    </w:p>
    <w:p>
      <w:pPr>
        <w:topLinePunct/>
        <w:spacing w:line="540" w:lineRule="exact"/>
        <w:ind w:firstLine="800" w:firstLineChars="250"/>
        <w:rPr>
          <w:rFonts w:hint="eastAsia" w:ascii="黑体" w:hAnsi="黑体" w:eastAsia="黑体" w:cs="黑体"/>
          <w:b w:val="0"/>
          <w:bCs/>
          <w:sz w:val="32"/>
          <w:szCs w:val="32"/>
        </w:rPr>
      </w:pPr>
      <w:r>
        <w:rPr>
          <w:rFonts w:hint="eastAsia" w:ascii="黑体" w:hAnsi="黑体" w:eastAsia="黑体" w:cs="黑体"/>
          <w:b w:val="0"/>
          <w:bCs/>
          <w:sz w:val="32"/>
          <w:szCs w:val="32"/>
        </w:rPr>
        <w:t>四、成本效益分析</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成后，社会效益极其显著，有利于增强富民县综合经济实力，取得较大的社会经济效益，有利于扩大就业，促进社会综合事业的发展，有利于提高沿线人民的收入，改善人民的生活环境，有利于改善沿线人文环境，提高文化教育水平和当地人民卫生健康水平，有利于发挥富民县作为昆明市北部辅城发展规划的需要，完善和提升土地使用功能和城市基础设施建设，发挥交通优势，以物流产业发展作为牵引力，形成区域性的物资交易体系，带动相关的交通运输业、商贸业、信息业和旅游餐饮业等第三产业全面发展。</w:t>
      </w:r>
    </w:p>
    <w:p>
      <w:pPr>
        <w:topLinePunct/>
        <w:spacing w:line="540" w:lineRule="exact"/>
        <w:ind w:firstLine="800" w:firstLineChars="250"/>
        <w:rPr>
          <w:rFonts w:hint="eastAsia" w:ascii="黑体" w:hAnsi="黑体" w:eastAsia="黑体" w:cs="黑体"/>
          <w:b w:val="0"/>
          <w:bCs/>
          <w:sz w:val="32"/>
          <w:szCs w:val="32"/>
        </w:rPr>
      </w:pPr>
      <w:r>
        <w:rPr>
          <w:rFonts w:hint="eastAsia" w:ascii="黑体" w:hAnsi="黑体" w:eastAsia="黑体" w:cs="黑体"/>
          <w:b w:val="0"/>
          <w:bCs/>
          <w:sz w:val="32"/>
          <w:szCs w:val="32"/>
        </w:rPr>
        <w:t>五、主要经验及做法、存在的问题和建议</w:t>
      </w:r>
    </w:p>
    <w:p>
      <w:pPr>
        <w:topLinePunct/>
        <w:spacing w:line="5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（一）主要经验及做法</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程序，确保资金效益。项目建设坚持层层审批原则，做到操作程序规范，严格按照上级审批项目建设规模、工程项目管理办法、工程进度款拨付管理等相关要求开展工作，并严格按照资金使用的相关管理要求执行，严格资金使用范围，保证项目资金</w:t>
      </w:r>
      <w:r>
        <w:rPr>
          <w:rFonts w:hint="eastAsia" w:ascii="仿宋_GB2312" w:hAnsi="仿宋_GB2312" w:eastAsia="仿宋_GB2312" w:cs="仿宋_GB2312"/>
          <w:sz w:val="32"/>
          <w:szCs w:val="32"/>
          <w:lang w:eastAsia="zh-CN"/>
        </w:rPr>
        <w:t>专</w:t>
      </w:r>
      <w:r>
        <w:rPr>
          <w:rFonts w:hint="eastAsia" w:ascii="仿宋_GB2312" w:hAnsi="仿宋_GB2312" w:eastAsia="仿宋_GB2312" w:cs="仿宋_GB2312"/>
          <w:sz w:val="32"/>
          <w:szCs w:val="32"/>
        </w:rPr>
        <w:t>款专用。有效杜绝了截留、挪用、滞留、浪费资金等现象的发生，确保了资金使用安全和最大效益的发挥。</w:t>
      </w:r>
    </w:p>
    <w:p>
      <w:pPr>
        <w:topLinePunct/>
        <w:spacing w:line="5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（二）存在的问题</w:t>
      </w:r>
    </w:p>
    <w:p>
      <w:p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该项目由于财政资金紧缺，工程完工后不能按合同全额支付工程款。</w:t>
      </w:r>
    </w:p>
    <w:p>
      <w:pPr>
        <w:topLinePunct/>
        <w:spacing w:line="540" w:lineRule="exact"/>
        <w:ind w:firstLine="803"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（三）建议和改进措施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在下一步工</w:t>
      </w:r>
      <w:r>
        <w:rPr>
          <w:rFonts w:hint="eastAsia" w:ascii="仿宋_GB2312" w:hAnsi="仿宋_GB2312" w:cs="仿宋_GB2312"/>
          <w:sz w:val="32"/>
          <w:szCs w:val="32"/>
          <w:lang w:eastAsia="zh-CN"/>
        </w:rPr>
        <w:t>作</w:t>
      </w:r>
      <w:r>
        <w:rPr>
          <w:rFonts w:hint="eastAsia" w:ascii="仿宋_GB2312" w:hAnsi="仿宋_GB2312" w:eastAsia="仿宋_GB2312" w:cs="仿宋_GB2312"/>
          <w:sz w:val="32"/>
          <w:szCs w:val="32"/>
        </w:rPr>
        <w:t>中，财政局、土储中心多方筹措资金尽快按审计评审结果依合同约定条款尽快支付清</w:t>
      </w:r>
      <w:r>
        <w:rPr>
          <w:rFonts w:hint="eastAsia" w:ascii="仿宋_GB2312" w:hAnsi="仿宋_GB2312" w:cs="仿宋_GB2312"/>
          <w:sz w:val="32"/>
          <w:szCs w:val="32"/>
          <w:lang w:eastAsia="zh-CN"/>
        </w:rPr>
        <w:t>剩余</w:t>
      </w:r>
      <w:r>
        <w:rPr>
          <w:rFonts w:hint="eastAsia" w:ascii="仿宋_GB2312" w:hAnsi="仿宋_GB2312" w:eastAsia="仿宋_GB2312" w:cs="仿宋_GB2312"/>
          <w:sz w:val="32"/>
          <w:szCs w:val="32"/>
        </w:rPr>
        <w:t>工程款。</w:t>
      </w:r>
    </w:p>
    <w:p>
      <w:pPr>
        <w:topLinePunct/>
        <w:spacing w:line="540" w:lineRule="exact"/>
        <w:ind w:firstLine="800" w:firstLineChars="25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sz w:val="21"/>
          <w:szCs w:val="21"/>
        </w:rPr>
      </w:pPr>
    </w:p>
    <w:tbl>
      <w:tblPr>
        <w:tblStyle w:val="8"/>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1</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18</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93</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00F19"/>
    <w:rsid w:val="000028B2"/>
    <w:rsid w:val="00007B88"/>
    <w:rsid w:val="000667E7"/>
    <w:rsid w:val="00076B47"/>
    <w:rsid w:val="000A2E4C"/>
    <w:rsid w:val="000C5AF3"/>
    <w:rsid w:val="000D37FE"/>
    <w:rsid w:val="000E7FBB"/>
    <w:rsid w:val="000F16B4"/>
    <w:rsid w:val="001104B7"/>
    <w:rsid w:val="00110577"/>
    <w:rsid w:val="00127A2F"/>
    <w:rsid w:val="00175AAC"/>
    <w:rsid w:val="00175F23"/>
    <w:rsid w:val="00193412"/>
    <w:rsid w:val="00197507"/>
    <w:rsid w:val="00197BC8"/>
    <w:rsid w:val="001C5DCB"/>
    <w:rsid w:val="001D6DAD"/>
    <w:rsid w:val="00206107"/>
    <w:rsid w:val="00246DAD"/>
    <w:rsid w:val="0025715A"/>
    <w:rsid w:val="00287976"/>
    <w:rsid w:val="002B6F0B"/>
    <w:rsid w:val="002C1657"/>
    <w:rsid w:val="002E3518"/>
    <w:rsid w:val="003033E4"/>
    <w:rsid w:val="00341940"/>
    <w:rsid w:val="00356B26"/>
    <w:rsid w:val="00364740"/>
    <w:rsid w:val="003777D5"/>
    <w:rsid w:val="003C2470"/>
    <w:rsid w:val="003D7DDC"/>
    <w:rsid w:val="003E1CE8"/>
    <w:rsid w:val="003F0D96"/>
    <w:rsid w:val="004404E8"/>
    <w:rsid w:val="004B63FD"/>
    <w:rsid w:val="004B66DA"/>
    <w:rsid w:val="004D3FE9"/>
    <w:rsid w:val="004E1CFF"/>
    <w:rsid w:val="004E2367"/>
    <w:rsid w:val="004E68AD"/>
    <w:rsid w:val="00537983"/>
    <w:rsid w:val="00553FF3"/>
    <w:rsid w:val="00562084"/>
    <w:rsid w:val="0059730F"/>
    <w:rsid w:val="005A57C6"/>
    <w:rsid w:val="005B6DCE"/>
    <w:rsid w:val="005C4EBC"/>
    <w:rsid w:val="005E07D0"/>
    <w:rsid w:val="005F161F"/>
    <w:rsid w:val="006347A1"/>
    <w:rsid w:val="0068776A"/>
    <w:rsid w:val="006A7DBD"/>
    <w:rsid w:val="006B646E"/>
    <w:rsid w:val="006C1B24"/>
    <w:rsid w:val="006C69CD"/>
    <w:rsid w:val="006E11EF"/>
    <w:rsid w:val="006F249A"/>
    <w:rsid w:val="0073659F"/>
    <w:rsid w:val="00745439"/>
    <w:rsid w:val="007A2AEE"/>
    <w:rsid w:val="007B15FD"/>
    <w:rsid w:val="007E0E69"/>
    <w:rsid w:val="008200F2"/>
    <w:rsid w:val="00825412"/>
    <w:rsid w:val="008429E3"/>
    <w:rsid w:val="008C67AB"/>
    <w:rsid w:val="008D1B0B"/>
    <w:rsid w:val="00907C08"/>
    <w:rsid w:val="00915DA5"/>
    <w:rsid w:val="00947D97"/>
    <w:rsid w:val="00971170"/>
    <w:rsid w:val="00991C6C"/>
    <w:rsid w:val="00993DEC"/>
    <w:rsid w:val="009A7C71"/>
    <w:rsid w:val="009D3B0D"/>
    <w:rsid w:val="009D4A58"/>
    <w:rsid w:val="009E55C2"/>
    <w:rsid w:val="00A27220"/>
    <w:rsid w:val="00A3508F"/>
    <w:rsid w:val="00A4158F"/>
    <w:rsid w:val="00A70BC2"/>
    <w:rsid w:val="00A7249B"/>
    <w:rsid w:val="00A730D7"/>
    <w:rsid w:val="00A9345F"/>
    <w:rsid w:val="00A96BF9"/>
    <w:rsid w:val="00B14CE9"/>
    <w:rsid w:val="00B26876"/>
    <w:rsid w:val="00B27C69"/>
    <w:rsid w:val="00B540B6"/>
    <w:rsid w:val="00B7368C"/>
    <w:rsid w:val="00B90E7A"/>
    <w:rsid w:val="00BA0E68"/>
    <w:rsid w:val="00C95344"/>
    <w:rsid w:val="00CA7DE8"/>
    <w:rsid w:val="00CC0BDC"/>
    <w:rsid w:val="00CC116D"/>
    <w:rsid w:val="00CD3BE7"/>
    <w:rsid w:val="00CF6D07"/>
    <w:rsid w:val="00D21DF1"/>
    <w:rsid w:val="00D25FC0"/>
    <w:rsid w:val="00D263E1"/>
    <w:rsid w:val="00D96A1D"/>
    <w:rsid w:val="00D96B8D"/>
    <w:rsid w:val="00DA414F"/>
    <w:rsid w:val="00DF5C8E"/>
    <w:rsid w:val="00E05AA7"/>
    <w:rsid w:val="00E07C05"/>
    <w:rsid w:val="00E30149"/>
    <w:rsid w:val="00E30C53"/>
    <w:rsid w:val="00E36750"/>
    <w:rsid w:val="00E560DB"/>
    <w:rsid w:val="00E56E8B"/>
    <w:rsid w:val="00EA0572"/>
    <w:rsid w:val="00EA3D4A"/>
    <w:rsid w:val="00EC7148"/>
    <w:rsid w:val="00EF279E"/>
    <w:rsid w:val="00EF359E"/>
    <w:rsid w:val="00F70235"/>
    <w:rsid w:val="00F720DD"/>
    <w:rsid w:val="00F94D03"/>
    <w:rsid w:val="00FA1C86"/>
    <w:rsid w:val="00FA1DD3"/>
    <w:rsid w:val="00FD6943"/>
    <w:rsid w:val="00FF23ED"/>
    <w:rsid w:val="00FF7815"/>
    <w:rsid w:val="00FF7E55"/>
    <w:rsid w:val="1CCD0741"/>
    <w:rsid w:val="21E257F8"/>
    <w:rsid w:val="2C596F86"/>
    <w:rsid w:val="3B2E045E"/>
    <w:rsid w:val="4DB71CD4"/>
    <w:rsid w:val="5CAD4AC2"/>
    <w:rsid w:val="5D8F11D6"/>
    <w:rsid w:val="6B890880"/>
    <w:rsid w:val="76F440D9"/>
    <w:rsid w:val="7EC25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link w:val="13"/>
    <w:qFormat/>
    <w:uiPriority w:val="0"/>
    <w:pPr>
      <w:keepNext/>
      <w:keepLines/>
      <w:spacing w:before="260" w:after="260" w:line="360" w:lineRule="auto"/>
      <w:outlineLvl w:val="1"/>
    </w:pPr>
    <w:rPr>
      <w:rFonts w:ascii="Arial" w:hAnsi="Arial" w:eastAsia="宋体"/>
      <w:b/>
      <w:bCs/>
      <w:sz w:val="30"/>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1"/>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link w:val="15"/>
    <w:qFormat/>
    <w:uiPriority w:val="0"/>
    <w:pPr>
      <w:spacing w:before="240" w:after="60"/>
      <w:jc w:val="center"/>
      <w:outlineLvl w:val="0"/>
    </w:pPr>
    <w:rPr>
      <w:rFonts w:eastAsia="宋体" w:asciiTheme="majorHAnsi" w:hAnsiTheme="majorHAnsi" w:cstheme="majorBidi"/>
      <w:b/>
      <w:bCs/>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10"/>
    <w:link w:val="5"/>
    <w:semiHidden/>
    <w:qFormat/>
    <w:uiPriority w:val="99"/>
    <w:rPr>
      <w:kern w:val="2"/>
      <w:sz w:val="18"/>
      <w:szCs w:val="18"/>
    </w:rPr>
  </w:style>
  <w:style w:type="character" w:customStyle="1" w:styleId="12">
    <w:name w:val="页脚 Char"/>
    <w:basedOn w:val="10"/>
    <w:link w:val="4"/>
    <w:semiHidden/>
    <w:qFormat/>
    <w:uiPriority w:val="99"/>
    <w:rPr>
      <w:kern w:val="2"/>
      <w:sz w:val="18"/>
      <w:szCs w:val="18"/>
    </w:rPr>
  </w:style>
  <w:style w:type="character" w:customStyle="1" w:styleId="13">
    <w:name w:val="标题 2 Char"/>
    <w:basedOn w:val="10"/>
    <w:link w:val="3"/>
    <w:qFormat/>
    <w:uiPriority w:val="0"/>
    <w:rPr>
      <w:rFonts w:ascii="Arial" w:hAnsi="Arial"/>
      <w:b/>
      <w:bCs/>
      <w:kern w:val="2"/>
      <w:sz w:val="30"/>
      <w:szCs w:val="32"/>
    </w:rPr>
  </w:style>
  <w:style w:type="paragraph" w:styleId="14">
    <w:name w:val="List Paragraph"/>
    <w:basedOn w:val="1"/>
    <w:qFormat/>
    <w:uiPriority w:val="34"/>
    <w:pPr>
      <w:ind w:firstLine="420" w:firstLineChars="200"/>
    </w:pPr>
  </w:style>
  <w:style w:type="character" w:customStyle="1" w:styleId="15">
    <w:name w:val="标题 Char"/>
    <w:basedOn w:val="10"/>
    <w:link w:val="7"/>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FCC95-CABE-4E52-8F04-55AEEDF1B5E2}">
  <ds:schemaRefs/>
</ds:datastoreItem>
</file>

<file path=docProps/app.xml><?xml version="1.0" encoding="utf-8"?>
<Properties xmlns="http://schemas.openxmlformats.org/officeDocument/2006/extended-properties" xmlns:vt="http://schemas.openxmlformats.org/officeDocument/2006/docPropsVTypes">
  <Template>Normal.dotm</Template>
  <Company>fmczj</Company>
  <Pages>7</Pages>
  <Words>612</Words>
  <Characters>3490</Characters>
  <Lines>29</Lines>
  <Paragraphs>8</Paragraphs>
  <TotalTime>8</TotalTime>
  <ScaleCrop>false</ScaleCrop>
  <LinksUpToDate>false</LinksUpToDate>
  <CharactersWithSpaces>4094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dcterms:modified xsi:type="dcterms:W3CDTF">2020-04-24T02:33:22Z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