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jc w:val="center"/>
        <w:rPr>
          <w:rFonts w:asciiTheme="majorEastAsia" w:hAnsiTheme="majorEastAsia" w:eastAsiaTheme="majorEastAsia" w:cstheme="majorBidi"/>
          <w:b/>
          <w:bCs/>
          <w:sz w:val="44"/>
          <w:szCs w:val="44"/>
        </w:rPr>
      </w:pPr>
      <w:r>
        <w:rPr>
          <w:rFonts w:hint="eastAsia" w:asciiTheme="majorEastAsia" w:hAnsiTheme="majorEastAsia" w:eastAsiaTheme="majorEastAsia" w:cstheme="majorBidi"/>
          <w:b/>
          <w:bCs/>
          <w:sz w:val="44"/>
          <w:szCs w:val="44"/>
        </w:rPr>
        <w:t>2019年富民县J2016-06-07-08号地块</w:t>
      </w:r>
    </w:p>
    <w:p>
      <w:pPr>
        <w:topLinePunct/>
        <w:spacing w:line="540" w:lineRule="exact"/>
        <w:jc w:val="center"/>
        <w:rPr>
          <w:rFonts w:asciiTheme="majorEastAsia" w:hAnsiTheme="majorEastAsia" w:eastAsiaTheme="majorEastAsia" w:cstheme="majorBidi"/>
          <w:b/>
          <w:bCs/>
          <w:sz w:val="44"/>
          <w:szCs w:val="44"/>
        </w:rPr>
      </w:pPr>
      <w:r>
        <w:rPr>
          <w:rFonts w:hint="eastAsia" w:asciiTheme="majorEastAsia" w:hAnsiTheme="majorEastAsia" w:eastAsiaTheme="majorEastAsia" w:cstheme="majorBidi"/>
          <w:b/>
          <w:bCs/>
          <w:sz w:val="44"/>
          <w:szCs w:val="44"/>
        </w:rPr>
        <w:t>收储成本支出绩效评价报告</w:t>
      </w:r>
    </w:p>
    <w:p>
      <w:pPr>
        <w:topLinePunct/>
        <w:spacing w:line="540" w:lineRule="exact"/>
        <w:ind w:firstLine="800" w:firstLineChars="250"/>
        <w:jc w:val="center"/>
        <w:rPr>
          <w:rFonts w:ascii="黑体" w:eastAsia="黑体"/>
          <w:szCs w:val="32"/>
        </w:rPr>
      </w:pPr>
    </w:p>
    <w:p>
      <w:pPr>
        <w:topLinePunct/>
        <w:spacing w:line="540" w:lineRule="exact"/>
        <w:ind w:firstLine="800" w:firstLineChars="250"/>
        <w:rPr>
          <w:rFonts w:ascii="黑体" w:eastAsia="黑体"/>
          <w:szCs w:val="32"/>
        </w:rPr>
      </w:pPr>
    </w:p>
    <w:p>
      <w:pPr>
        <w:tabs>
          <w:tab w:val="left" w:pos="640"/>
        </w:tabs>
        <w:spacing w:line="560" w:lineRule="exact"/>
        <w:ind w:left="0" w:leftChars="0" w:firstLine="640" w:firstLineChars="200"/>
        <w:rPr>
          <w:rFonts w:hint="eastAsia" w:ascii="黑体" w:hAnsi="黑体" w:eastAsia="黑体" w:cs="黑体"/>
          <w:b w:val="0"/>
          <w:bCs w:val="0"/>
          <w:kern w:val="56"/>
          <w:szCs w:val="32"/>
        </w:rPr>
      </w:pPr>
      <w:r>
        <w:rPr>
          <w:rFonts w:hint="eastAsia" w:ascii="黑体" w:hAnsi="黑体" w:eastAsia="黑体" w:cs="黑体"/>
          <w:b w:val="0"/>
          <w:bCs w:val="0"/>
          <w:kern w:val="56"/>
          <w:szCs w:val="32"/>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1.立项背景及目的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经云南省国土资源厅《关于富民县</w:t>
      </w:r>
      <w:r>
        <w:rPr>
          <w:rFonts w:hint="eastAsia" w:ascii="仿宋_GB2312" w:hAnsi="仿宋_GB2312" w:eastAsia="仿宋_GB2312" w:cs="仿宋_GB2312"/>
          <w:sz w:val="32"/>
          <w:szCs w:val="32"/>
          <w:lang w:val="en-US" w:eastAsia="zh-CN"/>
        </w:rPr>
        <w:t>2011年度第一批城镇建设用地农用地转用及土地征收的批复</w:t>
      </w:r>
      <w:r>
        <w:rPr>
          <w:rFonts w:hint="eastAsia" w:ascii="仿宋_GB2312" w:hAnsi="仿宋_GB2312" w:eastAsia="仿宋_GB2312" w:cs="仿宋_GB2312"/>
          <w:sz w:val="32"/>
          <w:szCs w:val="32"/>
          <w:lang w:eastAsia="zh-CN"/>
        </w:rPr>
        <w:t>》（云国土资复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229号）、</w:t>
      </w:r>
      <w:r>
        <w:rPr>
          <w:rFonts w:hint="eastAsia" w:ascii="仿宋_GB2312" w:hAnsi="仿宋_GB2312" w:eastAsia="仿宋_GB2312" w:cs="仿宋_GB2312"/>
          <w:sz w:val="32"/>
          <w:szCs w:val="32"/>
          <w:lang w:eastAsia="zh-CN"/>
        </w:rPr>
        <w:t>《关于富民县</w:t>
      </w:r>
      <w:r>
        <w:rPr>
          <w:rFonts w:hint="eastAsia" w:ascii="仿宋_GB2312" w:hAnsi="仿宋_GB2312" w:eastAsia="仿宋_GB2312" w:cs="仿宋_GB2312"/>
          <w:sz w:val="32"/>
          <w:szCs w:val="32"/>
          <w:lang w:val="en-US" w:eastAsia="zh-CN"/>
        </w:rPr>
        <w:t>2012年度第一批城镇建设用地农用地转用及土地征收的批复</w:t>
      </w:r>
      <w:r>
        <w:rPr>
          <w:rFonts w:hint="eastAsia" w:ascii="仿宋_GB2312" w:hAnsi="仿宋_GB2312" w:eastAsia="仿宋_GB2312" w:cs="仿宋_GB2312"/>
          <w:sz w:val="32"/>
          <w:szCs w:val="32"/>
          <w:lang w:eastAsia="zh-CN"/>
        </w:rPr>
        <w:t>》（云国土资复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1018号）批准征收片区土地142.16亩。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富民县政府专题会议纪要》（第21期）精神，经研究，同意实施富民县商贸中心区大营片区650亩土地开展土地一级开发，并于2016年5月4日与昆明市富民县城乡建设发展有限公司签订了《富民县商贸中心区大营片区土地一级开发整理委托合同》，正式启动项目建设。已完成征地拆迁及一级开发整理全部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3.资金来源及使用情况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2019年度富民县财政下拨富民县J2016-06-07-08号地块收储成本资金为3</w:t>
      </w:r>
      <w:r>
        <w:rPr>
          <w:rFonts w:hint="eastAsia" w:ascii="仿宋_GB2312" w:hAnsi="仿宋_GB2312" w:cs="仿宋_GB2312"/>
          <w:sz w:val="32"/>
          <w:szCs w:val="32"/>
          <w:lang w:val="en-US" w:eastAsia="zh-CN"/>
        </w:rPr>
        <w:t>7</w:t>
      </w:r>
      <w:bookmarkStart w:id="0" w:name="_GoBack"/>
      <w:bookmarkEnd w:id="0"/>
      <w:r>
        <w:rPr>
          <w:rFonts w:hint="eastAsia" w:ascii="仿宋_GB2312" w:hAnsi="仿宋_GB2312" w:eastAsia="仿宋_GB2312" w:cs="仿宋_GB2312"/>
          <w:sz w:val="32"/>
          <w:szCs w:val="32"/>
        </w:rPr>
        <w:t>00万元，现已全部用于支付土地一级开发整理实施单位征地补偿、工程建设等收储成本。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组织及管理情况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（1）组织情况：成立相关项目小组，强化监督，派专人长期对项目实施定期或不定期的进行现场检查和监督，及时协调解决困难和问题，保证项目按质按量完成。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（2）项目实施流程：</w:t>
      </w:r>
      <w:r>
        <w:rPr>
          <w:rFonts w:hint="eastAsia" w:ascii="仿宋_GB2312" w:hAnsi="仿宋_GB2312" w:eastAsia="仿宋_GB2312" w:cs="仿宋_GB2312"/>
          <w:sz w:val="32"/>
          <w:szCs w:val="32"/>
          <w:lang w:val="zh-CN"/>
        </w:rPr>
        <w:t>按照富民县征地拆迁补偿标准及昆明市土地一级开发管理办法执行。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（3）资金拨付流程：严格按财政要求执行。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完成片区土地一级开发整理项目规划范围内650亩土地征收、拆迁及配套设施建设内容。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2.年度目标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全面完成片区</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lang w:val="en-US" w:eastAsia="zh-CN"/>
        </w:rPr>
        <w:t>142.16亩土地征收及配套设施建设。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（2）效果目标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已完成目标，</w:t>
      </w:r>
      <w:r>
        <w:rPr>
          <w:rFonts w:hint="eastAsia" w:ascii="仿宋_GB2312" w:hAnsi="仿宋_GB2312" w:eastAsia="仿宋_GB2312" w:cs="仿宋_GB2312"/>
          <w:sz w:val="32"/>
          <w:szCs w:val="32"/>
          <w:lang w:val="en-US" w:eastAsia="zh-CN"/>
        </w:rPr>
        <w:t>征地拆迁补偿安置到位，已签订土地征收协议。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二、绩效评价工作情况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（一）阐述的主要内容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富民县商贸中心区大营片区土地一级开发整理项目实施方案,片区规划用地总面积650亩，建设内容为土地征转用报批，土地征收与地面建构筑物拆迁进场道路等基础设施建设。该项目经富民县人民政府同意，土储中心于2016年5月4日与昆明市富民县城乡建设发展有限公司签订了《富民县商贸中心区大营片区土地一级开发整理委托合同》，</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完成了片区土地报批、征</w:t>
      </w:r>
      <w:r>
        <w:rPr>
          <w:rFonts w:hint="eastAsia" w:ascii="仿宋_GB2312" w:hAnsi="仿宋_GB2312" w:eastAsia="仿宋_GB2312" w:cs="仿宋_GB2312"/>
          <w:sz w:val="32"/>
          <w:szCs w:val="32"/>
          <w:lang w:eastAsia="zh-CN"/>
        </w:rPr>
        <w:t>地拆迁和</w:t>
      </w:r>
      <w:r>
        <w:rPr>
          <w:rFonts w:hint="eastAsia" w:ascii="仿宋_GB2312" w:hAnsi="仿宋_GB2312" w:eastAsia="仿宋_GB2312" w:cs="仿宋_GB2312"/>
          <w:sz w:val="32"/>
          <w:szCs w:val="32"/>
        </w:rPr>
        <w:t>1号路已完成520米、2号路已完成570米、3号路已完成226米、4号路已完成650米、5号路已完成370米的所有工程量，于2017年11月30日进行初验，已完成工程总投资约9000万元，目前正进行结算及审计资料准备工作。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工程建设内容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（二）绩效评价原则、评价方法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（1）科学规范原则。绩效评价注重财政支出的经济性、效率性和有效性，严格执行规定的程序。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（2）公正公开原则。绩效评价应当客观、公正；标准统一、资料可靠，依法公开并接受监督。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（3）分级分类原则。绩效评价由各级财政部门、单位根据评价对象的特点分类组织实施。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（4）绩效相关原则。绩效评价应当针对具体支出及其产出绩效进行，评价结果应清晰反映支出和产出绩效之间的紧密对应关系。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绩效评价方法：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对财政支出的绩效评价采用成本效益法、比较法、因素分析法、公众评议法、定量分析与定性分析相结合的综合判断法等方法，依据 《富民县国土局土地储备项目财政支出绩效评价指标体系》进行评价。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三、评价结论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项目在实施过程中，项目单位措施得当积极推动项目按年度目标顺利完成，符合程序，资金管理使用规范，产生较好的绩效效果，人民群众满意度较高，评价小组根据评价指标体系进行了量化考核，该项目绩效评价得分为</w:t>
      </w:r>
      <w:r>
        <w:rPr>
          <w:rFonts w:hint="eastAsia" w:ascii="仿宋_GB2312" w:hAnsi="仿宋_GB2312" w:eastAsia="仿宋_GB2312" w:cs="仿宋_GB2312"/>
          <w:sz w:val="32"/>
          <w:szCs w:val="32"/>
          <w:lang w:val="en-US" w:eastAsia="zh-CN"/>
        </w:rPr>
        <w:t xml:space="preserve"> 95 </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评价等次</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优秀（具体情况见附件）。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四、成本效益分析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本项目建设和土地挂牌后，土地出让后预计可实现净收益</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亩,能更好的改善富民县路网结构，优化区域投资环境，后期项目地块开发建设后可增加教育、文化体育、医院配套，提升富民县的吸引力，促进区域招商引资步伐。有力推动当地经济水平的提高，在很大程度上可以缩小富民县与昆明市的城乡居民收入水平。居民居住、出行和就业条件将得到很大改善，获得经济收入的机会明显增多，居民的生活水平和生活质量随之也会得到逐步提高。当地基础设施、城市环境和居住条件将得到大幅度改善，区域形象和投资吸引力将得到很大程度的改善，集聚人口的能力将得以提高，伴随着投资商和居住人口的增多，当地的就业机会将会大大增多，就业结构自然就会开始发生很大转变，从而加快经济发展方式转变步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五、主要经验及做法、存在的问题和建议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（一）主要经验及做法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程序，确保资金效益。项目建设坚持层层审批原则，做到操作程序规范，严格按照上级审批项目建设规模、工程项目管理办法、工程进度款拨付管理等相关要求开展工作，并严格按照资金使用的相关管理要求执行，严格资金使用范围，保证项目资金需款专用。始终坚持按工程进度拨付工程款，学校、施工方、监理单位每月书面上报工程进度，领导小组办公室根据工程进度拟定拨款建议，报领导小组研究决定后直接拨付到施工单位，有效杜绝了截留、挪用、滞留、浪费资金等现象的发生，确保了资金使用安全和最大效益的发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存在的问题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县由于经济总量小，经济发展滞后，财政不能按储备土地规模计划资金需求列入支出。特别是2016年1月1日以来，国家政策规定不得向银行业金融机构举借土地储备贷款以来，导致土地储备机构收储土地融资渠道单一，紧紧依靠申报土地储备专项债券渠道取得储备资金，无法做到应储尽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2、由于土地储备资金不足，部分地块征地拆迁资金拨付不到位，导致征地扫尾工作时间战线长，有的地块出让后不能实现净地移交，严重影响企业投资开发计划进度。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3、由于融资渠道单一，资金筹措困难，导致历年组件上报的批次用地指标欠缴省、市农用地转用报批规费而无法取得批文，致使土地征收入库滞后，严重影响土地收储和关于的顺利推进。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（三）建议和改进措施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富民县实际科学合理制定我县年度土地储备规模和土地供应计划，县财政要将土地收储资金列入年度财政预算，确保储备土地按计划完成。加快推进土地一级开发整理工作，提高土地成熟度，进一步加大招商引资力度，将成熟土地得以及时供应，实现资金能短期回笼。</w:t>
      </w:r>
    </w:p>
    <w:p>
      <w:pPr>
        <w:ind w:left="0" w:leftChars="0" w:firstLine="640" w:firstLineChars="20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z w:val="15"/>
          <w:szCs w:val="15"/>
        </w:rPr>
      </w:pPr>
    </w:p>
    <w:p>
      <w:pPr>
        <w:rPr>
          <w:sz w:val="21"/>
          <w:szCs w:val="21"/>
        </w:rPr>
      </w:pPr>
    </w:p>
    <w:p>
      <w:pPr>
        <w:pStyle w:val="2"/>
      </w:pPr>
    </w:p>
    <w:tbl>
      <w:tblPr>
        <w:tblStyle w:val="8"/>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ascii="仿宋_GB2312"/>
                <w:sz w:val="18"/>
                <w:szCs w:val="18"/>
              </w:rPr>
            </w:pPr>
            <w:r>
              <w:rPr>
                <w:rFonts w:hint="eastAsia" w:ascii="仿宋_GB2312"/>
                <w:sz w:val="18"/>
                <w:szCs w:val="18"/>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4</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ascii="仿宋_GB2312"/>
                <w:sz w:val="18"/>
                <w:szCs w:val="18"/>
              </w:rPr>
            </w:pPr>
            <w:r>
              <w:rPr>
                <w:rFonts w:hint="eastAsia" w:ascii="仿宋_GB2312"/>
                <w:sz w:val="18"/>
                <w:szCs w:val="18"/>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ascii="仿宋_GB2312"/>
                <w:sz w:val="18"/>
                <w:szCs w:val="18"/>
              </w:rPr>
            </w:pPr>
            <w:r>
              <w:rPr>
                <w:rFonts w:hint="eastAsia" w:ascii="仿宋_GB2312"/>
                <w:sz w:val="18"/>
                <w:szCs w:val="18"/>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ascii="仿宋_GB2312"/>
                <w:sz w:val="18"/>
                <w:szCs w:val="18"/>
              </w:rPr>
            </w:pPr>
            <w:r>
              <w:rPr>
                <w:rFonts w:hint="eastAsia" w:ascii="仿宋_GB2312"/>
                <w:sz w:val="18"/>
                <w:szCs w:val="18"/>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ascii="仿宋_GB2312"/>
                <w:sz w:val="18"/>
                <w:szCs w:val="18"/>
              </w:rPr>
            </w:pPr>
            <w:r>
              <w:rPr>
                <w:rFonts w:hint="eastAsia" w:ascii="仿宋_GB2312"/>
                <w:sz w:val="18"/>
                <w:szCs w:val="18"/>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ascii="仿宋_GB2312"/>
                <w:sz w:val="18"/>
                <w:szCs w:val="18"/>
              </w:rPr>
            </w:pPr>
            <w:r>
              <w:rPr>
                <w:rFonts w:hint="eastAsia" w:ascii="仿宋_GB2312"/>
                <w:sz w:val="18"/>
                <w:szCs w:val="18"/>
              </w:rPr>
              <w:t>19</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ascii="仿宋_GB2312"/>
                <w:sz w:val="18"/>
                <w:szCs w:val="18"/>
              </w:rPr>
            </w:pPr>
            <w:r>
              <w:rPr>
                <w:rFonts w:hint="eastAsia" w:ascii="仿宋_GB2312"/>
                <w:sz w:val="18"/>
                <w:szCs w:val="18"/>
              </w:rPr>
              <w:t>95</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00F19"/>
    <w:rsid w:val="000028B2"/>
    <w:rsid w:val="00007B88"/>
    <w:rsid w:val="000257C0"/>
    <w:rsid w:val="000312E0"/>
    <w:rsid w:val="000667E7"/>
    <w:rsid w:val="00076B47"/>
    <w:rsid w:val="000A2E4C"/>
    <w:rsid w:val="000C5AF3"/>
    <w:rsid w:val="000D37FE"/>
    <w:rsid w:val="000D713F"/>
    <w:rsid w:val="000E7FBB"/>
    <w:rsid w:val="000F16B4"/>
    <w:rsid w:val="001104B7"/>
    <w:rsid w:val="00110577"/>
    <w:rsid w:val="001272E8"/>
    <w:rsid w:val="00127A2F"/>
    <w:rsid w:val="00175AAC"/>
    <w:rsid w:val="00175F23"/>
    <w:rsid w:val="00193412"/>
    <w:rsid w:val="00197507"/>
    <w:rsid w:val="00197BC8"/>
    <w:rsid w:val="001C5DCB"/>
    <w:rsid w:val="001D6DAD"/>
    <w:rsid w:val="00206107"/>
    <w:rsid w:val="002123EA"/>
    <w:rsid w:val="00246DAD"/>
    <w:rsid w:val="0025715A"/>
    <w:rsid w:val="00287976"/>
    <w:rsid w:val="002B6F0B"/>
    <w:rsid w:val="002C1657"/>
    <w:rsid w:val="002D6615"/>
    <w:rsid w:val="002E3518"/>
    <w:rsid w:val="002E52CE"/>
    <w:rsid w:val="003033E4"/>
    <w:rsid w:val="003063A3"/>
    <w:rsid w:val="00316721"/>
    <w:rsid w:val="00341940"/>
    <w:rsid w:val="00356B26"/>
    <w:rsid w:val="00364740"/>
    <w:rsid w:val="003777D5"/>
    <w:rsid w:val="003C2470"/>
    <w:rsid w:val="003D7DDC"/>
    <w:rsid w:val="003E1CE8"/>
    <w:rsid w:val="003F0D96"/>
    <w:rsid w:val="004404E8"/>
    <w:rsid w:val="00474074"/>
    <w:rsid w:val="004B63FD"/>
    <w:rsid w:val="004B66DA"/>
    <w:rsid w:val="004D3FE9"/>
    <w:rsid w:val="004E1CFF"/>
    <w:rsid w:val="004E2367"/>
    <w:rsid w:val="004E47F4"/>
    <w:rsid w:val="004E68AD"/>
    <w:rsid w:val="00530E93"/>
    <w:rsid w:val="00537983"/>
    <w:rsid w:val="00540C32"/>
    <w:rsid w:val="00544FED"/>
    <w:rsid w:val="00553FF3"/>
    <w:rsid w:val="00562084"/>
    <w:rsid w:val="0059730F"/>
    <w:rsid w:val="005A57C6"/>
    <w:rsid w:val="005B6DCE"/>
    <w:rsid w:val="005C4EBC"/>
    <w:rsid w:val="005E07D0"/>
    <w:rsid w:val="005F161F"/>
    <w:rsid w:val="006347A1"/>
    <w:rsid w:val="00654EFC"/>
    <w:rsid w:val="0068776A"/>
    <w:rsid w:val="006A7DBD"/>
    <w:rsid w:val="006B646E"/>
    <w:rsid w:val="006C1B24"/>
    <w:rsid w:val="006C3E5B"/>
    <w:rsid w:val="006C69CD"/>
    <w:rsid w:val="006E11EF"/>
    <w:rsid w:val="0073659F"/>
    <w:rsid w:val="00745439"/>
    <w:rsid w:val="007871EB"/>
    <w:rsid w:val="007A2AEE"/>
    <w:rsid w:val="007B15FD"/>
    <w:rsid w:val="007E0E69"/>
    <w:rsid w:val="008200F2"/>
    <w:rsid w:val="00825412"/>
    <w:rsid w:val="008429E3"/>
    <w:rsid w:val="008C67AB"/>
    <w:rsid w:val="008D1B0B"/>
    <w:rsid w:val="008E46F8"/>
    <w:rsid w:val="00907C08"/>
    <w:rsid w:val="00915DA5"/>
    <w:rsid w:val="009225C8"/>
    <w:rsid w:val="00947D97"/>
    <w:rsid w:val="00971170"/>
    <w:rsid w:val="00991C6C"/>
    <w:rsid w:val="00993DEC"/>
    <w:rsid w:val="009A7C71"/>
    <w:rsid w:val="009D3B0D"/>
    <w:rsid w:val="009D4A58"/>
    <w:rsid w:val="009E55C2"/>
    <w:rsid w:val="00A27220"/>
    <w:rsid w:val="00A3508F"/>
    <w:rsid w:val="00A4158F"/>
    <w:rsid w:val="00A70BC2"/>
    <w:rsid w:val="00A7249B"/>
    <w:rsid w:val="00A730D7"/>
    <w:rsid w:val="00A9345F"/>
    <w:rsid w:val="00A96BF9"/>
    <w:rsid w:val="00AF6533"/>
    <w:rsid w:val="00B14CE9"/>
    <w:rsid w:val="00B26876"/>
    <w:rsid w:val="00B27C69"/>
    <w:rsid w:val="00B540B6"/>
    <w:rsid w:val="00B54952"/>
    <w:rsid w:val="00B70A76"/>
    <w:rsid w:val="00B7368C"/>
    <w:rsid w:val="00B90E7A"/>
    <w:rsid w:val="00BA0E68"/>
    <w:rsid w:val="00C37DFC"/>
    <w:rsid w:val="00C67C0D"/>
    <w:rsid w:val="00C95344"/>
    <w:rsid w:val="00CA7DE8"/>
    <w:rsid w:val="00CB5B99"/>
    <w:rsid w:val="00CC0BDC"/>
    <w:rsid w:val="00CC116D"/>
    <w:rsid w:val="00CD3BE7"/>
    <w:rsid w:val="00CF6D07"/>
    <w:rsid w:val="00D20DEA"/>
    <w:rsid w:val="00D21DF1"/>
    <w:rsid w:val="00D25FC0"/>
    <w:rsid w:val="00D263E1"/>
    <w:rsid w:val="00D96A1D"/>
    <w:rsid w:val="00D96B8D"/>
    <w:rsid w:val="00DA414F"/>
    <w:rsid w:val="00DA56FD"/>
    <w:rsid w:val="00DF5C8E"/>
    <w:rsid w:val="00E05AA7"/>
    <w:rsid w:val="00E07C05"/>
    <w:rsid w:val="00E108E4"/>
    <w:rsid w:val="00E30149"/>
    <w:rsid w:val="00E30C53"/>
    <w:rsid w:val="00E36750"/>
    <w:rsid w:val="00E560DB"/>
    <w:rsid w:val="00E56E8B"/>
    <w:rsid w:val="00E836FA"/>
    <w:rsid w:val="00EA0572"/>
    <w:rsid w:val="00EA3D4A"/>
    <w:rsid w:val="00EC7148"/>
    <w:rsid w:val="00ED0747"/>
    <w:rsid w:val="00EF279E"/>
    <w:rsid w:val="00EF359E"/>
    <w:rsid w:val="00F3345A"/>
    <w:rsid w:val="00F45641"/>
    <w:rsid w:val="00F70235"/>
    <w:rsid w:val="00F720DD"/>
    <w:rsid w:val="00F94D03"/>
    <w:rsid w:val="00FA1C86"/>
    <w:rsid w:val="00FA1DD3"/>
    <w:rsid w:val="00FD6943"/>
    <w:rsid w:val="00FF23ED"/>
    <w:rsid w:val="00FF7815"/>
    <w:rsid w:val="00FF7E55"/>
    <w:rsid w:val="029505E4"/>
    <w:rsid w:val="06356350"/>
    <w:rsid w:val="07754D70"/>
    <w:rsid w:val="1ABB20D8"/>
    <w:rsid w:val="1CEC4FA7"/>
    <w:rsid w:val="23767DA3"/>
    <w:rsid w:val="275A4EE5"/>
    <w:rsid w:val="2780235E"/>
    <w:rsid w:val="31D44C0A"/>
    <w:rsid w:val="32E2620A"/>
    <w:rsid w:val="36907E4E"/>
    <w:rsid w:val="3EBF7678"/>
    <w:rsid w:val="4F50582E"/>
    <w:rsid w:val="51F14285"/>
    <w:rsid w:val="5346456D"/>
    <w:rsid w:val="55492B42"/>
    <w:rsid w:val="5BC851F8"/>
    <w:rsid w:val="5E7B4470"/>
    <w:rsid w:val="630B299A"/>
    <w:rsid w:val="6ABA2969"/>
    <w:rsid w:val="6F331478"/>
    <w:rsid w:val="6FC2632F"/>
    <w:rsid w:val="731947FB"/>
    <w:rsid w:val="74C51F15"/>
    <w:rsid w:val="74D05C5B"/>
    <w:rsid w:val="7B5427A4"/>
    <w:rsid w:val="7B96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2"/>
    <w:basedOn w:val="1"/>
    <w:next w:val="1"/>
    <w:link w:val="13"/>
    <w:qFormat/>
    <w:uiPriority w:val="0"/>
    <w:pPr>
      <w:keepNext/>
      <w:keepLines/>
      <w:spacing w:before="260" w:after="260" w:line="360" w:lineRule="auto"/>
      <w:outlineLvl w:val="1"/>
    </w:pPr>
    <w:rPr>
      <w:rFonts w:ascii="Arial" w:hAnsi="Arial" w:eastAsia="宋体"/>
      <w:b/>
      <w:bCs/>
      <w:sz w:val="30"/>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6"/>
    <w:qFormat/>
    <w:uiPriority w:val="0"/>
    <w:pPr>
      <w:spacing w:after="120"/>
    </w:pPr>
    <w:rPr>
      <w:rFonts w:eastAsia="宋体"/>
      <w:sz w:val="21"/>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Title"/>
    <w:basedOn w:val="1"/>
    <w:next w:val="1"/>
    <w:link w:val="15"/>
    <w:qFormat/>
    <w:uiPriority w:val="0"/>
    <w:pPr>
      <w:spacing w:before="240" w:after="60"/>
      <w:jc w:val="center"/>
      <w:outlineLvl w:val="0"/>
    </w:pPr>
    <w:rPr>
      <w:rFonts w:eastAsia="宋体" w:asciiTheme="majorHAnsi" w:hAnsiTheme="majorHAnsi" w:cstheme="majorBidi"/>
      <w:b/>
      <w:bCs/>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10"/>
    <w:link w:val="5"/>
    <w:semiHidden/>
    <w:qFormat/>
    <w:uiPriority w:val="99"/>
    <w:rPr>
      <w:kern w:val="2"/>
      <w:sz w:val="18"/>
      <w:szCs w:val="18"/>
    </w:rPr>
  </w:style>
  <w:style w:type="character" w:customStyle="1" w:styleId="12">
    <w:name w:val="页脚 Char"/>
    <w:basedOn w:val="10"/>
    <w:link w:val="4"/>
    <w:semiHidden/>
    <w:qFormat/>
    <w:uiPriority w:val="99"/>
    <w:rPr>
      <w:kern w:val="2"/>
      <w:sz w:val="18"/>
      <w:szCs w:val="18"/>
    </w:rPr>
  </w:style>
  <w:style w:type="character" w:customStyle="1" w:styleId="13">
    <w:name w:val="标题 2 Char"/>
    <w:basedOn w:val="10"/>
    <w:link w:val="3"/>
    <w:qFormat/>
    <w:uiPriority w:val="0"/>
    <w:rPr>
      <w:rFonts w:ascii="Arial" w:hAnsi="Arial"/>
      <w:b/>
      <w:bCs/>
      <w:kern w:val="2"/>
      <w:sz w:val="30"/>
      <w:szCs w:val="32"/>
    </w:rPr>
  </w:style>
  <w:style w:type="paragraph" w:customStyle="1" w:styleId="14">
    <w:name w:val="列出段落1"/>
    <w:basedOn w:val="1"/>
    <w:qFormat/>
    <w:uiPriority w:val="34"/>
    <w:pPr>
      <w:ind w:firstLine="420" w:firstLineChars="200"/>
    </w:pPr>
  </w:style>
  <w:style w:type="character" w:customStyle="1" w:styleId="15">
    <w:name w:val="标题 Char"/>
    <w:basedOn w:val="10"/>
    <w:link w:val="7"/>
    <w:qFormat/>
    <w:uiPriority w:val="0"/>
    <w:rPr>
      <w:rFonts w:asciiTheme="majorHAnsi" w:hAnsiTheme="majorHAnsi" w:cstheme="majorBidi"/>
      <w:b/>
      <w:bCs/>
      <w:kern w:val="2"/>
      <w:sz w:val="32"/>
      <w:szCs w:val="32"/>
    </w:rPr>
  </w:style>
  <w:style w:type="character" w:customStyle="1" w:styleId="16">
    <w:name w:val="正文文本 Char"/>
    <w:basedOn w:val="10"/>
    <w:link w:val="2"/>
    <w:qFormat/>
    <w:uiPriority w:val="0"/>
    <w:rPr>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78E706-13D5-4758-9BFD-AD9932688C8F}">
  <ds:schemaRefs/>
</ds:datastoreItem>
</file>

<file path=docProps/app.xml><?xml version="1.0" encoding="utf-8"?>
<Properties xmlns="http://schemas.openxmlformats.org/officeDocument/2006/extended-properties" xmlns:vt="http://schemas.openxmlformats.org/officeDocument/2006/docPropsVTypes">
  <Template>Normal.dotm</Template>
  <Company>fmczj</Company>
  <Pages>7</Pages>
  <Words>647</Words>
  <Characters>3689</Characters>
  <Lines>30</Lines>
  <Paragraphs>8</Paragraphs>
  <TotalTime>7</TotalTime>
  <ScaleCrop>false</ScaleCrop>
  <LinksUpToDate>false</LinksUpToDate>
  <CharactersWithSpaces>4328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2020-04-20T08:45:00Z</dcterms:created>
  <dc:creator>张子明</dc:creator>
  <cp:lastModifiedBy>杨海丽-昆明富民</cp:lastModifiedBy>
  <dcterms:modified xsi:type="dcterms:W3CDTF">2020-05-06T07:22:06Z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