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spacing w:line="600" w:lineRule="exact"/>
        <w:ind w:firstLine="340" w:firstLineChars="200"/>
        <w:jc w:val="left"/>
        <w:textAlignment w:val="auto"/>
        <w:rPr>
          <w:rFonts w:hint="default" w:ascii="Times New Roman" w:hAnsi="Times New Roman" w:eastAsia="黑体" w:cs="Times New Roman"/>
          <w:spacing w:val="-20"/>
          <w:sz w:val="21"/>
          <w:szCs w:val="21"/>
        </w:rPr>
      </w:pP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川心营项目</w:t>
      </w:r>
      <w:r>
        <w:rPr>
          <w:rStyle w:val="10"/>
          <w:rFonts w:hint="default" w:ascii="Times New Roman" w:hAnsi="Times New Roman" w:eastAsia="方正小标宋简体" w:cs="Times New Roman"/>
          <w:kern w:val="2"/>
          <w:sz w:val="44"/>
          <w:szCs w:val="44"/>
          <w:lang w:val="en-US" w:eastAsia="zh-CN" w:bidi="ar-SA"/>
        </w:rPr>
        <w:t>失地农民社会保障金、新增建设用地土地有偿使用费</w:t>
      </w:r>
      <w:r>
        <w:rPr>
          <w:rFonts w:hint="default" w:ascii="Times New Roman" w:hAnsi="Times New Roman" w:eastAsia="方正小标宋简体" w:cs="Times New Roman"/>
          <w:sz w:val="44"/>
          <w:szCs w:val="44"/>
        </w:rPr>
        <w:t>支出绩效评价报告</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黑体" w:cs="Times New Roman"/>
          <w:szCs w:val="32"/>
        </w:rPr>
      </w:pP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一、项目基本情况</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（一）项目概况</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1.立项背景及目的。</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Style w:val="10"/>
          <w:rFonts w:hint="default" w:ascii="Times New Roman" w:hAnsi="Times New Roman" w:eastAsia="仿宋_GB2312" w:cs="Times New Roman"/>
          <w:kern w:val="2"/>
          <w:sz w:val="32"/>
          <w:szCs w:val="32"/>
          <w:lang w:val="en-US" w:eastAsia="zh-CN" w:bidi="ar-SA"/>
        </w:rPr>
        <w:t>富民县城建成区棚户区改造项目土地征收报批工作中，川心营项目与班张村片区、东城河片区在同一批次进行报件。东城河片区、班张村片区的失地农民社会保障金和新增建设用地土地有偿使用费由昆明市保障房公司通过棚改资金进行缴纳，川心营项目失地农民社会保障金和新增建设用地土地有偿使用费资金没有</w:t>
      </w:r>
      <w:r>
        <w:rPr>
          <w:rStyle w:val="10"/>
          <w:rFonts w:hint="eastAsia" w:cs="Times New Roman"/>
          <w:kern w:val="2"/>
          <w:sz w:val="32"/>
          <w:szCs w:val="32"/>
          <w:lang w:val="en-US" w:eastAsia="zh-CN" w:bidi="ar-SA"/>
        </w:rPr>
        <w:t>来源</w:t>
      </w:r>
      <w:r>
        <w:rPr>
          <w:rStyle w:val="10"/>
          <w:rFonts w:hint="default" w:ascii="Times New Roman" w:hAnsi="Times New Roman" w:eastAsia="仿宋_GB2312" w:cs="Times New Roman"/>
          <w:kern w:val="2"/>
          <w:sz w:val="32"/>
          <w:szCs w:val="32"/>
          <w:lang w:val="en-US" w:eastAsia="zh-CN" w:bidi="ar-SA"/>
        </w:rPr>
        <w:t>。为顺利推进班张村片区、东城河片区和川心营项目土地征收报批组件工作，需筹集川心营项目失地农民社会保障金171.51万元和新增建设用地土地有偿使用费80.038万元，合计251.548万元。该笔资金筹集后与东城河、班张村的失地农民社会保障金和新增建设用地土地有偿使用费棚改资金一并进行缴纳，确保《富民县2019年度第一批次城镇建设用地》尽快</w:t>
      </w:r>
      <w:r>
        <w:rPr>
          <w:rStyle w:val="10"/>
          <w:rFonts w:hint="eastAsia" w:cs="Times New Roman"/>
          <w:kern w:val="2"/>
          <w:sz w:val="32"/>
          <w:szCs w:val="32"/>
          <w:lang w:val="en-US" w:eastAsia="zh-CN" w:bidi="ar-SA"/>
        </w:rPr>
        <w:t>取得</w:t>
      </w:r>
      <w:r>
        <w:rPr>
          <w:rStyle w:val="10"/>
          <w:rFonts w:hint="default" w:ascii="Times New Roman" w:hAnsi="Times New Roman" w:eastAsia="仿宋_GB2312" w:cs="Times New Roman"/>
          <w:kern w:val="2"/>
          <w:sz w:val="32"/>
          <w:szCs w:val="32"/>
          <w:lang w:val="en-US" w:eastAsia="zh-CN" w:bidi="ar-SA"/>
        </w:rPr>
        <w:t>批复</w:t>
      </w:r>
      <w:r>
        <w:rPr>
          <w:rStyle w:val="10"/>
          <w:rFonts w:hint="eastAsia" w:cs="Times New Roman"/>
          <w:kern w:val="2"/>
          <w:sz w:val="32"/>
          <w:szCs w:val="32"/>
          <w:lang w:val="en-US" w:eastAsia="zh-CN" w:bidi="ar-SA"/>
        </w:rPr>
        <w:t>，完善棚户区改造项目土地征收手续</w:t>
      </w:r>
      <w:r>
        <w:rPr>
          <w:rStyle w:val="10"/>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autoSpaceDE/>
        <w:autoSpaceDN/>
        <w:bidi w:val="0"/>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项目实施情况。</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cs="Times New Roman"/>
          <w:sz w:val="32"/>
          <w:szCs w:val="32"/>
          <w:lang w:val="en-US" w:eastAsia="zh-CN"/>
        </w:rPr>
        <w:t>2019年开始进行</w:t>
      </w:r>
      <w:r>
        <w:rPr>
          <w:rStyle w:val="10"/>
          <w:rFonts w:hint="default" w:ascii="Times New Roman" w:hAnsi="Times New Roman" w:eastAsia="仿宋_GB2312" w:cs="Times New Roman"/>
          <w:kern w:val="2"/>
          <w:sz w:val="32"/>
          <w:szCs w:val="32"/>
          <w:lang w:val="en-US" w:eastAsia="zh-CN" w:bidi="ar-SA"/>
        </w:rPr>
        <w:t>《富民县2019年度第一批次城镇建设用地》</w:t>
      </w:r>
      <w:r>
        <w:rPr>
          <w:rStyle w:val="10"/>
          <w:rFonts w:hint="eastAsia" w:cs="Times New Roman"/>
          <w:kern w:val="2"/>
          <w:sz w:val="32"/>
          <w:szCs w:val="32"/>
          <w:lang w:val="en-US" w:eastAsia="zh-CN" w:bidi="ar-SA"/>
        </w:rPr>
        <w:t>农用地征转用报批，</w:t>
      </w:r>
      <w:r>
        <w:rPr>
          <w:rFonts w:hint="eastAsia" w:cs="Times New Roman"/>
          <w:sz w:val="32"/>
          <w:szCs w:val="32"/>
          <w:lang w:val="en-US" w:eastAsia="zh-CN"/>
        </w:rPr>
        <w:t>10月15日</w:t>
      </w:r>
      <w:r>
        <w:rPr>
          <w:rFonts w:hint="eastAsia" w:cs="Times New Roman"/>
          <w:sz w:val="32"/>
          <w:szCs w:val="32"/>
          <w:lang w:eastAsia="zh-CN"/>
        </w:rPr>
        <w:t>已取得</w:t>
      </w:r>
      <w:r>
        <w:rPr>
          <w:rFonts w:hint="default" w:ascii="Times New Roman" w:hAnsi="Times New Roman" w:eastAsia="仿宋_GB2312" w:cs="Times New Roman"/>
          <w:sz w:val="32"/>
          <w:szCs w:val="32"/>
          <w:lang w:eastAsia="zh-CN"/>
        </w:rPr>
        <w:t>《</w:t>
      </w:r>
      <w:r>
        <w:rPr>
          <w:rFonts w:hint="eastAsia" w:cs="Times New Roman"/>
          <w:sz w:val="32"/>
          <w:szCs w:val="32"/>
          <w:lang w:eastAsia="zh-CN"/>
        </w:rPr>
        <w:t>昆明市人民政府关于</w:t>
      </w:r>
      <w:r>
        <w:rPr>
          <w:rStyle w:val="10"/>
          <w:rFonts w:hint="default" w:ascii="Times New Roman" w:hAnsi="Times New Roman" w:eastAsia="仿宋_GB2312" w:cs="Times New Roman"/>
          <w:kern w:val="2"/>
          <w:sz w:val="32"/>
          <w:szCs w:val="32"/>
          <w:lang w:val="en-US" w:eastAsia="zh-CN" w:bidi="ar-SA"/>
        </w:rPr>
        <w:t>富民县2019年度第一批城镇建设</w:t>
      </w:r>
      <w:r>
        <w:rPr>
          <w:rStyle w:val="10"/>
          <w:rFonts w:hint="eastAsia" w:cs="Times New Roman"/>
          <w:kern w:val="2"/>
          <w:sz w:val="32"/>
          <w:szCs w:val="32"/>
          <w:lang w:val="en-US" w:eastAsia="zh-CN" w:bidi="ar-SA"/>
        </w:rPr>
        <w:t>农</w:t>
      </w:r>
      <w:r>
        <w:rPr>
          <w:rStyle w:val="10"/>
          <w:rFonts w:hint="default" w:ascii="Times New Roman" w:hAnsi="Times New Roman" w:eastAsia="仿宋_GB2312" w:cs="Times New Roman"/>
          <w:kern w:val="2"/>
          <w:sz w:val="32"/>
          <w:szCs w:val="32"/>
          <w:lang w:val="en-US" w:eastAsia="zh-CN" w:bidi="ar-SA"/>
        </w:rPr>
        <w:t>用地</w:t>
      </w:r>
      <w:r>
        <w:rPr>
          <w:rStyle w:val="10"/>
          <w:rFonts w:hint="eastAsia" w:cs="Times New Roman"/>
          <w:kern w:val="2"/>
          <w:sz w:val="32"/>
          <w:szCs w:val="32"/>
          <w:lang w:val="en-US" w:eastAsia="zh-CN" w:bidi="ar-SA"/>
        </w:rPr>
        <w:t>转用及征收的批复</w:t>
      </w:r>
      <w:r>
        <w:rPr>
          <w:rStyle w:val="10"/>
          <w:rFonts w:hint="default" w:ascii="Times New Roman" w:hAnsi="Times New Roman" w:eastAsia="仿宋_GB2312" w:cs="Times New Roman"/>
          <w:kern w:val="2"/>
          <w:sz w:val="32"/>
          <w:szCs w:val="32"/>
          <w:lang w:val="en-US" w:eastAsia="zh-CN" w:bidi="ar-SA"/>
        </w:rPr>
        <w:t>》</w:t>
      </w:r>
      <w:r>
        <w:rPr>
          <w:rStyle w:val="10"/>
          <w:rFonts w:hint="eastAsia" w:cs="Times New Roman"/>
          <w:kern w:val="2"/>
          <w:sz w:val="32"/>
          <w:szCs w:val="32"/>
          <w:lang w:val="en-US" w:eastAsia="zh-CN" w:bidi="ar-SA"/>
        </w:rPr>
        <w:t>。</w:t>
      </w:r>
    </w:p>
    <w:p>
      <w:pPr>
        <w:keepNext w:val="0"/>
        <w:keepLines w:val="0"/>
        <w:pageBreakBefore w:val="0"/>
        <w:widowControl w:val="0"/>
        <w:numPr>
          <w:ilvl w:val="0"/>
          <w:numId w:val="0"/>
        </w:numPr>
        <w:kinsoku/>
        <w:wordWrap/>
        <w:overflowPunct/>
        <w:topLinePunct/>
        <w:autoSpaceDE/>
        <w:autoSpaceDN/>
        <w:bidi w:val="0"/>
        <w:spacing w:line="600" w:lineRule="exact"/>
        <w:ind w:leftChars="25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3.</w:t>
      </w:r>
      <w:r>
        <w:rPr>
          <w:rFonts w:hint="default" w:ascii="Times New Roman" w:hAnsi="Times New Roman" w:eastAsia="仿宋_GB2312" w:cs="Times New Roman"/>
          <w:sz w:val="32"/>
          <w:szCs w:val="32"/>
        </w:rPr>
        <w:t>资金来源及使用情况。</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Style w:val="10"/>
          <w:rFonts w:hint="eastAsia" w:cs="Times New Roman"/>
          <w:kern w:val="2"/>
          <w:sz w:val="32"/>
          <w:szCs w:val="32"/>
          <w:lang w:val="en-US" w:eastAsia="zh-CN" w:bidi="ar-SA"/>
        </w:rPr>
        <w:t>川心营项目</w:t>
      </w:r>
      <w:r>
        <w:rPr>
          <w:rStyle w:val="10"/>
          <w:rFonts w:hint="default" w:ascii="Times New Roman" w:hAnsi="Times New Roman" w:eastAsia="仿宋_GB2312" w:cs="Times New Roman"/>
          <w:kern w:val="2"/>
          <w:sz w:val="32"/>
          <w:szCs w:val="32"/>
          <w:lang w:val="en-US" w:eastAsia="zh-CN" w:bidi="ar-SA"/>
        </w:rPr>
        <w:t>失地农民社会保障金和新增建设用地土地有偿使用费</w:t>
      </w:r>
      <w:r>
        <w:rPr>
          <w:rStyle w:val="10"/>
          <w:rFonts w:hint="eastAsia" w:cs="Times New Roman"/>
          <w:kern w:val="2"/>
          <w:sz w:val="32"/>
          <w:szCs w:val="32"/>
          <w:lang w:val="en-US" w:eastAsia="zh-CN" w:bidi="ar-SA"/>
        </w:rPr>
        <w:t>由县财政承担，</w:t>
      </w:r>
      <w:r>
        <w:rPr>
          <w:rStyle w:val="10"/>
          <w:rFonts w:hint="default" w:ascii="Times New Roman" w:hAnsi="Times New Roman" w:eastAsia="仿宋_GB2312" w:cs="Times New Roman"/>
          <w:kern w:val="2"/>
          <w:sz w:val="32"/>
          <w:szCs w:val="32"/>
          <w:lang w:val="en-US" w:eastAsia="zh-CN" w:bidi="ar-SA"/>
        </w:rPr>
        <w:t>合计251.548万元</w:t>
      </w:r>
      <w:r>
        <w:rPr>
          <w:rStyle w:val="10"/>
          <w:rFonts w:hint="eastAsia" w:cs="Times New Roman"/>
          <w:kern w:val="2"/>
          <w:sz w:val="32"/>
          <w:szCs w:val="32"/>
          <w:lang w:val="en-US" w:eastAsia="zh-CN" w:bidi="ar-SA"/>
        </w:rPr>
        <w:t>，其中川心营项目</w:t>
      </w:r>
      <w:r>
        <w:rPr>
          <w:rStyle w:val="10"/>
          <w:rFonts w:hint="default" w:ascii="Times New Roman" w:hAnsi="Times New Roman" w:eastAsia="仿宋_GB2312" w:cs="Times New Roman"/>
          <w:kern w:val="2"/>
          <w:sz w:val="32"/>
          <w:szCs w:val="32"/>
          <w:lang w:val="en-US" w:eastAsia="zh-CN" w:bidi="ar-SA"/>
        </w:rPr>
        <w:t>失地农民社会保障金</w:t>
      </w:r>
      <w:r>
        <w:rPr>
          <w:rStyle w:val="10"/>
          <w:rFonts w:hint="eastAsia" w:cs="Times New Roman"/>
          <w:kern w:val="2"/>
          <w:sz w:val="32"/>
          <w:szCs w:val="32"/>
          <w:lang w:val="en-US" w:eastAsia="zh-CN" w:bidi="ar-SA"/>
        </w:rPr>
        <w:t>171.51万元，</w:t>
      </w:r>
      <w:r>
        <w:rPr>
          <w:rStyle w:val="10"/>
          <w:rFonts w:hint="default" w:ascii="Times New Roman" w:hAnsi="Times New Roman" w:eastAsia="仿宋_GB2312" w:cs="Times New Roman"/>
          <w:kern w:val="2"/>
          <w:sz w:val="32"/>
          <w:szCs w:val="32"/>
          <w:lang w:val="en-US" w:eastAsia="zh-CN" w:bidi="ar-SA"/>
        </w:rPr>
        <w:t>新增建设用地土地有偿使用费</w:t>
      </w:r>
      <w:r>
        <w:rPr>
          <w:rStyle w:val="10"/>
          <w:rFonts w:hint="eastAsia" w:cs="Times New Roman"/>
          <w:kern w:val="2"/>
          <w:sz w:val="32"/>
          <w:szCs w:val="32"/>
          <w:lang w:val="en-US" w:eastAsia="zh-CN" w:bidi="ar-SA"/>
        </w:rPr>
        <w:t>80.038万元，2019年5月资金到位，5月拨付到富民县住房和城乡建设局</w:t>
      </w:r>
      <w:r>
        <w:rPr>
          <w:rStyle w:val="10"/>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0"/>
        </w:numPr>
        <w:kinsoku/>
        <w:wordWrap/>
        <w:overflowPunct/>
        <w:topLinePunct/>
        <w:autoSpaceDE/>
        <w:autoSpaceDN/>
        <w:bidi w:val="0"/>
        <w:spacing w:line="600" w:lineRule="exact"/>
        <w:ind w:leftChars="25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4.</w:t>
      </w:r>
      <w:r>
        <w:rPr>
          <w:rFonts w:hint="default" w:ascii="Times New Roman" w:hAnsi="Times New Roman" w:eastAsia="仿宋_GB2312" w:cs="Times New Roman"/>
          <w:sz w:val="32"/>
          <w:szCs w:val="32"/>
        </w:rPr>
        <w:t>组织及管理情况。</w:t>
      </w:r>
    </w:p>
    <w:p>
      <w:pPr>
        <w:topLinePunct/>
        <w:spacing w:line="540" w:lineRule="exact"/>
        <w:ind w:firstLine="800" w:firstLineChars="250"/>
        <w:rPr>
          <w:rFonts w:ascii="仿宋_GB2312" w:hAnsi="楷体"/>
          <w:szCs w:val="32"/>
        </w:rPr>
      </w:pPr>
      <w:r>
        <w:rPr>
          <w:rStyle w:val="10"/>
          <w:rFonts w:hint="eastAsia" w:cs="Times New Roman"/>
          <w:kern w:val="2"/>
          <w:sz w:val="32"/>
          <w:szCs w:val="32"/>
          <w:lang w:val="en-US" w:eastAsia="zh-CN" w:bidi="ar-SA"/>
        </w:rPr>
        <w:t>川心营项目</w:t>
      </w:r>
      <w:r>
        <w:rPr>
          <w:rStyle w:val="10"/>
          <w:rFonts w:hint="default" w:ascii="Times New Roman" w:hAnsi="Times New Roman" w:eastAsia="仿宋_GB2312" w:cs="Times New Roman"/>
          <w:kern w:val="2"/>
          <w:sz w:val="32"/>
          <w:szCs w:val="32"/>
          <w:lang w:val="en-US" w:eastAsia="zh-CN" w:bidi="ar-SA"/>
        </w:rPr>
        <w:t>失地农民社会保障金和新增建设用地土地有偿使用费</w:t>
      </w:r>
      <w:r>
        <w:rPr>
          <w:rStyle w:val="10"/>
          <w:rFonts w:hint="eastAsia" w:cs="Times New Roman"/>
          <w:kern w:val="2"/>
          <w:sz w:val="32"/>
          <w:szCs w:val="32"/>
          <w:lang w:val="en-US" w:eastAsia="zh-CN" w:bidi="ar-SA"/>
        </w:rPr>
        <w:t>两项资金由我局拨付到富民县住房和城乡建设局，再由富民县住房和城乡建设局按要求缴交市级专户</w:t>
      </w:r>
      <w:r>
        <w:rPr>
          <w:rFonts w:hint="eastAsia" w:ascii="仿宋_GB2312" w:hAnsi="楷体"/>
          <w:sz w:val="24"/>
          <w:szCs w:val="24"/>
        </w:rPr>
        <w:t>。</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（二）绩效目标</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Style w:val="10"/>
          <w:rFonts w:hint="eastAsia" w:cs="Times New Roman"/>
          <w:kern w:val="2"/>
          <w:sz w:val="32"/>
          <w:szCs w:val="32"/>
          <w:lang w:val="en-US" w:eastAsia="zh-CN" w:bidi="ar-SA"/>
        </w:rPr>
        <w:t>及时将县财政资金拨付富民县住房和城乡建设局，保障</w:t>
      </w:r>
      <w:r>
        <w:rPr>
          <w:rStyle w:val="10"/>
          <w:rFonts w:hint="default" w:ascii="Times New Roman" w:hAnsi="Times New Roman" w:eastAsia="仿宋_GB2312" w:cs="Times New Roman"/>
          <w:kern w:val="2"/>
          <w:sz w:val="32"/>
          <w:szCs w:val="32"/>
          <w:lang w:val="en-US" w:eastAsia="zh-CN" w:bidi="ar-SA"/>
        </w:rPr>
        <w:t>富民县城建成区棚户区改造项目土地征收报批</w:t>
      </w:r>
      <w:r>
        <w:rPr>
          <w:rStyle w:val="10"/>
          <w:rFonts w:hint="eastAsia" w:cs="Times New Roman"/>
          <w:kern w:val="2"/>
          <w:sz w:val="32"/>
          <w:szCs w:val="32"/>
          <w:lang w:val="en-US" w:eastAsia="zh-CN" w:bidi="ar-SA"/>
        </w:rPr>
        <w:t>资金</w:t>
      </w:r>
      <w:r>
        <w:rPr>
          <w:rStyle w:val="10"/>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2"/>
        </w:numPr>
        <w:kinsoku/>
        <w:wordWrap/>
        <w:overflowPunct/>
        <w:topLinePunct/>
        <w:autoSpaceDE/>
        <w:autoSpaceDN/>
        <w:bidi w:val="0"/>
        <w:spacing w:line="600" w:lineRule="exact"/>
        <w:ind w:firstLine="800" w:firstLineChars="25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绩效评价工作情况</w:t>
      </w:r>
    </w:p>
    <w:p>
      <w:pPr>
        <w:topLinePunct/>
        <w:spacing w:line="540" w:lineRule="exact"/>
        <w:ind w:firstLine="800" w:firstLineChars="250"/>
        <w:rPr>
          <w:rFonts w:hint="eastAsia" w:ascii="仿宋_GB2312" w:hAnsi="楷体"/>
          <w:sz w:val="24"/>
          <w:szCs w:val="24"/>
        </w:rPr>
      </w:pPr>
      <w:r>
        <w:rPr>
          <w:rFonts w:hint="eastAsia" w:ascii="仿宋_GB2312" w:hAnsi="楷体"/>
          <w:szCs w:val="32"/>
        </w:rPr>
        <w:t>（一）阐述的主要内容：</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Style w:val="10"/>
          <w:rFonts w:hint="eastAsia" w:cs="Times New Roman"/>
          <w:kern w:val="2"/>
          <w:sz w:val="32"/>
          <w:szCs w:val="32"/>
          <w:lang w:val="en-US" w:eastAsia="zh-CN" w:bidi="ar-SA"/>
        </w:rPr>
      </w:pPr>
      <w:r>
        <w:rPr>
          <w:rFonts w:hint="eastAsia" w:ascii="仿宋_GB2312" w:hAnsi="楷体"/>
          <w:sz w:val="32"/>
          <w:szCs w:val="32"/>
          <w:lang w:eastAsia="zh-CN"/>
        </w:rPr>
        <w:t>绩效目标已经</w:t>
      </w:r>
      <w:r>
        <w:rPr>
          <w:rFonts w:hint="eastAsia" w:ascii="仿宋_GB2312" w:hAnsi="楷体"/>
          <w:sz w:val="32"/>
          <w:szCs w:val="32"/>
        </w:rPr>
        <w:t>完成，</w:t>
      </w:r>
      <w:r>
        <w:rPr>
          <w:rStyle w:val="10"/>
          <w:rFonts w:hint="eastAsia" w:cs="Times New Roman"/>
          <w:kern w:val="2"/>
          <w:sz w:val="32"/>
          <w:szCs w:val="32"/>
          <w:lang w:val="en-US" w:eastAsia="zh-CN" w:bidi="ar-SA"/>
        </w:rPr>
        <w:t>保障了</w:t>
      </w:r>
      <w:r>
        <w:rPr>
          <w:rFonts w:hint="eastAsia" w:cs="Times New Roman"/>
          <w:sz w:val="32"/>
          <w:szCs w:val="32"/>
          <w:lang w:eastAsia="zh-CN"/>
        </w:rPr>
        <w:t>棚改项目报批工作顺利推进</w:t>
      </w:r>
      <w:r>
        <w:rPr>
          <w:rFonts w:hint="default" w:ascii="Times New Roman" w:hAnsi="Times New Roman" w:cs="Times New Roman"/>
          <w:sz w:val="32"/>
          <w:szCs w:val="32"/>
          <w:lang w:eastAsia="zh-CN"/>
        </w:rPr>
        <w:t>。</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keepNext w:val="0"/>
        <w:keepLines w:val="0"/>
        <w:pageBreakBefore w:val="0"/>
        <w:kinsoku/>
        <w:wordWrap/>
        <w:overflowPunct/>
        <w:topLinePunct/>
        <w:bidi w:val="0"/>
        <w:spacing w:line="440" w:lineRule="exact"/>
        <w:ind w:left="0" w:leftChars="0" w:right="0" w:rightChars="0" w:firstLine="800" w:firstLineChars="25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1.绩效评价原则。包括科学规范、公开公正、绩效相关等原则。</w:t>
      </w:r>
    </w:p>
    <w:p>
      <w:pPr>
        <w:keepNext w:val="0"/>
        <w:keepLines w:val="0"/>
        <w:pageBreakBefore w:val="0"/>
        <w:kinsoku/>
        <w:wordWrap/>
        <w:overflowPunct/>
        <w:topLinePunct/>
        <w:bidi w:val="0"/>
        <w:spacing w:line="440" w:lineRule="exact"/>
        <w:ind w:left="0" w:leftChars="0" w:right="0" w:rightChars="0" w:firstLine="800" w:firstLineChars="25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2.绩效评价方法。包括指标评价、数据采集和社会调查中所采用的方法。</w:t>
      </w:r>
    </w:p>
    <w:p>
      <w:pPr>
        <w:keepNext w:val="0"/>
        <w:keepLines w:val="0"/>
        <w:pageBreakBefore w:val="0"/>
        <w:kinsoku/>
        <w:wordWrap/>
        <w:overflowPunct/>
        <w:topLinePunct/>
        <w:bidi w:val="0"/>
        <w:spacing w:line="440" w:lineRule="exact"/>
        <w:ind w:left="0" w:leftChars="0" w:right="0" w:rightChars="0" w:firstLine="800" w:firstLineChars="25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三、评价结论</w:t>
      </w:r>
    </w:p>
    <w:p>
      <w:pPr>
        <w:keepNext w:val="0"/>
        <w:keepLines w:val="0"/>
        <w:pageBreakBefore w:val="0"/>
        <w:kinsoku/>
        <w:wordWrap/>
        <w:overflowPunct/>
        <w:topLinePunct/>
        <w:bidi w:val="0"/>
        <w:spacing w:line="440" w:lineRule="exact"/>
        <w:ind w:left="0" w:leftChars="0" w:right="0" w:rightChars="0" w:firstLine="800" w:firstLineChars="25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（一）评价结果。</w:t>
      </w:r>
    </w:p>
    <w:p>
      <w:pPr>
        <w:topLinePunct/>
        <w:spacing w:line="540" w:lineRule="exact"/>
        <w:ind w:firstLine="800" w:firstLineChars="250"/>
        <w:rPr>
          <w:rFonts w:hint="eastAsia" w:ascii="仿宋" w:hAnsi="仿宋" w:eastAsia="仿宋" w:cs="仿宋"/>
          <w:b w:val="0"/>
          <w:bCs w:val="0"/>
          <w:sz w:val="32"/>
          <w:szCs w:val="32"/>
          <w:lang w:eastAsia="zh-CN"/>
        </w:rPr>
      </w:pPr>
      <w:r>
        <w:rPr>
          <w:rFonts w:hint="eastAsia" w:ascii="仿宋" w:hAnsi="仿宋" w:eastAsia="仿宋" w:cs="仿宋"/>
          <w:szCs w:val="32"/>
          <w:lang w:eastAsia="zh-CN"/>
        </w:rPr>
        <w:t>各项年度相关目标已完成，无违反规定支付相关费用的情况，财政资金的支出已取得较好的经济及社会效益。</w:t>
      </w:r>
      <w:r>
        <w:rPr>
          <w:rFonts w:hint="eastAsia" w:ascii="仿宋" w:hAnsi="仿宋" w:eastAsia="仿宋" w:cs="仿宋"/>
          <w:b w:val="0"/>
          <w:bCs w:val="0"/>
          <w:sz w:val="32"/>
          <w:szCs w:val="32"/>
        </w:rPr>
        <w:t>评价小组根据评价指标体系进行了量化考核</w:t>
      </w:r>
      <w:r>
        <w:rPr>
          <w:rFonts w:hint="eastAsia" w:ascii="仿宋" w:hAnsi="仿宋" w:eastAsia="仿宋" w:cs="仿宋"/>
          <w:b w:val="0"/>
          <w:bCs w:val="0"/>
          <w:sz w:val="32"/>
          <w:szCs w:val="32"/>
          <w:lang w:eastAsia="zh-CN"/>
        </w:rPr>
        <w:t>。</w:t>
      </w:r>
    </w:p>
    <w:p>
      <w:pPr>
        <w:topLinePunct/>
        <w:spacing w:line="540" w:lineRule="exact"/>
        <w:ind w:firstLine="800" w:firstLineChars="250"/>
        <w:rPr>
          <w:rFonts w:ascii="仿宋_GB2312" w:hAnsi="仿宋"/>
          <w:szCs w:val="32"/>
        </w:rPr>
      </w:pPr>
      <w:r>
        <w:rPr>
          <w:rFonts w:hint="eastAsia" w:ascii="仿宋_GB2312" w:hAnsi="仿宋"/>
          <w:szCs w:val="32"/>
        </w:rPr>
        <w:t>（二）主要绩效。</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仿宋_GB2312" w:cs="Times New Roman"/>
          <w:szCs w:val="32"/>
          <w:lang w:val="en-US" w:eastAsia="zh-CN"/>
        </w:rPr>
      </w:pPr>
      <w:r>
        <w:rPr>
          <w:rFonts w:hint="eastAsia" w:ascii="仿宋_GB2312" w:hAnsi="楷体"/>
          <w:sz w:val="32"/>
          <w:szCs w:val="32"/>
          <w:lang w:eastAsia="zh-CN"/>
        </w:rPr>
        <w:t>项目</w:t>
      </w:r>
      <w:r>
        <w:rPr>
          <w:rFonts w:hint="eastAsia" w:cs="Times New Roman"/>
          <w:sz w:val="32"/>
          <w:szCs w:val="32"/>
          <w:lang w:eastAsia="zh-CN"/>
        </w:rPr>
        <w:t>已取得</w:t>
      </w:r>
      <w:r>
        <w:rPr>
          <w:rFonts w:hint="default" w:ascii="Times New Roman" w:hAnsi="Times New Roman" w:eastAsia="仿宋_GB2312" w:cs="Times New Roman"/>
          <w:sz w:val="32"/>
          <w:szCs w:val="32"/>
          <w:lang w:eastAsia="zh-CN"/>
        </w:rPr>
        <w:t>《</w:t>
      </w:r>
      <w:r>
        <w:rPr>
          <w:rFonts w:hint="eastAsia" w:cs="Times New Roman"/>
          <w:sz w:val="32"/>
          <w:szCs w:val="32"/>
          <w:lang w:eastAsia="zh-CN"/>
        </w:rPr>
        <w:t>昆明市人民政府关于</w:t>
      </w:r>
      <w:r>
        <w:rPr>
          <w:rStyle w:val="10"/>
          <w:rFonts w:hint="default" w:ascii="Times New Roman" w:hAnsi="Times New Roman" w:eastAsia="仿宋_GB2312" w:cs="Times New Roman"/>
          <w:kern w:val="2"/>
          <w:sz w:val="32"/>
          <w:szCs w:val="32"/>
          <w:lang w:val="en-US" w:eastAsia="zh-CN" w:bidi="ar-SA"/>
        </w:rPr>
        <w:t>富民县2019年度第一批城镇建设</w:t>
      </w:r>
      <w:bookmarkStart w:id="0" w:name="_GoBack"/>
      <w:r>
        <w:rPr>
          <w:rStyle w:val="10"/>
          <w:rFonts w:hint="eastAsia" w:cs="Times New Roman"/>
          <w:kern w:val="2"/>
          <w:sz w:val="32"/>
          <w:szCs w:val="32"/>
          <w:lang w:val="en-US" w:eastAsia="zh-CN" w:bidi="ar-SA"/>
        </w:rPr>
        <w:t>农</w:t>
      </w:r>
      <w:bookmarkEnd w:id="0"/>
      <w:r>
        <w:rPr>
          <w:rStyle w:val="10"/>
          <w:rFonts w:hint="default" w:ascii="Times New Roman" w:hAnsi="Times New Roman" w:eastAsia="仿宋_GB2312" w:cs="Times New Roman"/>
          <w:kern w:val="2"/>
          <w:sz w:val="32"/>
          <w:szCs w:val="32"/>
          <w:lang w:val="en-US" w:eastAsia="zh-CN" w:bidi="ar-SA"/>
        </w:rPr>
        <w:t>用地</w:t>
      </w:r>
      <w:r>
        <w:rPr>
          <w:rStyle w:val="10"/>
          <w:rFonts w:hint="eastAsia" w:cs="Times New Roman"/>
          <w:kern w:val="2"/>
          <w:sz w:val="32"/>
          <w:szCs w:val="32"/>
          <w:lang w:val="en-US" w:eastAsia="zh-CN" w:bidi="ar-SA"/>
        </w:rPr>
        <w:t>转用及征收的批复</w:t>
      </w:r>
      <w:r>
        <w:rPr>
          <w:rStyle w:val="10"/>
          <w:rFonts w:hint="default" w:ascii="Times New Roman" w:hAnsi="Times New Roman" w:eastAsia="仿宋_GB2312" w:cs="Times New Roman"/>
          <w:kern w:val="2"/>
          <w:sz w:val="32"/>
          <w:szCs w:val="32"/>
          <w:lang w:val="en-US" w:eastAsia="zh-CN" w:bidi="ar-SA"/>
        </w:rPr>
        <w:t>》</w:t>
      </w:r>
      <w:r>
        <w:rPr>
          <w:rStyle w:val="10"/>
          <w:rFonts w:hint="eastAsia" w:cs="Times New Roman"/>
          <w:kern w:val="2"/>
          <w:sz w:val="32"/>
          <w:szCs w:val="32"/>
          <w:lang w:val="en-US" w:eastAsia="zh-CN" w:bidi="ar-SA"/>
        </w:rPr>
        <w:t>。</w:t>
      </w:r>
    </w:p>
    <w:p>
      <w:pPr>
        <w:keepNext w:val="0"/>
        <w:keepLines w:val="0"/>
        <w:pageBreakBefore w:val="0"/>
        <w:widowControl w:val="0"/>
        <w:numPr>
          <w:numId w:val="0"/>
        </w:numPr>
        <w:kinsoku/>
        <w:wordWrap/>
        <w:overflowPunct/>
        <w:topLinePunct/>
        <w:autoSpaceDE/>
        <w:autoSpaceDN/>
        <w:bidi w:val="0"/>
        <w:spacing w:line="600" w:lineRule="exact"/>
        <w:ind w:firstLine="960" w:firstLineChars="300"/>
        <w:textAlignment w:val="auto"/>
        <w:rPr>
          <w:rFonts w:hint="default" w:ascii="Times New Roman" w:hAnsi="Times New Roman" w:eastAsia="黑体" w:cs="Times New Roman"/>
          <w:szCs w:val="32"/>
        </w:rPr>
      </w:pPr>
      <w:r>
        <w:rPr>
          <w:rFonts w:hint="eastAsia" w:eastAsia="黑体" w:cs="Times New Roman"/>
          <w:szCs w:val="32"/>
          <w:lang w:eastAsia="zh-CN"/>
        </w:rPr>
        <w:t>四、</w:t>
      </w:r>
      <w:r>
        <w:rPr>
          <w:rFonts w:hint="default" w:ascii="Times New Roman" w:hAnsi="Times New Roman" w:eastAsia="黑体" w:cs="Times New Roman"/>
          <w:szCs w:val="32"/>
        </w:rPr>
        <w:t>成本效益分析</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黑体" w:cs="Times New Roman"/>
          <w:szCs w:val="32"/>
        </w:rPr>
      </w:pPr>
      <w:r>
        <w:rPr>
          <w:rStyle w:val="10"/>
          <w:rFonts w:hint="default" w:ascii="Times New Roman" w:hAnsi="Times New Roman" w:eastAsia="仿宋_GB2312" w:cs="Times New Roman"/>
          <w:kern w:val="2"/>
          <w:sz w:val="32"/>
          <w:szCs w:val="32"/>
          <w:lang w:val="en-US" w:eastAsia="zh-CN" w:bidi="ar-SA"/>
        </w:rPr>
        <w:t>失地农民社会保障金和新增建设用地土地有偿使用费缴入市级专户</w:t>
      </w:r>
      <w:r>
        <w:rPr>
          <w:rStyle w:val="10"/>
          <w:rFonts w:hint="default" w:ascii="Times New Roman" w:hAnsi="Times New Roman" w:cs="Times New Roman"/>
          <w:kern w:val="2"/>
          <w:sz w:val="32"/>
          <w:szCs w:val="32"/>
          <w:lang w:val="en-US" w:eastAsia="zh-CN" w:bidi="ar-SA"/>
        </w:rPr>
        <w:t>后，</w:t>
      </w:r>
      <w:r>
        <w:rPr>
          <w:rFonts w:hint="eastAsia" w:cs="Times New Roman"/>
          <w:sz w:val="32"/>
          <w:szCs w:val="32"/>
          <w:lang w:eastAsia="zh-CN"/>
        </w:rPr>
        <w:t>已取得</w:t>
      </w:r>
      <w:r>
        <w:rPr>
          <w:rFonts w:hint="default" w:ascii="Times New Roman" w:hAnsi="Times New Roman" w:eastAsia="仿宋_GB2312" w:cs="Times New Roman"/>
          <w:sz w:val="32"/>
          <w:szCs w:val="32"/>
          <w:lang w:eastAsia="zh-CN"/>
        </w:rPr>
        <w:t>《</w:t>
      </w:r>
      <w:r>
        <w:rPr>
          <w:rFonts w:hint="eastAsia" w:cs="Times New Roman"/>
          <w:sz w:val="32"/>
          <w:szCs w:val="32"/>
          <w:lang w:eastAsia="zh-CN"/>
        </w:rPr>
        <w:t>昆明市人民政府关于</w:t>
      </w:r>
      <w:r>
        <w:rPr>
          <w:rStyle w:val="10"/>
          <w:rFonts w:hint="default" w:ascii="Times New Roman" w:hAnsi="Times New Roman" w:eastAsia="仿宋_GB2312" w:cs="Times New Roman"/>
          <w:kern w:val="2"/>
          <w:sz w:val="32"/>
          <w:szCs w:val="32"/>
          <w:lang w:val="en-US" w:eastAsia="zh-CN" w:bidi="ar-SA"/>
        </w:rPr>
        <w:t>富民县2019年度第一批城镇建设</w:t>
      </w:r>
      <w:r>
        <w:rPr>
          <w:rStyle w:val="10"/>
          <w:rFonts w:hint="eastAsia" w:cs="Times New Roman"/>
          <w:kern w:val="2"/>
          <w:sz w:val="32"/>
          <w:szCs w:val="32"/>
          <w:lang w:val="en-US" w:eastAsia="zh-CN" w:bidi="ar-SA"/>
        </w:rPr>
        <w:t>农</w:t>
      </w:r>
      <w:r>
        <w:rPr>
          <w:rStyle w:val="10"/>
          <w:rFonts w:hint="default" w:ascii="Times New Roman" w:hAnsi="Times New Roman" w:eastAsia="仿宋_GB2312" w:cs="Times New Roman"/>
          <w:kern w:val="2"/>
          <w:sz w:val="32"/>
          <w:szCs w:val="32"/>
          <w:lang w:val="en-US" w:eastAsia="zh-CN" w:bidi="ar-SA"/>
        </w:rPr>
        <w:t>用地</w:t>
      </w:r>
      <w:r>
        <w:rPr>
          <w:rStyle w:val="10"/>
          <w:rFonts w:hint="eastAsia" w:cs="Times New Roman"/>
          <w:kern w:val="2"/>
          <w:sz w:val="32"/>
          <w:szCs w:val="32"/>
          <w:lang w:val="en-US" w:eastAsia="zh-CN" w:bidi="ar-SA"/>
        </w:rPr>
        <w:t>转用及征收的批复</w:t>
      </w:r>
      <w:r>
        <w:rPr>
          <w:rStyle w:val="10"/>
          <w:rFonts w:hint="default" w:ascii="Times New Roman" w:hAnsi="Times New Roman" w:eastAsia="仿宋_GB2312" w:cs="Times New Roman"/>
          <w:kern w:val="2"/>
          <w:sz w:val="32"/>
          <w:szCs w:val="32"/>
          <w:lang w:val="en-US" w:eastAsia="zh-CN" w:bidi="ar-SA"/>
        </w:rPr>
        <w:t>》</w:t>
      </w:r>
      <w:r>
        <w:rPr>
          <w:rStyle w:val="10"/>
          <w:rFonts w:hint="eastAsia" w:cs="Times New Roman"/>
          <w:kern w:val="2"/>
          <w:sz w:val="32"/>
          <w:szCs w:val="32"/>
          <w:lang w:val="en-US" w:eastAsia="zh-CN" w:bidi="ar-SA"/>
        </w:rPr>
        <w:t>，保障了</w:t>
      </w:r>
      <w:r>
        <w:rPr>
          <w:rFonts w:hint="eastAsia" w:cs="Times New Roman"/>
          <w:szCs w:val="32"/>
          <w:lang w:eastAsia="zh-CN"/>
        </w:rPr>
        <w:t>棚改项目征收工作顺利推进</w:t>
      </w:r>
      <w:r>
        <w:rPr>
          <w:rFonts w:hint="default" w:ascii="Times New Roman" w:hAnsi="Times New Roman" w:cs="Times New Roman"/>
          <w:szCs w:val="32"/>
          <w:lang w:eastAsia="zh-CN"/>
        </w:rPr>
        <w:t>。</w:t>
      </w:r>
    </w:p>
    <w:p>
      <w:pPr>
        <w:keepNext w:val="0"/>
        <w:keepLines w:val="0"/>
        <w:pageBreakBefore w:val="0"/>
        <w:widowControl w:val="0"/>
        <w:numPr>
          <w:numId w:val="0"/>
        </w:numPr>
        <w:kinsoku/>
        <w:wordWrap/>
        <w:overflowPunct/>
        <w:topLinePunct/>
        <w:autoSpaceDE/>
        <w:autoSpaceDN/>
        <w:bidi w:val="0"/>
        <w:spacing w:line="600" w:lineRule="exact"/>
        <w:ind w:firstLine="640" w:firstLineChars="200"/>
        <w:textAlignment w:val="auto"/>
        <w:rPr>
          <w:rFonts w:hint="default" w:ascii="Times New Roman" w:hAnsi="Times New Roman" w:eastAsia="黑体" w:cs="Times New Roman"/>
          <w:szCs w:val="32"/>
        </w:rPr>
      </w:pPr>
      <w:r>
        <w:rPr>
          <w:rFonts w:hint="eastAsia" w:eastAsia="黑体" w:cs="Times New Roman"/>
          <w:szCs w:val="32"/>
          <w:lang w:eastAsia="zh-CN"/>
        </w:rPr>
        <w:t>五、</w:t>
      </w:r>
      <w:r>
        <w:rPr>
          <w:rFonts w:hint="default" w:ascii="Times New Roman" w:hAnsi="Times New Roman" w:eastAsia="黑体" w:cs="Times New Roman"/>
          <w:szCs w:val="32"/>
        </w:rPr>
        <w:t>主要经验及做法</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szCs w:val="32"/>
          <w:lang w:eastAsia="zh-CN"/>
        </w:rPr>
        <w:t>积极加强与各部门的对接，</w:t>
      </w:r>
      <w:r>
        <w:rPr>
          <w:rFonts w:hint="eastAsia" w:ascii="仿宋_GB2312" w:hAnsi="仿宋_GB2312" w:eastAsia="仿宋_GB2312" w:cs="仿宋_GB2312"/>
          <w:szCs w:val="32"/>
          <w:lang w:eastAsia="zh-CN"/>
        </w:rPr>
        <w:t>做好</w:t>
      </w:r>
      <w:r>
        <w:rPr>
          <w:rFonts w:hint="eastAsia" w:ascii="仿宋_GB2312" w:hAnsi="仿宋_GB2312" w:cs="仿宋_GB2312"/>
          <w:szCs w:val="32"/>
          <w:lang w:eastAsia="zh-CN"/>
        </w:rPr>
        <w:t>资金拨付的各项</w:t>
      </w:r>
      <w:r>
        <w:rPr>
          <w:rFonts w:hint="eastAsia" w:ascii="仿宋_GB2312" w:hAnsi="仿宋_GB2312" w:eastAsia="仿宋_GB2312" w:cs="仿宋_GB2312"/>
          <w:szCs w:val="32"/>
          <w:lang w:eastAsia="zh-CN"/>
        </w:rPr>
        <w:t>准备工作。</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p>
    <w:tbl>
      <w:tblPr>
        <w:tblStyle w:val="6"/>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rHeight w:val="642" w:hRule="atLeast"/>
          <w:tblHeader/>
          <w:jc w:val="center"/>
        </w:trPr>
        <w:tc>
          <w:tcPr>
            <w:tcW w:w="9174" w:type="dxa"/>
            <w:gridSpan w:val="8"/>
            <w:tcBorders>
              <w:bottom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afterLines="50" w:line="600" w:lineRule="exact"/>
              <w:jc w:val="center"/>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Cs/>
                <w:sz w:val="36"/>
                <w:szCs w:val="36"/>
              </w:rPr>
              <w:t>201</w:t>
            </w:r>
            <w:r>
              <w:rPr>
                <w:rFonts w:hint="default" w:ascii="Times New Roman" w:hAnsi="Times New Roman" w:eastAsia="黑体" w:cs="Times New Roman"/>
                <w:bCs/>
                <w:sz w:val="36"/>
                <w:szCs w:val="36"/>
                <w:lang w:val="en-US" w:eastAsia="zh-CN"/>
              </w:rPr>
              <w:t>9</w:t>
            </w:r>
            <w:r>
              <w:rPr>
                <w:rFonts w:hint="default" w:ascii="Times New Roman" w:hAnsi="Times New Roman" w:eastAsia="黑体" w:cs="Times New Roman"/>
                <w:bCs/>
                <w:sz w:val="36"/>
                <w:szCs w:val="36"/>
              </w:rPr>
              <w:t>年项目支出绩效自评指标评分表</w:t>
            </w: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一级</w:t>
            </w:r>
            <w:r>
              <w:rPr>
                <w:rFonts w:hint="default" w:ascii="Times New Roman" w:hAnsi="Times New Roman" w:cs="Times New Roman"/>
                <w:bCs/>
                <w:sz w:val="21"/>
                <w:szCs w:val="21"/>
              </w:rPr>
              <w:br w:type="textWrapping"/>
            </w:r>
            <w:r>
              <w:rPr>
                <w:rFonts w:hint="default" w:ascii="Times New Roman" w:hAnsi="Times New Roman" w:cs="Times New Roman"/>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二级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三级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keepNext w:val="0"/>
              <w:keepLines w:val="0"/>
              <w:pageBreakBefore w:val="0"/>
              <w:widowControl w:val="0"/>
              <w:kinsoku/>
              <w:wordWrap/>
              <w:overflowPunct/>
              <w:topLinePunct w:val="0"/>
              <w:autoSpaceDE/>
              <w:autoSpaceDN/>
              <w:bidi w:val="0"/>
              <w:adjustRightInd/>
              <w:snapToGrid/>
              <w:spacing w:line="240" w:lineRule="exact"/>
              <w:ind w:left="113" w:right="113"/>
              <w:jc w:val="center"/>
              <w:textAlignment w:val="auto"/>
              <w:rPr>
                <w:rFonts w:hint="default" w:ascii="Times New Roman" w:hAnsi="Times New Roman" w:cs="Times New Roman"/>
                <w:sz w:val="15"/>
                <w:szCs w:val="15"/>
              </w:rPr>
            </w:pPr>
            <w:r>
              <w:rPr>
                <w:rFonts w:hint="default" w:ascii="Times New Roman" w:hAnsi="Times New Roman" w:cs="Times New Roman"/>
                <w:sz w:val="15"/>
                <w:szCs w:val="15"/>
              </w:rPr>
              <w:t>一、项目决策（20分）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1项目立项(10)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1.与部门中长期规划目标适应性。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4</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val="en-US" w:eastAsia="zh-CN"/>
              </w:rPr>
            </w:pPr>
            <w:r>
              <w:rPr>
                <w:rFonts w:hint="eastAsia" w:cs="Times New Roman"/>
                <w:sz w:val="18"/>
                <w:szCs w:val="18"/>
                <w:lang w:val="en-US" w:eastAsia="zh-CN"/>
              </w:rPr>
              <w:t>4</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考察项目与部门中长期目标是否匹配。</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①部门年度工作目标是否明确设定，得2分；②年度工作目标与部门中长期规划目标一致，得2分。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2.立项依据充分性。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cs="Times New Roman"/>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考察项目是否符合政府相关发展规划和政府决策</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符合，得满分；不符合，不得分。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3.项目立项规范性。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考察项目是否与部门职责密切相关。</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2项目目标(10)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1.绩效目标设定的合理性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考察设定的绩效目标是是否与事业发展规划相关；是否完整地反应预期产出和效果；是否与年度预算相匹配。</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2.绩效指标设定的明确性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考察是否将绩效目标细化分解为清晰、可衡量的绩效指标；是否与年度工作任务相对应。</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keepNext w:val="0"/>
              <w:keepLines w:val="0"/>
              <w:pageBreakBefore w:val="0"/>
              <w:widowControl w:val="0"/>
              <w:kinsoku/>
              <w:wordWrap/>
              <w:overflowPunct/>
              <w:topLinePunct w:val="0"/>
              <w:autoSpaceDE/>
              <w:autoSpaceDN/>
              <w:bidi w:val="0"/>
              <w:adjustRightInd/>
              <w:snapToGrid/>
              <w:spacing w:line="240" w:lineRule="exact"/>
              <w:ind w:left="113" w:right="113"/>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二、项目管理（20分）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8"/>
                <w:szCs w:val="18"/>
              </w:rPr>
            </w:pPr>
            <w:r>
              <w:rPr>
                <w:rFonts w:hint="default" w:ascii="Times New Roman" w:hAnsi="Times New Roman" w:cs="Times New Roman"/>
                <w:sz w:val="15"/>
                <w:szCs w:val="15"/>
              </w:rPr>
              <w:t>1投入管理（4）</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1.预算编制合理性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考察预算编制是否充分、合理，预计项目支出是否完整反应。</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合理得满分；存在一项不合理，扣0.5分，扣完为止。</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2.预算执行率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考察项目预算执行的进度。预算执行率=实际支出金额/项目预算金额×100%</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预算执行率95%以上，得满分；低于95%，每下降1%扣权重的1%；预算执行率60%以下，不计分。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2.财务管理（6）</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1.资金使用情况</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考察项目资金使用是否符合预算批复的用途，是否存在截留、挤占、挪用、虚列支出等情况。</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合规，得满分；存在一项不合规，扣1分，扣完为止。</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2.财务管理制度健全性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考察项目的财务制度是否健全、完善、有效。</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3.项目实施（10）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1.项目管理制度健全性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项目实施单位为保障项目顺利实施制订的与项目直接相关的业务管理制度是否健全、完善和有效。</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制订制度或采取措施，得满分；制度不完善或措施不明确，得权重的60%；没有相关制度或措施，不得分。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2.项目管理制度执行有效性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考察项目实施单位制订的管理制度是否有效执行。</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有效执行，得满分；部分执行，得权重的60%；未执行，不得分。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13" w:right="113"/>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三、项目绩效（60分）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1.项目产出（30分</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1.数量指标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8</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8</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根据该项目实际，考察产出数量的实际完成情况。</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对照绩效目标，按实际产出数量和计划产出数计算得分。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2.质量指标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8</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8</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根据该项目实际，考察项目质量应达到的行业标准。</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对照绩效目标、行业标准计算得分。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3.时效指标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根据该项目实际，考察项目的实际完成时间。</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对照绩效目标、按项目的实际完成时间和计划完成时间计算得分。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4.成本指标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根据该项目实际，考察项目总成本和单项成本。</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照绩效目标、按项目的实际成本和计划成本计算得分。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2.项目效益（30分）</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1.经济效益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根据项目实际，考察项目所产生的直接或间接的经济效益。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对照绩效目标，按经济效益实现程度计算得分。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2.社会效益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20</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根据项目实际，考察项目所产生的社会效益效益。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对照绩效目标，按社会效益实现程度计算得分。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3.生态效益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根据项目实际，考察项目所产生的直接或间接的生态效益。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对照绩效目标，按生态效益实现程度计算得分。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4.服务对象满意度</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3</w:t>
            </w:r>
          </w:p>
        </w:tc>
        <w:tc>
          <w:tcPr>
            <w:tcW w:w="2268" w:type="dxa"/>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服务对象对项目实施的满意程度。</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kern w:val="0"/>
                <w:sz w:val="15"/>
                <w:szCs w:val="15"/>
              </w:rPr>
              <w:t>按收集到的服务对象的满意率计算得分。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合  计</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100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lang w:val="en-US"/>
              </w:rPr>
            </w:pPr>
            <w:r>
              <w:rPr>
                <w:rFonts w:hint="eastAsia" w:cs="Times New Roman"/>
                <w:sz w:val="18"/>
                <w:szCs w:val="18"/>
                <w:lang w:val="en-US" w:eastAsia="zh-CN"/>
              </w:rPr>
              <w:t>100</w:t>
            </w:r>
          </w:p>
        </w:tc>
        <w:tc>
          <w:tcPr>
            <w:tcW w:w="576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评价等次：实际得分（S）≥90,优秀；90＞S≥80,良好；80＞S≥60,合格；S＜60，不合格。</w:t>
            </w:r>
          </w:p>
        </w:tc>
      </w:tr>
    </w:tbl>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Cs/>
          <w:sz w:val="36"/>
          <w:szCs w:val="36"/>
        </w:rPr>
      </w:pPr>
    </w:p>
    <w:p>
      <w:pPr>
        <w:keepNext w:val="0"/>
        <w:keepLines w:val="0"/>
        <w:pageBreakBefore w:val="0"/>
        <w:widowControl w:val="0"/>
        <w:kinsoku/>
        <w:wordWrap/>
        <w:overflowPunct/>
        <w:autoSpaceDE/>
        <w:autoSpaceDN/>
        <w:bidi w:val="0"/>
        <w:spacing w:line="560" w:lineRule="exact"/>
        <w:jc w:val="center"/>
        <w:textAlignment w:val="auto"/>
        <w:rPr>
          <w:rFonts w:hint="default" w:ascii="Times New Roman" w:hAnsi="Times New Roman" w:eastAsia="黑体" w:cs="Times New Roman"/>
          <w:bCs/>
          <w:sz w:val="36"/>
          <w:szCs w:val="36"/>
        </w:rPr>
      </w:pPr>
    </w:p>
    <w:p>
      <w:pPr>
        <w:keepNext w:val="0"/>
        <w:keepLines w:val="0"/>
        <w:pageBreakBefore w:val="0"/>
        <w:widowControl w:val="0"/>
        <w:kinsoku/>
        <w:wordWrap/>
        <w:overflowPunct/>
        <w:autoSpaceDE/>
        <w:autoSpaceDN/>
        <w:bidi w:val="0"/>
        <w:spacing w:line="560" w:lineRule="exact"/>
        <w:jc w:val="center"/>
        <w:textAlignment w:val="auto"/>
        <w:rPr>
          <w:rFonts w:hint="default" w:ascii="Times New Roman" w:hAnsi="Times New Roman" w:eastAsia="黑体" w:cs="Times New Roman"/>
          <w:bCs/>
          <w:sz w:val="36"/>
          <w:szCs w:val="36"/>
        </w:rPr>
      </w:pPr>
    </w:p>
    <w:p>
      <w:pPr>
        <w:keepNext w:val="0"/>
        <w:keepLines w:val="0"/>
        <w:pageBreakBefore w:val="0"/>
        <w:widowControl w:val="0"/>
        <w:kinsoku/>
        <w:wordWrap/>
        <w:overflowPunct/>
        <w:autoSpaceDE/>
        <w:autoSpaceDN/>
        <w:bidi w:val="0"/>
        <w:spacing w:line="560" w:lineRule="exact"/>
        <w:jc w:val="center"/>
        <w:textAlignment w:val="auto"/>
        <w:rPr>
          <w:rFonts w:hint="default" w:ascii="Times New Roman" w:hAnsi="Times New Roman" w:eastAsia="黑体" w:cs="Times New Roman"/>
          <w:bCs/>
          <w:sz w:val="36"/>
          <w:szCs w:val="36"/>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B7B2D4"/>
    <w:multiLevelType w:val="singleLevel"/>
    <w:tmpl w:val="ADB7B2D4"/>
    <w:lvl w:ilvl="0" w:tentative="0">
      <w:start w:val="2"/>
      <w:numFmt w:val="decimal"/>
      <w:lvlText w:val="%1."/>
      <w:lvlJc w:val="left"/>
      <w:pPr>
        <w:tabs>
          <w:tab w:val="left" w:pos="312"/>
        </w:tabs>
      </w:pPr>
    </w:lvl>
  </w:abstractNum>
  <w:abstractNum w:abstractNumId="1">
    <w:nsid w:val="36991750"/>
    <w:multiLevelType w:val="singleLevel"/>
    <w:tmpl w:val="3699175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A2E4C"/>
    <w:rsid w:val="000D37FE"/>
    <w:rsid w:val="000F16B4"/>
    <w:rsid w:val="001104B7"/>
    <w:rsid w:val="00175AAC"/>
    <w:rsid w:val="00197507"/>
    <w:rsid w:val="001C5DCB"/>
    <w:rsid w:val="00246DAD"/>
    <w:rsid w:val="0025715A"/>
    <w:rsid w:val="002C1657"/>
    <w:rsid w:val="002E3518"/>
    <w:rsid w:val="003033E4"/>
    <w:rsid w:val="00341940"/>
    <w:rsid w:val="00364740"/>
    <w:rsid w:val="003C2470"/>
    <w:rsid w:val="003D7DDC"/>
    <w:rsid w:val="003E1CE8"/>
    <w:rsid w:val="004404E8"/>
    <w:rsid w:val="004E1CFF"/>
    <w:rsid w:val="0059730F"/>
    <w:rsid w:val="005B6DCE"/>
    <w:rsid w:val="005C4EBC"/>
    <w:rsid w:val="0068776A"/>
    <w:rsid w:val="006B646E"/>
    <w:rsid w:val="006C69CD"/>
    <w:rsid w:val="007A2AEE"/>
    <w:rsid w:val="007B15FD"/>
    <w:rsid w:val="008200F2"/>
    <w:rsid w:val="00825412"/>
    <w:rsid w:val="008429E3"/>
    <w:rsid w:val="008C67AB"/>
    <w:rsid w:val="008D1B0B"/>
    <w:rsid w:val="00907C08"/>
    <w:rsid w:val="00991C6C"/>
    <w:rsid w:val="00993DEC"/>
    <w:rsid w:val="009A7C71"/>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B8D"/>
    <w:rsid w:val="00DA414F"/>
    <w:rsid w:val="00DB73D0"/>
    <w:rsid w:val="00DF5C8E"/>
    <w:rsid w:val="00E07C05"/>
    <w:rsid w:val="00E30C53"/>
    <w:rsid w:val="00E560DB"/>
    <w:rsid w:val="00EA0572"/>
    <w:rsid w:val="00EA3D4A"/>
    <w:rsid w:val="00EC1DA5"/>
    <w:rsid w:val="00EF279E"/>
    <w:rsid w:val="00F3308E"/>
    <w:rsid w:val="00FA1C86"/>
    <w:rsid w:val="00FA1DD3"/>
    <w:rsid w:val="00FF23ED"/>
    <w:rsid w:val="00FF7E55"/>
    <w:rsid w:val="04272627"/>
    <w:rsid w:val="08AE0A94"/>
    <w:rsid w:val="094D4CDB"/>
    <w:rsid w:val="13217F76"/>
    <w:rsid w:val="1AB927E7"/>
    <w:rsid w:val="1B0768C2"/>
    <w:rsid w:val="1F401679"/>
    <w:rsid w:val="222F4AA9"/>
    <w:rsid w:val="2A3D1ED4"/>
    <w:rsid w:val="3024232B"/>
    <w:rsid w:val="30C73F27"/>
    <w:rsid w:val="357F6768"/>
    <w:rsid w:val="37A8535D"/>
    <w:rsid w:val="38585107"/>
    <w:rsid w:val="3A6022CF"/>
    <w:rsid w:val="3C3B70A2"/>
    <w:rsid w:val="431D0B72"/>
    <w:rsid w:val="4F8D287C"/>
    <w:rsid w:val="5EDA003E"/>
    <w:rsid w:val="630019DF"/>
    <w:rsid w:val="65E81C44"/>
    <w:rsid w:val="77057E2E"/>
    <w:rsid w:val="77601573"/>
    <w:rsid w:val="7B4B7448"/>
    <w:rsid w:val="7C2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rPr>
      <w:rFonts w:ascii="仿宋_GB2312" w:hAnsi="Times New Roman" w:eastAsia="仿宋_GB2312"/>
      <w:sz w:val="30"/>
      <w:szCs w:val="24"/>
    </w:rPr>
  </w:style>
  <w:style w:type="paragraph" w:styleId="3">
    <w:name w:val="toc 5"/>
    <w:basedOn w:val="1"/>
    <w:next w:val="1"/>
    <w:unhideWhenUsed/>
    <w:qFormat/>
    <w:uiPriority w:val="39"/>
    <w:pPr>
      <w:spacing w:before="100" w:beforeAutospacing="1" w:after="100" w:afterAutospacing="1"/>
      <w:ind w:left="1680"/>
    </w:pPr>
    <w:rPr>
      <w:rFonts w:ascii="Calibri" w:hAnsi="Calibri" w:eastAsia="宋体" w:cs="Times New Roman"/>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kern w:val="2"/>
      <w:sz w:val="18"/>
      <w:szCs w:val="18"/>
    </w:rPr>
  </w:style>
  <w:style w:type="character" w:customStyle="1" w:styleId="9">
    <w:name w:val="页脚 Char"/>
    <w:basedOn w:val="7"/>
    <w:link w:val="4"/>
    <w:semiHidden/>
    <w:qFormat/>
    <w:uiPriority w:val="99"/>
    <w:rPr>
      <w:kern w:val="2"/>
      <w:sz w:val="18"/>
      <w:szCs w:val="18"/>
    </w:rPr>
  </w:style>
  <w:style w:type="character" w:customStyle="1" w:styleId="10">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4</Pages>
  <Words>372</Words>
  <Characters>2122</Characters>
  <Lines>17</Lines>
  <Paragraphs>4</Paragraphs>
  <TotalTime>0</TotalTime>
  <ScaleCrop>false</ScaleCrop>
  <LinksUpToDate>false</LinksUpToDate>
  <CharactersWithSpaces>2490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杨海丽-昆明富民</cp:lastModifiedBy>
  <cp:lastPrinted>2020-04-23T09:15:19Z</cp:lastPrinted>
  <dcterms:modified xsi:type="dcterms:W3CDTF">2020-04-23T09:16:49Z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