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eastAsia="方正小标宋简体"/>
          <w:sz w:val="44"/>
          <w:szCs w:val="44"/>
        </w:rPr>
      </w:pPr>
      <w:r>
        <w:rPr>
          <w:rFonts w:hint="eastAsia" w:ascii="Times New Roman" w:hAnsi="Times New Roman" w:eastAsia="方正小标宋简体" w:cs="Times New Roman"/>
          <w:sz w:val="44"/>
          <w:szCs w:val="44"/>
        </w:rPr>
        <w:t>螳螂川河道两侧污水未处理问题的</w:t>
      </w:r>
    </w:p>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eastAsia="方正小标宋简体"/>
          <w:sz w:val="44"/>
          <w:szCs w:val="44"/>
        </w:rPr>
      </w:pPr>
      <w:r>
        <w:rPr>
          <w:rFonts w:eastAsia="方正小标宋简体"/>
          <w:sz w:val="44"/>
          <w:szCs w:val="44"/>
        </w:rPr>
        <w:t>整改落实情况公示表</w:t>
      </w:r>
    </w:p>
    <w:tbl>
      <w:tblPr>
        <w:tblStyle w:val="4"/>
        <w:tblpPr w:leftFromText="180" w:rightFromText="180" w:vertAnchor="text" w:horzAnchor="page" w:tblpX="1486" w:tblpY="1087"/>
        <w:tblOverlap w:val="never"/>
        <w:tblW w:w="88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5"/>
        <w:gridCol w:w="7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1" w:hRule="atLeast"/>
        </w:trPr>
        <w:tc>
          <w:tcPr>
            <w:tcW w:w="1435" w:type="dxa"/>
            <w:noWrap w:val="0"/>
            <w:vAlign w:val="center"/>
          </w:tcPr>
          <w:p>
            <w:pPr>
              <w:keepNext w:val="0"/>
              <w:keepLines w:val="0"/>
              <w:pageBreakBefore w:val="0"/>
              <w:widowControl/>
              <w:kinsoku/>
              <w:wordWrap/>
              <w:topLinePunct w:val="0"/>
              <w:autoSpaceDE/>
              <w:autoSpaceDN/>
              <w:bidi w:val="0"/>
              <w:spacing w:line="0" w:lineRule="atLeast"/>
              <w:jc w:val="center"/>
              <w:textAlignment w:val="auto"/>
              <w:rPr>
                <w:sz w:val="30"/>
                <w:szCs w:val="30"/>
              </w:rPr>
            </w:pPr>
            <w:r>
              <w:rPr>
                <w:sz w:val="30"/>
                <w:szCs w:val="30"/>
              </w:rPr>
              <w:t>反馈问题</w:t>
            </w:r>
          </w:p>
        </w:tc>
        <w:tc>
          <w:tcPr>
            <w:tcW w:w="7459" w:type="dxa"/>
            <w:noWrap w:val="0"/>
            <w:vAlign w:val="center"/>
          </w:tcPr>
          <w:p>
            <w:pPr>
              <w:keepNext w:val="0"/>
              <w:keepLines w:val="0"/>
              <w:pageBreakBefore w:val="0"/>
              <w:widowControl/>
              <w:kinsoku/>
              <w:wordWrap/>
              <w:topLinePunct w:val="0"/>
              <w:autoSpaceDE/>
              <w:autoSpaceDN/>
              <w:bidi w:val="0"/>
              <w:spacing w:line="0" w:lineRule="atLeast"/>
              <w:jc w:val="center"/>
              <w:textAlignment w:val="auto"/>
              <w:rPr>
                <w:sz w:val="30"/>
                <w:szCs w:val="30"/>
              </w:rPr>
            </w:pPr>
            <w:r>
              <w:rPr>
                <w:rFonts w:hint="eastAsia" w:eastAsia="仿宋_GB2312"/>
                <w:color w:val="000000"/>
                <w:sz w:val="32"/>
                <w:szCs w:val="32"/>
              </w:rPr>
              <w:t>螳螂川河道两侧污水未处理的问题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6" w:hRule="atLeast"/>
        </w:trPr>
        <w:tc>
          <w:tcPr>
            <w:tcW w:w="1435" w:type="dxa"/>
            <w:noWrap w:val="0"/>
            <w:vAlign w:val="center"/>
          </w:tcPr>
          <w:p>
            <w:pPr>
              <w:keepNext w:val="0"/>
              <w:keepLines w:val="0"/>
              <w:pageBreakBefore w:val="0"/>
              <w:widowControl/>
              <w:kinsoku/>
              <w:wordWrap/>
              <w:topLinePunct w:val="0"/>
              <w:autoSpaceDE/>
              <w:autoSpaceDN/>
              <w:bidi w:val="0"/>
              <w:spacing w:line="0" w:lineRule="atLeast"/>
              <w:jc w:val="center"/>
              <w:textAlignment w:val="auto"/>
              <w:rPr>
                <w:sz w:val="30"/>
                <w:szCs w:val="30"/>
              </w:rPr>
            </w:pPr>
            <w:r>
              <w:rPr>
                <w:sz w:val="30"/>
                <w:szCs w:val="30"/>
              </w:rPr>
              <w:t>整改目标</w:t>
            </w:r>
          </w:p>
        </w:tc>
        <w:tc>
          <w:tcPr>
            <w:tcW w:w="7459"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500" w:lineRule="exact"/>
              <w:textAlignment w:val="auto"/>
              <w:rPr>
                <w:sz w:val="30"/>
                <w:szCs w:val="30"/>
              </w:rPr>
            </w:pPr>
            <w:r>
              <w:rPr>
                <w:rFonts w:hint="default" w:ascii="Times New Roman" w:hAnsi="Times New Roman" w:eastAsia="仿宋_GB2312" w:cs="Times New Roman"/>
                <w:kern w:val="2"/>
                <w:sz w:val="28"/>
                <w:szCs w:val="28"/>
                <w:lang w:val="en-US" w:eastAsia="zh-CN" w:bidi="ar-SA"/>
              </w:rPr>
              <w:t>全面完成涉及</w:t>
            </w:r>
            <w:r>
              <w:rPr>
                <w:rFonts w:hint="eastAsia" w:ascii="Times New Roman" w:hAnsi="Times New Roman" w:eastAsia="仿宋_GB2312" w:cs="Times New Roman"/>
                <w:kern w:val="2"/>
                <w:sz w:val="28"/>
                <w:szCs w:val="28"/>
                <w:lang w:val="en-US" w:eastAsia="zh-CN" w:bidi="ar-SA"/>
              </w:rPr>
              <w:t>富民县螳螂川河道两侧污水未处理问题的</w:t>
            </w:r>
            <w:r>
              <w:rPr>
                <w:rFonts w:hint="default" w:ascii="Times New Roman" w:hAnsi="Times New Roman" w:eastAsia="仿宋_GB2312" w:cs="Times New Roman"/>
                <w:kern w:val="2"/>
                <w:sz w:val="28"/>
                <w:szCs w:val="28"/>
                <w:lang w:val="en-US" w:eastAsia="zh-CN" w:bidi="ar-SA"/>
              </w:rPr>
              <w:t>整改工作，</w:t>
            </w:r>
            <w:r>
              <w:rPr>
                <w:rFonts w:hint="eastAsia" w:ascii="Times New Roman" w:hAnsi="Times New Roman" w:eastAsia="仿宋_GB2312" w:cs="Times New Roman"/>
                <w:kern w:val="2"/>
                <w:sz w:val="28"/>
                <w:szCs w:val="28"/>
                <w:lang w:val="en-US" w:eastAsia="zh-CN" w:bidi="ar-SA"/>
              </w:rPr>
              <w:t>对污水处置不规范，环保设施不健全的经营户进行整改或取缔，对螳螂川沿河道两侧污水进行有效收集处理，彻底解决“农家乐”排污影响水质的问题。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7" w:hRule="atLeast"/>
        </w:trPr>
        <w:tc>
          <w:tcPr>
            <w:tcW w:w="1435" w:type="dxa"/>
            <w:noWrap w:val="0"/>
            <w:vAlign w:val="center"/>
          </w:tcPr>
          <w:p>
            <w:pPr>
              <w:keepNext w:val="0"/>
              <w:keepLines w:val="0"/>
              <w:pageBreakBefore w:val="0"/>
              <w:widowControl/>
              <w:kinsoku/>
              <w:wordWrap/>
              <w:topLinePunct w:val="0"/>
              <w:autoSpaceDE/>
              <w:autoSpaceDN/>
              <w:bidi w:val="0"/>
              <w:spacing w:line="0" w:lineRule="atLeast"/>
              <w:jc w:val="center"/>
              <w:textAlignment w:val="auto"/>
              <w:rPr>
                <w:sz w:val="30"/>
                <w:szCs w:val="30"/>
              </w:rPr>
            </w:pPr>
            <w:r>
              <w:rPr>
                <w:sz w:val="30"/>
                <w:szCs w:val="30"/>
              </w:rPr>
              <w:t>整改措施</w:t>
            </w:r>
          </w:p>
        </w:tc>
        <w:tc>
          <w:tcPr>
            <w:tcW w:w="7459"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ind w:firstLine="536" w:firstLineChars="200"/>
              <w:jc w:val="left"/>
              <w:textAlignment w:val="auto"/>
              <w:rPr>
                <w:rFonts w:hint="eastAsia"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1.全面排查螳螂川河道沿线“农家乐”污水收集情况，针对排查情况制定整改方案，对污水处置不规范，环保设施不健全的经营户进行整改或取缔，彻底解决“农家乐”排污影响水质的问题。</w:t>
            </w:r>
          </w:p>
          <w:p>
            <w:pPr>
              <w:keepNext w:val="0"/>
              <w:keepLines w:val="0"/>
              <w:pageBreakBefore w:val="0"/>
              <w:widowControl/>
              <w:kinsoku/>
              <w:wordWrap/>
              <w:overflowPunct/>
              <w:topLinePunct w:val="0"/>
              <w:autoSpaceDE/>
              <w:autoSpaceDN/>
              <w:bidi w:val="0"/>
              <w:adjustRightInd/>
              <w:snapToGrid/>
              <w:spacing w:line="500" w:lineRule="exact"/>
              <w:ind w:firstLine="536" w:firstLineChars="200"/>
              <w:jc w:val="left"/>
              <w:textAlignment w:val="auto"/>
              <w:rPr>
                <w:sz w:val="30"/>
                <w:szCs w:val="30"/>
              </w:rPr>
            </w:pPr>
            <w:r>
              <w:rPr>
                <w:rFonts w:hint="eastAsia" w:ascii="Times New Roman" w:hAnsi="Times New Roman" w:eastAsia="仿宋_GB2312" w:cs="Times New Roman"/>
                <w:color w:val="000000"/>
                <w:sz w:val="28"/>
                <w:szCs w:val="28"/>
              </w:rPr>
              <w:t>2.统一规划、统一建设、统一管理河道沿线污水收集、处理设施，确保“农家乐”的污水有效收集处理，禁止污水直排河道。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trPr>
        <w:tc>
          <w:tcPr>
            <w:tcW w:w="1435" w:type="dxa"/>
            <w:noWrap w:val="0"/>
            <w:vAlign w:val="center"/>
          </w:tcPr>
          <w:p>
            <w:pPr>
              <w:keepNext w:val="0"/>
              <w:keepLines w:val="0"/>
              <w:pageBreakBefore w:val="0"/>
              <w:widowControl/>
              <w:kinsoku/>
              <w:wordWrap/>
              <w:topLinePunct w:val="0"/>
              <w:autoSpaceDE/>
              <w:autoSpaceDN/>
              <w:bidi w:val="0"/>
              <w:spacing w:line="0" w:lineRule="atLeast"/>
              <w:jc w:val="center"/>
              <w:textAlignment w:val="auto"/>
              <w:rPr>
                <w:sz w:val="30"/>
                <w:szCs w:val="30"/>
              </w:rPr>
            </w:pPr>
            <w:r>
              <w:rPr>
                <w:sz w:val="30"/>
                <w:szCs w:val="30"/>
              </w:rPr>
              <w:t>整改主要工作成效</w:t>
            </w:r>
          </w:p>
        </w:tc>
        <w:tc>
          <w:tcPr>
            <w:tcW w:w="7459"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ind w:firstLine="538" w:firstLineChars="200"/>
              <w:jc w:val="left"/>
              <w:textAlignment w:val="auto"/>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b/>
                <w:bCs/>
                <w:color w:val="000000"/>
                <w:sz w:val="28"/>
                <w:szCs w:val="28"/>
                <w:lang w:val="en-US" w:eastAsia="zh-CN"/>
              </w:rPr>
              <w:t>一是</w:t>
            </w:r>
            <w:r>
              <w:rPr>
                <w:rFonts w:hint="default" w:ascii="Times New Roman" w:hAnsi="Times New Roman" w:eastAsia="仿宋_GB2312" w:cs="Times New Roman"/>
                <w:color w:val="000000"/>
                <w:sz w:val="28"/>
                <w:szCs w:val="28"/>
                <w:lang w:val="en-US" w:eastAsia="zh-CN"/>
              </w:rPr>
              <w:t>对螳螂川沿岸</w:t>
            </w:r>
            <w:r>
              <w:rPr>
                <w:rFonts w:hint="default" w:ascii="Times New Roman" w:hAnsi="Times New Roman" w:eastAsia="仿宋_GB2312" w:cs="Times New Roman"/>
                <w:color w:val="000000"/>
                <w:sz w:val="28"/>
                <w:szCs w:val="28"/>
              </w:rPr>
              <w:t>餐饮经营单位（农家乐）</w:t>
            </w:r>
            <w:r>
              <w:rPr>
                <w:rFonts w:hint="default" w:ascii="Times New Roman" w:hAnsi="Times New Roman" w:eastAsia="仿宋_GB2312" w:cs="Times New Roman"/>
                <w:color w:val="000000"/>
                <w:sz w:val="28"/>
                <w:szCs w:val="28"/>
                <w:lang w:val="en-US" w:eastAsia="zh-CN"/>
              </w:rPr>
              <w:t>进行了全面排查，共排查27家</w:t>
            </w:r>
            <w:r>
              <w:rPr>
                <w:rFonts w:hint="default" w:ascii="Times New Roman" w:hAnsi="Times New Roman" w:eastAsia="仿宋_GB2312" w:cs="Times New Roman"/>
                <w:color w:val="000000"/>
                <w:sz w:val="28"/>
                <w:szCs w:val="28"/>
              </w:rPr>
              <w:t>餐饮经营单位（农家乐）</w:t>
            </w:r>
            <w:r>
              <w:rPr>
                <w:rFonts w:hint="default"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lang w:val="en-US" w:eastAsia="zh-CN"/>
              </w:rPr>
              <w:t>并下发了《富民县餐饮业环境保护整治要求告知书》</w:t>
            </w:r>
            <w:r>
              <w:rPr>
                <w:rFonts w:hint="eastAsia" w:ascii="Times New Roman" w:hAnsi="Times New Roman" w:eastAsia="仿宋_GB2312" w:cs="Times New Roman"/>
                <w:color w:val="000000"/>
                <w:sz w:val="28"/>
                <w:szCs w:val="28"/>
                <w:lang w:val="en-US" w:eastAsia="zh-CN"/>
              </w:rPr>
              <w:t>。</w:t>
            </w:r>
            <w:r>
              <w:rPr>
                <w:rFonts w:hint="default" w:ascii="Times New Roman" w:hAnsi="Times New Roman" w:eastAsia="仿宋_GB2312" w:cs="Times New Roman"/>
                <w:color w:val="000000"/>
                <w:sz w:val="28"/>
                <w:szCs w:val="28"/>
                <w:lang w:val="en-US" w:eastAsia="zh-CN"/>
              </w:rPr>
              <w:t>螳螂川沿岸家餐饮经营单位（农家乐）螳螂川富民县大桥下游23家餐厨废水均设置隔油池处理后排入城市污水管网，螳螂川富民大桥上游共有4家农家乐，其中3家已停业，1家已接入农村环境整治污水管网。</w:t>
            </w:r>
          </w:p>
          <w:p>
            <w:pPr>
              <w:keepNext w:val="0"/>
              <w:keepLines w:val="0"/>
              <w:pageBreakBefore w:val="0"/>
              <w:widowControl/>
              <w:kinsoku/>
              <w:wordWrap/>
              <w:overflowPunct/>
              <w:topLinePunct w:val="0"/>
              <w:autoSpaceDE/>
              <w:autoSpaceDN/>
              <w:bidi w:val="0"/>
              <w:adjustRightInd/>
              <w:snapToGrid/>
              <w:spacing w:line="500" w:lineRule="exact"/>
              <w:ind w:firstLine="538" w:firstLineChars="200"/>
              <w:jc w:val="left"/>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b/>
                <w:bCs/>
                <w:color w:val="000000"/>
                <w:sz w:val="28"/>
                <w:szCs w:val="28"/>
                <w:lang w:val="en-US" w:eastAsia="zh-CN"/>
              </w:rPr>
              <w:t>二是</w:t>
            </w:r>
            <w:r>
              <w:rPr>
                <w:rFonts w:hint="default" w:ascii="Times New Roman" w:hAnsi="Times New Roman" w:eastAsia="仿宋_GB2312" w:cs="Times New Roman"/>
                <w:color w:val="000000"/>
                <w:sz w:val="28"/>
                <w:szCs w:val="28"/>
                <w:lang w:val="en-US" w:eastAsia="zh-CN"/>
              </w:rPr>
              <w:t>统一对螳螂川沿岸道路建设实施了18米支路、昆明行知中学北侧道路、螳螂川截污干管改造等项目污水收集管网建设，对螳螂川沿河道两侧的污水进行了集中收集处理；</w:t>
            </w:r>
            <w:r>
              <w:rPr>
                <w:rFonts w:hint="default" w:ascii="Times New Roman" w:hAnsi="Times New Roman" w:eastAsia="仿宋_GB2312" w:cs="Times New Roman"/>
                <w:color w:val="000000"/>
                <w:sz w:val="28"/>
                <w:szCs w:val="28"/>
              </w:rPr>
              <w:t>污水处理厂设施正常运行，并达到一级A标。</w:t>
            </w:r>
          </w:p>
          <w:p>
            <w:pPr>
              <w:keepNext w:val="0"/>
              <w:keepLines w:val="0"/>
              <w:pageBreakBefore w:val="0"/>
              <w:widowControl/>
              <w:kinsoku/>
              <w:wordWrap/>
              <w:overflowPunct/>
              <w:topLinePunct w:val="0"/>
              <w:autoSpaceDE/>
              <w:autoSpaceDN/>
              <w:bidi w:val="0"/>
              <w:adjustRightInd/>
              <w:snapToGrid/>
              <w:spacing w:line="500" w:lineRule="exact"/>
              <w:ind w:firstLine="538" w:firstLineChars="200"/>
              <w:jc w:val="left"/>
              <w:textAlignment w:val="auto"/>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b/>
                <w:bCs/>
                <w:color w:val="000000"/>
                <w:sz w:val="28"/>
                <w:szCs w:val="28"/>
                <w:lang w:eastAsia="zh-CN"/>
              </w:rPr>
              <w:t>三是</w:t>
            </w:r>
            <w:r>
              <w:rPr>
                <w:rFonts w:hint="default" w:ascii="Times New Roman" w:hAnsi="Times New Roman" w:eastAsia="仿宋_GB2312" w:cs="Times New Roman"/>
                <w:color w:val="000000"/>
                <w:sz w:val="28"/>
                <w:szCs w:val="28"/>
                <w:lang w:val="en-US" w:eastAsia="zh-CN"/>
              </w:rPr>
              <w:t>2019年争取到省级农村环境综合整治专项资金300万元，实施了永定街道办兴贡村、北邑村、瓦窑村农村环境连片整治。截止2020年6月12日完成了兴贡村委会、北邑村委会19个垃圾房的建设及西庄村农村污水入户收集并入市政管网的建设工程，投入运行，村庄污水无序排放的问题得到有效的解决。</w:t>
            </w:r>
          </w:p>
          <w:p>
            <w:pPr>
              <w:keepNext w:val="0"/>
              <w:keepLines w:val="0"/>
              <w:pageBreakBefore w:val="0"/>
              <w:widowControl/>
              <w:kinsoku/>
              <w:wordWrap/>
              <w:overflowPunct/>
              <w:topLinePunct w:val="0"/>
              <w:autoSpaceDE/>
              <w:autoSpaceDN/>
              <w:bidi w:val="0"/>
              <w:adjustRightInd/>
              <w:snapToGrid/>
              <w:spacing w:line="500" w:lineRule="exact"/>
              <w:ind w:firstLine="538" w:firstLineChars="200"/>
              <w:jc w:val="left"/>
              <w:textAlignment w:val="auto"/>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b/>
                <w:bCs/>
                <w:color w:val="000000"/>
                <w:sz w:val="28"/>
                <w:szCs w:val="28"/>
                <w:lang w:val="en-US" w:eastAsia="zh-CN"/>
              </w:rPr>
              <w:t>四是</w:t>
            </w:r>
            <w:r>
              <w:rPr>
                <w:rFonts w:hint="default" w:ascii="Times New Roman" w:hAnsi="Times New Roman" w:eastAsia="仿宋_GB2312" w:cs="Times New Roman"/>
                <w:color w:val="000000"/>
                <w:sz w:val="28"/>
                <w:szCs w:val="28"/>
                <w:lang w:val="en-US" w:eastAsia="zh-CN"/>
              </w:rPr>
              <w:t>实施了螳螂川（富民段）</w:t>
            </w:r>
            <w:r>
              <w:rPr>
                <w:rFonts w:hint="eastAsia" w:ascii="Times New Roman" w:hAnsi="Times New Roman" w:eastAsia="仿宋_GB2312" w:cs="Times New Roman"/>
                <w:color w:val="000000"/>
                <w:sz w:val="28"/>
                <w:szCs w:val="28"/>
                <w:lang w:val="en-US" w:eastAsia="zh-CN"/>
              </w:rPr>
              <w:t>石坝</w:t>
            </w:r>
            <w:r>
              <w:rPr>
                <w:rFonts w:hint="default" w:ascii="Times New Roman" w:hAnsi="Times New Roman" w:eastAsia="仿宋_GB2312" w:cs="Times New Roman"/>
                <w:color w:val="000000"/>
                <w:sz w:val="28"/>
                <w:szCs w:val="28"/>
                <w:lang w:val="en-US" w:eastAsia="zh-CN"/>
              </w:rPr>
              <w:t>、烂泥田村污水收集处理工程项目,市级资金88万元，县级资金120万元实施石垻实施烂泥田村污水收集处理工程，目的整治螳螂川（富民段）水环境。新建污水收集管网5659m，新建检查井118座，新建户用格拦井86座，新建处理规模为10㎥/d一体化污水处理系统2套，覆盖农户128户，人口530人，收集处理率达90%。污水处理设备现已运行，每天处理生活污水13㎥。</w:t>
            </w:r>
          </w:p>
          <w:p>
            <w:pPr>
              <w:keepNext w:val="0"/>
              <w:keepLines w:val="0"/>
              <w:pageBreakBefore w:val="0"/>
              <w:widowControl/>
              <w:kinsoku/>
              <w:wordWrap/>
              <w:overflowPunct/>
              <w:topLinePunct w:val="0"/>
              <w:autoSpaceDE/>
              <w:autoSpaceDN/>
              <w:bidi w:val="0"/>
              <w:adjustRightInd/>
              <w:snapToGrid/>
              <w:spacing w:line="500" w:lineRule="exact"/>
              <w:ind w:firstLine="538" w:firstLineChars="200"/>
              <w:jc w:val="left"/>
              <w:textAlignment w:val="auto"/>
              <w:rPr>
                <w:sz w:val="30"/>
                <w:szCs w:val="30"/>
              </w:rPr>
            </w:pPr>
            <w:r>
              <w:rPr>
                <w:rFonts w:hint="eastAsia" w:ascii="Times New Roman" w:hAnsi="Times New Roman" w:eastAsia="仿宋_GB2312" w:cs="Times New Roman"/>
                <w:b/>
                <w:bCs/>
                <w:color w:val="000000"/>
                <w:sz w:val="28"/>
                <w:szCs w:val="28"/>
                <w:lang w:val="en-US" w:eastAsia="zh-CN"/>
              </w:rPr>
              <w:t>五是</w:t>
            </w:r>
            <w:r>
              <w:rPr>
                <w:rFonts w:hint="eastAsia" w:ascii="Times New Roman" w:hAnsi="Times New Roman" w:eastAsia="仿宋_GB2312" w:cs="Times New Roman"/>
                <w:color w:val="000000"/>
                <w:sz w:val="28"/>
                <w:szCs w:val="28"/>
                <w:lang w:val="en-US" w:eastAsia="zh-CN"/>
              </w:rPr>
              <w:t>在富民大桥上段实施人工湿地建设项目，湿地系统中按一定级配填充了基质</w:t>
            </w:r>
            <w:r>
              <w:rPr>
                <w:rFonts w:hint="default" w:ascii="Times New Roman" w:hAnsi="Times New Roman" w:eastAsia="仿宋_GB2312" w:cs="Times New Roman"/>
                <w:color w:val="000000"/>
                <w:sz w:val="28"/>
                <w:szCs w:val="28"/>
                <w:lang w:val="en-US" w:eastAsia="zh-CN"/>
              </w:rPr>
              <w:t>/</w:t>
            </w:r>
            <w:r>
              <w:rPr>
                <w:rFonts w:hint="eastAsia" w:ascii="Times New Roman" w:hAnsi="Times New Roman" w:eastAsia="仿宋_GB2312" w:cs="Times New Roman"/>
                <w:color w:val="000000"/>
                <w:sz w:val="28"/>
                <w:szCs w:val="28"/>
                <w:lang w:val="en-US" w:eastAsia="zh-CN"/>
              </w:rPr>
              <w:t>填料（石等），并在床表种植处理性能好、成活率高、生长周期长、具有经济价值的植物（芦苇等），构成独特的动植物生态系统。当污水通过系统时，经过滤、吸附、沉淀、离子交换、植物吸收和微生物分解等作用，使水质得到净化。目前完成公开招投标，施工单位已进场施工，预计年内建设</w:t>
            </w:r>
            <w:r>
              <w:rPr>
                <w:rFonts w:hint="eastAsia" w:cs="Times New Roman"/>
                <w:color w:val="000000"/>
                <w:sz w:val="28"/>
                <w:szCs w:val="28"/>
                <w:lang w:val="en-US" w:eastAsia="zh-CN"/>
              </w:rPr>
              <w:t>完</w:t>
            </w:r>
            <w:bookmarkStart w:id="0" w:name="_GoBack"/>
            <w:bookmarkEnd w:id="0"/>
            <w:r>
              <w:rPr>
                <w:rFonts w:hint="eastAsia" w:ascii="Times New Roman" w:hAnsi="Times New Roman" w:eastAsia="仿宋_GB2312" w:cs="Times New Roman"/>
                <w:color w:val="000000"/>
                <w:sz w:val="28"/>
                <w:szCs w:val="28"/>
                <w:lang w:val="en-US" w:eastAsia="zh-CN"/>
              </w:rPr>
              <w:t>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6" w:hRule="atLeast"/>
        </w:trPr>
        <w:tc>
          <w:tcPr>
            <w:tcW w:w="1435" w:type="dxa"/>
            <w:noWrap w:val="0"/>
            <w:vAlign w:val="center"/>
          </w:tcPr>
          <w:p>
            <w:pPr>
              <w:keepNext w:val="0"/>
              <w:keepLines w:val="0"/>
              <w:pageBreakBefore w:val="0"/>
              <w:widowControl/>
              <w:kinsoku/>
              <w:wordWrap/>
              <w:topLinePunct w:val="0"/>
              <w:autoSpaceDE/>
              <w:autoSpaceDN/>
              <w:bidi w:val="0"/>
              <w:spacing w:line="0" w:lineRule="atLeast"/>
              <w:jc w:val="center"/>
              <w:textAlignment w:val="auto"/>
              <w:rPr>
                <w:sz w:val="28"/>
                <w:szCs w:val="28"/>
              </w:rPr>
            </w:pPr>
            <w:r>
              <w:rPr>
                <w:sz w:val="30"/>
                <w:szCs w:val="30"/>
              </w:rPr>
              <w:t>责任单位、责任人及联系人</w:t>
            </w:r>
          </w:p>
        </w:tc>
        <w:tc>
          <w:tcPr>
            <w:tcW w:w="7459"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ind w:firstLine="1072" w:firstLineChars="400"/>
              <w:jc w:val="left"/>
              <w:textAlignment w:val="auto"/>
              <w:rPr>
                <w:rFonts w:hint="eastAsia" w:ascii="Times New Roman" w:hAnsi="Times New Roman" w:eastAsia="仿宋_GB2312" w:cs="Times New Roman"/>
                <w:color w:val="000000"/>
                <w:sz w:val="28"/>
                <w:szCs w:val="28"/>
                <w:lang w:val="en-US" w:eastAsia="zh-CN"/>
              </w:rPr>
            </w:pPr>
            <w:r>
              <w:rPr>
                <w:rFonts w:hint="eastAsia" w:ascii="Times New Roman" w:hAnsi="Times New Roman" w:eastAsia="仿宋_GB2312" w:cs="Times New Roman"/>
                <w:color w:val="000000"/>
                <w:sz w:val="28"/>
                <w:szCs w:val="28"/>
                <w:lang w:val="en-US" w:eastAsia="zh-CN"/>
              </w:rPr>
              <w:t>责任单位：富民县人民政府</w:t>
            </w:r>
          </w:p>
          <w:p>
            <w:pPr>
              <w:keepNext w:val="0"/>
              <w:keepLines w:val="0"/>
              <w:pageBreakBefore w:val="0"/>
              <w:widowControl/>
              <w:kinsoku/>
              <w:wordWrap/>
              <w:overflowPunct/>
              <w:topLinePunct w:val="0"/>
              <w:autoSpaceDE/>
              <w:autoSpaceDN/>
              <w:bidi w:val="0"/>
              <w:adjustRightInd/>
              <w:snapToGrid/>
              <w:spacing w:line="500" w:lineRule="exact"/>
              <w:ind w:firstLine="1340" w:firstLineChars="500"/>
              <w:jc w:val="left"/>
              <w:textAlignment w:val="auto"/>
              <w:rPr>
                <w:rFonts w:hint="eastAsia" w:ascii="Times New Roman" w:hAnsi="Times New Roman" w:eastAsia="仿宋_GB2312" w:cs="Times New Roman"/>
                <w:color w:val="000000"/>
                <w:sz w:val="28"/>
                <w:szCs w:val="28"/>
                <w:lang w:val="en-US" w:eastAsia="zh-CN"/>
              </w:rPr>
            </w:pPr>
            <w:r>
              <w:rPr>
                <w:rFonts w:hint="eastAsia" w:ascii="Times New Roman" w:hAnsi="Times New Roman" w:eastAsia="仿宋_GB2312" w:cs="Times New Roman"/>
                <w:color w:val="000000"/>
                <w:sz w:val="28"/>
                <w:szCs w:val="28"/>
                <w:lang w:val="en-US" w:eastAsia="zh-CN"/>
              </w:rPr>
              <w:t>责任人：王九飚</w:t>
            </w:r>
          </w:p>
          <w:p>
            <w:pPr>
              <w:keepNext w:val="0"/>
              <w:keepLines w:val="0"/>
              <w:pageBreakBefore w:val="0"/>
              <w:widowControl/>
              <w:kinsoku/>
              <w:wordWrap/>
              <w:overflowPunct/>
              <w:topLinePunct w:val="0"/>
              <w:autoSpaceDE/>
              <w:autoSpaceDN/>
              <w:bidi w:val="0"/>
              <w:adjustRightInd/>
              <w:snapToGrid/>
              <w:spacing w:line="500" w:lineRule="exact"/>
              <w:ind w:firstLine="1340" w:firstLineChars="500"/>
              <w:jc w:val="left"/>
              <w:textAlignment w:val="auto"/>
              <w:rPr>
                <w:rFonts w:hint="eastAsia"/>
                <w:sz w:val="28"/>
                <w:szCs w:val="28"/>
                <w:lang w:eastAsia="zh-CN"/>
              </w:rPr>
            </w:pPr>
            <w:r>
              <w:rPr>
                <w:rFonts w:hint="eastAsia" w:ascii="Times New Roman" w:hAnsi="Times New Roman" w:eastAsia="仿宋_GB2312" w:cs="Times New Roman"/>
                <w:color w:val="000000"/>
                <w:sz w:val="28"/>
                <w:szCs w:val="28"/>
                <w:lang w:val="en-US" w:eastAsia="zh-CN"/>
              </w:rPr>
              <w:t>联系人：</w:t>
            </w:r>
            <w:r>
              <w:rPr>
                <w:rFonts w:hint="eastAsia" w:cs="Times New Roman"/>
                <w:color w:val="000000"/>
                <w:sz w:val="28"/>
                <w:szCs w:val="28"/>
                <w:lang w:val="en-US" w:eastAsia="zh-CN"/>
              </w:rPr>
              <w:t>王明成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1" w:hRule="atLeast"/>
        </w:trPr>
        <w:tc>
          <w:tcPr>
            <w:tcW w:w="1435" w:type="dxa"/>
            <w:noWrap w:val="0"/>
            <w:vAlign w:val="center"/>
          </w:tcPr>
          <w:p>
            <w:pPr>
              <w:keepNext w:val="0"/>
              <w:keepLines w:val="0"/>
              <w:pageBreakBefore w:val="0"/>
              <w:widowControl/>
              <w:kinsoku/>
              <w:wordWrap/>
              <w:topLinePunct w:val="0"/>
              <w:autoSpaceDE/>
              <w:autoSpaceDN/>
              <w:bidi w:val="0"/>
              <w:spacing w:line="0" w:lineRule="atLeast"/>
              <w:jc w:val="center"/>
              <w:textAlignment w:val="auto"/>
              <w:rPr>
                <w:sz w:val="28"/>
                <w:szCs w:val="28"/>
              </w:rPr>
            </w:pPr>
            <w:r>
              <w:rPr>
                <w:sz w:val="30"/>
                <w:szCs w:val="30"/>
              </w:rPr>
              <w:t>公示说明</w:t>
            </w:r>
          </w:p>
        </w:tc>
        <w:tc>
          <w:tcPr>
            <w:tcW w:w="7459"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sz w:val="28"/>
                <w:szCs w:val="28"/>
              </w:rPr>
            </w:pPr>
            <w:r>
              <w:rPr>
                <w:sz w:val="28"/>
                <w:szCs w:val="28"/>
              </w:rPr>
              <w:t>现将该问题整改落实情况进行公示，如有意见建议，</w:t>
            </w:r>
            <w:r>
              <w:rPr>
                <w:rFonts w:hint="eastAsia" w:ascii="仿宋_GB2312" w:eastAsia="仿宋_GB2312"/>
                <w:sz w:val="28"/>
                <w:szCs w:val="28"/>
              </w:rPr>
              <w:t>请反馈</w:t>
            </w:r>
            <w:r>
              <w:rPr>
                <w:rFonts w:hint="eastAsia" w:ascii="仿宋_GB2312"/>
                <w:sz w:val="28"/>
                <w:szCs w:val="28"/>
                <w:lang w:eastAsia="zh-CN"/>
              </w:rPr>
              <w:t>至</w:t>
            </w:r>
            <w:r>
              <w:rPr>
                <w:rFonts w:hint="eastAsia" w:ascii="仿宋_GB2312" w:eastAsia="仿宋_GB2312"/>
                <w:sz w:val="28"/>
                <w:szCs w:val="28"/>
                <w:lang w:val="en-US" w:eastAsia="zh-CN"/>
              </w:rPr>
              <w:t>fmxhjbhj@163.com</w:t>
            </w:r>
            <w:r>
              <w:rPr>
                <w:rFonts w:hint="eastAsia" w:ascii="仿宋_GB2312" w:eastAsia="仿宋_GB2312"/>
                <w:sz w:val="28"/>
                <w:szCs w:val="28"/>
              </w:rPr>
              <w:t>。联系人员及电话：</w:t>
            </w:r>
            <w:r>
              <w:rPr>
                <w:rFonts w:hint="eastAsia" w:ascii="仿宋_GB2312" w:eastAsia="仿宋_GB2312"/>
                <w:sz w:val="28"/>
                <w:szCs w:val="28"/>
                <w:lang w:eastAsia="zh-CN"/>
              </w:rPr>
              <w:t>朱赐安</w:t>
            </w:r>
            <w:r>
              <w:rPr>
                <w:rFonts w:hint="eastAsia" w:ascii="仿宋_GB2312" w:eastAsia="仿宋_GB2312"/>
                <w:sz w:val="28"/>
                <w:szCs w:val="28"/>
              </w:rPr>
              <w:t>，</w:t>
            </w:r>
            <w:r>
              <w:rPr>
                <w:rFonts w:hint="eastAsia" w:ascii="仿宋_GB2312" w:eastAsia="仿宋_GB2312"/>
                <w:sz w:val="28"/>
                <w:szCs w:val="28"/>
                <w:lang w:val="en-US" w:eastAsia="zh-CN"/>
              </w:rPr>
              <w:t>0871-68810843</w:t>
            </w:r>
          </w:p>
        </w:tc>
      </w:tr>
    </w:tbl>
    <w:p>
      <w:pPr>
        <w:pStyle w:val="3"/>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Gulim">
    <w:panose1 w:val="020B0600000101010101"/>
    <w:charset w:val="81"/>
    <w:family w:val="auto"/>
    <w:pitch w:val="default"/>
    <w:sig w:usb0="B00002AF" w:usb1="69D77CFB" w:usb2="00000030" w:usb3="00000000" w:csb0="4008009F" w:csb1="DFD70000"/>
  </w:font>
  <w:font w:name="DengXian">
    <w:altName w:val="宋体"/>
    <w:panose1 w:val="02010600030101010101"/>
    <w:charset w:val="86"/>
    <w:family w:val="auto"/>
    <w:pitch w:val="default"/>
    <w:sig w:usb0="00000000" w:usb1="00000000" w:usb2="00000016" w:usb3="00000000" w:csb0="0004000F" w:csb1="0000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4C3B3D"/>
    <w:rsid w:val="09350FF3"/>
    <w:rsid w:val="17DC0AC2"/>
    <w:rsid w:val="18441BF9"/>
    <w:rsid w:val="1EBB3622"/>
    <w:rsid w:val="1F8F58F7"/>
    <w:rsid w:val="22FA41B6"/>
    <w:rsid w:val="514C3B3D"/>
    <w:rsid w:val="5DEE48C2"/>
    <w:rsid w:val="6F64187A"/>
    <w:rsid w:val="6FB30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DengXian" w:hAnsi="DengXian" w:eastAsia="DengXi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customStyle="1" w:styleId="2">
    <w:name w:val="实施方案正文"/>
    <w:basedOn w:val="1"/>
    <w:qFormat/>
    <w:uiPriority w:val="99"/>
    <w:pPr>
      <w:ind w:firstLine="566" w:firstLineChars="202"/>
    </w:pPr>
    <w:rPr>
      <w:szCs w:val="28"/>
    </w:rPr>
  </w:style>
  <w:style w:type="paragraph" w:styleId="3">
    <w:name w:val="Body Text"/>
    <w:basedOn w:val="1"/>
    <w:qFormat/>
    <w:uiPriority w:val="0"/>
    <w:pPr>
      <w:spacing w:after="120" w:afterLines="0"/>
    </w:pPr>
    <w:rPr>
      <w:rFonts w:hint="default" w:ascii="Calibri"/>
      <w:kern w:val="2"/>
      <w:sz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昆明市富民县党政机关单位</Company>
  <Pages>1</Pages>
  <Words>0</Words>
  <Characters>0</Characters>
  <Lines>0</Lines>
  <Paragraphs>0</Paragraphs>
  <TotalTime>1</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2020-07-20T00:46:00Z</dcterms:created>
  <dc:creator>Administrator</dc:creator>
  <cp:lastModifiedBy>Administrator</cp:lastModifiedBy>
  <cp:lastPrinted>2020-10-12T01:48:53Z</cp:lastPrinted>
  <dcterms:modified xsi:type="dcterms:W3CDTF">2020-10-12T01:49:38Z</dcterms:modified>
  <dc:title>整改落实情况公示表</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