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6D" w:rsidRDefault="007F2D6D">
      <w:pPr>
        <w:widowControl/>
        <w:shd w:val="clear" w:color="auto" w:fill="FFFFFF"/>
        <w:jc w:val="center"/>
        <w:rPr>
          <w:rFonts w:ascii="仿宋_GB2312" w:eastAsia="仿宋_GB2312" w:hAnsi="仿宋_GB2312" w:cs="仿宋_GB2312"/>
          <w:b/>
          <w:bCs/>
          <w:color w:val="434343"/>
          <w:kern w:val="0"/>
          <w:sz w:val="32"/>
          <w:szCs w:val="32"/>
          <w:shd w:val="clear" w:color="auto" w:fill="FFFFFF"/>
        </w:rPr>
      </w:pPr>
    </w:p>
    <w:p w:rsidR="002F497A" w:rsidRDefault="002F497A">
      <w:pPr>
        <w:widowControl/>
        <w:shd w:val="clear" w:color="auto" w:fill="FFFFFF"/>
        <w:jc w:val="center"/>
        <w:rPr>
          <w:rFonts w:ascii="仿宋_GB2312" w:eastAsia="仿宋_GB2312" w:hAnsi="仿宋_GB2312" w:cs="仿宋_GB2312"/>
          <w:b/>
          <w:bCs/>
          <w:color w:val="434343"/>
          <w:kern w:val="0"/>
          <w:sz w:val="32"/>
          <w:szCs w:val="32"/>
          <w:shd w:val="clear" w:color="auto" w:fill="FFFFFF"/>
        </w:rPr>
      </w:pPr>
    </w:p>
    <w:p w:rsidR="008640C8" w:rsidRDefault="00D90DD6">
      <w:pPr>
        <w:widowControl/>
        <w:shd w:val="clear" w:color="auto" w:fill="FFFFFF"/>
        <w:jc w:val="center"/>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富民县人民医院放射科设备维保服务采购项目招标公告</w:t>
      </w:r>
    </w:p>
    <w:p w:rsidR="002F497A" w:rsidRDefault="002F497A">
      <w:pPr>
        <w:widowControl/>
        <w:shd w:val="clear" w:color="auto" w:fill="FFFFFF"/>
        <w:jc w:val="center"/>
        <w:rPr>
          <w:rFonts w:ascii="仿宋_GB2312" w:eastAsia="仿宋_GB2312" w:hAnsi="仿宋_GB2312" w:cs="仿宋_GB2312"/>
          <w:b/>
          <w:bCs/>
          <w:sz w:val="32"/>
          <w:szCs w:val="32"/>
        </w:rPr>
      </w:pPr>
    </w:p>
    <w:p w:rsidR="008640C8" w:rsidRDefault="00D90DD6">
      <w:pPr>
        <w:widowControl/>
        <w:shd w:val="clear" w:color="auto" w:fill="FFFFFF"/>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昆明市第一人民医院富民医院     富民县人民医院</w:t>
      </w:r>
    </w:p>
    <w:p w:rsidR="007F2D6D" w:rsidRDefault="007F2D6D">
      <w:pPr>
        <w:widowControl/>
        <w:shd w:val="clear" w:color="auto" w:fill="FFFFFF"/>
        <w:spacing w:line="360" w:lineRule="auto"/>
        <w:ind w:firstLineChars="200" w:firstLine="640"/>
        <w:jc w:val="left"/>
        <w:rPr>
          <w:rFonts w:ascii="仿宋_GB2312" w:eastAsia="仿宋_GB2312" w:hAnsi="仿宋_GB2312" w:cs="仿宋_GB2312"/>
          <w:sz w:val="32"/>
          <w:szCs w:val="32"/>
        </w:rPr>
      </w:pPr>
    </w:p>
    <w:p w:rsidR="008640C8" w:rsidRDefault="00D90DD6">
      <w:pPr>
        <w:widowControl/>
        <w:shd w:val="clear" w:color="auto" w:fill="FFFFFF"/>
        <w:spacing w:line="360" w:lineRule="auto"/>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经医院</w:t>
      </w:r>
      <w:r w:rsidR="007F2D6D">
        <w:rPr>
          <w:rFonts w:ascii="仿宋_GB2312" w:eastAsia="仿宋_GB2312" w:hAnsi="仿宋_GB2312" w:cs="仿宋_GB2312" w:hint="eastAsia"/>
          <w:sz w:val="32"/>
          <w:szCs w:val="32"/>
        </w:rPr>
        <w:t>党委</w:t>
      </w:r>
      <w:r>
        <w:rPr>
          <w:rFonts w:ascii="仿宋_GB2312" w:eastAsia="仿宋_GB2312" w:hAnsi="仿宋_GB2312" w:cs="仿宋_GB2312" w:hint="eastAsia"/>
          <w:sz w:val="32"/>
          <w:szCs w:val="32"/>
        </w:rPr>
        <w:t>会同意，决定对富民县人民医院放射科设备维保服务项目进行院内</w:t>
      </w:r>
      <w:r w:rsidR="007F2D6D">
        <w:rPr>
          <w:rFonts w:ascii="仿宋_GB2312" w:eastAsia="仿宋_GB2312" w:hAnsi="仿宋_GB2312" w:cs="仿宋_GB2312" w:hint="eastAsia"/>
          <w:sz w:val="32"/>
          <w:szCs w:val="32"/>
        </w:rPr>
        <w:t>磋商</w:t>
      </w:r>
      <w:r>
        <w:rPr>
          <w:rFonts w:ascii="仿宋_GB2312" w:eastAsia="仿宋_GB2312" w:hAnsi="仿宋_GB2312" w:cs="仿宋_GB2312" w:hint="eastAsia"/>
          <w:sz w:val="32"/>
          <w:szCs w:val="32"/>
        </w:rPr>
        <w:t>谈判，现将有关事宜公告如下：</w:t>
      </w:r>
    </w:p>
    <w:p w:rsidR="008640C8" w:rsidRDefault="00D90DD6" w:rsidP="00AC549B">
      <w:pPr>
        <w:widowControl/>
        <w:shd w:val="clear" w:color="auto" w:fill="FFFFFF"/>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政府采购法》、《云南省政府采购条例》、《中华人民共和国政府采购法实施条例》、《政府采购非招标采购方式管理办法》等有关法律法规的规定，富民县人民医院对《富民县人民医院放射科设备维保服务项目》</w:t>
      </w:r>
      <w:r w:rsidR="007F2D6D">
        <w:rPr>
          <w:rFonts w:ascii="仿宋_GB2312" w:eastAsia="仿宋_GB2312" w:hAnsi="仿宋_GB2312" w:cs="仿宋_GB2312" w:hint="eastAsia"/>
          <w:sz w:val="32"/>
          <w:szCs w:val="32"/>
        </w:rPr>
        <w:t>磋商</w:t>
      </w:r>
      <w:r>
        <w:rPr>
          <w:rFonts w:ascii="仿宋_GB2312" w:eastAsia="仿宋_GB2312" w:hAnsi="仿宋_GB2312" w:cs="仿宋_GB2312" w:hint="eastAsia"/>
          <w:sz w:val="32"/>
          <w:szCs w:val="32"/>
        </w:rPr>
        <w:t>谈判进行编制。</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采购项目编号：FMXRMYY-YXZBK-SBWH2020-04</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采购项目名称：富民县人民医院放射科设备维保服务项目</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采购人：富民县人民医院</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招标方式：院内</w:t>
      </w:r>
      <w:r w:rsidR="007F2D6D">
        <w:rPr>
          <w:rFonts w:ascii="仿宋_GB2312" w:eastAsia="仿宋_GB2312" w:hAnsi="仿宋_GB2312" w:cs="仿宋_GB2312" w:hint="eastAsia"/>
          <w:b/>
          <w:bCs/>
          <w:color w:val="434343"/>
          <w:kern w:val="0"/>
          <w:sz w:val="32"/>
          <w:szCs w:val="32"/>
          <w:shd w:val="clear" w:color="auto" w:fill="FFFFFF"/>
        </w:rPr>
        <w:t>磋商</w:t>
      </w:r>
      <w:r>
        <w:rPr>
          <w:rFonts w:ascii="仿宋_GB2312" w:eastAsia="仿宋_GB2312" w:hAnsi="仿宋_GB2312" w:cs="仿宋_GB2312" w:hint="eastAsia"/>
          <w:b/>
          <w:bCs/>
          <w:color w:val="434343"/>
          <w:kern w:val="0"/>
          <w:sz w:val="32"/>
          <w:szCs w:val="32"/>
          <w:shd w:val="clear" w:color="auto" w:fill="FFFFFF"/>
        </w:rPr>
        <w:t>谈判</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本项目拦标总价为：9.426万元（大写：玖万肆仟贰佰陆拾元整）</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维护周期：一年</w:t>
      </w:r>
    </w:p>
    <w:p w:rsidR="008640C8" w:rsidRDefault="00D90DD6">
      <w:pPr>
        <w:widowControl/>
        <w:numPr>
          <w:ilvl w:val="0"/>
          <w:numId w:val="2"/>
        </w:numPr>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项目内容及需求：</w:t>
      </w:r>
    </w:p>
    <w:p w:rsidR="008640C8" w:rsidRDefault="00D90DD6">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lastRenderedPageBreak/>
        <w:t>1.维保内容</w:t>
      </w:r>
    </w:p>
    <w:tbl>
      <w:tblPr>
        <w:tblStyle w:val="a4"/>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9"/>
        <w:gridCol w:w="1568"/>
        <w:gridCol w:w="2084"/>
        <w:gridCol w:w="4328"/>
      </w:tblGrid>
      <w:tr w:rsidR="008640C8">
        <w:tc>
          <w:tcPr>
            <w:tcW w:w="1029" w:type="dxa"/>
          </w:tcPr>
          <w:p w:rsidR="008640C8" w:rsidRDefault="00D90DD6">
            <w:pPr>
              <w:jc w:val="center"/>
              <w:rPr>
                <w:rFonts w:ascii="宋体" w:hAnsi="宋体" w:cs="宋体"/>
                <w:bCs/>
                <w:sz w:val="32"/>
                <w:szCs w:val="32"/>
              </w:rPr>
            </w:pPr>
            <w:proofErr w:type="spellStart"/>
            <w:r>
              <w:rPr>
                <w:rFonts w:ascii="宋体" w:hAnsi="宋体" w:cs="宋体" w:hint="eastAsia"/>
                <w:bCs/>
                <w:sz w:val="32"/>
                <w:szCs w:val="32"/>
              </w:rPr>
              <w:t>序号</w:t>
            </w:r>
            <w:proofErr w:type="spellEnd"/>
          </w:p>
        </w:tc>
        <w:tc>
          <w:tcPr>
            <w:tcW w:w="1568" w:type="dxa"/>
          </w:tcPr>
          <w:p w:rsidR="008640C8" w:rsidRDefault="00D90DD6">
            <w:pPr>
              <w:jc w:val="center"/>
              <w:rPr>
                <w:rFonts w:ascii="宋体" w:hAnsi="宋体" w:cs="宋体"/>
                <w:bCs/>
                <w:sz w:val="32"/>
                <w:szCs w:val="32"/>
              </w:rPr>
            </w:pPr>
            <w:proofErr w:type="spellStart"/>
            <w:r>
              <w:rPr>
                <w:rFonts w:ascii="宋体" w:hAnsi="宋体" w:cs="宋体" w:hint="eastAsia"/>
                <w:bCs/>
                <w:sz w:val="32"/>
                <w:szCs w:val="32"/>
              </w:rPr>
              <w:t>设备名称</w:t>
            </w:r>
            <w:proofErr w:type="spellEnd"/>
          </w:p>
        </w:tc>
        <w:tc>
          <w:tcPr>
            <w:tcW w:w="2084" w:type="dxa"/>
          </w:tcPr>
          <w:p w:rsidR="008640C8" w:rsidRDefault="00D90DD6">
            <w:pPr>
              <w:jc w:val="center"/>
              <w:rPr>
                <w:rFonts w:ascii="宋体" w:hAnsi="宋体" w:cs="宋体"/>
                <w:bCs/>
                <w:sz w:val="32"/>
                <w:szCs w:val="32"/>
              </w:rPr>
            </w:pPr>
            <w:proofErr w:type="spellStart"/>
            <w:r>
              <w:rPr>
                <w:rFonts w:ascii="宋体" w:hAnsi="宋体" w:cs="宋体" w:hint="eastAsia"/>
                <w:bCs/>
                <w:sz w:val="32"/>
                <w:szCs w:val="32"/>
              </w:rPr>
              <w:t>保证开机率</w:t>
            </w:r>
            <w:proofErr w:type="spellEnd"/>
          </w:p>
        </w:tc>
        <w:tc>
          <w:tcPr>
            <w:tcW w:w="4328" w:type="dxa"/>
          </w:tcPr>
          <w:p w:rsidR="008640C8" w:rsidRDefault="00D90DD6">
            <w:pPr>
              <w:jc w:val="center"/>
              <w:rPr>
                <w:rFonts w:ascii="宋体" w:hAnsi="宋体" w:cs="宋体"/>
                <w:bCs/>
                <w:sz w:val="32"/>
                <w:szCs w:val="32"/>
              </w:rPr>
            </w:pPr>
            <w:proofErr w:type="spellStart"/>
            <w:r>
              <w:rPr>
                <w:rFonts w:ascii="宋体" w:hAnsi="宋体" w:cs="宋体" w:hint="eastAsia"/>
                <w:bCs/>
                <w:sz w:val="32"/>
                <w:szCs w:val="32"/>
              </w:rPr>
              <w:t>数量</w:t>
            </w:r>
            <w:proofErr w:type="spellEnd"/>
          </w:p>
        </w:tc>
      </w:tr>
      <w:tr w:rsidR="008640C8">
        <w:trPr>
          <w:trHeight w:val="724"/>
        </w:trPr>
        <w:tc>
          <w:tcPr>
            <w:tcW w:w="1029" w:type="dxa"/>
          </w:tcPr>
          <w:p w:rsidR="008640C8" w:rsidRDefault="00D90DD6">
            <w:pPr>
              <w:jc w:val="center"/>
              <w:rPr>
                <w:rFonts w:ascii="宋体" w:hAnsi="宋体" w:cs="宋体"/>
                <w:bCs/>
                <w:sz w:val="32"/>
                <w:szCs w:val="32"/>
              </w:rPr>
            </w:pPr>
            <w:r>
              <w:rPr>
                <w:rFonts w:ascii="宋体" w:hAnsi="宋体" w:cs="宋体" w:hint="eastAsia"/>
                <w:bCs/>
                <w:sz w:val="32"/>
                <w:szCs w:val="32"/>
              </w:rPr>
              <w:t>1</w:t>
            </w:r>
          </w:p>
        </w:tc>
        <w:tc>
          <w:tcPr>
            <w:tcW w:w="1568" w:type="dxa"/>
          </w:tcPr>
          <w:p w:rsidR="008640C8" w:rsidRDefault="00D90DD6">
            <w:pPr>
              <w:jc w:val="center"/>
              <w:rPr>
                <w:rFonts w:ascii="宋体" w:hAnsi="宋体" w:cs="宋体"/>
                <w:bCs/>
                <w:sz w:val="32"/>
                <w:szCs w:val="32"/>
              </w:rPr>
            </w:pPr>
            <w:r>
              <w:rPr>
                <w:rFonts w:ascii="宋体" w:hAnsi="宋体" w:cs="宋体" w:hint="eastAsia"/>
                <w:sz w:val="32"/>
                <w:szCs w:val="32"/>
              </w:rPr>
              <w:t>东芝DR</w:t>
            </w:r>
          </w:p>
        </w:tc>
        <w:tc>
          <w:tcPr>
            <w:tcW w:w="2084" w:type="dxa"/>
          </w:tcPr>
          <w:p w:rsidR="008640C8" w:rsidRDefault="00D90DD6">
            <w:pPr>
              <w:jc w:val="center"/>
              <w:rPr>
                <w:rFonts w:ascii="宋体" w:hAnsi="宋体" w:cs="宋体"/>
                <w:bCs/>
                <w:sz w:val="32"/>
                <w:szCs w:val="32"/>
              </w:rPr>
            </w:pPr>
            <w:r>
              <w:rPr>
                <w:rFonts w:ascii="宋体" w:hAnsi="宋体" w:cs="宋体" w:hint="eastAsia"/>
                <w:sz w:val="32"/>
                <w:szCs w:val="32"/>
              </w:rPr>
              <w:t>≥98%</w:t>
            </w:r>
          </w:p>
        </w:tc>
        <w:tc>
          <w:tcPr>
            <w:tcW w:w="4328" w:type="dxa"/>
          </w:tcPr>
          <w:p w:rsidR="008640C8" w:rsidRDefault="00D90DD6">
            <w:pPr>
              <w:jc w:val="center"/>
              <w:rPr>
                <w:rFonts w:ascii="宋体" w:hAnsi="宋体" w:cs="宋体"/>
                <w:bCs/>
                <w:sz w:val="32"/>
                <w:szCs w:val="32"/>
              </w:rPr>
            </w:pPr>
            <w:r>
              <w:rPr>
                <w:rFonts w:ascii="宋体" w:hAnsi="宋体" w:cs="宋体" w:hint="eastAsia"/>
                <w:bCs/>
                <w:sz w:val="32"/>
                <w:szCs w:val="32"/>
              </w:rPr>
              <w:t>1台</w:t>
            </w:r>
          </w:p>
        </w:tc>
      </w:tr>
      <w:tr w:rsidR="008640C8">
        <w:trPr>
          <w:trHeight w:val="995"/>
        </w:trPr>
        <w:tc>
          <w:tcPr>
            <w:tcW w:w="1029" w:type="dxa"/>
          </w:tcPr>
          <w:p w:rsidR="008640C8" w:rsidRDefault="00D90DD6">
            <w:pPr>
              <w:jc w:val="center"/>
              <w:rPr>
                <w:rFonts w:ascii="宋体" w:hAnsi="宋体" w:cs="宋体"/>
                <w:bCs/>
                <w:sz w:val="32"/>
                <w:szCs w:val="32"/>
              </w:rPr>
            </w:pPr>
            <w:r>
              <w:rPr>
                <w:rFonts w:ascii="宋体" w:hAnsi="宋体" w:cs="宋体" w:hint="eastAsia"/>
                <w:bCs/>
                <w:sz w:val="32"/>
                <w:szCs w:val="32"/>
              </w:rPr>
              <w:t>2</w:t>
            </w:r>
          </w:p>
        </w:tc>
        <w:tc>
          <w:tcPr>
            <w:tcW w:w="1568" w:type="dxa"/>
          </w:tcPr>
          <w:p w:rsidR="008640C8" w:rsidRDefault="00D90DD6">
            <w:pPr>
              <w:jc w:val="center"/>
              <w:rPr>
                <w:rFonts w:ascii="宋体" w:hAnsi="宋体" w:cs="宋体"/>
                <w:bCs/>
                <w:sz w:val="32"/>
                <w:szCs w:val="32"/>
              </w:rPr>
            </w:pPr>
            <w:r>
              <w:rPr>
                <w:rFonts w:ascii="宋体" w:hAnsi="宋体" w:cs="宋体" w:hint="eastAsia"/>
                <w:bCs/>
                <w:sz w:val="32"/>
                <w:szCs w:val="32"/>
              </w:rPr>
              <w:t>东芝CT</w:t>
            </w:r>
          </w:p>
        </w:tc>
        <w:tc>
          <w:tcPr>
            <w:tcW w:w="2084" w:type="dxa"/>
          </w:tcPr>
          <w:p w:rsidR="008640C8" w:rsidRDefault="00D90DD6">
            <w:pPr>
              <w:jc w:val="center"/>
              <w:rPr>
                <w:rFonts w:ascii="宋体" w:hAnsi="宋体" w:cs="宋体"/>
                <w:bCs/>
                <w:sz w:val="32"/>
                <w:szCs w:val="32"/>
              </w:rPr>
            </w:pPr>
            <w:r>
              <w:rPr>
                <w:rFonts w:ascii="宋体" w:hAnsi="宋体" w:cs="宋体" w:hint="eastAsia"/>
                <w:sz w:val="32"/>
                <w:szCs w:val="32"/>
              </w:rPr>
              <w:t>≥98%</w:t>
            </w:r>
          </w:p>
        </w:tc>
        <w:tc>
          <w:tcPr>
            <w:tcW w:w="4328" w:type="dxa"/>
          </w:tcPr>
          <w:p w:rsidR="008640C8" w:rsidRDefault="00D90DD6">
            <w:pPr>
              <w:jc w:val="center"/>
              <w:rPr>
                <w:rFonts w:ascii="宋体" w:hAnsi="宋体" w:cs="宋体"/>
                <w:bCs/>
                <w:sz w:val="32"/>
                <w:szCs w:val="32"/>
              </w:rPr>
            </w:pPr>
            <w:r>
              <w:rPr>
                <w:rFonts w:ascii="宋体" w:hAnsi="宋体" w:cs="宋体" w:hint="eastAsia"/>
                <w:bCs/>
                <w:sz w:val="32"/>
                <w:szCs w:val="32"/>
              </w:rPr>
              <w:t>1台</w:t>
            </w:r>
          </w:p>
        </w:tc>
      </w:tr>
      <w:tr w:rsidR="008640C8">
        <w:trPr>
          <w:trHeight w:val="1005"/>
        </w:trPr>
        <w:tc>
          <w:tcPr>
            <w:tcW w:w="1029" w:type="dxa"/>
          </w:tcPr>
          <w:p w:rsidR="008640C8" w:rsidRDefault="00D90DD6">
            <w:pPr>
              <w:jc w:val="center"/>
              <w:rPr>
                <w:rFonts w:ascii="宋体" w:hAnsi="宋体" w:cs="宋体"/>
                <w:bCs/>
                <w:sz w:val="32"/>
                <w:szCs w:val="32"/>
              </w:rPr>
            </w:pPr>
            <w:r>
              <w:rPr>
                <w:rFonts w:ascii="宋体" w:hAnsi="宋体" w:cs="宋体" w:hint="eastAsia"/>
                <w:bCs/>
                <w:sz w:val="32"/>
                <w:szCs w:val="32"/>
              </w:rPr>
              <w:t>3</w:t>
            </w:r>
          </w:p>
        </w:tc>
        <w:tc>
          <w:tcPr>
            <w:tcW w:w="1568" w:type="dxa"/>
          </w:tcPr>
          <w:p w:rsidR="008640C8" w:rsidRDefault="00D90DD6">
            <w:pPr>
              <w:jc w:val="center"/>
              <w:rPr>
                <w:rFonts w:ascii="宋体" w:hAnsi="宋体" w:cs="宋体"/>
                <w:bCs/>
                <w:sz w:val="32"/>
                <w:szCs w:val="32"/>
              </w:rPr>
            </w:pPr>
            <w:proofErr w:type="spellStart"/>
            <w:r>
              <w:rPr>
                <w:rFonts w:ascii="宋体" w:hAnsi="宋体" w:cs="宋体" w:hint="eastAsia"/>
                <w:bCs/>
                <w:sz w:val="32"/>
                <w:szCs w:val="32"/>
              </w:rPr>
              <w:t>东芝数字胃肠机</w:t>
            </w:r>
            <w:proofErr w:type="spellEnd"/>
          </w:p>
        </w:tc>
        <w:tc>
          <w:tcPr>
            <w:tcW w:w="2084" w:type="dxa"/>
          </w:tcPr>
          <w:p w:rsidR="008640C8" w:rsidRDefault="00D90DD6">
            <w:pPr>
              <w:jc w:val="center"/>
              <w:rPr>
                <w:rFonts w:ascii="宋体" w:hAnsi="宋体" w:cs="宋体"/>
                <w:bCs/>
                <w:sz w:val="32"/>
                <w:szCs w:val="32"/>
              </w:rPr>
            </w:pPr>
            <w:r>
              <w:rPr>
                <w:rFonts w:ascii="宋体" w:hAnsi="宋体" w:cs="宋体" w:hint="eastAsia"/>
                <w:sz w:val="32"/>
                <w:szCs w:val="32"/>
              </w:rPr>
              <w:t>≥98%</w:t>
            </w:r>
          </w:p>
        </w:tc>
        <w:tc>
          <w:tcPr>
            <w:tcW w:w="4328" w:type="dxa"/>
          </w:tcPr>
          <w:p w:rsidR="008640C8" w:rsidRDefault="00D90DD6">
            <w:pPr>
              <w:jc w:val="center"/>
              <w:rPr>
                <w:rFonts w:ascii="宋体" w:hAnsi="宋体" w:cs="宋体"/>
                <w:bCs/>
                <w:sz w:val="32"/>
                <w:szCs w:val="32"/>
              </w:rPr>
            </w:pPr>
            <w:r>
              <w:rPr>
                <w:rFonts w:ascii="宋体" w:hAnsi="宋体" w:cs="宋体" w:hint="eastAsia"/>
                <w:bCs/>
                <w:sz w:val="32"/>
                <w:szCs w:val="32"/>
              </w:rPr>
              <w:t>1台</w:t>
            </w:r>
          </w:p>
        </w:tc>
      </w:tr>
    </w:tbl>
    <w:p w:rsidR="008640C8" w:rsidRDefault="008640C8">
      <w:pPr>
        <w:pStyle w:val="10"/>
        <w:widowControl/>
        <w:shd w:val="clear" w:color="auto" w:fill="FFFFFF"/>
        <w:spacing w:line="360" w:lineRule="auto"/>
        <w:ind w:firstLineChars="0" w:firstLine="0"/>
        <w:jc w:val="distribute"/>
        <w:rPr>
          <w:rFonts w:ascii="仿宋_GB2312" w:eastAsia="仿宋_GB2312" w:hAnsi="仿宋_GB2312" w:cs="仿宋_GB2312"/>
          <w:b/>
          <w:bCs/>
          <w:color w:val="434343"/>
          <w:kern w:val="0"/>
          <w:sz w:val="24"/>
          <w:szCs w:val="24"/>
          <w:shd w:val="clear" w:color="auto" w:fill="FFFFFF"/>
        </w:rPr>
      </w:pPr>
    </w:p>
    <w:p w:rsidR="008640C8" w:rsidRDefault="00D90DD6">
      <w:pPr>
        <w:pStyle w:val="10"/>
        <w:widowControl/>
        <w:shd w:val="clear" w:color="auto" w:fill="FFFFFF"/>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2.技术要求</w:t>
      </w:r>
    </w:p>
    <w:tbl>
      <w:tblPr>
        <w:tblStyle w:val="a4"/>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2175"/>
        <w:gridCol w:w="5895"/>
      </w:tblGrid>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序号</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项目</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要求</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保修方式</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无限次人工技术保</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定期维护保养</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一年不少于四次</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3</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工程师资质</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具有相关证书</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4</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维修完成时间</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一般故障24小时内完成，复杂故障72小时内完成（不含订购配件时间）</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5</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保证开机率</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≥98%年停机时间不超过7</w:t>
            </w:r>
            <w:bookmarkStart w:id="0" w:name="_GoBack"/>
            <w:bookmarkEnd w:id="0"/>
            <w:r>
              <w:rPr>
                <w:rFonts w:ascii="仿宋_GB2312" w:eastAsia="仿宋_GB2312" w:hAnsi="仿宋_GB2312" w:cs="仿宋_GB2312" w:hint="eastAsia"/>
                <w:color w:val="434343"/>
                <w:kern w:val="0"/>
                <w:sz w:val="32"/>
                <w:szCs w:val="32"/>
                <w:shd w:val="clear" w:color="auto" w:fill="FFFFFF"/>
              </w:rPr>
              <w:t>天，开机少一天补偿7天。</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6</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设备检测报告</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每年定期提供设备状态检测报告，提供维修运行记录，维修及保养工单，全年维修保养报告书</w:t>
            </w:r>
          </w:p>
        </w:tc>
      </w:tr>
      <w:tr w:rsidR="008640C8">
        <w:tc>
          <w:tcPr>
            <w:tcW w:w="924"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7</w:t>
            </w:r>
          </w:p>
        </w:tc>
        <w:tc>
          <w:tcPr>
            <w:tcW w:w="217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现场应用培训</w:t>
            </w:r>
          </w:p>
        </w:tc>
        <w:tc>
          <w:tcPr>
            <w:tcW w:w="5895" w:type="dxa"/>
          </w:tcPr>
          <w:p w:rsidR="008640C8" w:rsidRDefault="00D90DD6">
            <w:pPr>
              <w:pStyle w:val="10"/>
              <w:widowControl/>
              <w:spacing w:line="360" w:lineRule="auto"/>
              <w:ind w:firstLineChars="0" w:firstLine="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定期为院内设备工程师提供院内培训，包含设备维修保养、软件应用培训、基本操</w:t>
            </w:r>
            <w:r>
              <w:rPr>
                <w:rFonts w:ascii="仿宋_GB2312" w:eastAsia="仿宋_GB2312" w:hAnsi="仿宋_GB2312" w:cs="仿宋_GB2312" w:hint="eastAsia"/>
                <w:color w:val="434343"/>
                <w:kern w:val="0"/>
                <w:sz w:val="32"/>
                <w:szCs w:val="32"/>
                <w:shd w:val="clear" w:color="auto" w:fill="FFFFFF"/>
              </w:rPr>
              <w:lastRenderedPageBreak/>
              <w:t>作流程规范与紧急问题处理以及设备常见故障维修维护培训，需提供培训方案。</w:t>
            </w:r>
          </w:p>
        </w:tc>
      </w:tr>
    </w:tbl>
    <w:p w:rsidR="008640C8" w:rsidRDefault="00D90DD6">
      <w:pPr>
        <w:pStyle w:val="10"/>
        <w:widowControl/>
        <w:shd w:val="clear" w:color="auto" w:fill="FFFFFF"/>
        <w:spacing w:line="360" w:lineRule="auto"/>
        <w:ind w:firstLineChars="0" w:firstLine="0"/>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lastRenderedPageBreak/>
        <w:t>八、投标人资格预审及要求：</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1.企业营业执照（复印件）：经营范围应包含与本项目相关内容;</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2.法人证明：《法定代表人证明书》，法人签字盖章有效；</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3.法人授权代理人证明：《法定代表人授权代理人授权书》、法定代表人授权代理人身份证（二代身份证）的复印件；</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4.与本次招标项目有关的其他补充资料（如项目初步方案、信用报告等）</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5.本招标项目不接受联合体投标；</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sz w:val="32"/>
          <w:szCs w:val="32"/>
        </w:rPr>
      </w:pPr>
      <w:r>
        <w:rPr>
          <w:rFonts w:ascii="仿宋_GB2312" w:eastAsia="仿宋_GB2312" w:hAnsi="仿宋_GB2312" w:cs="仿宋_GB2312" w:hint="eastAsia"/>
          <w:color w:val="434343"/>
          <w:kern w:val="0"/>
          <w:sz w:val="32"/>
          <w:szCs w:val="32"/>
          <w:shd w:val="clear" w:color="auto" w:fill="FFFFFF"/>
        </w:rPr>
        <w:t>6.送审资料须于本项目公告期间内送至指定地点，逾期送达、不符合规定或证件不齐全的资格预审申请书将被拒绝；</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sz w:val="32"/>
          <w:szCs w:val="32"/>
        </w:rPr>
      </w:pPr>
      <w:r>
        <w:rPr>
          <w:rFonts w:ascii="仿宋_GB2312" w:eastAsia="仿宋_GB2312" w:hAnsi="仿宋_GB2312" w:cs="仿宋_GB2312" w:hint="eastAsia"/>
          <w:color w:val="434343"/>
          <w:kern w:val="0"/>
          <w:sz w:val="32"/>
          <w:szCs w:val="32"/>
          <w:shd w:val="clear" w:color="auto" w:fill="FFFFFF"/>
        </w:rPr>
        <w:t>7.报名资格审查时，须提供对应复印件及核查原件，无法提供原件原则上视为无效；</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8.资料不予退还（证书原件除外）。采购人对报名投标人所提交的资格预审资料给予保密。</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以上项目按1-5顺序形成目录一份，作为送审资料封面。其中资料1-5项必须递交。所有资料加盖公章同时，必须保证复印件正文内容与原件一致，清晰可辨认，否则视为无效，</w:t>
      </w:r>
      <w:r>
        <w:rPr>
          <w:rFonts w:ascii="仿宋_GB2312" w:eastAsia="仿宋_GB2312" w:hAnsi="仿宋_GB2312" w:cs="仿宋_GB2312" w:hint="eastAsia"/>
          <w:color w:val="434343"/>
          <w:kern w:val="0"/>
          <w:sz w:val="32"/>
          <w:szCs w:val="32"/>
          <w:shd w:val="clear" w:color="auto" w:fill="FFFFFF"/>
        </w:rPr>
        <w:lastRenderedPageBreak/>
        <w:t>不能通过资格预审。符合资格投标人，须配合审查人员，于报名现场填报《富民县人民医院放射科设备维保服务项目院内</w:t>
      </w:r>
      <w:r w:rsidR="007F2D6D">
        <w:rPr>
          <w:rFonts w:ascii="仿宋_GB2312" w:eastAsia="仿宋_GB2312" w:hAnsi="仿宋_GB2312" w:cs="仿宋_GB2312" w:hint="eastAsia"/>
          <w:color w:val="434343"/>
          <w:kern w:val="0"/>
          <w:sz w:val="32"/>
          <w:szCs w:val="32"/>
          <w:shd w:val="clear" w:color="auto" w:fill="FFFFFF"/>
        </w:rPr>
        <w:t>磋商</w:t>
      </w:r>
      <w:r>
        <w:rPr>
          <w:rFonts w:ascii="仿宋_GB2312" w:eastAsia="仿宋_GB2312" w:hAnsi="仿宋_GB2312" w:cs="仿宋_GB2312" w:hint="eastAsia"/>
          <w:color w:val="434343"/>
          <w:kern w:val="0"/>
          <w:sz w:val="32"/>
          <w:szCs w:val="32"/>
          <w:shd w:val="clear" w:color="auto" w:fill="FFFFFF"/>
        </w:rPr>
        <w:t>谈判报名表》。</w:t>
      </w:r>
    </w:p>
    <w:p w:rsidR="008640C8" w:rsidRDefault="00D90DD6">
      <w:pPr>
        <w:widowControl/>
        <w:shd w:val="clear" w:color="auto" w:fill="FFFFFF"/>
        <w:spacing w:line="360" w:lineRule="auto"/>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九、投标资料要求：</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 投标文件一式2份（一正一副），做好单独装订，密封盖章。</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2.投标报价单一份(需按招标人提供目录顺序报价，否则视为废标处理)，与投标文件一起密封，开标时使用，投标报价单须与投标文件内报价一致，若不一致的，作为废标处理。</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3.投标人按报名顺序对本次项目的安排进行介绍，并现场接受提问。</w:t>
      </w:r>
    </w:p>
    <w:p w:rsidR="008640C8" w:rsidRDefault="00D90DD6">
      <w:pPr>
        <w:widowControl/>
        <w:shd w:val="clear" w:color="auto" w:fill="FFFFFF"/>
        <w:spacing w:line="360" w:lineRule="auto"/>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十、评标办法及原则</w:t>
      </w:r>
    </w:p>
    <w:p w:rsidR="008640C8" w:rsidRDefault="00D90DD6" w:rsidP="00D52385">
      <w:pPr>
        <w:snapToGrid w:val="0"/>
        <w:spacing w:beforeLines="30" w:line="360" w:lineRule="auto"/>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评标采用公平、公正、科学、择优的原则，</w:t>
      </w:r>
      <w:r w:rsidR="005C3E11">
        <w:rPr>
          <w:rFonts w:ascii="仿宋_GB2312" w:eastAsia="仿宋_GB2312" w:hAnsi="仿宋_GB2312" w:cs="仿宋_GB2312" w:hint="eastAsia"/>
          <w:color w:val="333333"/>
          <w:sz w:val="32"/>
          <w:szCs w:val="32"/>
        </w:rPr>
        <w:t>一轮报价，</w:t>
      </w:r>
      <w:r>
        <w:rPr>
          <w:rFonts w:ascii="仿宋_GB2312" w:eastAsia="仿宋_GB2312" w:hAnsi="仿宋_GB2312" w:cs="仿宋_GB2312" w:hint="eastAsia"/>
          <w:color w:val="333333"/>
          <w:sz w:val="32"/>
          <w:szCs w:val="32"/>
        </w:rPr>
        <w:t>采取综合评分法（价格是重要因素，但不承诺低价格中标），高分中标原则。</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1623"/>
        <w:gridCol w:w="6262"/>
      </w:tblGrid>
      <w:tr w:rsidR="008640C8">
        <w:trPr>
          <w:trHeight w:val="698"/>
          <w:jc w:val="center"/>
        </w:trPr>
        <w:tc>
          <w:tcPr>
            <w:tcW w:w="1211" w:type="dxa"/>
            <w:tcBorders>
              <w:top w:val="single" w:sz="4" w:space="0" w:color="auto"/>
              <w:left w:val="single" w:sz="4" w:space="0" w:color="auto"/>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10.1</w:t>
            </w:r>
          </w:p>
        </w:tc>
        <w:tc>
          <w:tcPr>
            <w:tcW w:w="1623"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评审办法</w:t>
            </w:r>
          </w:p>
        </w:tc>
        <w:tc>
          <w:tcPr>
            <w:tcW w:w="6262"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本项目采用综合评分法。（满分100分）</w:t>
            </w:r>
          </w:p>
        </w:tc>
      </w:tr>
      <w:tr w:rsidR="008640C8">
        <w:trPr>
          <w:trHeight w:val="698"/>
          <w:jc w:val="center"/>
        </w:trPr>
        <w:tc>
          <w:tcPr>
            <w:tcW w:w="1211" w:type="dxa"/>
            <w:tcBorders>
              <w:top w:val="single" w:sz="4" w:space="0" w:color="auto"/>
              <w:left w:val="single" w:sz="4" w:space="0" w:color="auto"/>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10.1.1</w:t>
            </w:r>
          </w:p>
        </w:tc>
        <w:tc>
          <w:tcPr>
            <w:tcW w:w="1623"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资质符合要求（10分）</w:t>
            </w:r>
          </w:p>
        </w:tc>
        <w:tc>
          <w:tcPr>
            <w:tcW w:w="6262"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资质符合要求10分，不符合要求0分。</w:t>
            </w:r>
          </w:p>
        </w:tc>
      </w:tr>
      <w:tr w:rsidR="008640C8">
        <w:trPr>
          <w:trHeight w:val="878"/>
          <w:jc w:val="center"/>
        </w:trPr>
        <w:tc>
          <w:tcPr>
            <w:tcW w:w="1211" w:type="dxa"/>
            <w:tcBorders>
              <w:top w:val="single" w:sz="4" w:space="0" w:color="auto"/>
              <w:left w:val="single" w:sz="4" w:space="0" w:color="auto"/>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10.1.2</w:t>
            </w:r>
          </w:p>
        </w:tc>
        <w:tc>
          <w:tcPr>
            <w:tcW w:w="1623" w:type="dxa"/>
            <w:tcBorders>
              <w:top w:val="single" w:sz="4" w:space="0" w:color="auto"/>
              <w:left w:val="nil"/>
              <w:bottom w:val="single" w:sz="4" w:space="0" w:color="auto"/>
              <w:right w:val="single" w:sz="4" w:space="0" w:color="auto"/>
            </w:tcBorders>
            <w:vAlign w:val="center"/>
          </w:tcPr>
          <w:p w:rsidR="008640C8" w:rsidRDefault="00D90DD6" w:rsidP="005C3E11">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报价（30分）</w:t>
            </w:r>
          </w:p>
        </w:tc>
        <w:tc>
          <w:tcPr>
            <w:tcW w:w="6262"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分值30分（最低价为最高分、最高价为最低分）</w:t>
            </w:r>
          </w:p>
        </w:tc>
      </w:tr>
      <w:tr w:rsidR="008640C8">
        <w:trPr>
          <w:trHeight w:val="893"/>
          <w:jc w:val="center"/>
        </w:trPr>
        <w:tc>
          <w:tcPr>
            <w:tcW w:w="1211" w:type="dxa"/>
            <w:tcBorders>
              <w:top w:val="single" w:sz="4" w:space="0" w:color="auto"/>
              <w:left w:val="single" w:sz="4" w:space="0" w:color="auto"/>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10.1.3</w:t>
            </w:r>
          </w:p>
        </w:tc>
        <w:tc>
          <w:tcPr>
            <w:tcW w:w="1623"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业绩（15分）</w:t>
            </w:r>
          </w:p>
        </w:tc>
        <w:tc>
          <w:tcPr>
            <w:tcW w:w="6262"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三家以上（含三家）15分；二家10分；一家5分（需提供用户的购销合同或类似的证明材料）</w:t>
            </w:r>
          </w:p>
        </w:tc>
      </w:tr>
      <w:tr w:rsidR="008640C8">
        <w:trPr>
          <w:trHeight w:val="711"/>
          <w:jc w:val="center"/>
        </w:trPr>
        <w:tc>
          <w:tcPr>
            <w:tcW w:w="1211" w:type="dxa"/>
            <w:tcBorders>
              <w:top w:val="single" w:sz="4" w:space="0" w:color="auto"/>
              <w:left w:val="single" w:sz="4" w:space="0" w:color="auto"/>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lastRenderedPageBreak/>
              <w:t>10.1.4</w:t>
            </w:r>
          </w:p>
        </w:tc>
        <w:tc>
          <w:tcPr>
            <w:tcW w:w="1623"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承诺（25分）</w:t>
            </w:r>
          </w:p>
        </w:tc>
        <w:tc>
          <w:tcPr>
            <w:tcW w:w="6262"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满足医院需求25分；基本满足15分；不满足0分。</w:t>
            </w:r>
          </w:p>
        </w:tc>
      </w:tr>
      <w:tr w:rsidR="008640C8">
        <w:trPr>
          <w:trHeight w:val="558"/>
          <w:jc w:val="center"/>
        </w:trPr>
        <w:tc>
          <w:tcPr>
            <w:tcW w:w="1211" w:type="dxa"/>
            <w:tcBorders>
              <w:top w:val="single" w:sz="4" w:space="0" w:color="auto"/>
              <w:left w:val="single" w:sz="4" w:space="0" w:color="auto"/>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10.1.5</w:t>
            </w:r>
          </w:p>
        </w:tc>
        <w:tc>
          <w:tcPr>
            <w:tcW w:w="1623"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其他优惠条件（20分）</w:t>
            </w:r>
          </w:p>
        </w:tc>
        <w:tc>
          <w:tcPr>
            <w:tcW w:w="6262" w:type="dxa"/>
            <w:tcBorders>
              <w:top w:val="single" w:sz="4" w:space="0" w:color="auto"/>
              <w:left w:val="nil"/>
              <w:bottom w:val="single" w:sz="4" w:space="0" w:color="auto"/>
              <w:right w:val="single" w:sz="4" w:space="0" w:color="auto"/>
            </w:tcBorders>
            <w:vAlign w:val="center"/>
          </w:tcPr>
          <w:p w:rsidR="008640C8" w:rsidRDefault="00D90DD6">
            <w:pPr>
              <w:widowControl/>
              <w:shd w:val="clear" w:color="auto" w:fill="FFFFFF"/>
              <w:spacing w:line="360" w:lineRule="auto"/>
              <w:jc w:val="left"/>
              <w:rPr>
                <w:rFonts w:ascii="仿宋_GB2312" w:eastAsia="仿宋_GB2312" w:hAnsi="仿宋_GB2312" w:cs="仿宋_GB2312"/>
                <w:color w:val="434343"/>
                <w:kern w:val="0"/>
                <w:sz w:val="24"/>
                <w:szCs w:val="24"/>
                <w:shd w:val="clear" w:color="auto" w:fill="FFFFFF"/>
              </w:rPr>
            </w:pPr>
            <w:r>
              <w:rPr>
                <w:rFonts w:ascii="仿宋_GB2312" w:eastAsia="仿宋_GB2312" w:hAnsi="仿宋_GB2312" w:cs="仿宋_GB2312" w:hint="eastAsia"/>
                <w:color w:val="434343"/>
                <w:kern w:val="0"/>
                <w:sz w:val="24"/>
                <w:szCs w:val="24"/>
                <w:shd w:val="clear" w:color="auto" w:fill="FFFFFF"/>
              </w:rPr>
              <w:t>评标委员会根据投标人所提供的其他优惠条，综合其他投标人优惠条件酌情打分。</w:t>
            </w:r>
          </w:p>
        </w:tc>
      </w:tr>
    </w:tbl>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 </w:t>
      </w:r>
    </w:p>
    <w:p w:rsidR="008640C8" w:rsidRDefault="00D90DD6">
      <w:pPr>
        <w:widowControl/>
        <w:shd w:val="clear" w:color="auto" w:fill="FFFFFF"/>
        <w:spacing w:line="360" w:lineRule="auto"/>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十一、报名时间</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1.报名时间：2020年5月18日至2020年5月2</w:t>
      </w:r>
      <w:r w:rsidR="00851266">
        <w:rPr>
          <w:rFonts w:ascii="仿宋_GB2312" w:eastAsia="仿宋_GB2312" w:hAnsi="仿宋_GB2312" w:cs="仿宋_GB2312" w:hint="eastAsia"/>
          <w:color w:val="434343"/>
          <w:kern w:val="0"/>
          <w:sz w:val="32"/>
          <w:szCs w:val="32"/>
          <w:shd w:val="clear" w:color="auto" w:fill="FFFFFF"/>
        </w:rPr>
        <w:t>2</w:t>
      </w:r>
      <w:r>
        <w:rPr>
          <w:rFonts w:ascii="仿宋_GB2312" w:eastAsia="仿宋_GB2312" w:hAnsi="仿宋_GB2312" w:cs="仿宋_GB2312" w:hint="eastAsia"/>
          <w:color w:val="434343"/>
          <w:kern w:val="0"/>
          <w:sz w:val="32"/>
          <w:szCs w:val="32"/>
          <w:shd w:val="clear" w:color="auto" w:fill="FFFFFF"/>
        </w:rPr>
        <w:t>日（正常上班时间内）;</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434343"/>
          <w:kern w:val="0"/>
          <w:sz w:val="32"/>
          <w:szCs w:val="32"/>
          <w:shd w:val="clear" w:color="auto" w:fill="FFFFFF"/>
        </w:rPr>
        <w:t>2.报名时需缴纳1000元投标保证金，保证金在开标结束后无息全额退还，包括中标公司。</w:t>
      </w:r>
    </w:p>
    <w:p w:rsidR="008640C8" w:rsidRDefault="00D90DD6">
      <w:pPr>
        <w:widowControl/>
        <w:shd w:val="clear" w:color="auto" w:fill="FFFFFF"/>
        <w:spacing w:line="360" w:lineRule="auto"/>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十二、报名地点</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富民县人民医院综合楼四楼医学装备科  </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联系人：角老师、杨老师，联系电话：0871-68815003</w:t>
      </w:r>
    </w:p>
    <w:p w:rsidR="008640C8" w:rsidRDefault="00D90DD6">
      <w:pPr>
        <w:widowControl/>
        <w:shd w:val="clear" w:color="auto" w:fill="FFFFFF"/>
        <w:spacing w:line="360" w:lineRule="auto"/>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十三、开标时间</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2020年</w:t>
      </w:r>
      <w:r w:rsidR="002F497A">
        <w:rPr>
          <w:rFonts w:ascii="仿宋_GB2312" w:eastAsia="仿宋_GB2312" w:hAnsi="仿宋_GB2312" w:cs="仿宋_GB2312" w:hint="eastAsia"/>
          <w:color w:val="434343"/>
          <w:kern w:val="0"/>
          <w:sz w:val="32"/>
          <w:szCs w:val="32"/>
          <w:shd w:val="clear" w:color="auto" w:fill="FFFFFF"/>
        </w:rPr>
        <w:t>5</w:t>
      </w:r>
      <w:r>
        <w:rPr>
          <w:rFonts w:ascii="仿宋_GB2312" w:eastAsia="仿宋_GB2312" w:hAnsi="仿宋_GB2312" w:cs="仿宋_GB2312" w:hint="eastAsia"/>
          <w:color w:val="434343"/>
          <w:kern w:val="0"/>
          <w:sz w:val="32"/>
          <w:szCs w:val="32"/>
          <w:shd w:val="clear" w:color="auto" w:fill="FFFFFF"/>
        </w:rPr>
        <w:t>月2</w:t>
      </w:r>
      <w:r w:rsidR="00851266">
        <w:rPr>
          <w:rFonts w:ascii="仿宋_GB2312" w:eastAsia="仿宋_GB2312" w:hAnsi="仿宋_GB2312" w:cs="仿宋_GB2312" w:hint="eastAsia"/>
          <w:color w:val="434343"/>
          <w:kern w:val="0"/>
          <w:sz w:val="32"/>
          <w:szCs w:val="32"/>
          <w:shd w:val="clear" w:color="auto" w:fill="FFFFFF"/>
        </w:rPr>
        <w:t>5</w:t>
      </w:r>
      <w:r>
        <w:rPr>
          <w:rFonts w:ascii="仿宋_GB2312" w:eastAsia="仿宋_GB2312" w:hAnsi="仿宋_GB2312" w:cs="仿宋_GB2312" w:hint="eastAsia"/>
          <w:color w:val="434343"/>
          <w:kern w:val="0"/>
          <w:sz w:val="32"/>
          <w:szCs w:val="32"/>
          <w:shd w:val="clear" w:color="auto" w:fill="FFFFFF"/>
        </w:rPr>
        <w:t>日下午14:30，在富民县人民医院综合楼五楼会议室竞标。请竞标公司按时参加，逾期不再受理。</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注意事项：</w:t>
      </w:r>
    </w:p>
    <w:p w:rsidR="008640C8" w:rsidRDefault="00D90DD6">
      <w:pPr>
        <w:widowControl/>
        <w:shd w:val="clear" w:color="auto" w:fill="FFFFFF"/>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开标现场一个投标公司仅允许两人进入，递交投标文件时，由现场公证人员检查投标文件的密封性、对于未按照要求密封的投标文件或在投标文件递交的截止时间之后递交的投标文件将拒收。招标人对评标结果不做任何解释，如投标人对本次招标有异议可向富民县人民医院投诉办投诉也可以向行政主管部门富民县卫</w:t>
      </w:r>
      <w:r w:rsidR="007F2D6D">
        <w:rPr>
          <w:rFonts w:ascii="仿宋_GB2312" w:eastAsia="仿宋_GB2312" w:hAnsi="仿宋_GB2312" w:cs="仿宋_GB2312" w:hint="eastAsia"/>
          <w:color w:val="434343"/>
          <w:kern w:val="0"/>
          <w:sz w:val="32"/>
          <w:szCs w:val="32"/>
          <w:shd w:val="clear" w:color="auto" w:fill="FFFFFF"/>
        </w:rPr>
        <w:t>健</w:t>
      </w:r>
      <w:r>
        <w:rPr>
          <w:rFonts w:ascii="仿宋_GB2312" w:eastAsia="仿宋_GB2312" w:hAnsi="仿宋_GB2312" w:cs="仿宋_GB2312" w:hint="eastAsia"/>
          <w:color w:val="434343"/>
          <w:kern w:val="0"/>
          <w:sz w:val="32"/>
          <w:szCs w:val="32"/>
          <w:shd w:val="clear" w:color="auto" w:fill="FFFFFF"/>
        </w:rPr>
        <w:t>局办公室进行投诉。</w:t>
      </w:r>
    </w:p>
    <w:p w:rsidR="008640C8" w:rsidRDefault="00D90DD6">
      <w:pPr>
        <w:widowControl/>
        <w:shd w:val="clear" w:color="auto" w:fill="FFFFFF"/>
        <w:spacing w:line="360" w:lineRule="auto"/>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lastRenderedPageBreak/>
        <w:t>十四、报价表</w:t>
      </w:r>
    </w:p>
    <w:p w:rsidR="008640C8" w:rsidRDefault="00D90DD6">
      <w:pPr>
        <w:widowControl/>
        <w:shd w:val="clear" w:color="auto" w:fill="FFFFFF"/>
        <w:spacing w:line="360" w:lineRule="auto"/>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 </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3126"/>
        <w:gridCol w:w="3125"/>
      </w:tblGrid>
      <w:tr w:rsidR="008640C8">
        <w:trPr>
          <w:cantSplit/>
        </w:trPr>
        <w:tc>
          <w:tcPr>
            <w:tcW w:w="2823" w:type="dxa"/>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tc>
        <w:tc>
          <w:tcPr>
            <w:tcW w:w="6251" w:type="dxa"/>
            <w:gridSpan w:val="2"/>
            <w:vAlign w:val="center"/>
          </w:tcPr>
          <w:p w:rsidR="008640C8" w:rsidRDefault="008640C8">
            <w:pPr>
              <w:spacing w:line="360" w:lineRule="auto"/>
              <w:ind w:firstLineChars="200" w:firstLine="640"/>
              <w:jc w:val="center"/>
              <w:rPr>
                <w:rFonts w:ascii="仿宋_GB2312" w:eastAsia="仿宋_GB2312" w:hAnsi="仿宋_GB2312" w:cs="仿宋_GB2312"/>
                <w:sz w:val="32"/>
                <w:szCs w:val="32"/>
              </w:rPr>
            </w:pPr>
          </w:p>
        </w:tc>
      </w:tr>
      <w:tr w:rsidR="008640C8">
        <w:trPr>
          <w:cantSplit/>
          <w:trHeight w:val="300"/>
        </w:trPr>
        <w:tc>
          <w:tcPr>
            <w:tcW w:w="2823" w:type="dxa"/>
            <w:vMerge w:val="restart"/>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投标总价（万元）</w:t>
            </w:r>
          </w:p>
        </w:tc>
        <w:tc>
          <w:tcPr>
            <w:tcW w:w="3126" w:type="dxa"/>
            <w:vAlign w:val="center"/>
          </w:tcPr>
          <w:p w:rsidR="008640C8" w:rsidRDefault="00D90DD6">
            <w:pPr>
              <w:spacing w:line="360" w:lineRule="auto"/>
              <w:ind w:firstLineChars="200" w:firstLine="64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小   写</w:t>
            </w:r>
          </w:p>
        </w:tc>
        <w:tc>
          <w:tcPr>
            <w:tcW w:w="3125" w:type="dxa"/>
            <w:vAlign w:val="center"/>
          </w:tcPr>
          <w:p w:rsidR="008640C8" w:rsidRDefault="00D90DD6">
            <w:pPr>
              <w:spacing w:line="360" w:lineRule="auto"/>
              <w:ind w:firstLineChars="200" w:firstLine="64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大  写</w:t>
            </w:r>
          </w:p>
        </w:tc>
      </w:tr>
      <w:tr w:rsidR="008640C8">
        <w:trPr>
          <w:cantSplit/>
          <w:trHeight w:val="536"/>
        </w:trPr>
        <w:tc>
          <w:tcPr>
            <w:tcW w:w="2823" w:type="dxa"/>
            <w:vMerge/>
            <w:tcBorders>
              <w:bottom w:val="single" w:sz="4" w:space="0" w:color="auto"/>
            </w:tcBorders>
            <w:vAlign w:val="center"/>
          </w:tcPr>
          <w:p w:rsidR="008640C8" w:rsidRDefault="008640C8">
            <w:pPr>
              <w:spacing w:line="360" w:lineRule="auto"/>
              <w:ind w:firstLineChars="200" w:firstLine="640"/>
              <w:jc w:val="center"/>
              <w:rPr>
                <w:rFonts w:ascii="仿宋_GB2312" w:eastAsia="仿宋_GB2312" w:hAnsi="仿宋_GB2312" w:cs="仿宋_GB2312"/>
                <w:sz w:val="32"/>
                <w:szCs w:val="32"/>
              </w:rPr>
            </w:pPr>
          </w:p>
        </w:tc>
        <w:tc>
          <w:tcPr>
            <w:tcW w:w="3126" w:type="dxa"/>
            <w:tcBorders>
              <w:bottom w:val="single" w:sz="4" w:space="0" w:color="auto"/>
            </w:tcBorders>
            <w:vAlign w:val="center"/>
          </w:tcPr>
          <w:p w:rsidR="008640C8" w:rsidRDefault="008640C8">
            <w:pPr>
              <w:spacing w:line="360" w:lineRule="auto"/>
              <w:ind w:firstLineChars="200" w:firstLine="640"/>
              <w:jc w:val="center"/>
              <w:rPr>
                <w:rFonts w:ascii="仿宋_GB2312" w:eastAsia="仿宋_GB2312" w:hAnsi="仿宋_GB2312" w:cs="仿宋_GB2312"/>
                <w:sz w:val="32"/>
                <w:szCs w:val="32"/>
              </w:rPr>
            </w:pPr>
          </w:p>
        </w:tc>
        <w:tc>
          <w:tcPr>
            <w:tcW w:w="3125" w:type="dxa"/>
            <w:tcBorders>
              <w:bottom w:val="single" w:sz="4" w:space="0" w:color="auto"/>
            </w:tcBorders>
            <w:vAlign w:val="center"/>
          </w:tcPr>
          <w:p w:rsidR="008640C8" w:rsidRDefault="008640C8">
            <w:pPr>
              <w:spacing w:line="360" w:lineRule="auto"/>
              <w:ind w:firstLineChars="200" w:firstLine="640"/>
              <w:jc w:val="center"/>
              <w:rPr>
                <w:rFonts w:ascii="仿宋_GB2312" w:eastAsia="仿宋_GB2312" w:hAnsi="仿宋_GB2312" w:cs="仿宋_GB2312"/>
                <w:sz w:val="32"/>
                <w:szCs w:val="32"/>
              </w:rPr>
            </w:pPr>
          </w:p>
        </w:tc>
      </w:tr>
      <w:tr w:rsidR="008640C8">
        <w:trPr>
          <w:cantSplit/>
        </w:trPr>
        <w:tc>
          <w:tcPr>
            <w:tcW w:w="2823" w:type="dxa"/>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质 量 承 诺</w:t>
            </w:r>
          </w:p>
        </w:tc>
        <w:tc>
          <w:tcPr>
            <w:tcW w:w="6251" w:type="dxa"/>
            <w:gridSpan w:val="2"/>
            <w:vAlign w:val="center"/>
          </w:tcPr>
          <w:p w:rsidR="008640C8" w:rsidRDefault="008640C8">
            <w:pPr>
              <w:spacing w:line="360" w:lineRule="auto"/>
              <w:ind w:firstLineChars="200" w:firstLine="640"/>
              <w:jc w:val="center"/>
              <w:rPr>
                <w:rFonts w:ascii="仿宋_GB2312" w:eastAsia="仿宋_GB2312" w:hAnsi="仿宋_GB2312" w:cs="仿宋_GB2312"/>
                <w:sz w:val="32"/>
                <w:szCs w:val="32"/>
              </w:rPr>
            </w:pPr>
          </w:p>
        </w:tc>
      </w:tr>
      <w:tr w:rsidR="008640C8">
        <w:trPr>
          <w:cantSplit/>
        </w:trPr>
        <w:tc>
          <w:tcPr>
            <w:tcW w:w="2823" w:type="dxa"/>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服 务 期</w:t>
            </w:r>
          </w:p>
        </w:tc>
        <w:tc>
          <w:tcPr>
            <w:tcW w:w="6251" w:type="dxa"/>
            <w:gridSpan w:val="2"/>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日历天</w:t>
            </w:r>
          </w:p>
        </w:tc>
      </w:tr>
      <w:tr w:rsidR="008640C8">
        <w:trPr>
          <w:cantSplit/>
          <w:trHeight w:val="390"/>
        </w:trPr>
        <w:tc>
          <w:tcPr>
            <w:tcW w:w="2823" w:type="dxa"/>
            <w:tcBorders>
              <w:bottom w:val="single" w:sz="4" w:space="0" w:color="auto"/>
            </w:tcBorders>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说   明</w:t>
            </w:r>
          </w:p>
        </w:tc>
        <w:tc>
          <w:tcPr>
            <w:tcW w:w="6251" w:type="dxa"/>
            <w:gridSpan w:val="2"/>
            <w:tcBorders>
              <w:bottom w:val="single" w:sz="4" w:space="0" w:color="auto"/>
            </w:tcBorders>
            <w:vAlign w:val="center"/>
          </w:tcPr>
          <w:p w:rsidR="008640C8" w:rsidRDefault="00D90DD6">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c>
      </w:tr>
    </w:tbl>
    <w:p w:rsidR="008640C8" w:rsidRDefault="008640C8">
      <w:pPr>
        <w:widowControl/>
        <w:shd w:val="clear" w:color="auto" w:fill="FFFFFF"/>
        <w:spacing w:line="360" w:lineRule="auto"/>
        <w:jc w:val="left"/>
        <w:rPr>
          <w:rFonts w:ascii="仿宋_GB2312" w:eastAsia="仿宋_GB2312" w:hAnsi="仿宋_GB2312" w:cs="仿宋_GB2312"/>
          <w:color w:val="434343"/>
          <w:kern w:val="0"/>
          <w:sz w:val="32"/>
          <w:szCs w:val="32"/>
          <w:shd w:val="clear" w:color="auto" w:fill="FFFFFF"/>
        </w:rPr>
      </w:pPr>
    </w:p>
    <w:p w:rsidR="008640C8" w:rsidRDefault="00D90DD6">
      <w:pPr>
        <w:widowControl/>
        <w:shd w:val="clear" w:color="auto" w:fill="FFFFFF"/>
        <w:spacing w:line="360" w:lineRule="auto"/>
        <w:ind w:firstLineChars="200" w:firstLine="640"/>
        <w:jc w:val="center"/>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                                 投标人（签章）：</w:t>
      </w:r>
    </w:p>
    <w:p w:rsidR="008640C8" w:rsidRDefault="00D90DD6">
      <w:pPr>
        <w:widowControl/>
        <w:shd w:val="clear" w:color="auto" w:fill="FFFFFF"/>
        <w:spacing w:line="360" w:lineRule="auto"/>
        <w:jc w:val="righ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法定代表人或授权委托人：</w:t>
      </w:r>
    </w:p>
    <w:p w:rsidR="008640C8" w:rsidRDefault="00D90DD6">
      <w:pPr>
        <w:widowControl/>
        <w:shd w:val="clear" w:color="auto" w:fill="FFFFFF"/>
        <w:spacing w:line="360" w:lineRule="auto"/>
        <w:ind w:firstLineChars="200" w:firstLine="640"/>
        <w:jc w:val="righ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填表时间：   年  月  日</w:t>
      </w:r>
    </w:p>
    <w:p w:rsidR="008640C8" w:rsidRDefault="008640C8">
      <w:pPr>
        <w:widowControl/>
        <w:shd w:val="clear" w:color="auto" w:fill="FFFFFF"/>
        <w:spacing w:line="360" w:lineRule="auto"/>
        <w:rPr>
          <w:rFonts w:ascii="仿宋_GB2312" w:eastAsia="仿宋_GB2312" w:hAnsi="仿宋_GB2312" w:cs="仿宋_GB2312"/>
          <w:b/>
          <w:bCs/>
          <w:color w:val="434343"/>
          <w:kern w:val="0"/>
          <w:sz w:val="32"/>
          <w:szCs w:val="32"/>
          <w:shd w:val="clear" w:color="auto" w:fill="FFFFFF"/>
        </w:rPr>
      </w:pPr>
    </w:p>
    <w:p w:rsidR="008640C8" w:rsidRDefault="008640C8">
      <w:pPr>
        <w:widowControl/>
        <w:shd w:val="clear" w:color="auto" w:fill="FFFFFF"/>
        <w:spacing w:line="360" w:lineRule="auto"/>
        <w:rPr>
          <w:rFonts w:ascii="仿宋_GB2312" w:eastAsia="仿宋_GB2312" w:hAnsi="仿宋_GB2312" w:cs="仿宋_GB2312"/>
          <w:color w:val="434343"/>
          <w:kern w:val="0"/>
          <w:sz w:val="32"/>
          <w:szCs w:val="32"/>
          <w:shd w:val="clear" w:color="auto" w:fill="FFFFFF"/>
        </w:rPr>
      </w:pPr>
    </w:p>
    <w:p w:rsidR="008640C8" w:rsidRDefault="00D90DD6" w:rsidP="00D52385">
      <w:pPr>
        <w:pStyle w:val="2"/>
        <w:numPr>
          <w:ilvl w:val="0"/>
          <w:numId w:val="0"/>
        </w:numPr>
        <w:spacing w:before="156" w:afterLines="50" w:line="360" w:lineRule="auto"/>
        <w:ind w:left="576" w:hanging="576"/>
        <w:rPr>
          <w:rFonts w:ascii="仿宋_GB2312" w:eastAsia="仿宋_GB2312" w:hAnsi="仿宋_GB2312" w:cs="仿宋_GB2312"/>
          <w:color w:val="434343"/>
          <w:kern w:val="0"/>
          <w:shd w:val="clear" w:color="auto" w:fill="FFFFFF"/>
        </w:rPr>
      </w:pPr>
      <w:bookmarkStart w:id="1" w:name="_Toc465071211"/>
      <w:r>
        <w:rPr>
          <w:rFonts w:ascii="仿宋_GB2312" w:eastAsia="仿宋_GB2312" w:hAnsi="仿宋_GB2312" w:cs="仿宋_GB2312" w:hint="eastAsia"/>
          <w:color w:val="434343"/>
          <w:kern w:val="0"/>
          <w:shd w:val="clear" w:color="auto" w:fill="FFFFFF"/>
        </w:rPr>
        <w:t>十五、维保方案</w:t>
      </w:r>
      <w:bookmarkEnd w:id="1"/>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1、根据维护保养业务内容编制对应的、可行的维护保养组织方案及管理制度。</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注：谈判申请人自行编制</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2、投标方实施对放射科设备维修保养业务，应符合国家安全技术规范、标准和特种设备安全管理规范要求，落实现场的安全防护措施。</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lastRenderedPageBreak/>
        <w:t>注：谈判申请人自行编制</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3、价格优势及零部件的优势</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注：谈判申请人自行编制</w:t>
      </w:r>
    </w:p>
    <w:p w:rsidR="008640C8" w:rsidRDefault="00D90DD6">
      <w:pPr>
        <w:widowControl/>
        <w:shd w:val="clear" w:color="auto" w:fill="FFFFFF"/>
        <w:spacing w:line="360" w:lineRule="auto"/>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十六、其他材料（申请人认为对本项目有利的材料）</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使用部门意见：</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采购部门意见：</w:t>
      </w:r>
    </w:p>
    <w:p w:rsidR="008640C8" w:rsidRDefault="00D90DD6">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分管领导意见：</w:t>
      </w:r>
    </w:p>
    <w:p w:rsidR="008640C8" w:rsidRDefault="00D90DD6">
      <w:pPr>
        <w:widowControl/>
        <w:shd w:val="clear" w:color="auto" w:fill="FFFFFF"/>
        <w:spacing w:line="360" w:lineRule="auto"/>
        <w:ind w:left="5760" w:hangingChars="1800" w:hanging="576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                                                 </w:t>
      </w:r>
    </w:p>
    <w:p w:rsidR="008640C8" w:rsidRDefault="00D90DD6">
      <w:pPr>
        <w:widowControl/>
        <w:shd w:val="clear" w:color="auto" w:fill="FFFFFF"/>
        <w:spacing w:line="360" w:lineRule="auto"/>
        <w:jc w:val="righ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富民县人民医院</w:t>
      </w:r>
    </w:p>
    <w:p w:rsidR="008640C8" w:rsidRDefault="00D90DD6">
      <w:pPr>
        <w:widowControl/>
        <w:shd w:val="clear" w:color="auto" w:fill="FFFFFF"/>
        <w:spacing w:line="360" w:lineRule="auto"/>
        <w:jc w:val="right"/>
        <w:rPr>
          <w:rFonts w:ascii="仿宋_GB2312" w:eastAsia="仿宋_GB2312" w:hAnsi="仿宋_GB2312" w:cs="仿宋_GB2312"/>
          <w:sz w:val="32"/>
          <w:szCs w:val="32"/>
        </w:rPr>
      </w:pPr>
      <w:r>
        <w:rPr>
          <w:rFonts w:ascii="仿宋_GB2312" w:eastAsia="仿宋_GB2312" w:hAnsi="仿宋_GB2312" w:cs="仿宋_GB2312" w:hint="eastAsia"/>
          <w:color w:val="434343"/>
          <w:kern w:val="0"/>
          <w:sz w:val="32"/>
          <w:szCs w:val="32"/>
          <w:shd w:val="clear" w:color="auto" w:fill="FFFFFF"/>
        </w:rPr>
        <w:t>2020年5月18日</w:t>
      </w:r>
    </w:p>
    <w:p w:rsidR="008640C8" w:rsidRDefault="008640C8"/>
    <w:sectPr w:rsidR="008640C8" w:rsidSect="008640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none"/>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76313F8"/>
    <w:multiLevelType w:val="multilevel"/>
    <w:tmpl w:val="076313F8"/>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1CC2952"/>
    <w:rsid w:val="002F497A"/>
    <w:rsid w:val="00347487"/>
    <w:rsid w:val="005C3E11"/>
    <w:rsid w:val="007C6BD5"/>
    <w:rsid w:val="007F2D6D"/>
    <w:rsid w:val="00851266"/>
    <w:rsid w:val="008640C8"/>
    <w:rsid w:val="00AC549B"/>
    <w:rsid w:val="00D52385"/>
    <w:rsid w:val="00D90DD6"/>
    <w:rsid w:val="00EF718E"/>
    <w:rsid w:val="00F01AB4"/>
    <w:rsid w:val="00F172E6"/>
    <w:rsid w:val="03203324"/>
    <w:rsid w:val="10747F38"/>
    <w:rsid w:val="11CC2952"/>
    <w:rsid w:val="35092209"/>
    <w:rsid w:val="3CE038F7"/>
    <w:rsid w:val="64E712B9"/>
    <w:rsid w:val="750233EB"/>
    <w:rsid w:val="794F4F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0C8"/>
    <w:pPr>
      <w:widowControl w:val="0"/>
      <w:jc w:val="both"/>
    </w:pPr>
    <w:rPr>
      <w:rFonts w:ascii="Calibri" w:hAnsi="Calibri"/>
      <w:kern w:val="2"/>
      <w:sz w:val="21"/>
      <w:szCs w:val="21"/>
    </w:rPr>
  </w:style>
  <w:style w:type="paragraph" w:styleId="1">
    <w:name w:val="heading 1"/>
    <w:basedOn w:val="a"/>
    <w:next w:val="a"/>
    <w:qFormat/>
    <w:rsid w:val="008640C8"/>
    <w:pPr>
      <w:keepNext/>
      <w:tabs>
        <w:tab w:val="left" w:pos="1276"/>
      </w:tabs>
      <w:jc w:val="center"/>
      <w:outlineLvl w:val="0"/>
    </w:pPr>
    <w:rPr>
      <w:rFonts w:ascii="Times New Roman" w:hAnsi="Times New Roman"/>
      <w:b/>
      <w:sz w:val="96"/>
    </w:rPr>
  </w:style>
  <w:style w:type="paragraph" w:styleId="2">
    <w:name w:val="heading 2"/>
    <w:basedOn w:val="a"/>
    <w:next w:val="a"/>
    <w:qFormat/>
    <w:rsid w:val="008640C8"/>
    <w:pPr>
      <w:keepNext/>
      <w:keepLines/>
      <w:numPr>
        <w:ilvl w:val="1"/>
        <w:numId w:val="1"/>
      </w:numPr>
      <w:spacing w:before="260" w:after="260"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8640C8"/>
    <w:pPr>
      <w:shd w:val="clear" w:color="auto" w:fill="000080"/>
    </w:pPr>
  </w:style>
  <w:style w:type="table" w:styleId="a4">
    <w:name w:val="Table Grid"/>
    <w:basedOn w:val="a1"/>
    <w:uiPriority w:val="99"/>
    <w:unhideWhenUsed/>
    <w:qFormat/>
    <w:rsid w:val="008640C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basedOn w:val="a0"/>
    <w:qFormat/>
    <w:rsid w:val="008640C8"/>
    <w:rPr>
      <w:b/>
      <w:bCs/>
    </w:rPr>
  </w:style>
  <w:style w:type="paragraph" w:customStyle="1" w:styleId="CharCharCharChar">
    <w:name w:val="Char Char Char Char"/>
    <w:basedOn w:val="a3"/>
    <w:qFormat/>
    <w:rsid w:val="008640C8"/>
    <w:pPr>
      <w:adjustRightInd w:val="0"/>
      <w:snapToGrid w:val="0"/>
      <w:spacing w:line="360" w:lineRule="auto"/>
    </w:pPr>
    <w:rPr>
      <w:rFonts w:ascii="仿宋_GB2312" w:eastAsia="仿宋_GB2312"/>
      <w:sz w:val="24"/>
    </w:rPr>
  </w:style>
  <w:style w:type="paragraph" w:customStyle="1" w:styleId="10">
    <w:name w:val="列出段落1"/>
    <w:basedOn w:val="a"/>
    <w:qFormat/>
    <w:rsid w:val="008640C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2020</Words>
  <Characters>455</Characters>
  <Application>Microsoft Office Word</Application>
  <DocSecurity>0</DocSecurity>
  <Lines>3</Lines>
  <Paragraphs>4</Paragraphs>
  <ScaleCrop>false</ScaleCrop>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角</cp:lastModifiedBy>
  <cp:revision>7</cp:revision>
  <cp:lastPrinted>2020-05-18T02:43:00Z</cp:lastPrinted>
  <dcterms:created xsi:type="dcterms:W3CDTF">2020-05-15T03:12:00Z</dcterms:created>
  <dcterms:modified xsi:type="dcterms:W3CDTF">2020-05-18T02:43:00Z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