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eastAsia="宋体"/>
          <w:b/>
          <w:sz w:val="72"/>
          <w:szCs w:val="72"/>
          <w:lang w:eastAsia="zh-CN"/>
        </w:rPr>
      </w:pPr>
    </w:p>
    <w:p>
      <w:pPr>
        <w:spacing w:line="360" w:lineRule="auto"/>
        <w:jc w:val="center"/>
        <w:rPr>
          <w:b/>
          <w:sz w:val="72"/>
          <w:szCs w:val="72"/>
        </w:rPr>
      </w:pPr>
    </w:p>
    <w:p>
      <w:pPr>
        <w:spacing w:line="360" w:lineRule="auto"/>
        <w:jc w:val="center"/>
        <w:rPr>
          <w:b/>
          <w:sz w:val="72"/>
          <w:szCs w:val="72"/>
        </w:rPr>
      </w:pPr>
      <w:r>
        <w:rPr>
          <w:b/>
          <w:sz w:val="72"/>
          <w:szCs w:val="72"/>
        </w:rPr>
        <w:t>建设项目环境影响报告表</w:t>
      </w:r>
    </w:p>
    <w:p>
      <w:pPr>
        <w:spacing w:line="360" w:lineRule="auto"/>
        <w:jc w:val="center"/>
        <w:rPr>
          <w:rFonts w:hint="eastAsia" w:eastAsia="宋体"/>
          <w:b/>
          <w:bCs/>
          <w:sz w:val="32"/>
          <w:szCs w:val="32"/>
          <w:u w:val="none"/>
          <w:lang w:eastAsia="zh-CN"/>
        </w:rPr>
      </w:pPr>
      <w:r>
        <w:rPr>
          <w:rFonts w:hint="eastAsia"/>
          <w:b/>
          <w:bCs/>
          <w:sz w:val="32"/>
          <w:szCs w:val="32"/>
          <w:u w:val="none"/>
          <w:lang w:eastAsia="zh-CN"/>
        </w:rPr>
        <w:t>（报批稿）</w:t>
      </w:r>
    </w:p>
    <w:p>
      <w:pPr>
        <w:pStyle w:val="18"/>
        <w:rPr>
          <w:rFonts w:hint="eastAsia"/>
        </w:rPr>
      </w:pPr>
    </w:p>
    <w:p>
      <w:pPr>
        <w:pStyle w:val="49"/>
        <w:rPr>
          <w:rFonts w:hint="eastAsia"/>
        </w:rPr>
      </w:pPr>
    </w:p>
    <w:p>
      <w:pPr>
        <w:spacing w:line="360" w:lineRule="auto"/>
        <w:rPr>
          <w:rFonts w:hint="eastAsia"/>
          <w:sz w:val="32"/>
          <w:szCs w:val="32"/>
          <w:u w:val="single"/>
        </w:rPr>
      </w:pPr>
    </w:p>
    <w:p>
      <w:pPr>
        <w:pStyle w:val="18"/>
        <w:rPr>
          <w:rFonts w:hint="eastAsia"/>
          <w:sz w:val="32"/>
          <w:szCs w:val="32"/>
          <w:u w:val="single"/>
        </w:rPr>
      </w:pPr>
    </w:p>
    <w:p>
      <w:pPr>
        <w:pStyle w:val="18"/>
        <w:jc w:val="both"/>
        <w:rPr>
          <w:rFonts w:hint="eastAsia"/>
          <w:sz w:val="32"/>
          <w:szCs w:val="32"/>
          <w:u w:val="single"/>
        </w:rPr>
      </w:pPr>
    </w:p>
    <w:p>
      <w:pPr>
        <w:spacing w:line="360" w:lineRule="auto"/>
        <w:rPr>
          <w:sz w:val="32"/>
          <w:szCs w:val="32"/>
          <w:u w:val="single"/>
        </w:rPr>
      </w:pPr>
    </w:p>
    <w:p>
      <w:pPr>
        <w:pStyle w:val="92"/>
        <w:spacing w:line="240" w:lineRule="auto"/>
        <w:jc w:val="both"/>
        <w:rPr>
          <w:rFonts w:hint="default" w:ascii="Times New Roman" w:hAnsi="宋体"/>
          <w:b/>
          <w:spacing w:val="-6"/>
          <w:kern w:val="2"/>
          <w:sz w:val="30"/>
          <w:szCs w:val="30"/>
          <w:u w:val="single"/>
          <w:lang w:val="en-US" w:eastAsia="zh-CN" w:bidi="ar-SA"/>
        </w:rPr>
      </w:pPr>
      <w:r>
        <w:rPr>
          <w:b/>
          <w:sz w:val="30"/>
          <w:szCs w:val="30"/>
        </w:rPr>
        <w:t>项目名称:</w:t>
      </w:r>
      <w:r>
        <w:rPr>
          <w:rFonts w:hint="eastAsia" w:ascii="Times New Roman" w:hAnsi="宋体"/>
          <w:b/>
          <w:spacing w:val="-6"/>
          <w:kern w:val="2"/>
          <w:sz w:val="30"/>
          <w:szCs w:val="30"/>
          <w:u w:val="single"/>
          <w:lang w:val="en-US" w:eastAsia="zh-CN" w:bidi="ar-SA"/>
        </w:rPr>
        <w:t xml:space="preserve"> </w:t>
      </w:r>
      <w:r>
        <w:rPr>
          <w:rFonts w:hint="eastAsia" w:hAnsi="宋体"/>
          <w:b/>
          <w:spacing w:val="-6"/>
          <w:kern w:val="2"/>
          <w:sz w:val="30"/>
          <w:szCs w:val="30"/>
          <w:u w:val="single"/>
          <w:lang w:val="en-US" w:eastAsia="zh-CN" w:bidi="ar-SA"/>
        </w:rPr>
        <w:t xml:space="preserve">昆明银华工贸有限公司路桥分公司装配式钢结构项目 </w:t>
      </w:r>
    </w:p>
    <w:p>
      <w:pPr>
        <w:spacing w:line="240" w:lineRule="auto"/>
        <w:ind w:left="0" w:firstLine="0" w:firstLineChars="0"/>
        <w:jc w:val="both"/>
        <w:rPr>
          <w:rFonts w:hAnsi="宋体"/>
          <w:b/>
          <w:sz w:val="30"/>
          <w:szCs w:val="30"/>
          <w:u w:val="single"/>
        </w:rPr>
      </w:pPr>
      <w:r>
        <w:rPr>
          <w:rFonts w:hAnsi="宋体"/>
          <w:b/>
          <w:sz w:val="30"/>
          <w:szCs w:val="30"/>
        </w:rPr>
        <w:t>建设单位(盖章):</w:t>
      </w:r>
      <w:r>
        <w:rPr>
          <w:rFonts w:hint="eastAsia" w:hAnsi="宋体"/>
          <w:b/>
          <w:spacing w:val="-6"/>
          <w:sz w:val="30"/>
          <w:szCs w:val="30"/>
          <w:u w:val="single"/>
        </w:rPr>
        <w:t xml:space="preserve">  </w:t>
      </w:r>
      <w:r>
        <w:rPr>
          <w:rFonts w:hint="eastAsia" w:hAnsi="宋体"/>
          <w:b/>
          <w:spacing w:val="-6"/>
          <w:sz w:val="30"/>
          <w:szCs w:val="30"/>
          <w:u w:val="single"/>
          <w:lang w:val="en-US" w:eastAsia="zh-CN"/>
        </w:rPr>
        <w:t xml:space="preserve"> </w:t>
      </w:r>
      <w:r>
        <w:rPr>
          <w:rFonts w:hint="eastAsia" w:hAnsi="宋体"/>
          <w:b/>
          <w:spacing w:val="-6"/>
          <w:kern w:val="2"/>
          <w:sz w:val="30"/>
          <w:szCs w:val="30"/>
          <w:u w:val="single"/>
          <w:lang w:val="en-US" w:eastAsia="zh-CN" w:bidi="ar-SA"/>
        </w:rPr>
        <w:t xml:space="preserve">昆明银华工贸有限公司路桥分公司          </w:t>
      </w:r>
      <w:r>
        <w:rPr>
          <w:rFonts w:hAnsi="宋体"/>
          <w:b/>
          <w:sz w:val="30"/>
          <w:szCs w:val="30"/>
        </w:rPr>
        <w:t xml:space="preserve">    </w:t>
      </w:r>
    </w:p>
    <w:p>
      <w:pPr>
        <w:spacing w:line="360" w:lineRule="auto"/>
        <w:rPr>
          <w:rFonts w:hAnsi="宋体"/>
          <w:b/>
          <w:sz w:val="30"/>
          <w:szCs w:val="30"/>
          <w:u w:val="single"/>
        </w:rPr>
      </w:pPr>
    </w:p>
    <w:p>
      <w:pPr>
        <w:spacing w:line="360" w:lineRule="auto"/>
        <w:rPr>
          <w:rFonts w:hAnsi="宋体"/>
          <w:sz w:val="30"/>
          <w:szCs w:val="30"/>
          <w:u w:val="single"/>
        </w:rPr>
      </w:pPr>
    </w:p>
    <w:p>
      <w:pPr>
        <w:spacing w:line="360" w:lineRule="auto"/>
        <w:rPr>
          <w:rFonts w:hint="eastAsia" w:hAnsi="宋体"/>
          <w:sz w:val="30"/>
          <w:szCs w:val="30"/>
          <w:u w:val="single"/>
        </w:rPr>
      </w:pPr>
    </w:p>
    <w:p>
      <w:pPr>
        <w:spacing w:line="360" w:lineRule="auto"/>
        <w:rPr>
          <w:rFonts w:hint="eastAsia" w:hAnsi="宋体"/>
          <w:sz w:val="30"/>
          <w:szCs w:val="30"/>
          <w:u w:val="single"/>
        </w:rPr>
      </w:pPr>
    </w:p>
    <w:p>
      <w:pPr>
        <w:spacing w:line="360" w:lineRule="auto"/>
        <w:jc w:val="center"/>
        <w:rPr>
          <w:rFonts w:hAnsi="宋体"/>
          <w:b/>
          <w:sz w:val="30"/>
          <w:szCs w:val="30"/>
        </w:rPr>
      </w:pPr>
      <w:r>
        <w:rPr>
          <w:rFonts w:hAnsi="宋体"/>
          <w:b/>
          <w:sz w:val="30"/>
          <w:szCs w:val="30"/>
        </w:rPr>
        <w:t>编制日期</w:t>
      </w:r>
      <w:r>
        <w:rPr>
          <w:rFonts w:hint="eastAsia" w:hAnsi="宋体"/>
          <w:b/>
          <w:sz w:val="30"/>
          <w:szCs w:val="30"/>
          <w:lang w:eastAsia="zh-CN"/>
        </w:rPr>
        <w:t>：</w:t>
      </w:r>
      <w:r>
        <w:rPr>
          <w:rFonts w:hAnsi="宋体"/>
          <w:b/>
          <w:sz w:val="30"/>
          <w:szCs w:val="30"/>
        </w:rPr>
        <w:t xml:space="preserve"> 20</w:t>
      </w:r>
      <w:r>
        <w:rPr>
          <w:rFonts w:hint="eastAsia" w:hAnsi="宋体"/>
          <w:b/>
          <w:sz w:val="30"/>
          <w:szCs w:val="30"/>
          <w:lang w:val="en-US" w:eastAsia="zh-CN"/>
        </w:rPr>
        <w:t>20</w:t>
      </w:r>
      <w:r>
        <w:rPr>
          <w:rFonts w:hAnsi="宋体"/>
          <w:b/>
          <w:sz w:val="30"/>
          <w:szCs w:val="30"/>
        </w:rPr>
        <w:t>年</w:t>
      </w:r>
      <w:r>
        <w:rPr>
          <w:rFonts w:hint="eastAsia" w:hAnsi="宋体"/>
          <w:b/>
          <w:sz w:val="30"/>
          <w:szCs w:val="30"/>
          <w:lang w:val="en-US" w:eastAsia="zh-CN"/>
        </w:rPr>
        <w:t>1</w:t>
      </w:r>
      <w:bookmarkStart w:id="149" w:name="_GoBack"/>
      <w:bookmarkEnd w:id="149"/>
      <w:r>
        <w:rPr>
          <w:rFonts w:hint="eastAsia" w:hAnsi="宋体"/>
          <w:b/>
          <w:sz w:val="30"/>
          <w:szCs w:val="30"/>
          <w:lang w:val="en-US" w:eastAsia="zh-CN"/>
        </w:rPr>
        <w:t>1</w:t>
      </w:r>
      <w:r>
        <w:rPr>
          <w:rFonts w:hAnsi="宋体"/>
          <w:b/>
          <w:sz w:val="30"/>
          <w:szCs w:val="30"/>
        </w:rPr>
        <w:t>月</w:t>
      </w:r>
    </w:p>
    <w:p>
      <w:pPr>
        <w:spacing w:before="240" w:line="360" w:lineRule="auto"/>
        <w:jc w:val="center"/>
        <w:rPr>
          <w:rFonts w:hint="eastAsia" w:hAnsi="宋体"/>
          <w:b/>
          <w:sz w:val="30"/>
          <w:szCs w:val="30"/>
        </w:rPr>
      </w:pPr>
      <w:r>
        <w:rPr>
          <w:rFonts w:hint="eastAsia" w:hAnsi="宋体"/>
          <w:b/>
          <w:sz w:val="30"/>
          <w:szCs w:val="30"/>
        </w:rPr>
        <w:t>国家</w:t>
      </w:r>
      <w:r>
        <w:rPr>
          <w:rFonts w:hint="eastAsia" w:hAnsi="宋体"/>
          <w:b/>
          <w:sz w:val="30"/>
          <w:szCs w:val="30"/>
          <w:lang w:eastAsia="zh-CN"/>
        </w:rPr>
        <w:t>生态</w:t>
      </w:r>
      <w:r>
        <w:rPr>
          <w:rFonts w:hint="eastAsia" w:hAnsi="宋体"/>
          <w:b/>
          <w:sz w:val="30"/>
          <w:szCs w:val="30"/>
        </w:rPr>
        <w:t>环境部制</w:t>
      </w:r>
    </w:p>
    <w:p>
      <w:pPr>
        <w:rPr>
          <w:rFonts w:ascii="Times New Roman" w:hAnsi="Times New Roman"/>
          <w:b/>
          <w:color w:val="000000"/>
          <w:sz w:val="32"/>
          <w:szCs w:val="32"/>
        </w:rPr>
        <w:sectPr>
          <w:headerReference r:id="rId4" w:type="first"/>
          <w:footerReference r:id="rId7" w:type="first"/>
          <w:footerReference r:id="rId5" w:type="default"/>
          <w:headerReference r:id="rId3" w:type="even"/>
          <w:footerReference r:id="rId6" w:type="even"/>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spacing w:line="500" w:lineRule="atLeast"/>
        <w:jc w:val="center"/>
        <w:rPr>
          <w:rFonts w:ascii="Times New Roman"/>
          <w:b/>
          <w:sz w:val="28"/>
          <w:szCs w:val="28"/>
        </w:rPr>
      </w:pPr>
      <w:r>
        <w:rPr>
          <w:rFonts w:ascii="Times New Roman" w:hAnsi="宋体"/>
          <w:b/>
          <w:sz w:val="28"/>
          <w:szCs w:val="28"/>
        </w:rPr>
        <w:t>《建设项目环境影响报告表》编制说明</w:t>
      </w:r>
    </w:p>
    <w:p>
      <w:pPr>
        <w:keepNext w:val="0"/>
        <w:keepLines w:val="0"/>
        <w:pageBreakBefore w:val="0"/>
        <w:widowControl w:val="0"/>
        <w:kinsoku/>
        <w:wordWrap/>
        <w:overflowPunct/>
        <w:topLinePunct w:val="0"/>
        <w:autoSpaceDE/>
        <w:autoSpaceDN/>
        <w:bidi w:val="0"/>
        <w:adjustRightInd w:val="0"/>
        <w:snapToGrid/>
        <w:spacing w:line="480" w:lineRule="auto"/>
        <w:jc w:val="both"/>
        <w:textAlignment w:val="baseline"/>
        <w:outlineLvl w:val="9"/>
        <w:rPr>
          <w:rFonts w:ascii="Times New Roman" w:hAnsi="宋体"/>
          <w:b w:val="0"/>
          <w:bCs/>
          <w:kern w:val="0"/>
          <w:sz w:val="28"/>
          <w:szCs w:val="22"/>
        </w:rPr>
      </w:pPr>
      <w:r>
        <w:rPr>
          <w:rFonts w:ascii="Times New Roman"/>
        </w:rPr>
        <w:t xml:space="preserve">     </w:t>
      </w:r>
      <w:r>
        <w:rPr>
          <w:rFonts w:ascii="Times New Roman" w:hAnsi="宋体"/>
          <w:b w:val="0"/>
          <w:bCs/>
          <w:kern w:val="0"/>
          <w:sz w:val="28"/>
          <w:szCs w:val="22"/>
        </w:rPr>
        <w:t>《建设项目环境影响报告表》由具有从事环境影响评价工作资质的单位编制。</w:t>
      </w:r>
    </w:p>
    <w:p>
      <w:pPr>
        <w:keepNext w:val="0"/>
        <w:keepLines w:val="0"/>
        <w:pageBreakBefore w:val="0"/>
        <w:widowControl w:val="0"/>
        <w:kinsoku/>
        <w:wordWrap/>
        <w:overflowPunct/>
        <w:topLinePunct w:val="0"/>
        <w:autoSpaceDE/>
        <w:autoSpaceDN/>
        <w:bidi w:val="0"/>
        <w:adjustRightInd w:val="0"/>
        <w:snapToGrid/>
        <w:spacing w:line="480" w:lineRule="auto"/>
        <w:ind w:firstLine="560" w:firstLineChars="200"/>
        <w:jc w:val="both"/>
        <w:textAlignment w:val="baseline"/>
        <w:outlineLvl w:val="9"/>
        <w:rPr>
          <w:rFonts w:ascii="Times New Roman" w:hAnsi="宋体"/>
          <w:b w:val="0"/>
          <w:bCs/>
          <w:kern w:val="0"/>
          <w:sz w:val="28"/>
          <w:szCs w:val="22"/>
        </w:rPr>
      </w:pPr>
      <w:r>
        <w:rPr>
          <w:rFonts w:ascii="Times New Roman" w:hAnsi="宋体"/>
          <w:b w:val="0"/>
          <w:bCs/>
          <w:kern w:val="0"/>
          <w:sz w:val="28"/>
          <w:szCs w:val="22"/>
        </w:rPr>
        <w:t>1.</w:t>
      </w:r>
      <w:r>
        <w:rPr>
          <w:rFonts w:ascii="Times New Roman" w:hAnsi="宋体"/>
          <w:b w:val="0"/>
          <w:bCs/>
          <w:kern w:val="0"/>
          <w:sz w:val="28"/>
          <w:szCs w:val="22"/>
        </w:rPr>
        <w:tab/>
      </w:r>
      <w:r>
        <w:rPr>
          <w:rFonts w:ascii="Times New Roman" w:hAnsi="宋体"/>
          <w:b w:val="0"/>
          <w:bCs/>
          <w:kern w:val="0"/>
          <w:sz w:val="28"/>
          <w:szCs w:val="22"/>
        </w:rPr>
        <w:t>项目名称—指项目立项批复时的名称，应不超过30个字(两个英文字段作一个汉字)。</w:t>
      </w:r>
    </w:p>
    <w:p>
      <w:pPr>
        <w:keepNext w:val="0"/>
        <w:keepLines w:val="0"/>
        <w:pageBreakBefore w:val="0"/>
        <w:widowControl w:val="0"/>
        <w:kinsoku/>
        <w:wordWrap/>
        <w:overflowPunct/>
        <w:topLinePunct w:val="0"/>
        <w:autoSpaceDE/>
        <w:autoSpaceDN/>
        <w:bidi w:val="0"/>
        <w:adjustRightInd w:val="0"/>
        <w:snapToGrid/>
        <w:spacing w:line="480" w:lineRule="auto"/>
        <w:ind w:firstLine="560" w:firstLineChars="200"/>
        <w:jc w:val="both"/>
        <w:textAlignment w:val="baseline"/>
        <w:outlineLvl w:val="9"/>
        <w:rPr>
          <w:rFonts w:ascii="Times New Roman" w:hAnsi="宋体"/>
          <w:b w:val="0"/>
          <w:bCs/>
          <w:kern w:val="0"/>
          <w:sz w:val="28"/>
          <w:szCs w:val="22"/>
        </w:rPr>
      </w:pPr>
      <w:r>
        <w:rPr>
          <w:rFonts w:ascii="Times New Roman" w:hAnsi="宋体"/>
          <w:b w:val="0"/>
          <w:bCs/>
          <w:kern w:val="0"/>
          <w:sz w:val="28"/>
          <w:szCs w:val="22"/>
        </w:rPr>
        <w:t>2. 建设地点—指项目所在地详细地址，公路、铁路应填写起止终点。</w:t>
      </w:r>
    </w:p>
    <w:p>
      <w:pPr>
        <w:keepNext w:val="0"/>
        <w:keepLines w:val="0"/>
        <w:pageBreakBefore w:val="0"/>
        <w:widowControl w:val="0"/>
        <w:kinsoku/>
        <w:wordWrap/>
        <w:overflowPunct/>
        <w:topLinePunct w:val="0"/>
        <w:autoSpaceDE/>
        <w:autoSpaceDN/>
        <w:bidi w:val="0"/>
        <w:adjustRightInd w:val="0"/>
        <w:snapToGrid/>
        <w:spacing w:line="480" w:lineRule="auto"/>
        <w:ind w:firstLine="560" w:firstLineChars="200"/>
        <w:jc w:val="both"/>
        <w:textAlignment w:val="baseline"/>
        <w:outlineLvl w:val="9"/>
        <w:rPr>
          <w:rFonts w:ascii="Times New Roman" w:hAnsi="宋体"/>
          <w:b w:val="0"/>
          <w:bCs/>
          <w:kern w:val="0"/>
          <w:sz w:val="28"/>
          <w:szCs w:val="22"/>
        </w:rPr>
      </w:pPr>
      <w:r>
        <w:rPr>
          <w:rFonts w:ascii="Times New Roman" w:hAnsi="宋体"/>
          <w:b w:val="0"/>
          <w:bCs/>
          <w:kern w:val="0"/>
          <w:sz w:val="28"/>
          <w:szCs w:val="22"/>
        </w:rPr>
        <w:t>3.</w:t>
      </w:r>
      <w:r>
        <w:rPr>
          <w:rFonts w:ascii="Times New Roman" w:hAnsi="宋体"/>
          <w:b w:val="0"/>
          <w:bCs/>
          <w:kern w:val="0"/>
          <w:sz w:val="28"/>
          <w:szCs w:val="22"/>
        </w:rPr>
        <w:tab/>
      </w:r>
      <w:r>
        <w:rPr>
          <w:rFonts w:ascii="Times New Roman" w:hAnsi="宋体"/>
          <w:b w:val="0"/>
          <w:bCs/>
          <w:kern w:val="0"/>
          <w:sz w:val="28"/>
          <w:szCs w:val="22"/>
        </w:rPr>
        <w:t>行业类别—按国标填写。</w:t>
      </w:r>
    </w:p>
    <w:p>
      <w:pPr>
        <w:keepNext w:val="0"/>
        <w:keepLines w:val="0"/>
        <w:pageBreakBefore w:val="0"/>
        <w:widowControl w:val="0"/>
        <w:kinsoku/>
        <w:wordWrap/>
        <w:overflowPunct/>
        <w:topLinePunct w:val="0"/>
        <w:autoSpaceDE/>
        <w:autoSpaceDN/>
        <w:bidi w:val="0"/>
        <w:adjustRightInd w:val="0"/>
        <w:snapToGrid/>
        <w:spacing w:line="480" w:lineRule="auto"/>
        <w:ind w:firstLine="560" w:firstLineChars="200"/>
        <w:jc w:val="both"/>
        <w:textAlignment w:val="baseline"/>
        <w:outlineLvl w:val="9"/>
        <w:rPr>
          <w:rFonts w:ascii="Times New Roman" w:hAnsi="宋体"/>
          <w:b w:val="0"/>
          <w:bCs/>
          <w:kern w:val="0"/>
          <w:sz w:val="28"/>
          <w:szCs w:val="22"/>
        </w:rPr>
      </w:pPr>
      <w:r>
        <w:rPr>
          <w:rFonts w:ascii="Times New Roman" w:hAnsi="宋体"/>
          <w:b w:val="0"/>
          <w:bCs/>
          <w:kern w:val="0"/>
          <w:sz w:val="28"/>
          <w:szCs w:val="22"/>
        </w:rPr>
        <w:t>4.</w:t>
      </w:r>
      <w:r>
        <w:rPr>
          <w:rFonts w:ascii="Times New Roman" w:hAnsi="宋体"/>
          <w:b w:val="0"/>
          <w:bCs/>
          <w:kern w:val="0"/>
          <w:sz w:val="28"/>
          <w:szCs w:val="22"/>
        </w:rPr>
        <w:tab/>
      </w:r>
      <w:r>
        <w:rPr>
          <w:rFonts w:ascii="Times New Roman" w:hAnsi="宋体"/>
          <w:b w:val="0"/>
          <w:bCs/>
          <w:kern w:val="0"/>
          <w:sz w:val="28"/>
          <w:szCs w:val="22"/>
        </w:rPr>
        <w:t>总投资—指项目投资总额。</w:t>
      </w:r>
    </w:p>
    <w:p>
      <w:pPr>
        <w:keepNext w:val="0"/>
        <w:keepLines w:val="0"/>
        <w:pageBreakBefore w:val="0"/>
        <w:widowControl w:val="0"/>
        <w:kinsoku/>
        <w:wordWrap/>
        <w:overflowPunct/>
        <w:topLinePunct w:val="0"/>
        <w:autoSpaceDE/>
        <w:autoSpaceDN/>
        <w:bidi w:val="0"/>
        <w:adjustRightInd w:val="0"/>
        <w:snapToGrid/>
        <w:spacing w:line="480" w:lineRule="auto"/>
        <w:ind w:firstLine="560" w:firstLineChars="200"/>
        <w:jc w:val="both"/>
        <w:textAlignment w:val="baseline"/>
        <w:outlineLvl w:val="9"/>
        <w:rPr>
          <w:rFonts w:ascii="Times New Roman" w:hAnsi="宋体"/>
          <w:b w:val="0"/>
          <w:bCs/>
          <w:kern w:val="0"/>
          <w:sz w:val="28"/>
          <w:szCs w:val="22"/>
        </w:rPr>
      </w:pPr>
      <w:r>
        <w:rPr>
          <w:rFonts w:ascii="Times New Roman" w:hAnsi="宋体"/>
          <w:b w:val="0"/>
          <w:bCs/>
          <w:kern w:val="0"/>
          <w:sz w:val="28"/>
          <w:szCs w:val="22"/>
        </w:rPr>
        <w:t>5. 主要环境保护目标—指项目区周围一定范围内集中居民住宅区、学校、医院、保护文物、风景名胜区、水源地和生态敏感点等，应尽可能给出保护目标、性质、规模和距厂界距离等。</w:t>
      </w:r>
    </w:p>
    <w:p>
      <w:pPr>
        <w:keepNext w:val="0"/>
        <w:keepLines w:val="0"/>
        <w:pageBreakBefore w:val="0"/>
        <w:widowControl w:val="0"/>
        <w:kinsoku/>
        <w:wordWrap/>
        <w:overflowPunct/>
        <w:topLinePunct w:val="0"/>
        <w:autoSpaceDE/>
        <w:autoSpaceDN/>
        <w:bidi w:val="0"/>
        <w:adjustRightInd w:val="0"/>
        <w:snapToGrid/>
        <w:spacing w:line="480" w:lineRule="auto"/>
        <w:ind w:firstLine="560" w:firstLineChars="200"/>
        <w:jc w:val="both"/>
        <w:textAlignment w:val="baseline"/>
        <w:outlineLvl w:val="9"/>
        <w:rPr>
          <w:rFonts w:ascii="Times New Roman" w:hAnsi="宋体"/>
          <w:b w:val="0"/>
          <w:bCs/>
          <w:kern w:val="0"/>
          <w:sz w:val="28"/>
          <w:szCs w:val="22"/>
        </w:rPr>
      </w:pPr>
      <w:r>
        <w:rPr>
          <w:rFonts w:ascii="Times New Roman" w:hAnsi="宋体"/>
          <w:b w:val="0"/>
          <w:bCs/>
          <w:kern w:val="0"/>
          <w:sz w:val="28"/>
          <w:szCs w:val="22"/>
        </w:rPr>
        <w:t>6. 结论与建议—给出本项目清洁生产、达标排放和总量控制的分析结论，确定污染防治措施的有效性，说明本项目对环境造成的影响，给出建设项目环境可行性的明确结论。同时提出减少环境影响的其他建议。</w:t>
      </w:r>
    </w:p>
    <w:p>
      <w:pPr>
        <w:keepNext w:val="0"/>
        <w:keepLines w:val="0"/>
        <w:pageBreakBefore w:val="0"/>
        <w:widowControl w:val="0"/>
        <w:kinsoku/>
        <w:wordWrap/>
        <w:overflowPunct/>
        <w:topLinePunct w:val="0"/>
        <w:autoSpaceDE/>
        <w:autoSpaceDN/>
        <w:bidi w:val="0"/>
        <w:adjustRightInd w:val="0"/>
        <w:snapToGrid/>
        <w:spacing w:line="480" w:lineRule="auto"/>
        <w:ind w:firstLine="560" w:firstLineChars="200"/>
        <w:jc w:val="both"/>
        <w:textAlignment w:val="baseline"/>
        <w:outlineLvl w:val="9"/>
        <w:rPr>
          <w:rFonts w:ascii="Times New Roman" w:hAnsi="宋体"/>
          <w:b w:val="0"/>
          <w:bCs/>
          <w:kern w:val="0"/>
          <w:sz w:val="28"/>
          <w:szCs w:val="22"/>
        </w:rPr>
      </w:pPr>
      <w:r>
        <w:rPr>
          <w:rFonts w:ascii="Times New Roman" w:hAnsi="宋体"/>
          <w:b w:val="0"/>
          <w:bCs/>
          <w:kern w:val="0"/>
          <w:sz w:val="28"/>
          <w:szCs w:val="22"/>
        </w:rPr>
        <w:t>7. 预审意见—由行业主管部门填写答复意见，无主管部门项目，不填。</w:t>
      </w:r>
    </w:p>
    <w:p>
      <w:pPr>
        <w:keepNext w:val="0"/>
        <w:keepLines w:val="0"/>
        <w:pageBreakBefore w:val="0"/>
        <w:widowControl w:val="0"/>
        <w:kinsoku/>
        <w:wordWrap/>
        <w:overflowPunct/>
        <w:topLinePunct w:val="0"/>
        <w:autoSpaceDE/>
        <w:autoSpaceDN/>
        <w:bidi w:val="0"/>
        <w:adjustRightInd w:val="0"/>
        <w:snapToGrid/>
        <w:spacing w:line="480" w:lineRule="auto"/>
        <w:ind w:firstLine="560" w:firstLineChars="200"/>
        <w:jc w:val="both"/>
        <w:textAlignment w:val="baseline"/>
        <w:outlineLvl w:val="9"/>
        <w:rPr>
          <w:rFonts w:ascii="Times New Roman" w:hAnsi="宋体"/>
          <w:b w:val="0"/>
          <w:bCs/>
          <w:kern w:val="0"/>
          <w:sz w:val="28"/>
          <w:szCs w:val="22"/>
        </w:rPr>
      </w:pPr>
      <w:r>
        <w:rPr>
          <w:rFonts w:ascii="Times New Roman" w:hAnsi="宋体"/>
          <w:b w:val="0"/>
          <w:bCs/>
          <w:kern w:val="0"/>
          <w:sz w:val="28"/>
          <w:szCs w:val="22"/>
        </w:rPr>
        <w:t>8. 审批意见—由负责审批该项目的环境保护行政主管部门批复。</w:t>
      </w:r>
    </w:p>
    <w:p>
      <w:pPr>
        <w:adjustRightInd w:val="0"/>
        <w:spacing w:line="480" w:lineRule="auto"/>
        <w:jc w:val="left"/>
        <w:textAlignment w:val="baseline"/>
        <w:rPr>
          <w:rFonts w:ascii="Times New Roman" w:hAnsi="宋体"/>
          <w:b w:val="0"/>
          <w:bCs/>
          <w:kern w:val="0"/>
          <w:sz w:val="28"/>
          <w:szCs w:val="22"/>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jc w:val="center"/>
        <w:rPr>
          <w:rFonts w:ascii="Times New Roman" w:hAnsi="Times New Roman" w:eastAsia="宋体" w:cs="Times New Roman"/>
          <w:b/>
          <w:bCs/>
          <w:kern w:val="2"/>
          <w:sz w:val="21"/>
          <w:lang w:val="zh-CN" w:eastAsia="zh-CN" w:bidi="ar-SA"/>
        </w:rPr>
      </w:pPr>
      <w:r>
        <w:rPr>
          <w:b/>
          <w:sz w:val="32"/>
          <w:szCs w:val="32"/>
        </w:rPr>
        <w:t>目录</w:t>
      </w:r>
      <w:r>
        <w:rPr>
          <w:sz w:val="28"/>
        </w:rPr>
        <w:fldChar w:fldCharType="begin"/>
      </w:r>
      <w:r>
        <w:rPr>
          <w:sz w:val="28"/>
        </w:rPr>
        <w:instrText xml:space="preserve"> TOC \o "1-3" \h \z \u </w:instrText>
      </w:r>
      <w:r>
        <w:rPr>
          <w:sz w:val="28"/>
        </w:rPr>
        <w:fldChar w:fldCharType="separate"/>
      </w:r>
      <w:r>
        <w:fldChar w:fldCharType="begin"/>
      </w:r>
      <w:r>
        <w:instrText xml:space="preserve"> TOC \o "1-3" \h \z \u </w:instrText>
      </w:r>
      <w:r>
        <w:fldChar w:fldCharType="separate"/>
      </w:r>
    </w:p>
    <w:p>
      <w:pPr>
        <w:pStyle w:val="28"/>
        <w:tabs>
          <w:tab w:val="right" w:leader="dot" w:pos="8306"/>
        </w:tabs>
        <w:spacing w:line="360" w:lineRule="auto"/>
        <w:jc w:val="both"/>
        <w:rPr>
          <w:sz w:val="24"/>
          <w:szCs w:val="24"/>
        </w:rPr>
      </w:pPr>
      <w:r>
        <w:rPr>
          <w:bCs/>
          <w:sz w:val="24"/>
          <w:szCs w:val="24"/>
          <w:lang w:val="zh-CN"/>
        </w:rPr>
        <w:fldChar w:fldCharType="begin"/>
      </w:r>
      <w:r>
        <w:rPr>
          <w:bCs/>
          <w:sz w:val="24"/>
          <w:szCs w:val="24"/>
          <w:lang w:val="zh-CN"/>
        </w:rPr>
        <w:instrText xml:space="preserve"> HYPERLINK \l _Toc18301 </w:instrText>
      </w:r>
      <w:r>
        <w:rPr>
          <w:bCs/>
          <w:sz w:val="24"/>
          <w:szCs w:val="24"/>
          <w:lang w:val="zh-CN"/>
        </w:rPr>
        <w:fldChar w:fldCharType="separate"/>
      </w:r>
      <w:r>
        <w:rPr>
          <w:rFonts w:ascii="Times New Roman" w:hAnsi="Times New Roman"/>
          <w:sz w:val="24"/>
          <w:szCs w:val="24"/>
        </w:rPr>
        <w:t>表一  建设项目基本情况</w:t>
      </w:r>
      <w:r>
        <w:rPr>
          <w:sz w:val="24"/>
          <w:szCs w:val="24"/>
        </w:rPr>
        <w:tab/>
      </w:r>
      <w:r>
        <w:rPr>
          <w:sz w:val="24"/>
          <w:szCs w:val="24"/>
        </w:rPr>
        <w:fldChar w:fldCharType="begin"/>
      </w:r>
      <w:r>
        <w:rPr>
          <w:sz w:val="24"/>
          <w:szCs w:val="24"/>
        </w:rPr>
        <w:instrText xml:space="preserve"> PAGEREF _Toc18301 </w:instrText>
      </w:r>
      <w:r>
        <w:rPr>
          <w:sz w:val="24"/>
          <w:szCs w:val="24"/>
        </w:rPr>
        <w:fldChar w:fldCharType="separate"/>
      </w:r>
      <w:r>
        <w:rPr>
          <w:sz w:val="24"/>
          <w:szCs w:val="24"/>
        </w:rPr>
        <w:t>3</w:t>
      </w:r>
      <w:r>
        <w:rPr>
          <w:sz w:val="24"/>
          <w:szCs w:val="24"/>
        </w:rPr>
        <w:fldChar w:fldCharType="end"/>
      </w:r>
      <w:r>
        <w:rPr>
          <w:bCs/>
          <w:sz w:val="24"/>
          <w:szCs w:val="24"/>
          <w:lang w:val="zh-CN"/>
        </w:rPr>
        <w:fldChar w:fldCharType="end"/>
      </w:r>
    </w:p>
    <w:p>
      <w:pPr>
        <w:pStyle w:val="28"/>
        <w:tabs>
          <w:tab w:val="right" w:leader="dot" w:pos="8306"/>
        </w:tabs>
        <w:spacing w:line="360" w:lineRule="auto"/>
        <w:jc w:val="both"/>
        <w:rPr>
          <w:sz w:val="24"/>
          <w:szCs w:val="24"/>
        </w:rPr>
      </w:pPr>
      <w:r>
        <w:rPr>
          <w:bCs/>
          <w:sz w:val="24"/>
          <w:szCs w:val="24"/>
          <w:lang w:val="zh-CN"/>
        </w:rPr>
        <w:fldChar w:fldCharType="begin"/>
      </w:r>
      <w:r>
        <w:rPr>
          <w:bCs/>
          <w:sz w:val="24"/>
          <w:szCs w:val="24"/>
          <w:lang w:val="zh-CN"/>
        </w:rPr>
        <w:instrText xml:space="preserve"> HYPERLINK \l _Toc4736 </w:instrText>
      </w:r>
      <w:r>
        <w:rPr>
          <w:bCs/>
          <w:sz w:val="24"/>
          <w:szCs w:val="24"/>
          <w:lang w:val="zh-CN"/>
        </w:rPr>
        <w:fldChar w:fldCharType="separate"/>
      </w:r>
      <w:r>
        <w:rPr>
          <w:rFonts w:ascii="Times New Roman" w:hAnsi="Times New Roman" w:eastAsia="宋体" w:cs="Times New Roman"/>
          <w:bCs w:val="0"/>
          <w:kern w:val="2"/>
          <w:sz w:val="24"/>
          <w:szCs w:val="24"/>
          <w:lang w:val="en-US" w:eastAsia="zh-CN" w:bidi="ar-SA"/>
        </w:rPr>
        <w:t>表二  建设项目所在地自然环境简况</w:t>
      </w:r>
      <w:r>
        <w:rPr>
          <w:sz w:val="24"/>
          <w:szCs w:val="24"/>
        </w:rPr>
        <w:tab/>
      </w:r>
      <w:r>
        <w:rPr>
          <w:sz w:val="24"/>
          <w:szCs w:val="24"/>
        </w:rPr>
        <w:fldChar w:fldCharType="begin"/>
      </w:r>
      <w:r>
        <w:rPr>
          <w:sz w:val="24"/>
          <w:szCs w:val="24"/>
        </w:rPr>
        <w:instrText xml:space="preserve"> PAGEREF _Toc4736 </w:instrText>
      </w:r>
      <w:r>
        <w:rPr>
          <w:sz w:val="24"/>
          <w:szCs w:val="24"/>
        </w:rPr>
        <w:fldChar w:fldCharType="separate"/>
      </w:r>
      <w:r>
        <w:rPr>
          <w:sz w:val="24"/>
          <w:szCs w:val="24"/>
        </w:rPr>
        <w:t>18</w:t>
      </w:r>
      <w:r>
        <w:rPr>
          <w:sz w:val="24"/>
          <w:szCs w:val="24"/>
        </w:rPr>
        <w:fldChar w:fldCharType="end"/>
      </w:r>
      <w:r>
        <w:rPr>
          <w:bCs/>
          <w:sz w:val="24"/>
          <w:szCs w:val="24"/>
          <w:lang w:val="zh-CN"/>
        </w:rPr>
        <w:fldChar w:fldCharType="end"/>
      </w:r>
    </w:p>
    <w:p>
      <w:pPr>
        <w:pStyle w:val="28"/>
        <w:tabs>
          <w:tab w:val="right" w:leader="dot" w:pos="8306"/>
        </w:tabs>
        <w:spacing w:line="360" w:lineRule="auto"/>
        <w:jc w:val="both"/>
        <w:rPr>
          <w:sz w:val="24"/>
          <w:szCs w:val="24"/>
        </w:rPr>
      </w:pPr>
      <w:r>
        <w:rPr>
          <w:bCs/>
          <w:sz w:val="24"/>
          <w:szCs w:val="24"/>
          <w:lang w:val="zh-CN"/>
        </w:rPr>
        <w:fldChar w:fldCharType="begin"/>
      </w:r>
      <w:r>
        <w:rPr>
          <w:bCs/>
          <w:sz w:val="24"/>
          <w:szCs w:val="24"/>
          <w:lang w:val="zh-CN"/>
        </w:rPr>
        <w:instrText xml:space="preserve"> HYPERLINK \l _Toc12461 </w:instrText>
      </w:r>
      <w:r>
        <w:rPr>
          <w:bCs/>
          <w:sz w:val="24"/>
          <w:szCs w:val="24"/>
          <w:lang w:val="zh-CN"/>
        </w:rPr>
        <w:fldChar w:fldCharType="separate"/>
      </w:r>
      <w:r>
        <w:rPr>
          <w:rFonts w:ascii="Times New Roman" w:hAnsi="Times New Roman"/>
          <w:sz w:val="24"/>
          <w:szCs w:val="24"/>
        </w:rPr>
        <w:t>表三  环境质量状况</w:t>
      </w:r>
      <w:r>
        <w:rPr>
          <w:sz w:val="24"/>
          <w:szCs w:val="24"/>
        </w:rPr>
        <w:tab/>
      </w:r>
      <w:r>
        <w:rPr>
          <w:sz w:val="24"/>
          <w:szCs w:val="24"/>
        </w:rPr>
        <w:fldChar w:fldCharType="begin"/>
      </w:r>
      <w:r>
        <w:rPr>
          <w:sz w:val="24"/>
          <w:szCs w:val="24"/>
        </w:rPr>
        <w:instrText xml:space="preserve"> PAGEREF _Toc12461 </w:instrText>
      </w:r>
      <w:r>
        <w:rPr>
          <w:sz w:val="24"/>
          <w:szCs w:val="24"/>
        </w:rPr>
        <w:fldChar w:fldCharType="separate"/>
      </w:r>
      <w:r>
        <w:rPr>
          <w:sz w:val="24"/>
          <w:szCs w:val="24"/>
        </w:rPr>
        <w:t>23</w:t>
      </w:r>
      <w:r>
        <w:rPr>
          <w:sz w:val="24"/>
          <w:szCs w:val="24"/>
        </w:rPr>
        <w:fldChar w:fldCharType="end"/>
      </w:r>
      <w:r>
        <w:rPr>
          <w:bCs/>
          <w:sz w:val="24"/>
          <w:szCs w:val="24"/>
          <w:lang w:val="zh-CN"/>
        </w:rPr>
        <w:fldChar w:fldCharType="end"/>
      </w:r>
    </w:p>
    <w:p>
      <w:pPr>
        <w:pStyle w:val="28"/>
        <w:tabs>
          <w:tab w:val="right" w:leader="dot" w:pos="8306"/>
        </w:tabs>
        <w:spacing w:line="360" w:lineRule="auto"/>
        <w:jc w:val="both"/>
        <w:rPr>
          <w:sz w:val="24"/>
          <w:szCs w:val="24"/>
        </w:rPr>
      </w:pPr>
      <w:r>
        <w:rPr>
          <w:bCs/>
          <w:sz w:val="24"/>
          <w:szCs w:val="24"/>
          <w:lang w:val="zh-CN"/>
        </w:rPr>
        <w:fldChar w:fldCharType="begin"/>
      </w:r>
      <w:r>
        <w:rPr>
          <w:bCs/>
          <w:sz w:val="24"/>
          <w:szCs w:val="24"/>
          <w:lang w:val="zh-CN"/>
        </w:rPr>
        <w:instrText xml:space="preserve"> HYPERLINK \l _Toc24475 </w:instrText>
      </w:r>
      <w:r>
        <w:rPr>
          <w:bCs/>
          <w:sz w:val="24"/>
          <w:szCs w:val="24"/>
          <w:lang w:val="zh-CN"/>
        </w:rPr>
        <w:fldChar w:fldCharType="separate"/>
      </w:r>
      <w:r>
        <w:rPr>
          <w:rFonts w:ascii="Times New Roman" w:hAnsi="Times New Roman"/>
          <w:sz w:val="24"/>
          <w:szCs w:val="24"/>
        </w:rPr>
        <w:t>表四  评价适用标准</w:t>
      </w:r>
      <w:r>
        <w:rPr>
          <w:sz w:val="24"/>
          <w:szCs w:val="24"/>
        </w:rPr>
        <w:tab/>
      </w:r>
      <w:r>
        <w:rPr>
          <w:sz w:val="24"/>
          <w:szCs w:val="24"/>
        </w:rPr>
        <w:fldChar w:fldCharType="begin"/>
      </w:r>
      <w:r>
        <w:rPr>
          <w:sz w:val="24"/>
          <w:szCs w:val="24"/>
        </w:rPr>
        <w:instrText xml:space="preserve"> PAGEREF _Toc24475 </w:instrText>
      </w:r>
      <w:r>
        <w:rPr>
          <w:sz w:val="24"/>
          <w:szCs w:val="24"/>
        </w:rPr>
        <w:fldChar w:fldCharType="separate"/>
      </w:r>
      <w:r>
        <w:rPr>
          <w:sz w:val="24"/>
          <w:szCs w:val="24"/>
        </w:rPr>
        <w:t>29</w:t>
      </w:r>
      <w:r>
        <w:rPr>
          <w:sz w:val="24"/>
          <w:szCs w:val="24"/>
        </w:rPr>
        <w:fldChar w:fldCharType="end"/>
      </w:r>
      <w:r>
        <w:rPr>
          <w:bCs/>
          <w:sz w:val="24"/>
          <w:szCs w:val="24"/>
          <w:lang w:val="zh-CN"/>
        </w:rPr>
        <w:fldChar w:fldCharType="end"/>
      </w:r>
    </w:p>
    <w:p>
      <w:pPr>
        <w:pStyle w:val="28"/>
        <w:tabs>
          <w:tab w:val="right" w:leader="dot" w:pos="8306"/>
        </w:tabs>
        <w:spacing w:line="360" w:lineRule="auto"/>
        <w:jc w:val="both"/>
        <w:rPr>
          <w:sz w:val="24"/>
          <w:szCs w:val="24"/>
        </w:rPr>
      </w:pPr>
      <w:r>
        <w:rPr>
          <w:bCs/>
          <w:sz w:val="24"/>
          <w:szCs w:val="24"/>
          <w:lang w:val="zh-CN"/>
        </w:rPr>
        <w:fldChar w:fldCharType="begin"/>
      </w:r>
      <w:r>
        <w:rPr>
          <w:bCs/>
          <w:sz w:val="24"/>
          <w:szCs w:val="24"/>
          <w:lang w:val="zh-CN"/>
        </w:rPr>
        <w:instrText xml:space="preserve"> HYPERLINK \l _Toc29734 </w:instrText>
      </w:r>
      <w:r>
        <w:rPr>
          <w:bCs/>
          <w:sz w:val="24"/>
          <w:szCs w:val="24"/>
          <w:lang w:val="zh-CN"/>
        </w:rPr>
        <w:fldChar w:fldCharType="separate"/>
      </w:r>
      <w:r>
        <w:rPr>
          <w:rFonts w:ascii="Times New Roman" w:hAnsi="Times New Roman"/>
          <w:sz w:val="24"/>
          <w:szCs w:val="24"/>
        </w:rPr>
        <w:t>表五  建设项目工程分析</w:t>
      </w:r>
      <w:r>
        <w:rPr>
          <w:sz w:val="24"/>
          <w:szCs w:val="24"/>
        </w:rPr>
        <w:tab/>
      </w:r>
      <w:r>
        <w:rPr>
          <w:sz w:val="24"/>
          <w:szCs w:val="24"/>
        </w:rPr>
        <w:fldChar w:fldCharType="begin"/>
      </w:r>
      <w:r>
        <w:rPr>
          <w:sz w:val="24"/>
          <w:szCs w:val="24"/>
        </w:rPr>
        <w:instrText xml:space="preserve"> PAGEREF _Toc29734 </w:instrText>
      </w:r>
      <w:r>
        <w:rPr>
          <w:sz w:val="24"/>
          <w:szCs w:val="24"/>
        </w:rPr>
        <w:fldChar w:fldCharType="separate"/>
      </w:r>
      <w:r>
        <w:rPr>
          <w:sz w:val="24"/>
          <w:szCs w:val="24"/>
        </w:rPr>
        <w:t>34</w:t>
      </w:r>
      <w:r>
        <w:rPr>
          <w:sz w:val="24"/>
          <w:szCs w:val="24"/>
        </w:rPr>
        <w:fldChar w:fldCharType="end"/>
      </w:r>
      <w:r>
        <w:rPr>
          <w:bCs/>
          <w:sz w:val="24"/>
          <w:szCs w:val="24"/>
          <w:lang w:val="zh-CN"/>
        </w:rPr>
        <w:fldChar w:fldCharType="end"/>
      </w:r>
    </w:p>
    <w:p>
      <w:pPr>
        <w:pStyle w:val="28"/>
        <w:tabs>
          <w:tab w:val="right" w:leader="dot" w:pos="8306"/>
        </w:tabs>
        <w:spacing w:line="360" w:lineRule="auto"/>
        <w:jc w:val="both"/>
        <w:rPr>
          <w:sz w:val="24"/>
          <w:szCs w:val="24"/>
        </w:rPr>
      </w:pPr>
      <w:r>
        <w:rPr>
          <w:bCs/>
          <w:sz w:val="24"/>
          <w:szCs w:val="24"/>
          <w:lang w:val="zh-CN"/>
        </w:rPr>
        <w:fldChar w:fldCharType="begin"/>
      </w:r>
      <w:r>
        <w:rPr>
          <w:bCs/>
          <w:sz w:val="24"/>
          <w:szCs w:val="24"/>
          <w:lang w:val="zh-CN"/>
        </w:rPr>
        <w:instrText xml:space="preserve"> HYPERLINK \l _Toc22902 </w:instrText>
      </w:r>
      <w:r>
        <w:rPr>
          <w:bCs/>
          <w:sz w:val="24"/>
          <w:szCs w:val="24"/>
          <w:lang w:val="zh-CN"/>
        </w:rPr>
        <w:fldChar w:fldCharType="separate"/>
      </w:r>
      <w:r>
        <w:rPr>
          <w:rFonts w:hint="default" w:ascii="Times New Roman" w:hAnsi="Times New Roman" w:cs="Times New Roman"/>
          <w:sz w:val="24"/>
          <w:szCs w:val="24"/>
        </w:rPr>
        <w:t>表六</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项目主要污染物产生及预计排放情况</w:t>
      </w:r>
      <w:r>
        <w:rPr>
          <w:sz w:val="24"/>
          <w:szCs w:val="24"/>
        </w:rPr>
        <w:tab/>
      </w:r>
      <w:r>
        <w:rPr>
          <w:sz w:val="24"/>
          <w:szCs w:val="24"/>
        </w:rPr>
        <w:fldChar w:fldCharType="begin"/>
      </w:r>
      <w:r>
        <w:rPr>
          <w:sz w:val="24"/>
          <w:szCs w:val="24"/>
        </w:rPr>
        <w:instrText xml:space="preserve"> PAGEREF _Toc22902 </w:instrText>
      </w:r>
      <w:r>
        <w:rPr>
          <w:sz w:val="24"/>
          <w:szCs w:val="24"/>
        </w:rPr>
        <w:fldChar w:fldCharType="separate"/>
      </w:r>
      <w:r>
        <w:rPr>
          <w:sz w:val="24"/>
          <w:szCs w:val="24"/>
        </w:rPr>
        <w:t>47</w:t>
      </w:r>
      <w:r>
        <w:rPr>
          <w:sz w:val="24"/>
          <w:szCs w:val="24"/>
        </w:rPr>
        <w:fldChar w:fldCharType="end"/>
      </w:r>
      <w:r>
        <w:rPr>
          <w:bCs/>
          <w:sz w:val="24"/>
          <w:szCs w:val="24"/>
          <w:lang w:val="zh-CN"/>
        </w:rPr>
        <w:fldChar w:fldCharType="end"/>
      </w:r>
    </w:p>
    <w:p>
      <w:pPr>
        <w:pStyle w:val="28"/>
        <w:tabs>
          <w:tab w:val="right" w:leader="dot" w:pos="8306"/>
        </w:tabs>
        <w:spacing w:line="360" w:lineRule="auto"/>
        <w:jc w:val="both"/>
        <w:rPr>
          <w:sz w:val="24"/>
          <w:szCs w:val="24"/>
        </w:rPr>
      </w:pPr>
      <w:r>
        <w:rPr>
          <w:bCs/>
          <w:sz w:val="24"/>
          <w:szCs w:val="24"/>
          <w:lang w:val="zh-CN"/>
        </w:rPr>
        <w:fldChar w:fldCharType="begin"/>
      </w:r>
      <w:r>
        <w:rPr>
          <w:bCs/>
          <w:sz w:val="24"/>
          <w:szCs w:val="24"/>
          <w:lang w:val="zh-CN"/>
        </w:rPr>
        <w:instrText xml:space="preserve"> HYPERLINK \l _Toc27619 </w:instrText>
      </w:r>
      <w:r>
        <w:rPr>
          <w:bCs/>
          <w:sz w:val="24"/>
          <w:szCs w:val="24"/>
          <w:lang w:val="zh-CN"/>
        </w:rPr>
        <w:fldChar w:fldCharType="separate"/>
      </w:r>
      <w:r>
        <w:rPr>
          <w:rFonts w:ascii="Times New Roman" w:hAnsi="Times New Roman"/>
          <w:sz w:val="24"/>
          <w:szCs w:val="24"/>
        </w:rPr>
        <w:t>表七  环境影响分析</w:t>
      </w:r>
      <w:r>
        <w:rPr>
          <w:sz w:val="24"/>
          <w:szCs w:val="24"/>
        </w:rPr>
        <w:tab/>
      </w:r>
      <w:r>
        <w:rPr>
          <w:sz w:val="24"/>
          <w:szCs w:val="24"/>
        </w:rPr>
        <w:fldChar w:fldCharType="begin"/>
      </w:r>
      <w:r>
        <w:rPr>
          <w:sz w:val="24"/>
          <w:szCs w:val="24"/>
        </w:rPr>
        <w:instrText xml:space="preserve"> PAGEREF _Toc27619 </w:instrText>
      </w:r>
      <w:r>
        <w:rPr>
          <w:sz w:val="24"/>
          <w:szCs w:val="24"/>
        </w:rPr>
        <w:fldChar w:fldCharType="separate"/>
      </w:r>
      <w:r>
        <w:rPr>
          <w:sz w:val="24"/>
          <w:szCs w:val="24"/>
        </w:rPr>
        <w:t>50</w:t>
      </w:r>
      <w:r>
        <w:rPr>
          <w:sz w:val="24"/>
          <w:szCs w:val="24"/>
        </w:rPr>
        <w:fldChar w:fldCharType="end"/>
      </w:r>
      <w:r>
        <w:rPr>
          <w:bCs/>
          <w:sz w:val="24"/>
          <w:szCs w:val="24"/>
          <w:lang w:val="zh-CN"/>
        </w:rPr>
        <w:fldChar w:fldCharType="end"/>
      </w:r>
    </w:p>
    <w:p>
      <w:pPr>
        <w:pStyle w:val="28"/>
        <w:tabs>
          <w:tab w:val="right" w:leader="dot" w:pos="8306"/>
        </w:tabs>
        <w:spacing w:line="360" w:lineRule="auto"/>
        <w:jc w:val="both"/>
        <w:rPr>
          <w:sz w:val="24"/>
          <w:szCs w:val="24"/>
        </w:rPr>
      </w:pPr>
      <w:r>
        <w:rPr>
          <w:bCs/>
          <w:sz w:val="24"/>
          <w:szCs w:val="24"/>
          <w:lang w:val="zh-CN"/>
        </w:rPr>
        <w:fldChar w:fldCharType="begin"/>
      </w:r>
      <w:r>
        <w:rPr>
          <w:bCs/>
          <w:sz w:val="24"/>
          <w:szCs w:val="24"/>
          <w:lang w:val="zh-CN"/>
        </w:rPr>
        <w:instrText xml:space="preserve"> HYPERLINK \l _Toc17691 </w:instrText>
      </w:r>
      <w:r>
        <w:rPr>
          <w:bCs/>
          <w:sz w:val="24"/>
          <w:szCs w:val="24"/>
          <w:lang w:val="zh-CN"/>
        </w:rPr>
        <w:fldChar w:fldCharType="separate"/>
      </w:r>
      <w:r>
        <w:rPr>
          <w:rFonts w:ascii="Times New Roman" w:hAnsi="Times New Roman"/>
          <w:sz w:val="24"/>
          <w:szCs w:val="24"/>
        </w:rPr>
        <w:t>表八  建设项目拟采取的防治措施及预期治理效果</w:t>
      </w:r>
      <w:r>
        <w:rPr>
          <w:sz w:val="24"/>
          <w:szCs w:val="24"/>
        </w:rPr>
        <w:tab/>
      </w:r>
      <w:r>
        <w:rPr>
          <w:sz w:val="24"/>
          <w:szCs w:val="24"/>
        </w:rPr>
        <w:fldChar w:fldCharType="begin"/>
      </w:r>
      <w:r>
        <w:rPr>
          <w:sz w:val="24"/>
          <w:szCs w:val="24"/>
        </w:rPr>
        <w:instrText xml:space="preserve"> PAGEREF _Toc17691 </w:instrText>
      </w:r>
      <w:r>
        <w:rPr>
          <w:sz w:val="24"/>
          <w:szCs w:val="24"/>
        </w:rPr>
        <w:fldChar w:fldCharType="separate"/>
      </w:r>
      <w:r>
        <w:rPr>
          <w:sz w:val="24"/>
          <w:szCs w:val="24"/>
        </w:rPr>
        <w:t>76</w:t>
      </w:r>
      <w:r>
        <w:rPr>
          <w:sz w:val="24"/>
          <w:szCs w:val="24"/>
        </w:rPr>
        <w:fldChar w:fldCharType="end"/>
      </w:r>
      <w:r>
        <w:rPr>
          <w:bCs/>
          <w:sz w:val="24"/>
          <w:szCs w:val="24"/>
          <w:lang w:val="zh-CN"/>
        </w:rPr>
        <w:fldChar w:fldCharType="end"/>
      </w:r>
    </w:p>
    <w:p>
      <w:pPr>
        <w:pStyle w:val="28"/>
        <w:tabs>
          <w:tab w:val="right" w:leader="dot" w:pos="8306"/>
        </w:tabs>
        <w:spacing w:line="360" w:lineRule="auto"/>
        <w:jc w:val="both"/>
        <w:rPr>
          <w:sz w:val="24"/>
          <w:szCs w:val="24"/>
        </w:rPr>
      </w:pPr>
      <w:r>
        <w:rPr>
          <w:bCs/>
          <w:sz w:val="24"/>
          <w:szCs w:val="24"/>
          <w:lang w:val="zh-CN"/>
        </w:rPr>
        <w:fldChar w:fldCharType="begin"/>
      </w:r>
      <w:r>
        <w:rPr>
          <w:bCs/>
          <w:sz w:val="24"/>
          <w:szCs w:val="24"/>
          <w:lang w:val="zh-CN"/>
        </w:rPr>
        <w:instrText xml:space="preserve"> HYPERLINK \l _Toc15639 </w:instrText>
      </w:r>
      <w:r>
        <w:rPr>
          <w:bCs/>
          <w:sz w:val="24"/>
          <w:szCs w:val="24"/>
          <w:lang w:val="zh-CN"/>
        </w:rPr>
        <w:fldChar w:fldCharType="separate"/>
      </w:r>
      <w:r>
        <w:rPr>
          <w:rFonts w:ascii="Times New Roman" w:hAnsi="Times New Roman"/>
          <w:sz w:val="24"/>
          <w:szCs w:val="24"/>
        </w:rPr>
        <w:t>表九</w:t>
      </w:r>
      <w:r>
        <w:rPr>
          <w:rFonts w:hint="eastAsia"/>
          <w:sz w:val="24"/>
          <w:szCs w:val="24"/>
          <w:lang w:val="en-US" w:eastAsia="zh-CN"/>
        </w:rPr>
        <w:t xml:space="preserve">  </w:t>
      </w:r>
      <w:r>
        <w:rPr>
          <w:rFonts w:ascii="Times New Roman" w:hAnsi="Times New Roman"/>
          <w:sz w:val="24"/>
          <w:szCs w:val="24"/>
        </w:rPr>
        <w:t>结论与建议</w:t>
      </w:r>
      <w:r>
        <w:rPr>
          <w:sz w:val="24"/>
          <w:szCs w:val="24"/>
        </w:rPr>
        <w:tab/>
      </w:r>
      <w:r>
        <w:rPr>
          <w:sz w:val="24"/>
          <w:szCs w:val="24"/>
        </w:rPr>
        <w:fldChar w:fldCharType="begin"/>
      </w:r>
      <w:r>
        <w:rPr>
          <w:sz w:val="24"/>
          <w:szCs w:val="24"/>
        </w:rPr>
        <w:instrText xml:space="preserve"> PAGEREF _Toc15639 </w:instrText>
      </w:r>
      <w:r>
        <w:rPr>
          <w:sz w:val="24"/>
          <w:szCs w:val="24"/>
        </w:rPr>
        <w:fldChar w:fldCharType="separate"/>
      </w:r>
      <w:r>
        <w:rPr>
          <w:sz w:val="24"/>
          <w:szCs w:val="24"/>
        </w:rPr>
        <w:t>79</w:t>
      </w:r>
      <w:r>
        <w:rPr>
          <w:sz w:val="24"/>
          <w:szCs w:val="24"/>
        </w:rPr>
        <w:fldChar w:fldCharType="end"/>
      </w:r>
      <w:r>
        <w:rPr>
          <w:bCs/>
          <w:sz w:val="24"/>
          <w:szCs w:val="24"/>
          <w:lang w:val="zh-CN"/>
        </w:rPr>
        <w:fldChar w:fldCharType="end"/>
      </w:r>
    </w:p>
    <w:p>
      <w:pPr>
        <w:pStyle w:val="23"/>
        <w:jc w:val="center"/>
        <w:rPr>
          <w:b/>
          <w:bCs/>
          <w:lang w:val="zh-CN"/>
        </w:rPr>
      </w:pPr>
      <w:r>
        <w:rPr>
          <w:b/>
          <w:bCs/>
          <w:lang w:val="zh-CN"/>
        </w:rPr>
        <w:fldChar w:fldCharType="end"/>
      </w:r>
    </w:p>
    <w:sdt>
      <w:sdtPr>
        <w:rPr>
          <w:rFonts w:ascii="宋体" w:hAnsi="宋体" w:eastAsia="宋体" w:cs="Times New Roman"/>
          <w:kern w:val="2"/>
          <w:sz w:val="24"/>
          <w:szCs w:val="24"/>
          <w:lang w:val="en-US" w:eastAsia="zh-CN" w:bidi="ar-SA"/>
        </w:rPr>
        <w:id w:val="147462473"/>
        <w15:color w:val="DBDBDB"/>
        <w:docPartObj>
          <w:docPartGallery w:val="Table of Contents"/>
          <w:docPartUnique/>
        </w:docPartObj>
      </w:sdtPr>
      <w:sdtEndPr>
        <w:rPr>
          <w:rFonts w:ascii="宋体" w:hAnsi="Courier New" w:eastAsia="宋体" w:cs="Courier New"/>
          <w:kern w:val="2"/>
          <w:sz w:val="21"/>
          <w:szCs w:val="21"/>
          <w:lang w:val="zh-CN" w:eastAsia="zh-CN" w:bidi="ar-SA"/>
        </w:rPr>
      </w:sdtEndPr>
      <w:sdtContent>
        <w:p>
          <w:pPr>
            <w:pStyle w:val="2"/>
            <w:spacing w:line="360" w:lineRule="auto"/>
            <w:rPr>
              <w:rFonts w:ascii="宋体" w:hAnsi="Courier New" w:eastAsia="宋体" w:cs="Courier New"/>
              <w:kern w:val="2"/>
              <w:sz w:val="21"/>
              <w:szCs w:val="21"/>
              <w:lang w:val="zh-CN" w:eastAsia="zh-CN" w:bidi="ar-SA"/>
            </w:rPr>
          </w:pPr>
        </w:p>
      </w:sdtContent>
    </w:sdt>
    <w:p>
      <w:pPr>
        <w:pStyle w:val="3"/>
        <w:rPr>
          <w:rFonts w:ascii="宋体" w:hAnsi="Courier New" w:eastAsia="宋体" w:cs="Courier New"/>
          <w:kern w:val="2"/>
          <w:sz w:val="21"/>
          <w:szCs w:val="21"/>
          <w:lang w:val="zh-CN" w:eastAsia="zh-CN" w:bidi="ar-SA"/>
        </w:rPr>
      </w:pPr>
    </w:p>
    <w:p>
      <w:pPr>
        <w:rPr>
          <w:rFonts w:ascii="宋体" w:hAnsi="Courier New" w:eastAsia="宋体" w:cs="Courier New"/>
          <w:kern w:val="2"/>
          <w:sz w:val="21"/>
          <w:szCs w:val="21"/>
          <w:lang w:val="zh-CN" w:eastAsia="zh-CN" w:bidi="ar-SA"/>
        </w:rPr>
      </w:pPr>
    </w:p>
    <w:p>
      <w:pPr>
        <w:pStyle w:val="2"/>
        <w:rPr>
          <w:rFonts w:ascii="宋体" w:hAnsi="Courier New" w:eastAsia="宋体" w:cs="Courier New"/>
          <w:kern w:val="2"/>
          <w:sz w:val="21"/>
          <w:szCs w:val="21"/>
          <w:lang w:val="zh-CN" w:eastAsia="zh-CN" w:bidi="ar-SA"/>
        </w:rPr>
      </w:pPr>
    </w:p>
    <w:p>
      <w:pPr>
        <w:pStyle w:val="3"/>
        <w:rPr>
          <w:rFonts w:ascii="宋体" w:hAnsi="Courier New" w:eastAsia="宋体" w:cs="Courier New"/>
          <w:kern w:val="2"/>
          <w:sz w:val="21"/>
          <w:szCs w:val="21"/>
          <w:lang w:val="zh-CN" w:eastAsia="zh-CN" w:bidi="ar-SA"/>
        </w:rPr>
      </w:pPr>
    </w:p>
    <w:p>
      <w:pPr>
        <w:rPr>
          <w:rFonts w:ascii="宋体" w:hAnsi="Courier New" w:eastAsia="宋体" w:cs="Courier New"/>
          <w:kern w:val="2"/>
          <w:sz w:val="21"/>
          <w:szCs w:val="21"/>
          <w:lang w:val="zh-CN" w:eastAsia="zh-CN" w:bidi="ar-SA"/>
        </w:rPr>
      </w:pPr>
    </w:p>
    <w:p>
      <w:pPr>
        <w:pStyle w:val="2"/>
        <w:rPr>
          <w:rFonts w:ascii="宋体" w:hAnsi="Courier New" w:eastAsia="宋体" w:cs="Courier New"/>
          <w:kern w:val="2"/>
          <w:sz w:val="21"/>
          <w:szCs w:val="21"/>
          <w:lang w:val="zh-CN" w:eastAsia="zh-CN" w:bidi="ar-SA"/>
        </w:rPr>
      </w:pPr>
    </w:p>
    <w:p>
      <w:pPr>
        <w:pStyle w:val="3"/>
        <w:rPr>
          <w:rFonts w:ascii="宋体" w:hAnsi="Courier New" w:eastAsia="宋体" w:cs="Courier New"/>
          <w:kern w:val="2"/>
          <w:sz w:val="21"/>
          <w:szCs w:val="21"/>
          <w:lang w:val="zh-CN" w:eastAsia="zh-CN" w:bidi="ar-SA"/>
        </w:rPr>
      </w:pPr>
    </w:p>
    <w:p>
      <w:pPr>
        <w:rPr>
          <w:rFonts w:ascii="宋体" w:hAnsi="Courier New" w:eastAsia="宋体" w:cs="Courier New"/>
          <w:kern w:val="2"/>
          <w:sz w:val="21"/>
          <w:szCs w:val="21"/>
          <w:lang w:val="zh-CN" w:eastAsia="zh-CN" w:bidi="ar-SA"/>
        </w:rPr>
      </w:pPr>
    </w:p>
    <w:p>
      <w:pPr>
        <w:pStyle w:val="2"/>
        <w:rPr>
          <w:rFonts w:ascii="宋体" w:hAnsi="Courier New" w:eastAsia="宋体" w:cs="Courier New"/>
          <w:kern w:val="2"/>
          <w:sz w:val="21"/>
          <w:szCs w:val="21"/>
          <w:lang w:val="zh-CN" w:eastAsia="zh-CN" w:bidi="ar-SA"/>
        </w:rPr>
      </w:pPr>
    </w:p>
    <w:p>
      <w:pPr>
        <w:pStyle w:val="3"/>
        <w:rPr>
          <w:rFonts w:ascii="宋体" w:hAnsi="Courier New" w:eastAsia="宋体" w:cs="Courier New"/>
          <w:kern w:val="2"/>
          <w:sz w:val="21"/>
          <w:szCs w:val="21"/>
          <w:lang w:val="zh-CN" w:eastAsia="zh-CN" w:bidi="ar-SA"/>
        </w:rPr>
      </w:pPr>
    </w:p>
    <w:p>
      <w:pPr>
        <w:rPr>
          <w:rFonts w:ascii="宋体" w:hAnsi="Courier New" w:eastAsia="宋体" w:cs="Courier New"/>
          <w:kern w:val="2"/>
          <w:sz w:val="21"/>
          <w:szCs w:val="21"/>
          <w:lang w:val="zh-CN" w:eastAsia="zh-CN" w:bidi="ar-SA"/>
        </w:rPr>
      </w:pPr>
    </w:p>
    <w:p>
      <w:pPr>
        <w:pStyle w:val="2"/>
        <w:rPr>
          <w:rFonts w:ascii="宋体" w:hAnsi="Courier New" w:eastAsia="宋体" w:cs="Courier New"/>
          <w:kern w:val="2"/>
          <w:sz w:val="21"/>
          <w:szCs w:val="21"/>
          <w:lang w:val="zh-CN" w:eastAsia="zh-CN" w:bidi="ar-SA"/>
        </w:rPr>
      </w:pPr>
    </w:p>
    <w:p>
      <w:pPr>
        <w:pStyle w:val="3"/>
        <w:rPr>
          <w:rFonts w:ascii="宋体" w:hAnsi="Courier New" w:eastAsia="宋体" w:cs="Courier New"/>
          <w:kern w:val="2"/>
          <w:sz w:val="21"/>
          <w:szCs w:val="21"/>
          <w:lang w:val="zh-CN" w:eastAsia="zh-CN" w:bidi="ar-SA"/>
        </w:rPr>
      </w:pPr>
    </w:p>
    <w:p>
      <w:pPr>
        <w:rPr>
          <w:rFonts w:ascii="宋体" w:hAnsi="Courier New" w:eastAsia="宋体" w:cs="Courier New"/>
          <w:kern w:val="2"/>
          <w:sz w:val="21"/>
          <w:szCs w:val="21"/>
          <w:lang w:val="zh-CN" w:eastAsia="zh-CN" w:bidi="ar-SA"/>
        </w:rPr>
      </w:pPr>
    </w:p>
    <w:p>
      <w:pPr>
        <w:pStyle w:val="2"/>
        <w:rPr>
          <w:rFonts w:ascii="宋体" w:hAnsi="Courier New" w:eastAsia="宋体" w:cs="Courier New"/>
          <w:kern w:val="2"/>
          <w:sz w:val="21"/>
          <w:szCs w:val="21"/>
          <w:lang w:val="zh-CN" w:eastAsia="zh-CN" w:bidi="ar-SA"/>
        </w:rPr>
      </w:pPr>
    </w:p>
    <w:p>
      <w:pPr>
        <w:pStyle w:val="3"/>
        <w:rPr>
          <w:rFonts w:ascii="宋体" w:hAnsi="Courier New" w:eastAsia="宋体" w:cs="Courier New"/>
          <w:kern w:val="2"/>
          <w:sz w:val="21"/>
          <w:szCs w:val="21"/>
          <w:lang w:val="zh-CN" w:eastAsia="zh-CN" w:bidi="ar-SA"/>
        </w:rPr>
      </w:pPr>
    </w:p>
    <w:p>
      <w:pPr>
        <w:rPr>
          <w:rFonts w:ascii="宋体" w:hAnsi="Courier New" w:eastAsia="宋体" w:cs="Courier New"/>
          <w:kern w:val="2"/>
          <w:sz w:val="21"/>
          <w:szCs w:val="21"/>
          <w:lang w:val="zh-CN" w:eastAsia="zh-CN" w:bidi="ar-SA"/>
        </w:rPr>
      </w:pPr>
    </w:p>
    <w:p>
      <w:pPr>
        <w:pStyle w:val="2"/>
        <w:rPr>
          <w:rFonts w:ascii="宋体" w:hAnsi="Courier New" w:eastAsia="宋体" w:cs="Courier New"/>
          <w:kern w:val="2"/>
          <w:sz w:val="21"/>
          <w:szCs w:val="21"/>
          <w:lang w:val="zh-CN" w:eastAsia="zh-CN" w:bidi="ar-SA"/>
        </w:rPr>
      </w:pPr>
    </w:p>
    <w:p>
      <w:pPr>
        <w:pStyle w:val="3"/>
        <w:rPr>
          <w:rFonts w:ascii="宋体" w:hAnsi="Courier New" w:eastAsia="宋体" w:cs="Courier New"/>
          <w:kern w:val="2"/>
          <w:sz w:val="21"/>
          <w:szCs w:val="21"/>
          <w:lang w:val="zh-CN" w:eastAsia="zh-CN" w:bidi="ar-SA"/>
        </w:rPr>
      </w:pPr>
    </w:p>
    <w:p>
      <w:pPr>
        <w:rPr>
          <w:rFonts w:ascii="宋体" w:hAnsi="Courier New" w:eastAsia="宋体" w:cs="Courier New"/>
          <w:kern w:val="2"/>
          <w:sz w:val="21"/>
          <w:szCs w:val="21"/>
          <w:lang w:val="zh-CN" w:eastAsia="zh-CN" w:bidi="ar-SA"/>
        </w:rPr>
      </w:pPr>
    </w:p>
    <w:p>
      <w:pPr>
        <w:pStyle w:val="2"/>
        <w:rPr>
          <w:rFonts w:ascii="宋体" w:hAnsi="Courier New" w:eastAsia="宋体" w:cs="Courier New"/>
          <w:kern w:val="2"/>
          <w:sz w:val="21"/>
          <w:szCs w:val="21"/>
          <w:lang w:val="zh-CN" w:eastAsia="zh-CN" w:bidi="ar-SA"/>
        </w:rPr>
      </w:pPr>
    </w:p>
    <w:p>
      <w:pPr>
        <w:pStyle w:val="3"/>
        <w:rPr>
          <w:rFonts w:ascii="宋体" w:hAnsi="Courier New" w:eastAsia="宋体" w:cs="Courier New"/>
          <w:kern w:val="2"/>
          <w:sz w:val="21"/>
          <w:szCs w:val="21"/>
          <w:lang w:val="zh-CN" w:eastAsia="zh-CN" w:bidi="ar-SA"/>
        </w:rPr>
      </w:pPr>
    </w:p>
    <w:p>
      <w:pPr>
        <w:rPr>
          <w:lang w:val="zh-CN" w:eastAsia="zh-CN"/>
        </w:rPr>
      </w:pPr>
    </w:p>
    <w:p>
      <w:pPr>
        <w:rPr>
          <w:rFonts w:ascii="宋体" w:hAnsi="Courier New" w:eastAsia="宋体" w:cs="Courier New"/>
          <w:kern w:val="2"/>
          <w:sz w:val="21"/>
          <w:szCs w:val="21"/>
          <w:lang w:val="zh-CN" w:eastAsia="zh-CN" w:bidi="ar-SA"/>
        </w:rPr>
      </w:pPr>
    </w:p>
    <w:p>
      <w:pPr>
        <w:pStyle w:val="2"/>
      </w:pPr>
    </w:p>
    <w:p>
      <w:pPr>
        <w:pStyle w:val="2"/>
        <w:spacing w:line="360" w:lineRule="auto"/>
        <w:rPr>
          <w:b/>
          <w:bCs/>
          <w:sz w:val="24"/>
          <w:szCs w:val="24"/>
          <w:lang w:val="zh-CN"/>
        </w:rPr>
      </w:pPr>
      <w:r>
        <w:rPr>
          <w:b/>
          <w:bCs/>
          <w:sz w:val="24"/>
          <w:szCs w:val="24"/>
          <w:lang w:val="zh-CN"/>
        </w:rPr>
        <w:t>附件：</w:t>
      </w:r>
    </w:p>
    <w:p>
      <w:pPr>
        <w:spacing w:line="360" w:lineRule="auto"/>
        <w:rPr>
          <w:sz w:val="24"/>
          <w:szCs w:val="24"/>
        </w:rPr>
      </w:pPr>
      <w:r>
        <w:rPr>
          <w:rFonts w:hint="eastAsia"/>
          <w:sz w:val="24"/>
          <w:szCs w:val="24"/>
          <w:lang w:eastAsia="zh-CN"/>
        </w:rPr>
        <w:t>附件</w:t>
      </w:r>
      <w:r>
        <w:rPr>
          <w:rFonts w:hint="eastAsia"/>
          <w:sz w:val="24"/>
          <w:szCs w:val="24"/>
          <w:lang w:val="en-US" w:eastAsia="zh-CN"/>
        </w:rPr>
        <w:t>1</w:t>
      </w:r>
      <w:r>
        <w:rPr>
          <w:sz w:val="24"/>
          <w:szCs w:val="24"/>
        </w:rPr>
        <w:t>委托书；</w:t>
      </w:r>
    </w:p>
    <w:p>
      <w:pPr>
        <w:spacing w:line="360" w:lineRule="auto"/>
        <w:rPr>
          <w:sz w:val="24"/>
          <w:szCs w:val="24"/>
        </w:rPr>
      </w:pPr>
      <w:r>
        <w:rPr>
          <w:sz w:val="24"/>
          <w:szCs w:val="24"/>
        </w:rPr>
        <w:t>附件</w:t>
      </w:r>
      <w:r>
        <w:rPr>
          <w:rFonts w:hint="eastAsia"/>
          <w:sz w:val="24"/>
          <w:szCs w:val="24"/>
          <w:lang w:val="en-US" w:eastAsia="zh-CN"/>
        </w:rPr>
        <w:t>2</w:t>
      </w:r>
      <w:r>
        <w:rPr>
          <w:rFonts w:hint="eastAsia"/>
          <w:sz w:val="24"/>
          <w:szCs w:val="24"/>
        </w:rPr>
        <w:t>营业执照</w:t>
      </w:r>
      <w:r>
        <w:rPr>
          <w:sz w:val="24"/>
          <w:szCs w:val="24"/>
        </w:rPr>
        <w:t>；</w:t>
      </w:r>
    </w:p>
    <w:p>
      <w:pPr>
        <w:spacing w:line="360" w:lineRule="auto"/>
        <w:rPr>
          <w:rFonts w:hint="default"/>
          <w:sz w:val="24"/>
          <w:szCs w:val="24"/>
          <w:lang w:val="en-US"/>
        </w:rPr>
      </w:pPr>
      <w:r>
        <w:rPr>
          <w:sz w:val="24"/>
          <w:szCs w:val="24"/>
        </w:rPr>
        <w:t>附件</w:t>
      </w:r>
      <w:r>
        <w:rPr>
          <w:rFonts w:hint="eastAsia"/>
          <w:sz w:val="24"/>
          <w:szCs w:val="24"/>
          <w:lang w:val="en-US" w:eastAsia="zh-CN"/>
        </w:rPr>
        <w:t>3项目投资备案证；</w:t>
      </w:r>
    </w:p>
    <w:p>
      <w:pPr>
        <w:spacing w:line="360" w:lineRule="auto"/>
        <w:rPr>
          <w:rFonts w:hint="default"/>
          <w:sz w:val="24"/>
          <w:szCs w:val="24"/>
          <w:lang w:val="en-US"/>
        </w:rPr>
      </w:pPr>
      <w:r>
        <w:rPr>
          <w:sz w:val="24"/>
          <w:szCs w:val="24"/>
        </w:rPr>
        <w:t>附件</w:t>
      </w:r>
      <w:r>
        <w:rPr>
          <w:rFonts w:hint="eastAsia"/>
          <w:sz w:val="24"/>
          <w:szCs w:val="24"/>
          <w:lang w:val="en-US" w:eastAsia="zh-CN"/>
        </w:rPr>
        <w:t>4责令改正违法行为决定书；</w:t>
      </w:r>
    </w:p>
    <w:p>
      <w:pPr>
        <w:spacing w:line="360" w:lineRule="auto"/>
        <w:rPr>
          <w:rFonts w:hint="eastAsia"/>
          <w:sz w:val="24"/>
          <w:szCs w:val="24"/>
          <w:lang w:val="en-US" w:eastAsia="zh-CN"/>
        </w:rPr>
      </w:pPr>
      <w:r>
        <w:rPr>
          <w:rFonts w:hint="eastAsia"/>
          <w:sz w:val="24"/>
          <w:szCs w:val="24"/>
        </w:rPr>
        <w:t>附件</w:t>
      </w:r>
      <w:r>
        <w:rPr>
          <w:rFonts w:hint="eastAsia"/>
          <w:sz w:val="24"/>
          <w:szCs w:val="24"/>
          <w:lang w:val="en-US" w:eastAsia="zh-CN"/>
        </w:rPr>
        <w:t>5 环氧富锌底漆（双）；</w:t>
      </w:r>
    </w:p>
    <w:p>
      <w:pPr>
        <w:spacing w:line="360" w:lineRule="auto"/>
        <w:rPr>
          <w:rFonts w:hint="eastAsia"/>
          <w:sz w:val="24"/>
          <w:szCs w:val="24"/>
          <w:lang w:val="en-US" w:eastAsia="zh-CN"/>
        </w:rPr>
      </w:pPr>
      <w:r>
        <w:rPr>
          <w:rFonts w:hint="eastAsia"/>
          <w:sz w:val="24"/>
          <w:szCs w:val="24"/>
        </w:rPr>
        <w:t>附件</w:t>
      </w:r>
      <w:r>
        <w:rPr>
          <w:rFonts w:hint="eastAsia"/>
          <w:sz w:val="24"/>
          <w:szCs w:val="24"/>
          <w:lang w:val="en-US" w:eastAsia="zh-CN"/>
        </w:rPr>
        <w:t>6 灰环氧云铁中间漆（双）；</w:t>
      </w:r>
    </w:p>
    <w:p>
      <w:pPr>
        <w:spacing w:line="360" w:lineRule="auto"/>
        <w:rPr>
          <w:rFonts w:hint="default" w:ascii="Times New Roman" w:hAnsi="Times New Roman" w:cs="Times New Roman"/>
          <w:sz w:val="24"/>
          <w:szCs w:val="24"/>
          <w:lang w:val="en-US" w:eastAsia="zh-CN"/>
        </w:rPr>
      </w:pPr>
      <w:r>
        <w:rPr>
          <w:rFonts w:hint="eastAsia"/>
          <w:sz w:val="24"/>
          <w:szCs w:val="24"/>
        </w:rPr>
        <w:t>附件</w:t>
      </w:r>
      <w:r>
        <w:rPr>
          <w:rFonts w:hint="eastAsia"/>
          <w:sz w:val="24"/>
          <w:szCs w:val="24"/>
          <w:lang w:val="en-US" w:eastAsia="zh-CN"/>
        </w:rPr>
        <w:t>7 中黄氟碳面漆(双)；</w:t>
      </w:r>
    </w:p>
    <w:p>
      <w:pPr>
        <w:pStyle w:val="2"/>
        <w:rPr>
          <w:rFonts w:hint="eastAsia"/>
          <w:sz w:val="24"/>
          <w:szCs w:val="24"/>
          <w:lang w:val="en-US" w:eastAsia="zh-CN"/>
        </w:rPr>
      </w:pPr>
      <w:r>
        <w:rPr>
          <w:rFonts w:hint="eastAsia"/>
          <w:sz w:val="24"/>
          <w:szCs w:val="24"/>
          <w:lang w:val="en-US" w:eastAsia="zh-CN"/>
        </w:rPr>
        <w:t>附件8 富民县工业园区管委会2020年第二次工业园区入园项目审查会会议纪要；</w:t>
      </w:r>
    </w:p>
    <w:p>
      <w:pPr>
        <w:spacing w:line="360" w:lineRule="auto"/>
        <w:rPr>
          <w:rFonts w:hint="eastAsia"/>
          <w:sz w:val="24"/>
          <w:szCs w:val="24"/>
          <w:lang w:val="en-US" w:eastAsia="zh-CN"/>
        </w:rPr>
      </w:pPr>
      <w:r>
        <w:rPr>
          <w:rFonts w:hint="eastAsia"/>
          <w:sz w:val="24"/>
          <w:szCs w:val="24"/>
          <w:lang w:val="en-US" w:eastAsia="zh-CN"/>
        </w:rPr>
        <w:t>附件9 入园证明；</w:t>
      </w:r>
    </w:p>
    <w:p>
      <w:pPr>
        <w:spacing w:line="360" w:lineRule="auto"/>
        <w:rPr>
          <w:rFonts w:hint="eastAsia"/>
          <w:sz w:val="24"/>
          <w:szCs w:val="24"/>
          <w:lang w:val="en-US" w:eastAsia="zh-CN"/>
        </w:rPr>
      </w:pPr>
      <w:r>
        <w:rPr>
          <w:rFonts w:hint="eastAsia"/>
          <w:sz w:val="24"/>
          <w:szCs w:val="24"/>
          <w:lang w:val="en-US" w:eastAsia="zh-CN"/>
        </w:rPr>
        <w:t>附件10 昆明市银华工贸路桥分公司检测报告；</w:t>
      </w:r>
    </w:p>
    <w:p>
      <w:pPr>
        <w:spacing w:line="360" w:lineRule="auto"/>
        <w:rPr>
          <w:rFonts w:hint="eastAsia"/>
          <w:sz w:val="24"/>
          <w:szCs w:val="24"/>
          <w:lang w:val="en-US" w:eastAsia="zh-CN"/>
        </w:rPr>
      </w:pPr>
      <w:r>
        <w:rPr>
          <w:rFonts w:hint="eastAsia"/>
          <w:sz w:val="24"/>
          <w:szCs w:val="24"/>
          <w:lang w:val="en-US" w:eastAsia="zh-CN"/>
        </w:rPr>
        <w:t>附件11 昆明市银桥钢模有限公司环境质量现状监测；</w:t>
      </w:r>
    </w:p>
    <w:p>
      <w:pPr>
        <w:spacing w:line="360" w:lineRule="auto"/>
        <w:rPr>
          <w:rFonts w:hint="eastAsia"/>
          <w:sz w:val="24"/>
          <w:szCs w:val="24"/>
          <w:lang w:val="en-US" w:eastAsia="zh-CN"/>
        </w:rPr>
      </w:pPr>
      <w:r>
        <w:rPr>
          <w:rFonts w:hint="default"/>
          <w:sz w:val="24"/>
          <w:szCs w:val="24"/>
          <w:lang w:val="en-US" w:eastAsia="zh-CN"/>
        </w:rPr>
        <w:t>附件12 昆明银华工贸有限公司路桥分公司产品概述</w:t>
      </w:r>
      <w:r>
        <w:rPr>
          <w:rFonts w:hint="eastAsia"/>
          <w:sz w:val="24"/>
          <w:szCs w:val="24"/>
          <w:lang w:val="en-US" w:eastAsia="zh-CN"/>
        </w:rPr>
        <w:t>；</w:t>
      </w:r>
    </w:p>
    <w:p>
      <w:pPr>
        <w:spacing w:line="360" w:lineRule="auto"/>
        <w:rPr>
          <w:rFonts w:hint="eastAsia"/>
          <w:sz w:val="24"/>
          <w:szCs w:val="24"/>
          <w:lang w:val="en-US" w:eastAsia="zh-CN"/>
        </w:rPr>
      </w:pPr>
      <w:r>
        <w:rPr>
          <w:rFonts w:hint="default"/>
          <w:sz w:val="24"/>
          <w:szCs w:val="24"/>
          <w:lang w:val="en-US" w:eastAsia="zh-CN"/>
        </w:rPr>
        <w:t>附件13 进度管理表</w:t>
      </w:r>
      <w:r>
        <w:rPr>
          <w:rFonts w:hint="eastAsia"/>
          <w:sz w:val="24"/>
          <w:szCs w:val="24"/>
          <w:lang w:val="en-US" w:eastAsia="zh-CN"/>
        </w:rPr>
        <w:t>；</w:t>
      </w:r>
    </w:p>
    <w:p>
      <w:pPr>
        <w:spacing w:line="360" w:lineRule="auto"/>
        <w:rPr>
          <w:rFonts w:hint="default"/>
          <w:sz w:val="24"/>
          <w:szCs w:val="24"/>
          <w:lang w:val="en-US" w:eastAsia="zh-CN"/>
        </w:rPr>
      </w:pPr>
      <w:r>
        <w:rPr>
          <w:rFonts w:hint="default"/>
          <w:sz w:val="24"/>
          <w:szCs w:val="24"/>
          <w:lang w:val="en-US" w:eastAsia="zh-CN"/>
        </w:rPr>
        <w:t>附件14 内部审核记录表</w:t>
      </w:r>
      <w:r>
        <w:rPr>
          <w:rFonts w:hint="eastAsia"/>
          <w:sz w:val="24"/>
          <w:szCs w:val="24"/>
          <w:lang w:val="en-US" w:eastAsia="zh-CN"/>
        </w:rPr>
        <w:t>；</w:t>
      </w:r>
    </w:p>
    <w:p>
      <w:pPr>
        <w:spacing w:line="360" w:lineRule="auto"/>
        <w:rPr>
          <w:rFonts w:hint="eastAsia"/>
          <w:sz w:val="24"/>
          <w:szCs w:val="24"/>
          <w:lang w:val="en-US" w:eastAsia="zh-CN"/>
        </w:rPr>
      </w:pPr>
      <w:r>
        <w:rPr>
          <w:rFonts w:hint="default"/>
          <w:sz w:val="24"/>
          <w:szCs w:val="24"/>
          <w:lang w:val="en-US" w:eastAsia="zh-CN"/>
        </w:rPr>
        <w:t>附件15 企业确认书</w:t>
      </w:r>
      <w:r>
        <w:rPr>
          <w:rFonts w:hint="eastAsia"/>
          <w:sz w:val="24"/>
          <w:szCs w:val="24"/>
          <w:lang w:val="en-US" w:eastAsia="zh-CN"/>
        </w:rPr>
        <w:t>；</w:t>
      </w:r>
    </w:p>
    <w:p>
      <w:pPr>
        <w:spacing w:line="360" w:lineRule="auto"/>
        <w:rPr>
          <w:rFonts w:hint="eastAsia"/>
          <w:sz w:val="24"/>
          <w:szCs w:val="24"/>
          <w:lang w:val="en-US" w:eastAsia="zh-CN"/>
        </w:rPr>
      </w:pPr>
      <w:r>
        <w:rPr>
          <w:rFonts w:hint="default"/>
          <w:sz w:val="24"/>
          <w:szCs w:val="24"/>
          <w:lang w:val="en-US" w:eastAsia="zh-CN"/>
        </w:rPr>
        <w:t>附件16 评审意见</w:t>
      </w:r>
      <w:r>
        <w:rPr>
          <w:rFonts w:hint="eastAsia"/>
          <w:sz w:val="24"/>
          <w:szCs w:val="24"/>
          <w:lang w:val="en-US" w:eastAsia="zh-CN"/>
        </w:rPr>
        <w:t>；</w:t>
      </w:r>
    </w:p>
    <w:p>
      <w:pPr>
        <w:spacing w:line="360" w:lineRule="auto"/>
        <w:rPr>
          <w:rFonts w:hint="eastAsia"/>
          <w:sz w:val="24"/>
          <w:szCs w:val="24"/>
          <w:lang w:val="en-US" w:eastAsia="zh-CN"/>
        </w:rPr>
      </w:pPr>
      <w:r>
        <w:rPr>
          <w:rFonts w:hint="default"/>
          <w:sz w:val="24"/>
          <w:szCs w:val="24"/>
          <w:lang w:val="en-US" w:eastAsia="zh-CN"/>
        </w:rPr>
        <w:t>附件17 项目评审修改清单—银华工贸</w:t>
      </w:r>
      <w:r>
        <w:rPr>
          <w:rFonts w:hint="eastAsia"/>
          <w:sz w:val="24"/>
          <w:szCs w:val="24"/>
          <w:lang w:val="en-US" w:eastAsia="zh-CN"/>
        </w:rPr>
        <w:t>；</w:t>
      </w:r>
    </w:p>
    <w:p>
      <w:pPr>
        <w:spacing w:line="360" w:lineRule="auto"/>
        <w:rPr>
          <w:rFonts w:hint="eastAsia"/>
          <w:sz w:val="24"/>
          <w:szCs w:val="24"/>
          <w:lang w:val="en-US" w:eastAsia="zh-CN"/>
        </w:rPr>
      </w:pPr>
      <w:r>
        <w:rPr>
          <w:rFonts w:hint="default"/>
          <w:sz w:val="24"/>
          <w:szCs w:val="24"/>
          <w:lang w:val="en-US" w:eastAsia="zh-CN"/>
        </w:rPr>
        <w:t>附件17 项目评审修改清单—银华工贸</w:t>
      </w:r>
      <w:r>
        <w:rPr>
          <w:rFonts w:hint="eastAsia"/>
          <w:sz w:val="24"/>
          <w:szCs w:val="24"/>
          <w:lang w:val="en-US" w:eastAsia="zh-CN"/>
        </w:rPr>
        <w:t>；</w:t>
      </w:r>
    </w:p>
    <w:p>
      <w:pPr>
        <w:spacing w:line="360" w:lineRule="auto"/>
        <w:rPr>
          <w:rFonts w:hint="eastAsia"/>
          <w:sz w:val="24"/>
          <w:szCs w:val="24"/>
          <w:lang w:val="en-US" w:eastAsia="zh-CN"/>
        </w:rPr>
      </w:pPr>
      <w:r>
        <w:rPr>
          <w:rFonts w:hint="default"/>
          <w:sz w:val="24"/>
          <w:szCs w:val="24"/>
          <w:lang w:val="en-US" w:eastAsia="zh-CN"/>
        </w:rPr>
        <w:t>附件18 复审意见</w:t>
      </w:r>
      <w:r>
        <w:rPr>
          <w:rFonts w:hint="eastAsia"/>
          <w:sz w:val="24"/>
          <w:szCs w:val="24"/>
          <w:lang w:val="en-US" w:eastAsia="zh-CN"/>
        </w:rPr>
        <w:t>；</w:t>
      </w:r>
    </w:p>
    <w:p>
      <w:pPr>
        <w:spacing w:line="360" w:lineRule="auto"/>
        <w:rPr>
          <w:rFonts w:hint="default"/>
          <w:sz w:val="24"/>
          <w:szCs w:val="24"/>
          <w:lang w:val="en-US" w:eastAsia="zh-CN"/>
        </w:rPr>
      </w:pPr>
      <w:r>
        <w:rPr>
          <w:rFonts w:hint="default"/>
          <w:sz w:val="24"/>
          <w:szCs w:val="24"/>
          <w:lang w:val="en-US" w:eastAsia="zh-CN"/>
        </w:rPr>
        <w:t>附件18 复审意见修改清单</w:t>
      </w:r>
    </w:p>
    <w:p>
      <w:pPr>
        <w:pStyle w:val="2"/>
        <w:rPr>
          <w:rFonts w:hint="default"/>
          <w:lang w:val="en-US" w:eastAsia="zh-CN"/>
        </w:rPr>
      </w:pPr>
    </w:p>
    <w:p>
      <w:pPr>
        <w:spacing w:line="360" w:lineRule="auto"/>
        <w:rPr>
          <w:rFonts w:hint="eastAsia"/>
          <w:b/>
          <w:bCs/>
          <w:sz w:val="24"/>
          <w:szCs w:val="24"/>
        </w:rPr>
      </w:pPr>
    </w:p>
    <w:p>
      <w:pPr>
        <w:spacing w:line="360" w:lineRule="auto"/>
        <w:rPr>
          <w:b/>
          <w:bCs/>
          <w:sz w:val="24"/>
          <w:szCs w:val="24"/>
        </w:rPr>
      </w:pPr>
      <w:r>
        <w:rPr>
          <w:b/>
          <w:bCs/>
          <w:sz w:val="24"/>
          <w:szCs w:val="24"/>
        </w:rPr>
        <w:t>附图：</w:t>
      </w:r>
    </w:p>
    <w:p>
      <w:pPr>
        <w:spacing w:line="360" w:lineRule="auto"/>
        <w:rPr>
          <w:sz w:val="24"/>
          <w:szCs w:val="24"/>
        </w:rPr>
      </w:pPr>
      <w:r>
        <w:rPr>
          <w:sz w:val="24"/>
          <w:szCs w:val="24"/>
          <w:lang w:val="zh-CN"/>
        </w:rPr>
        <w:t>附图</w:t>
      </w:r>
      <w:r>
        <w:rPr>
          <w:sz w:val="24"/>
          <w:szCs w:val="24"/>
        </w:rPr>
        <w:t>1项目地理位置图；</w:t>
      </w:r>
    </w:p>
    <w:p>
      <w:pPr>
        <w:spacing w:line="360" w:lineRule="auto"/>
        <w:rPr>
          <w:sz w:val="24"/>
          <w:szCs w:val="24"/>
        </w:rPr>
      </w:pPr>
      <w:r>
        <w:rPr>
          <w:sz w:val="24"/>
          <w:szCs w:val="24"/>
        </w:rPr>
        <w:t>附图2项目</w:t>
      </w:r>
      <w:r>
        <w:rPr>
          <w:rFonts w:hint="eastAsia"/>
          <w:sz w:val="24"/>
          <w:szCs w:val="24"/>
          <w:lang w:val="en-US" w:eastAsia="zh-CN"/>
        </w:rPr>
        <w:t>所在</w:t>
      </w:r>
      <w:r>
        <w:rPr>
          <w:sz w:val="24"/>
          <w:szCs w:val="24"/>
        </w:rPr>
        <w:t>区域水系图；</w:t>
      </w:r>
    </w:p>
    <w:p>
      <w:pPr>
        <w:spacing w:line="360" w:lineRule="auto"/>
        <w:rPr>
          <w:sz w:val="24"/>
          <w:szCs w:val="24"/>
        </w:rPr>
      </w:pPr>
      <w:r>
        <w:rPr>
          <w:sz w:val="24"/>
          <w:szCs w:val="24"/>
        </w:rPr>
        <w:t>附图3项目周围环境关系图；</w:t>
      </w:r>
    </w:p>
    <w:p>
      <w:pPr>
        <w:spacing w:line="360" w:lineRule="auto"/>
        <w:rPr>
          <w:rFonts w:hint="eastAsia" w:eastAsia="宋体"/>
          <w:lang w:val="en-US" w:eastAsia="zh-CN"/>
        </w:rPr>
      </w:pPr>
      <w:r>
        <w:rPr>
          <w:rFonts w:hint="eastAsia"/>
          <w:color w:val="auto"/>
          <w:sz w:val="24"/>
          <w:szCs w:val="24"/>
          <w:lang w:eastAsia="zh-CN"/>
        </w:rPr>
        <w:t>附图</w:t>
      </w:r>
      <w:r>
        <w:rPr>
          <w:rFonts w:hint="eastAsia"/>
          <w:color w:val="auto"/>
          <w:sz w:val="24"/>
          <w:szCs w:val="24"/>
          <w:lang w:val="en-US" w:eastAsia="zh-CN"/>
        </w:rPr>
        <w:t>4</w:t>
      </w:r>
      <w:r>
        <w:rPr>
          <w:color w:val="auto"/>
          <w:sz w:val="24"/>
          <w:szCs w:val="24"/>
        </w:rPr>
        <w:t>项目平面布置</w:t>
      </w:r>
      <w:r>
        <w:rPr>
          <w:rFonts w:hint="eastAsia"/>
          <w:color w:val="auto"/>
          <w:sz w:val="24"/>
          <w:szCs w:val="24"/>
          <w:lang w:val="en-US" w:eastAsia="zh-CN"/>
        </w:rPr>
        <w:t>示意</w:t>
      </w:r>
      <w:r>
        <w:rPr>
          <w:color w:val="auto"/>
          <w:sz w:val="24"/>
          <w:szCs w:val="24"/>
        </w:rPr>
        <w:t>图</w:t>
      </w:r>
      <w:r>
        <w:rPr>
          <w:rFonts w:hint="eastAsia"/>
          <w:color w:val="auto"/>
          <w:sz w:val="24"/>
          <w:szCs w:val="24"/>
          <w:lang w:eastAsia="zh-CN"/>
        </w:rPr>
        <w:t>。</w:t>
      </w:r>
    </w:p>
    <w:p>
      <w:pPr>
        <w:outlineLvl w:val="9"/>
        <w:rPr>
          <w:szCs w:val="28"/>
        </w:rPr>
      </w:pPr>
    </w:p>
    <w:p>
      <w:pPr>
        <w:pStyle w:val="2"/>
      </w:pPr>
    </w:p>
    <w:p>
      <w:pPr>
        <w:spacing w:line="240" w:lineRule="auto"/>
        <w:outlineLvl w:val="0"/>
        <w:rPr>
          <w:rFonts w:ascii="Times New Roman" w:hAnsi="Times New Roman"/>
          <w:b/>
          <w:color w:val="000000"/>
          <w:sz w:val="30"/>
          <w:szCs w:val="30"/>
        </w:rPr>
      </w:pPr>
      <w:r>
        <w:rPr>
          <w:szCs w:val="28"/>
        </w:rPr>
        <w:fldChar w:fldCharType="end"/>
      </w:r>
      <w:bookmarkStart w:id="0" w:name="_Toc18301"/>
      <w:bookmarkStart w:id="1" w:name="_Toc1250"/>
      <w:r>
        <w:rPr>
          <w:rFonts w:ascii="Times New Roman" w:hAnsi="Times New Roman"/>
          <w:b/>
          <w:color w:val="000000"/>
          <w:sz w:val="30"/>
          <w:szCs w:val="30"/>
        </w:rPr>
        <w:t>表一  建设项目基本情况</w:t>
      </w:r>
      <w:bookmarkEnd w:id="0"/>
      <w:bookmarkEnd w:id="1"/>
    </w:p>
    <w:tbl>
      <w:tblPr>
        <w:tblStyle w:val="37"/>
        <w:tblW w:w="840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5"/>
        <w:gridCol w:w="2151"/>
        <w:gridCol w:w="1036"/>
        <w:gridCol w:w="300"/>
        <w:gridCol w:w="1372"/>
        <w:gridCol w:w="963"/>
        <w:gridCol w:w="110"/>
        <w:gridCol w:w="1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265" w:type="dxa"/>
            <w:vAlign w:val="center"/>
          </w:tcPr>
          <w:p>
            <w:pPr>
              <w:jc w:val="center"/>
              <w:rPr>
                <w:rFonts w:ascii="Times New Roman" w:hAnsi="Times New Roman"/>
                <w:b/>
                <w:bCs/>
                <w:color w:val="000000"/>
                <w:sz w:val="24"/>
                <w:szCs w:val="24"/>
              </w:rPr>
            </w:pPr>
            <w:r>
              <w:rPr>
                <w:rFonts w:ascii="Times New Roman" w:hAnsi="Times New Roman"/>
                <w:b/>
                <w:bCs/>
                <w:color w:val="000000"/>
                <w:sz w:val="24"/>
                <w:szCs w:val="24"/>
              </w:rPr>
              <w:t>项目名称</w:t>
            </w:r>
          </w:p>
        </w:tc>
        <w:tc>
          <w:tcPr>
            <w:tcW w:w="7144" w:type="dxa"/>
            <w:gridSpan w:val="7"/>
            <w:vAlign w:val="center"/>
          </w:tcPr>
          <w:p>
            <w:pPr>
              <w:tabs>
                <w:tab w:val="left" w:pos="435"/>
                <w:tab w:val="center" w:pos="3486"/>
              </w:tabs>
              <w:autoSpaceDE w:val="0"/>
              <w:autoSpaceDN w:val="0"/>
              <w:adjustRightInd w:val="0"/>
              <w:jc w:val="center"/>
              <w:rPr>
                <w:rFonts w:hint="default" w:ascii="Times New Roman" w:hAnsi="Times New Roman"/>
                <w:color w:val="auto"/>
                <w:sz w:val="24"/>
                <w:lang w:val="en-US"/>
              </w:rPr>
            </w:pPr>
            <w:r>
              <w:rPr>
                <w:rFonts w:hint="eastAsia"/>
                <w:color w:val="auto"/>
                <w:sz w:val="24"/>
                <w:szCs w:val="24"/>
                <w:lang w:val="en-US" w:eastAsia="zh-CN"/>
              </w:rPr>
              <w:t>昆明银华工贸有限公司路桥分公司装配式钢结构项目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65" w:type="dxa"/>
            <w:vAlign w:val="center"/>
          </w:tcPr>
          <w:p>
            <w:pPr>
              <w:jc w:val="center"/>
              <w:rPr>
                <w:rFonts w:ascii="Times New Roman" w:hAnsi="Times New Roman"/>
                <w:b/>
                <w:bCs/>
                <w:color w:val="000000"/>
                <w:sz w:val="24"/>
                <w:szCs w:val="24"/>
              </w:rPr>
            </w:pPr>
            <w:r>
              <w:rPr>
                <w:rFonts w:ascii="Times New Roman" w:hAnsi="Times New Roman"/>
                <w:b/>
                <w:bCs/>
                <w:color w:val="000000"/>
                <w:sz w:val="24"/>
                <w:szCs w:val="24"/>
              </w:rPr>
              <w:t>建设单位</w:t>
            </w:r>
          </w:p>
        </w:tc>
        <w:tc>
          <w:tcPr>
            <w:tcW w:w="7144" w:type="dxa"/>
            <w:gridSpan w:val="7"/>
            <w:vAlign w:val="center"/>
          </w:tcPr>
          <w:p>
            <w:pPr>
              <w:autoSpaceDE w:val="0"/>
              <w:autoSpaceDN w:val="0"/>
              <w:adjustRightInd w:val="0"/>
              <w:jc w:val="center"/>
              <w:rPr>
                <w:rFonts w:hint="default" w:ascii="Times New Roman" w:hAnsi="Times New Roman" w:eastAsia="宋体"/>
                <w:color w:val="auto"/>
                <w:sz w:val="24"/>
                <w:szCs w:val="24"/>
                <w:lang w:val="en-US" w:eastAsia="zh-CN"/>
              </w:rPr>
            </w:pPr>
            <w:r>
              <w:rPr>
                <w:rFonts w:hint="eastAsia"/>
                <w:color w:val="auto"/>
                <w:sz w:val="24"/>
                <w:szCs w:val="24"/>
                <w:lang w:val="en-US" w:eastAsia="zh-CN"/>
              </w:rPr>
              <w:t>昆明银华工贸有限公司路桥分公司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65" w:type="dxa"/>
            <w:vAlign w:val="center"/>
          </w:tcPr>
          <w:p>
            <w:pPr>
              <w:jc w:val="center"/>
              <w:rPr>
                <w:rFonts w:ascii="Times New Roman" w:hAnsi="Times New Roman"/>
                <w:b/>
                <w:bCs/>
                <w:color w:val="000000"/>
                <w:sz w:val="24"/>
                <w:szCs w:val="24"/>
              </w:rPr>
            </w:pPr>
            <w:r>
              <w:rPr>
                <w:rFonts w:ascii="Times New Roman" w:hAnsi="Times New Roman"/>
                <w:b/>
                <w:bCs/>
                <w:color w:val="000000"/>
                <w:sz w:val="24"/>
                <w:szCs w:val="24"/>
              </w:rPr>
              <w:t>法人代表</w:t>
            </w:r>
          </w:p>
        </w:tc>
        <w:tc>
          <w:tcPr>
            <w:tcW w:w="3003" w:type="dxa"/>
            <w:gridSpan w:val="2"/>
            <w:vAlign w:val="center"/>
          </w:tcPr>
          <w:p>
            <w:pPr>
              <w:spacing w:line="360" w:lineRule="auto"/>
              <w:jc w:val="center"/>
              <w:rPr>
                <w:rFonts w:hint="default" w:ascii="Times New Roman" w:hAnsi="Times New Roman" w:eastAsia="宋体"/>
                <w:color w:val="auto"/>
                <w:sz w:val="24"/>
                <w:szCs w:val="24"/>
                <w:lang w:val="en-US" w:eastAsia="zh-CN"/>
              </w:rPr>
            </w:pPr>
            <w:r>
              <w:rPr>
                <w:rFonts w:hint="eastAsia"/>
                <w:color w:val="auto"/>
                <w:sz w:val="24"/>
                <w:szCs w:val="24"/>
                <w:lang w:eastAsia="zh-CN"/>
              </w:rPr>
              <w:t>蹇正洪</w:t>
            </w:r>
          </w:p>
        </w:tc>
        <w:tc>
          <w:tcPr>
            <w:tcW w:w="1716" w:type="dxa"/>
            <w:gridSpan w:val="2"/>
            <w:vAlign w:val="center"/>
          </w:tcPr>
          <w:p>
            <w:pPr>
              <w:spacing w:line="360" w:lineRule="auto"/>
              <w:jc w:val="center"/>
              <w:rPr>
                <w:rFonts w:ascii="Times New Roman" w:hAnsi="Times New Roman"/>
                <w:color w:val="auto"/>
                <w:sz w:val="24"/>
                <w:szCs w:val="24"/>
              </w:rPr>
            </w:pPr>
            <w:r>
              <w:rPr>
                <w:b/>
                <w:bCs/>
                <w:color w:val="auto"/>
                <w:sz w:val="24"/>
                <w:szCs w:val="24"/>
              </w:rPr>
              <w:t>联系人</w:t>
            </w:r>
          </w:p>
        </w:tc>
        <w:tc>
          <w:tcPr>
            <w:tcW w:w="2425" w:type="dxa"/>
            <w:gridSpan w:val="3"/>
            <w:vAlign w:val="center"/>
          </w:tcPr>
          <w:p>
            <w:pPr>
              <w:spacing w:line="360" w:lineRule="auto"/>
              <w:jc w:val="center"/>
              <w:rPr>
                <w:rFonts w:hint="default" w:ascii="Times New Roman" w:hAnsi="Times New Roman" w:eastAsia="宋体"/>
                <w:color w:val="auto"/>
                <w:sz w:val="24"/>
                <w:szCs w:val="24"/>
                <w:lang w:val="en-US" w:eastAsia="zh-CN"/>
              </w:rPr>
            </w:pPr>
            <w:r>
              <w:rPr>
                <w:rFonts w:hint="eastAsia"/>
                <w:color w:val="auto"/>
                <w:sz w:val="24"/>
                <w:szCs w:val="24"/>
                <w:lang w:eastAsia="zh-CN"/>
              </w:rPr>
              <w:t>蹇正洪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65" w:type="dxa"/>
            <w:vAlign w:val="center"/>
          </w:tcPr>
          <w:p>
            <w:pPr>
              <w:jc w:val="center"/>
              <w:rPr>
                <w:rFonts w:ascii="Times New Roman" w:hAnsi="Times New Roman"/>
                <w:b/>
                <w:bCs/>
                <w:color w:val="000000"/>
                <w:sz w:val="24"/>
                <w:szCs w:val="24"/>
              </w:rPr>
            </w:pPr>
            <w:r>
              <w:rPr>
                <w:rFonts w:ascii="Times New Roman" w:hAnsi="Times New Roman"/>
                <w:b/>
                <w:bCs/>
                <w:color w:val="000000"/>
                <w:sz w:val="24"/>
                <w:szCs w:val="24"/>
              </w:rPr>
              <w:t>通讯地址</w:t>
            </w:r>
          </w:p>
        </w:tc>
        <w:tc>
          <w:tcPr>
            <w:tcW w:w="7144" w:type="dxa"/>
            <w:gridSpan w:val="7"/>
            <w:vAlign w:val="center"/>
          </w:tcPr>
          <w:p>
            <w:pPr>
              <w:spacing w:line="360" w:lineRule="auto"/>
              <w:jc w:val="center"/>
              <w:rPr>
                <w:rFonts w:hint="default" w:ascii="Times New Roman" w:hAnsi="Times New Roman" w:eastAsia="宋体"/>
                <w:color w:val="auto"/>
                <w:sz w:val="24"/>
                <w:szCs w:val="24"/>
                <w:lang w:val="en-US" w:eastAsia="zh-CN"/>
              </w:rPr>
            </w:pPr>
            <w:r>
              <w:rPr>
                <w:rFonts w:hint="eastAsia"/>
                <w:color w:val="auto"/>
                <w:sz w:val="24"/>
                <w:szCs w:val="24"/>
                <w:lang w:val="en-US" w:eastAsia="zh-CN"/>
              </w:rPr>
              <w:t>富民县工业园哨箐片区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65" w:type="dxa"/>
            <w:vAlign w:val="center"/>
          </w:tcPr>
          <w:p>
            <w:pPr>
              <w:jc w:val="center"/>
              <w:rPr>
                <w:rFonts w:ascii="Times New Roman" w:hAnsi="Times New Roman"/>
                <w:b/>
                <w:bCs/>
                <w:color w:val="000000"/>
                <w:sz w:val="24"/>
                <w:szCs w:val="24"/>
              </w:rPr>
            </w:pPr>
            <w:r>
              <w:rPr>
                <w:rFonts w:ascii="Times New Roman" w:hAnsi="Times New Roman"/>
                <w:b/>
                <w:bCs/>
                <w:color w:val="000000"/>
                <w:sz w:val="24"/>
                <w:szCs w:val="24"/>
              </w:rPr>
              <w:t>联系电话</w:t>
            </w:r>
          </w:p>
        </w:tc>
        <w:tc>
          <w:tcPr>
            <w:tcW w:w="1979" w:type="dxa"/>
            <w:vAlign w:val="center"/>
          </w:tcPr>
          <w:p>
            <w:pPr>
              <w:spacing w:line="360" w:lineRule="auto"/>
              <w:jc w:val="center"/>
              <w:rPr>
                <w:rFonts w:hint="default" w:ascii="Times New Roman" w:hAnsi="Times New Roman" w:eastAsia="宋体"/>
                <w:color w:val="auto"/>
                <w:sz w:val="24"/>
                <w:szCs w:val="24"/>
                <w:lang w:val="en-US" w:eastAsia="zh-CN"/>
              </w:rPr>
            </w:pPr>
            <w:r>
              <w:rPr>
                <w:rFonts w:hint="eastAsia"/>
                <w:color w:val="auto"/>
                <w:sz w:val="24"/>
                <w:szCs w:val="24"/>
                <w:lang w:val="en-US" w:eastAsia="zh-CN"/>
              </w:rPr>
              <w:t>13678780013</w:t>
            </w:r>
          </w:p>
        </w:tc>
        <w:tc>
          <w:tcPr>
            <w:tcW w:w="1024" w:type="dxa"/>
            <w:vAlign w:val="center"/>
          </w:tcPr>
          <w:p>
            <w:pPr>
              <w:spacing w:line="360" w:lineRule="auto"/>
              <w:jc w:val="center"/>
              <w:rPr>
                <w:rFonts w:ascii="Times New Roman" w:hAnsi="Times New Roman"/>
                <w:color w:val="auto"/>
                <w:sz w:val="24"/>
                <w:szCs w:val="24"/>
              </w:rPr>
            </w:pPr>
            <w:r>
              <w:rPr>
                <w:b/>
                <w:bCs/>
                <w:color w:val="auto"/>
                <w:sz w:val="24"/>
                <w:szCs w:val="24"/>
              </w:rPr>
              <w:t>传真</w:t>
            </w:r>
          </w:p>
        </w:tc>
        <w:tc>
          <w:tcPr>
            <w:tcW w:w="1716" w:type="dxa"/>
            <w:gridSpan w:val="2"/>
            <w:vAlign w:val="center"/>
          </w:tcPr>
          <w:p>
            <w:pPr>
              <w:spacing w:line="360" w:lineRule="auto"/>
              <w:jc w:val="center"/>
              <w:rPr>
                <w:rFonts w:ascii="Times New Roman" w:hAnsi="Times New Roman"/>
                <w:color w:val="auto"/>
                <w:sz w:val="24"/>
              </w:rPr>
            </w:pPr>
            <w:r>
              <w:rPr>
                <w:rFonts w:ascii="Times New Roman" w:hAnsi="Times New Roman"/>
                <w:color w:val="auto"/>
                <w:sz w:val="24"/>
                <w:szCs w:val="24"/>
              </w:rPr>
              <w:t>/</w:t>
            </w:r>
          </w:p>
        </w:tc>
        <w:tc>
          <w:tcPr>
            <w:tcW w:w="1108" w:type="dxa"/>
            <w:vAlign w:val="center"/>
          </w:tcPr>
          <w:p>
            <w:pPr>
              <w:spacing w:line="360" w:lineRule="auto"/>
              <w:jc w:val="center"/>
              <w:rPr>
                <w:rFonts w:ascii="Times New Roman" w:hAnsi="Times New Roman"/>
                <w:color w:val="auto"/>
                <w:sz w:val="24"/>
                <w:szCs w:val="24"/>
              </w:rPr>
            </w:pPr>
            <w:r>
              <w:rPr>
                <w:b/>
                <w:bCs/>
                <w:color w:val="auto"/>
                <w:sz w:val="24"/>
                <w:szCs w:val="24"/>
              </w:rPr>
              <w:t>邮政编码</w:t>
            </w:r>
          </w:p>
        </w:tc>
        <w:tc>
          <w:tcPr>
            <w:tcW w:w="1317" w:type="dxa"/>
            <w:gridSpan w:val="2"/>
            <w:vAlign w:val="center"/>
          </w:tcPr>
          <w:p>
            <w:pPr>
              <w:spacing w:line="360" w:lineRule="auto"/>
              <w:jc w:val="center"/>
              <w:rPr>
                <w:rFonts w:hint="default" w:ascii="Times New Roman" w:hAnsi="Times New Roman" w:eastAsia="宋体"/>
                <w:color w:val="auto"/>
                <w:sz w:val="24"/>
                <w:szCs w:val="24"/>
                <w:lang w:val="en-US" w:eastAsia="zh-CN"/>
              </w:rPr>
            </w:pPr>
            <w:r>
              <w:rPr>
                <w:rFonts w:hint="eastAsia"/>
                <w:color w:val="auto"/>
                <w:sz w:val="24"/>
                <w:szCs w:val="24"/>
                <w:lang w:val="en-US" w:eastAsia="zh-CN"/>
              </w:rPr>
              <w:t>650499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65" w:type="dxa"/>
            <w:vAlign w:val="center"/>
          </w:tcPr>
          <w:p>
            <w:pPr>
              <w:jc w:val="center"/>
              <w:rPr>
                <w:rFonts w:ascii="Times New Roman" w:hAnsi="Times New Roman"/>
                <w:b/>
                <w:bCs/>
                <w:color w:val="000000"/>
                <w:sz w:val="24"/>
                <w:szCs w:val="24"/>
              </w:rPr>
            </w:pPr>
            <w:r>
              <w:rPr>
                <w:rFonts w:ascii="Times New Roman" w:hAnsi="Times New Roman"/>
                <w:b/>
                <w:bCs/>
                <w:color w:val="000000"/>
                <w:sz w:val="24"/>
                <w:szCs w:val="24"/>
              </w:rPr>
              <w:t>建设地点</w:t>
            </w:r>
          </w:p>
        </w:tc>
        <w:tc>
          <w:tcPr>
            <w:tcW w:w="7144" w:type="dxa"/>
            <w:gridSpan w:val="7"/>
            <w:vAlign w:val="center"/>
          </w:tcPr>
          <w:p>
            <w:pPr>
              <w:spacing w:line="360" w:lineRule="auto"/>
              <w:jc w:val="center"/>
              <w:rPr>
                <w:rFonts w:ascii="Times New Roman" w:hAnsi="Times New Roman"/>
                <w:b/>
                <w:color w:val="auto"/>
                <w:sz w:val="24"/>
                <w:szCs w:val="24"/>
              </w:rPr>
            </w:pPr>
            <w:r>
              <w:rPr>
                <w:rFonts w:hint="eastAsia"/>
                <w:color w:val="auto"/>
                <w:sz w:val="24"/>
                <w:szCs w:val="24"/>
                <w:lang w:val="en-US" w:eastAsia="zh-CN"/>
              </w:rPr>
              <w:t>富民县工业园哨箐片区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65" w:type="dxa"/>
            <w:vAlign w:val="center"/>
          </w:tcPr>
          <w:p>
            <w:pPr>
              <w:jc w:val="center"/>
              <w:rPr>
                <w:rFonts w:ascii="Times New Roman" w:hAnsi="Times New Roman"/>
                <w:b/>
                <w:bCs/>
                <w:color w:val="000000"/>
                <w:sz w:val="24"/>
                <w:szCs w:val="24"/>
              </w:rPr>
            </w:pPr>
            <w:r>
              <w:rPr>
                <w:rFonts w:ascii="Times New Roman" w:hAnsi="Times New Roman"/>
                <w:b/>
                <w:bCs/>
                <w:color w:val="000000"/>
                <w:sz w:val="24"/>
                <w:szCs w:val="24"/>
              </w:rPr>
              <w:t>立项审批部门</w:t>
            </w:r>
          </w:p>
        </w:tc>
        <w:tc>
          <w:tcPr>
            <w:tcW w:w="3003" w:type="dxa"/>
            <w:gridSpan w:val="2"/>
            <w:vAlign w:val="center"/>
          </w:tcPr>
          <w:p>
            <w:pPr>
              <w:jc w:val="center"/>
              <w:rPr>
                <w:rFonts w:hint="default" w:ascii="Times New Roman" w:hAnsi="Times New Roman" w:eastAsia="宋体"/>
                <w:color w:val="auto"/>
                <w:sz w:val="24"/>
                <w:szCs w:val="24"/>
                <w:lang w:val="en-US" w:eastAsia="zh-CN"/>
              </w:rPr>
            </w:pPr>
            <w:r>
              <w:rPr>
                <w:rFonts w:hint="eastAsia"/>
                <w:color w:val="auto"/>
                <w:sz w:val="24"/>
                <w:szCs w:val="24"/>
                <w:lang w:val="en-US" w:eastAsia="zh-CN"/>
              </w:rPr>
              <w:t>富民县发展和改革局</w:t>
            </w:r>
          </w:p>
        </w:tc>
        <w:tc>
          <w:tcPr>
            <w:tcW w:w="1716" w:type="dxa"/>
            <w:gridSpan w:val="2"/>
            <w:vAlign w:val="center"/>
          </w:tcPr>
          <w:p>
            <w:pPr>
              <w:jc w:val="center"/>
              <w:rPr>
                <w:rFonts w:ascii="Times New Roman" w:hAnsi="Times New Roman"/>
                <w:b/>
                <w:bCs/>
                <w:color w:val="auto"/>
                <w:sz w:val="24"/>
                <w:szCs w:val="24"/>
              </w:rPr>
            </w:pPr>
            <w:r>
              <w:rPr>
                <w:b/>
                <w:bCs/>
                <w:color w:val="auto"/>
                <w:sz w:val="24"/>
                <w:szCs w:val="24"/>
              </w:rPr>
              <w:t>批准文号</w:t>
            </w:r>
          </w:p>
        </w:tc>
        <w:tc>
          <w:tcPr>
            <w:tcW w:w="2425" w:type="dxa"/>
            <w:gridSpan w:val="3"/>
            <w:vAlign w:val="center"/>
          </w:tcPr>
          <w:p>
            <w:pPr>
              <w:jc w:val="center"/>
              <w:rPr>
                <w:rFonts w:hint="default" w:ascii="Times New Roman" w:hAnsi="Times New Roman" w:eastAsia="宋体"/>
                <w:color w:val="auto"/>
                <w:sz w:val="24"/>
                <w:szCs w:val="24"/>
                <w:lang w:val="en-US" w:eastAsia="zh-CN"/>
              </w:rPr>
            </w:pPr>
            <w:r>
              <w:rPr>
                <w:rFonts w:hint="eastAsia"/>
                <w:color w:val="auto"/>
                <w:sz w:val="24"/>
                <w:szCs w:val="24"/>
                <w:lang w:val="en-US" w:eastAsia="zh-CN"/>
              </w:rPr>
              <w:t>富发改企业备案</w:t>
            </w:r>
            <w:r>
              <w:rPr>
                <w:rFonts w:hint="default" w:ascii="Times New Roman" w:hAnsi="Times New Roman" w:cs="Times New Roman"/>
                <w:color w:val="000000"/>
                <w:sz w:val="24"/>
                <w:szCs w:val="24"/>
              </w:rPr>
              <w:t>[20</w:t>
            </w:r>
            <w:r>
              <w:rPr>
                <w:rFonts w:hint="eastAsia" w:cs="Times New Roman"/>
                <w:color w:val="000000"/>
                <w:sz w:val="24"/>
                <w:szCs w:val="24"/>
                <w:lang w:val="en-US" w:eastAsia="zh-CN"/>
              </w:rPr>
              <w:t>19</w:t>
            </w:r>
            <w:r>
              <w:rPr>
                <w:rFonts w:hint="default" w:ascii="Times New Roman" w:hAnsi="Times New Roman" w:cs="Times New Roman"/>
                <w:color w:val="000000"/>
                <w:sz w:val="24"/>
                <w:szCs w:val="24"/>
              </w:rPr>
              <w:t>]</w:t>
            </w:r>
            <w:r>
              <w:rPr>
                <w:rFonts w:hint="eastAsia" w:cs="Times New Roman"/>
                <w:color w:val="000000"/>
                <w:sz w:val="24"/>
                <w:szCs w:val="24"/>
                <w:lang w:val="en-US" w:eastAsia="zh-CN"/>
              </w:rPr>
              <w:t>0080号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65" w:type="dxa"/>
            <w:vAlign w:val="center"/>
          </w:tcPr>
          <w:p>
            <w:pPr>
              <w:jc w:val="center"/>
              <w:rPr>
                <w:rFonts w:ascii="Times New Roman" w:hAnsi="Times New Roman"/>
                <w:b/>
                <w:bCs/>
                <w:color w:val="000000"/>
                <w:sz w:val="24"/>
                <w:szCs w:val="24"/>
              </w:rPr>
            </w:pPr>
            <w:r>
              <w:rPr>
                <w:rFonts w:ascii="Times New Roman" w:hAnsi="Times New Roman"/>
                <w:b/>
                <w:bCs/>
                <w:color w:val="000000"/>
                <w:sz w:val="24"/>
                <w:szCs w:val="24"/>
              </w:rPr>
              <w:t>建设性质</w:t>
            </w:r>
          </w:p>
        </w:tc>
        <w:tc>
          <w:tcPr>
            <w:tcW w:w="3457" w:type="dxa"/>
            <w:gridSpan w:val="3"/>
            <w:vAlign w:val="center"/>
          </w:tcPr>
          <w:p>
            <w:pPr>
              <w:jc w:val="center"/>
              <w:rPr>
                <w:rFonts w:hint="default" w:ascii="Times New Roman" w:hAnsi="Times New Roman" w:eastAsia="宋体"/>
                <w:color w:val="000000"/>
                <w:sz w:val="24"/>
                <w:szCs w:val="24"/>
                <w:lang w:val="en-US" w:eastAsia="zh-CN"/>
              </w:rPr>
            </w:pPr>
            <w:r>
              <w:rPr>
                <w:rFonts w:hint="eastAsia"/>
                <w:color w:val="000000"/>
                <w:sz w:val="24"/>
                <w:szCs w:val="24"/>
                <w:lang w:val="en-US" w:eastAsia="zh-CN"/>
              </w:rPr>
              <w:t>新建（补办）</w:t>
            </w:r>
          </w:p>
        </w:tc>
        <w:tc>
          <w:tcPr>
            <w:tcW w:w="1262" w:type="dxa"/>
            <w:vAlign w:val="center"/>
          </w:tcPr>
          <w:p>
            <w:pPr>
              <w:jc w:val="center"/>
              <w:rPr>
                <w:rFonts w:ascii="Times New Roman" w:hAnsi="Times New Roman"/>
                <w:b/>
                <w:bCs/>
                <w:color w:val="000000"/>
                <w:sz w:val="24"/>
                <w:szCs w:val="24"/>
              </w:rPr>
            </w:pPr>
            <w:r>
              <w:rPr>
                <w:rFonts w:ascii="Times New Roman" w:hAnsi="Times New Roman"/>
                <w:b/>
                <w:bCs/>
                <w:color w:val="000000"/>
                <w:sz w:val="24"/>
                <w:szCs w:val="24"/>
              </w:rPr>
              <w:t>行业类别</w:t>
            </w:r>
          </w:p>
          <w:p>
            <w:pPr>
              <w:jc w:val="center"/>
              <w:rPr>
                <w:rFonts w:ascii="Times New Roman" w:hAnsi="Times New Roman"/>
                <w:b/>
                <w:bCs/>
                <w:color w:val="000000"/>
                <w:sz w:val="24"/>
                <w:szCs w:val="24"/>
              </w:rPr>
            </w:pPr>
            <w:r>
              <w:rPr>
                <w:rFonts w:ascii="Times New Roman" w:hAnsi="Times New Roman"/>
                <w:b/>
                <w:bCs/>
                <w:color w:val="000000"/>
                <w:sz w:val="24"/>
                <w:szCs w:val="24"/>
              </w:rPr>
              <w:t>及代码</w:t>
            </w:r>
          </w:p>
        </w:tc>
        <w:tc>
          <w:tcPr>
            <w:tcW w:w="2425" w:type="dxa"/>
            <w:gridSpan w:val="3"/>
            <w:vAlign w:val="center"/>
          </w:tcPr>
          <w:p>
            <w:pPr>
              <w:jc w:val="center"/>
              <w:rPr>
                <w:rFonts w:ascii="Times New Roman" w:hAnsi="Times New Roman"/>
                <w:color w:val="000000"/>
                <w:sz w:val="24"/>
              </w:rPr>
            </w:pPr>
            <w:r>
              <w:rPr>
                <w:rFonts w:hint="default"/>
                <w:color w:val="auto"/>
                <w:sz w:val="24"/>
                <w:szCs w:val="24"/>
              </w:rPr>
              <w:t>[C3</w:t>
            </w:r>
            <w:r>
              <w:rPr>
                <w:rFonts w:hint="eastAsia"/>
                <w:color w:val="auto"/>
                <w:sz w:val="24"/>
                <w:szCs w:val="24"/>
                <w:lang w:val="en-US" w:eastAsia="zh-CN"/>
              </w:rPr>
              <w:t>3</w:t>
            </w:r>
            <w:r>
              <w:rPr>
                <w:rFonts w:hint="default"/>
                <w:color w:val="auto"/>
                <w:sz w:val="24"/>
                <w:szCs w:val="24"/>
              </w:rPr>
              <w:t>11]金属结构制造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65" w:type="dxa"/>
            <w:vAlign w:val="center"/>
          </w:tcPr>
          <w:p>
            <w:pPr>
              <w:jc w:val="center"/>
              <w:rPr>
                <w:rFonts w:ascii="Times New Roman" w:hAnsi="Times New Roman"/>
                <w:b/>
                <w:bCs/>
                <w:color w:val="000000"/>
                <w:sz w:val="24"/>
                <w:szCs w:val="24"/>
              </w:rPr>
            </w:pPr>
            <w:r>
              <w:rPr>
                <w:rFonts w:ascii="Times New Roman" w:hAnsi="Times New Roman"/>
                <w:b/>
                <w:bCs/>
                <w:color w:val="000000"/>
                <w:sz w:val="24"/>
                <w:szCs w:val="24"/>
              </w:rPr>
              <w:t>占地面积</w:t>
            </w:r>
          </w:p>
          <w:p>
            <w:pPr>
              <w:jc w:val="center"/>
              <w:rPr>
                <w:rFonts w:ascii="Times New Roman" w:hAnsi="Times New Roman"/>
                <w:b/>
                <w:bCs/>
                <w:color w:val="000000"/>
                <w:sz w:val="24"/>
                <w:szCs w:val="24"/>
              </w:rPr>
            </w:pPr>
            <w:r>
              <w:rPr>
                <w:rFonts w:ascii="Times New Roman" w:hAnsi="Times New Roman"/>
                <w:b/>
                <w:bCs/>
                <w:color w:val="000000"/>
                <w:sz w:val="24"/>
                <w:szCs w:val="24"/>
              </w:rPr>
              <w:t>(m</w:t>
            </w:r>
            <w:r>
              <w:rPr>
                <w:rFonts w:ascii="Times New Roman" w:hAnsi="Times New Roman"/>
                <w:b/>
                <w:bCs/>
                <w:color w:val="000000"/>
                <w:sz w:val="24"/>
                <w:szCs w:val="24"/>
                <w:vertAlign w:val="superscript"/>
              </w:rPr>
              <w:t>2</w:t>
            </w:r>
            <w:r>
              <w:rPr>
                <w:rFonts w:ascii="Times New Roman" w:hAnsi="Times New Roman"/>
                <w:b/>
                <w:bCs/>
                <w:color w:val="000000"/>
                <w:sz w:val="24"/>
                <w:szCs w:val="24"/>
              </w:rPr>
              <w:t>)</w:t>
            </w:r>
          </w:p>
        </w:tc>
        <w:tc>
          <w:tcPr>
            <w:tcW w:w="3457" w:type="dxa"/>
            <w:gridSpan w:val="3"/>
            <w:vAlign w:val="center"/>
          </w:tcPr>
          <w:p>
            <w:pPr>
              <w:widowControl/>
              <w:jc w:val="center"/>
              <w:rPr>
                <w:rFonts w:hint="default" w:ascii="Times New Roman" w:hAnsi="Times New Roman" w:eastAsia="宋体"/>
                <w:color w:val="000000"/>
                <w:sz w:val="24"/>
                <w:szCs w:val="24"/>
                <w:lang w:val="en-US" w:eastAsia="zh-CN"/>
              </w:rPr>
            </w:pPr>
            <w:r>
              <w:rPr>
                <w:rFonts w:hint="eastAsia"/>
                <w:color w:val="000000"/>
                <w:sz w:val="24"/>
                <w:szCs w:val="24"/>
                <w:lang w:val="en-US" w:eastAsia="zh-CN"/>
              </w:rPr>
              <w:t>17000</w:t>
            </w:r>
          </w:p>
        </w:tc>
        <w:tc>
          <w:tcPr>
            <w:tcW w:w="1262" w:type="dxa"/>
            <w:vAlign w:val="center"/>
          </w:tcPr>
          <w:p>
            <w:pPr>
              <w:jc w:val="center"/>
              <w:rPr>
                <w:rFonts w:ascii="Times New Roman" w:hAnsi="Times New Roman"/>
                <w:b/>
                <w:bCs/>
                <w:color w:val="000000"/>
                <w:sz w:val="24"/>
                <w:szCs w:val="24"/>
              </w:rPr>
            </w:pPr>
            <w:r>
              <w:rPr>
                <w:rFonts w:ascii="Times New Roman" w:hAnsi="Times New Roman"/>
                <w:b/>
                <w:bCs/>
                <w:color w:val="000000"/>
                <w:sz w:val="24"/>
                <w:szCs w:val="24"/>
              </w:rPr>
              <w:t>绿化面积（m</w:t>
            </w:r>
            <w:r>
              <w:rPr>
                <w:rFonts w:ascii="Times New Roman" w:hAnsi="Times New Roman"/>
                <w:b/>
                <w:bCs/>
                <w:color w:val="000000"/>
                <w:sz w:val="24"/>
                <w:szCs w:val="24"/>
                <w:vertAlign w:val="superscript"/>
              </w:rPr>
              <w:t>2</w:t>
            </w:r>
            <w:r>
              <w:rPr>
                <w:rFonts w:ascii="Times New Roman" w:hAnsi="Times New Roman"/>
                <w:b/>
                <w:bCs/>
                <w:color w:val="000000"/>
                <w:sz w:val="24"/>
                <w:szCs w:val="24"/>
              </w:rPr>
              <w:t>）</w:t>
            </w:r>
          </w:p>
        </w:tc>
        <w:tc>
          <w:tcPr>
            <w:tcW w:w="2425" w:type="dxa"/>
            <w:gridSpan w:val="3"/>
            <w:vAlign w:val="center"/>
          </w:tcPr>
          <w:p>
            <w:pPr>
              <w:jc w:val="center"/>
              <w:rPr>
                <w:rFonts w:hint="eastAsia" w:ascii="Times New Roman" w:hAnsi="Times New Roman" w:eastAsia="宋体"/>
                <w:color w:val="000000"/>
                <w:sz w:val="24"/>
                <w:szCs w:val="24"/>
                <w:lang w:val="en-US" w:eastAsia="zh-CN"/>
              </w:rPr>
            </w:pPr>
            <w:r>
              <w:rPr>
                <w:rFonts w:hint="eastAsia" w:ascii="Times New Roman" w:hAnsi="Times New Roman"/>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265" w:type="dxa"/>
            <w:vAlign w:val="center"/>
          </w:tcPr>
          <w:p>
            <w:pPr>
              <w:jc w:val="center"/>
              <w:rPr>
                <w:rFonts w:ascii="Times New Roman" w:hAnsi="Times New Roman"/>
                <w:b/>
                <w:bCs/>
                <w:color w:val="000000"/>
                <w:sz w:val="24"/>
                <w:szCs w:val="24"/>
              </w:rPr>
            </w:pPr>
            <w:r>
              <w:rPr>
                <w:rFonts w:ascii="Times New Roman" w:hAnsi="Times New Roman"/>
                <w:b/>
                <w:bCs/>
                <w:color w:val="000000"/>
                <w:sz w:val="24"/>
                <w:szCs w:val="24"/>
              </w:rPr>
              <w:t>总投资</w:t>
            </w:r>
          </w:p>
          <w:p>
            <w:pPr>
              <w:jc w:val="center"/>
              <w:rPr>
                <w:rFonts w:ascii="Times New Roman" w:hAnsi="Times New Roman"/>
                <w:b/>
                <w:bCs/>
                <w:color w:val="000000"/>
                <w:sz w:val="24"/>
                <w:szCs w:val="24"/>
              </w:rPr>
            </w:pPr>
            <w:r>
              <w:rPr>
                <w:rFonts w:ascii="Times New Roman" w:hAnsi="Times New Roman"/>
                <w:b/>
                <w:bCs/>
                <w:color w:val="000000"/>
                <w:sz w:val="24"/>
                <w:szCs w:val="24"/>
              </w:rPr>
              <w:t>（万元）</w:t>
            </w:r>
          </w:p>
        </w:tc>
        <w:tc>
          <w:tcPr>
            <w:tcW w:w="1979" w:type="dxa"/>
            <w:vAlign w:val="center"/>
          </w:tcPr>
          <w:p>
            <w:pPr>
              <w:jc w:val="center"/>
              <w:rPr>
                <w:rFonts w:hint="default" w:ascii="Times New Roman" w:hAnsi="Times New Roman" w:eastAsia="宋体"/>
                <w:color w:val="auto"/>
                <w:sz w:val="24"/>
                <w:szCs w:val="24"/>
                <w:lang w:val="en-US" w:eastAsia="zh-CN"/>
              </w:rPr>
            </w:pPr>
            <w:r>
              <w:rPr>
                <w:rFonts w:hint="eastAsia"/>
                <w:color w:val="auto"/>
                <w:sz w:val="24"/>
                <w:szCs w:val="24"/>
                <w:lang w:val="en-US" w:eastAsia="zh-CN"/>
              </w:rPr>
              <w:t>1230</w:t>
            </w:r>
          </w:p>
        </w:tc>
        <w:tc>
          <w:tcPr>
            <w:tcW w:w="1478" w:type="dxa"/>
            <w:gridSpan w:val="2"/>
            <w:vAlign w:val="center"/>
          </w:tcPr>
          <w:p>
            <w:pPr>
              <w:jc w:val="center"/>
              <w:rPr>
                <w:rFonts w:ascii="Times New Roman" w:hAnsi="Times New Roman"/>
                <w:b/>
                <w:bCs/>
                <w:color w:val="auto"/>
                <w:sz w:val="24"/>
                <w:szCs w:val="24"/>
              </w:rPr>
            </w:pPr>
            <w:r>
              <w:rPr>
                <w:rFonts w:ascii="Times New Roman" w:hAnsi="Times New Roman"/>
                <w:b/>
                <w:bCs/>
                <w:color w:val="auto"/>
                <w:sz w:val="24"/>
                <w:szCs w:val="24"/>
              </w:rPr>
              <w:t>其中：环保</w:t>
            </w:r>
          </w:p>
          <w:p>
            <w:pPr>
              <w:jc w:val="center"/>
              <w:rPr>
                <w:rFonts w:ascii="Times New Roman" w:hAnsi="Times New Roman"/>
                <w:b/>
                <w:bCs/>
                <w:color w:val="auto"/>
                <w:sz w:val="24"/>
                <w:szCs w:val="24"/>
              </w:rPr>
            </w:pPr>
            <w:r>
              <w:rPr>
                <w:rFonts w:ascii="Times New Roman" w:hAnsi="Times New Roman"/>
                <w:b/>
                <w:bCs/>
                <w:color w:val="auto"/>
                <w:sz w:val="24"/>
                <w:szCs w:val="24"/>
              </w:rPr>
              <w:t>投资(万元)</w:t>
            </w:r>
          </w:p>
        </w:tc>
        <w:tc>
          <w:tcPr>
            <w:tcW w:w="1262" w:type="dxa"/>
            <w:vAlign w:val="center"/>
          </w:tcPr>
          <w:p>
            <w:pPr>
              <w:jc w:val="center"/>
              <w:rPr>
                <w:rFonts w:hint="default" w:ascii="Times New Roman" w:hAnsi="Times New Roman" w:eastAsia="宋体"/>
                <w:color w:val="auto"/>
                <w:sz w:val="24"/>
                <w:szCs w:val="24"/>
                <w:lang w:val="en-US" w:eastAsia="zh-CN"/>
              </w:rPr>
            </w:pPr>
            <w:r>
              <w:rPr>
                <w:rFonts w:hint="eastAsia"/>
                <w:color w:val="auto"/>
                <w:sz w:val="24"/>
                <w:szCs w:val="24"/>
                <w:lang w:val="en-US" w:eastAsia="zh-CN"/>
              </w:rPr>
              <w:t>24</w:t>
            </w:r>
          </w:p>
        </w:tc>
        <w:tc>
          <w:tcPr>
            <w:tcW w:w="1276" w:type="dxa"/>
            <w:gridSpan w:val="2"/>
            <w:vAlign w:val="center"/>
          </w:tcPr>
          <w:p>
            <w:pPr>
              <w:jc w:val="center"/>
              <w:rPr>
                <w:b/>
                <w:bCs/>
                <w:color w:val="auto"/>
                <w:sz w:val="24"/>
                <w:szCs w:val="24"/>
              </w:rPr>
            </w:pPr>
            <w:r>
              <w:rPr>
                <w:b/>
                <w:bCs/>
                <w:color w:val="auto"/>
                <w:sz w:val="24"/>
                <w:szCs w:val="24"/>
              </w:rPr>
              <w:t>环保投资占</w:t>
            </w:r>
          </w:p>
          <w:p>
            <w:pPr>
              <w:jc w:val="center"/>
              <w:rPr>
                <w:rFonts w:ascii="Times New Roman" w:hAnsi="Times New Roman"/>
                <w:color w:val="auto"/>
                <w:sz w:val="24"/>
                <w:szCs w:val="24"/>
              </w:rPr>
            </w:pPr>
            <w:r>
              <w:rPr>
                <w:b/>
                <w:bCs/>
                <w:color w:val="auto"/>
                <w:sz w:val="24"/>
                <w:szCs w:val="24"/>
              </w:rPr>
              <w:t>总投资的比例</w:t>
            </w:r>
          </w:p>
        </w:tc>
        <w:tc>
          <w:tcPr>
            <w:tcW w:w="1149" w:type="dxa"/>
            <w:vAlign w:val="center"/>
          </w:tcPr>
          <w:p>
            <w:pPr>
              <w:jc w:val="center"/>
              <w:rPr>
                <w:rFonts w:ascii="Times New Roman" w:hAnsi="Times New Roman"/>
                <w:color w:val="auto"/>
                <w:sz w:val="24"/>
                <w:szCs w:val="24"/>
              </w:rPr>
            </w:pPr>
            <w:r>
              <w:rPr>
                <w:rFonts w:hint="eastAsia" w:ascii="New Times Romes" w:hAnsi="New Times Romes"/>
                <w:color w:val="auto"/>
                <w:sz w:val="24"/>
                <w:lang w:val="en-US" w:eastAsia="zh-CN"/>
              </w:rPr>
              <w:t>1.95%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65" w:type="dxa"/>
            <w:vAlign w:val="center"/>
          </w:tcPr>
          <w:p>
            <w:pPr>
              <w:jc w:val="center"/>
              <w:rPr>
                <w:rFonts w:ascii="Times New Roman" w:hAnsi="Times New Roman"/>
                <w:b/>
                <w:bCs/>
                <w:color w:val="000000"/>
                <w:sz w:val="24"/>
                <w:szCs w:val="24"/>
              </w:rPr>
            </w:pPr>
            <w:r>
              <w:rPr>
                <w:rFonts w:ascii="Times New Roman" w:hAnsi="Times New Roman"/>
                <w:b/>
                <w:bCs/>
                <w:color w:val="000000"/>
                <w:sz w:val="24"/>
                <w:szCs w:val="24"/>
              </w:rPr>
              <w:t>评价经费</w:t>
            </w:r>
          </w:p>
          <w:p>
            <w:pPr>
              <w:jc w:val="center"/>
              <w:rPr>
                <w:rFonts w:ascii="Times New Roman" w:hAnsi="Times New Roman"/>
                <w:b/>
                <w:bCs/>
                <w:color w:val="000000"/>
                <w:sz w:val="24"/>
                <w:szCs w:val="24"/>
              </w:rPr>
            </w:pPr>
            <w:r>
              <w:rPr>
                <w:rFonts w:ascii="Times New Roman" w:hAnsi="Times New Roman"/>
                <w:b/>
                <w:bCs/>
                <w:color w:val="000000"/>
                <w:sz w:val="24"/>
                <w:szCs w:val="24"/>
              </w:rPr>
              <w:t>（万元）</w:t>
            </w:r>
          </w:p>
        </w:tc>
        <w:tc>
          <w:tcPr>
            <w:tcW w:w="1979" w:type="dxa"/>
            <w:vAlign w:val="center"/>
          </w:tcPr>
          <w:p>
            <w:pPr>
              <w:jc w:val="center"/>
              <w:rPr>
                <w:rFonts w:hint="eastAsia" w:ascii="Times New Roman" w:hAnsi="Times New Roman"/>
                <w:color w:val="000000"/>
                <w:sz w:val="24"/>
                <w:szCs w:val="24"/>
              </w:rPr>
            </w:pPr>
            <w:r>
              <w:rPr>
                <w:rFonts w:hint="eastAsia" w:ascii="Times New Roman" w:hAnsi="Times New Roman"/>
                <w:color w:val="000000"/>
                <w:sz w:val="24"/>
                <w:szCs w:val="24"/>
              </w:rPr>
              <w:t>/</w:t>
            </w:r>
          </w:p>
        </w:tc>
        <w:tc>
          <w:tcPr>
            <w:tcW w:w="1478" w:type="dxa"/>
            <w:gridSpan w:val="2"/>
            <w:vAlign w:val="center"/>
          </w:tcPr>
          <w:p>
            <w:pPr>
              <w:rPr>
                <w:rFonts w:ascii="Times New Roman" w:hAnsi="Times New Roman"/>
                <w:b/>
                <w:bCs/>
                <w:color w:val="000000"/>
                <w:sz w:val="24"/>
                <w:szCs w:val="24"/>
              </w:rPr>
            </w:pPr>
            <w:r>
              <w:rPr>
                <w:rFonts w:ascii="Times New Roman" w:hAnsi="Times New Roman"/>
                <w:b/>
                <w:bCs/>
                <w:color w:val="000000"/>
                <w:sz w:val="24"/>
                <w:szCs w:val="24"/>
              </w:rPr>
              <w:t>预期投产日期</w:t>
            </w:r>
          </w:p>
        </w:tc>
        <w:tc>
          <w:tcPr>
            <w:tcW w:w="3687" w:type="dxa"/>
            <w:gridSpan w:val="4"/>
            <w:vAlign w:val="center"/>
          </w:tcPr>
          <w:p>
            <w:pPr>
              <w:jc w:val="center"/>
              <w:rPr>
                <w:rFonts w:hint="eastAsia" w:ascii="Times New Roman" w:hAnsi="Times New Roman" w:eastAsia="宋体"/>
                <w:color w:val="000000"/>
                <w:sz w:val="24"/>
                <w:szCs w:val="24"/>
                <w:lang w:val="en-US" w:eastAsia="zh-CN"/>
              </w:rPr>
            </w:pPr>
            <w:r>
              <w:rPr>
                <w:rFonts w:hint="eastAsia" w:ascii="Times New Roman" w:hAnsi="Times New Roman"/>
                <w:color w:val="auto"/>
                <w:sz w:val="24"/>
                <w:szCs w:val="24"/>
                <w:lang w:val="en-US" w:eastAsia="zh-CN"/>
              </w:rPr>
              <w:t>20</w:t>
            </w:r>
            <w:r>
              <w:rPr>
                <w:rFonts w:hint="eastAsia"/>
                <w:color w:val="auto"/>
                <w:sz w:val="24"/>
                <w:szCs w:val="24"/>
                <w:lang w:val="en-US" w:eastAsia="zh-CN"/>
              </w:rPr>
              <w:t>22</w:t>
            </w:r>
            <w:r>
              <w:rPr>
                <w:rFonts w:hint="eastAsia" w:ascii="Times New Roman" w:hAnsi="Times New Roman"/>
                <w:color w:val="auto"/>
                <w:sz w:val="24"/>
                <w:szCs w:val="24"/>
                <w:lang w:val="en-US" w:eastAsia="zh-CN"/>
              </w:rPr>
              <w:t>年</w:t>
            </w:r>
            <w:r>
              <w:rPr>
                <w:rFonts w:hint="eastAsia"/>
                <w:color w:val="auto"/>
                <w:sz w:val="24"/>
                <w:szCs w:val="24"/>
                <w:lang w:val="en-US" w:eastAsia="zh-CN"/>
              </w:rPr>
              <w:t>12</w:t>
            </w:r>
            <w:r>
              <w:rPr>
                <w:rFonts w:hint="eastAsia" w:ascii="Times New Roman" w:hAnsi="Times New Roman"/>
                <w:color w:val="auto"/>
                <w:sz w:val="24"/>
                <w:szCs w:val="24"/>
                <w:lang w:val="en-US"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5" w:hRule="atLeast"/>
        </w:trPr>
        <w:tc>
          <w:tcPr>
            <w:tcW w:w="8409" w:type="dxa"/>
            <w:gridSpan w:val="8"/>
            <w:vAlign w:val="top"/>
          </w:tcPr>
          <w:p>
            <w:pPr>
              <w:spacing w:line="360" w:lineRule="auto"/>
              <w:jc w:val="both"/>
              <w:outlineLvl w:val="1"/>
              <w:rPr>
                <w:b/>
                <w:bCs/>
                <w:sz w:val="24"/>
                <w:szCs w:val="24"/>
              </w:rPr>
            </w:pPr>
            <w:r>
              <w:rPr>
                <w:b/>
                <w:bCs/>
                <w:sz w:val="24"/>
                <w:szCs w:val="24"/>
              </w:rPr>
              <w:t>工程内容及规模：</w:t>
            </w:r>
          </w:p>
          <w:p>
            <w:pPr>
              <w:spacing w:line="360" w:lineRule="auto"/>
              <w:ind w:firstLine="482" w:firstLineChars="200"/>
              <w:jc w:val="both"/>
              <w:outlineLvl w:val="1"/>
              <w:rPr>
                <w:b/>
                <w:bCs/>
                <w:sz w:val="24"/>
                <w:szCs w:val="24"/>
              </w:rPr>
            </w:pPr>
            <w:r>
              <w:rPr>
                <w:rFonts w:hint="eastAsia"/>
                <w:b/>
                <w:bCs/>
                <w:sz w:val="24"/>
                <w:szCs w:val="24"/>
                <w:lang w:val="en-US" w:eastAsia="zh-CN"/>
              </w:rPr>
              <w:t>一、</w:t>
            </w:r>
            <w:r>
              <w:rPr>
                <w:b/>
                <w:bCs/>
                <w:sz w:val="24"/>
                <w:szCs w:val="24"/>
              </w:rPr>
              <w:t>项目由来</w:t>
            </w:r>
          </w:p>
          <w:p>
            <w:pPr>
              <w:pStyle w:val="36"/>
              <w:spacing w:after="0" w:line="360" w:lineRule="auto"/>
              <w:ind w:left="0" w:leftChars="0" w:firstLine="480"/>
              <w:outlineLvl w:val="1"/>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eastAsia="zh-CN"/>
              </w:rPr>
              <w:t>昆明银华工贸有限公司路桥分公司位于</w:t>
            </w:r>
            <w:r>
              <w:rPr>
                <w:rFonts w:hint="eastAsia" w:ascii="Times New Roman" w:hAnsi="Times New Roman" w:cs="Times New Roman" w:eastAsiaTheme="minorEastAsia"/>
                <w:color w:val="auto"/>
                <w:sz w:val="24"/>
                <w:szCs w:val="24"/>
                <w:lang w:eastAsia="zh-CN"/>
              </w:rPr>
              <w:t>云南省昆明市</w:t>
            </w:r>
            <w:r>
              <w:rPr>
                <w:rFonts w:hint="default" w:ascii="Times New Roman" w:hAnsi="Times New Roman" w:eastAsia="宋体" w:cs="Times New Roman"/>
                <w:color w:val="auto"/>
                <w:sz w:val="24"/>
                <w:szCs w:val="24"/>
                <w:lang w:eastAsia="zh-CN"/>
              </w:rPr>
              <w:t>富民县工业园</w:t>
            </w:r>
            <w:r>
              <w:rPr>
                <w:rFonts w:hint="eastAsia" w:cs="Times New Roman"/>
                <w:color w:val="auto"/>
                <w:sz w:val="24"/>
                <w:szCs w:val="24"/>
                <w:lang w:eastAsia="zh-CN"/>
              </w:rPr>
              <w:t>哨箐片区</w:t>
            </w:r>
            <w:r>
              <w:rPr>
                <w:rFonts w:hint="default" w:ascii="Times New Roman" w:hAnsi="Times New Roman" w:cs="Times New Roman" w:eastAsiaTheme="minorEastAsia"/>
                <w:color w:val="auto"/>
                <w:sz w:val="24"/>
                <w:szCs w:val="24"/>
                <w:lang w:eastAsia="zh-CN"/>
              </w:rPr>
              <w:t>，公司成立于2019年</w:t>
            </w:r>
            <w:r>
              <w:rPr>
                <w:rFonts w:hint="default" w:ascii="Times New Roman" w:hAnsi="Times New Roman" w:cs="Times New Roman" w:eastAsiaTheme="minorEastAsia"/>
                <w:color w:val="auto"/>
                <w:sz w:val="24"/>
                <w:szCs w:val="24"/>
                <w:lang w:val="en-US" w:eastAsia="zh-CN"/>
              </w:rPr>
              <w:t>10</w:t>
            </w:r>
            <w:r>
              <w:rPr>
                <w:rFonts w:hint="default" w:ascii="Times New Roman" w:hAnsi="Times New Roman" w:cs="Times New Roman" w:eastAsiaTheme="minorEastAsia"/>
                <w:color w:val="auto"/>
                <w:sz w:val="24"/>
                <w:szCs w:val="24"/>
                <w:lang w:eastAsia="zh-CN"/>
              </w:rPr>
              <w:t>月，拥有国内先进的钢结构制作、加工技术。近年来因钢构结构具有节能、环保可回收利用的优点，目前在住宅、工业厂房、桥梁制造等领域得到广泛应用，工业、民用、市政建设以及现代超高建筑、摩天大楼均已应用钢结构工艺逐步取代传统砖混结构，钢结构市场正处于一个蓬勃发展阶段，各地区存在很大的需求量。为适应市场需求，昆明银华工贸有限公司路桥分公司在</w:t>
            </w:r>
            <w:r>
              <w:rPr>
                <w:rFonts w:hint="eastAsia"/>
                <w:color w:val="auto"/>
                <w:sz w:val="24"/>
                <w:szCs w:val="24"/>
                <w:lang w:val="en-US" w:eastAsia="zh-CN"/>
              </w:rPr>
              <w:t>富民县工业园哨箐片区</w:t>
            </w:r>
            <w:r>
              <w:rPr>
                <w:rFonts w:hint="eastAsia" w:ascii="Times New Roman" w:hAnsi="Times New Roman" w:cs="Times New Roman" w:eastAsiaTheme="minorEastAsia"/>
                <w:color w:val="auto"/>
                <w:sz w:val="24"/>
                <w:szCs w:val="24"/>
                <w:lang w:eastAsia="zh-CN"/>
              </w:rPr>
              <w:t>工业园区</w:t>
            </w:r>
            <w:r>
              <w:rPr>
                <w:rFonts w:hint="default" w:ascii="Times New Roman" w:hAnsi="Times New Roman" w:cs="Times New Roman" w:eastAsiaTheme="minorEastAsia"/>
                <w:color w:val="auto"/>
                <w:sz w:val="24"/>
                <w:szCs w:val="24"/>
                <w:lang w:eastAsia="zh-CN"/>
              </w:rPr>
              <w:t>投资</w:t>
            </w:r>
            <w:r>
              <w:rPr>
                <w:rFonts w:hint="eastAsia" w:ascii="Times New Roman" w:hAnsi="Times New Roman" w:cs="Times New Roman" w:eastAsiaTheme="minorEastAsia"/>
                <w:color w:val="auto"/>
                <w:sz w:val="24"/>
                <w:szCs w:val="24"/>
                <w:lang w:val="en-US" w:eastAsia="zh-CN"/>
              </w:rPr>
              <w:t>1</w:t>
            </w:r>
            <w:r>
              <w:rPr>
                <w:rFonts w:hint="eastAsia" w:cs="Times New Roman" w:eastAsiaTheme="minorEastAsia"/>
                <w:color w:val="auto"/>
                <w:sz w:val="24"/>
                <w:szCs w:val="24"/>
                <w:lang w:val="en-US" w:eastAsia="zh-CN"/>
              </w:rPr>
              <w:t>230</w:t>
            </w:r>
            <w:r>
              <w:rPr>
                <w:rFonts w:hint="default" w:ascii="Times New Roman" w:hAnsi="Times New Roman" w:cs="Times New Roman" w:eastAsiaTheme="minorEastAsia"/>
                <w:color w:val="auto"/>
                <w:sz w:val="24"/>
                <w:szCs w:val="24"/>
                <w:lang w:eastAsia="zh-CN"/>
              </w:rPr>
              <w:t>万元，</w:t>
            </w:r>
            <w:r>
              <w:rPr>
                <w:rFonts w:hint="default" w:ascii="Times New Roman" w:hAnsi="Times New Roman" w:cs="Times New Roman" w:eastAsiaTheme="minorEastAsia"/>
                <w:color w:val="auto"/>
                <w:sz w:val="24"/>
                <w:szCs w:val="24"/>
              </w:rPr>
              <w:t>公司租用</w:t>
            </w:r>
            <w:r>
              <w:rPr>
                <w:rFonts w:hint="eastAsia" w:ascii="Times New Roman" w:hAnsi="Times New Roman" w:cs="Times New Roman" w:eastAsiaTheme="minorEastAsia"/>
                <w:color w:val="auto"/>
                <w:sz w:val="24"/>
                <w:szCs w:val="24"/>
                <w:lang w:eastAsia="zh-CN"/>
              </w:rPr>
              <w:t>云南晨鑫机械制造有限公司</w:t>
            </w:r>
            <w:r>
              <w:rPr>
                <w:rFonts w:hint="default" w:ascii="Times New Roman" w:hAnsi="Times New Roman" w:cs="Times New Roman" w:eastAsiaTheme="minorEastAsia"/>
                <w:color w:val="auto"/>
                <w:sz w:val="24"/>
                <w:szCs w:val="24"/>
                <w:lang w:eastAsia="zh-CN"/>
              </w:rPr>
              <w:t>标准厂房</w:t>
            </w:r>
            <w:r>
              <w:rPr>
                <w:rFonts w:hint="eastAsia" w:cs="Times New Roman" w:eastAsiaTheme="minorEastAsia"/>
                <w:color w:val="auto"/>
                <w:sz w:val="24"/>
                <w:szCs w:val="24"/>
                <w:lang w:val="en-US" w:eastAsia="zh-CN"/>
              </w:rPr>
              <w:t>32</w:t>
            </w:r>
            <w:r>
              <w:rPr>
                <w:rFonts w:hint="eastAsia" w:ascii="Times New Roman" w:hAnsi="Times New Roman" w:cs="Times New Roman" w:eastAsiaTheme="minorEastAsia"/>
                <w:color w:val="auto"/>
                <w:sz w:val="24"/>
                <w:szCs w:val="24"/>
                <w:lang w:val="en-US" w:eastAsia="zh-CN"/>
              </w:rPr>
              <w:t>00</w:t>
            </w:r>
            <w:r>
              <w:rPr>
                <w:rFonts w:hint="default" w:ascii="Times New Roman" w:hAnsi="Times New Roman" w:cs="Times New Roman" w:eastAsiaTheme="minorEastAsia"/>
                <w:color w:val="auto"/>
                <w:sz w:val="24"/>
                <w:szCs w:val="24"/>
                <w:lang w:val="en-US" w:eastAsia="zh-CN"/>
              </w:rPr>
              <w:t>m</w:t>
            </w:r>
            <w:r>
              <w:rPr>
                <w:rFonts w:hint="default" w:ascii="Times New Roman" w:hAnsi="Times New Roman" w:cs="Times New Roman" w:eastAsiaTheme="minorEastAsia"/>
                <w:color w:val="auto"/>
                <w:sz w:val="24"/>
                <w:szCs w:val="24"/>
                <w:vertAlign w:val="superscript"/>
                <w:lang w:val="en-US" w:eastAsia="zh-CN"/>
              </w:rPr>
              <w:t>2</w:t>
            </w:r>
            <w:r>
              <w:rPr>
                <w:rFonts w:hint="default" w:ascii="Times New Roman" w:hAnsi="Times New Roman" w:cs="Times New Roman" w:eastAsiaTheme="minorEastAsia"/>
                <w:color w:val="auto"/>
                <w:sz w:val="24"/>
                <w:szCs w:val="24"/>
                <w:lang w:eastAsia="zh-CN"/>
              </w:rPr>
              <w:t>作为生产厂房，</w:t>
            </w:r>
            <w:r>
              <w:rPr>
                <w:rFonts w:hint="default" w:ascii="Times New Roman" w:hAnsi="Times New Roman" w:eastAsia="宋体" w:cs="Times New Roman"/>
                <w:sz w:val="24"/>
              </w:rPr>
              <w:t>项目于20</w:t>
            </w:r>
            <w:r>
              <w:rPr>
                <w:rFonts w:hint="eastAsia" w:ascii="Times New Roman" w:hAnsi="Times New Roman" w:eastAsia="宋体" w:cs="Times New Roman"/>
                <w:sz w:val="24"/>
                <w:lang w:val="en-US" w:eastAsia="zh-CN"/>
              </w:rPr>
              <w:t>20</w:t>
            </w:r>
            <w:r>
              <w:rPr>
                <w:rFonts w:hint="default" w:ascii="Times New Roman" w:hAnsi="Times New Roman" w:eastAsia="宋体" w:cs="Times New Roman"/>
                <w:sz w:val="24"/>
              </w:rPr>
              <w:t>年</w:t>
            </w:r>
            <w:r>
              <w:rPr>
                <w:rFonts w:hint="eastAsia" w:ascii="Times New Roman" w:hAnsi="Times New Roman" w:eastAsia="宋体" w:cs="Times New Roman"/>
                <w:sz w:val="24"/>
                <w:lang w:val="en-US" w:eastAsia="zh-CN"/>
              </w:rPr>
              <w:t>6月开始安装设备，2020年7</w:t>
            </w:r>
            <w:r>
              <w:rPr>
                <w:rFonts w:hint="default" w:ascii="Times New Roman" w:hAnsi="Times New Roman" w:eastAsia="宋体" w:cs="Times New Roman"/>
                <w:sz w:val="24"/>
              </w:rPr>
              <w:t>月建设完成并投入</w:t>
            </w:r>
            <w:r>
              <w:rPr>
                <w:rFonts w:hint="eastAsia" w:ascii="Times New Roman" w:hAnsi="Times New Roman" w:eastAsia="宋体" w:cs="Times New Roman"/>
                <w:sz w:val="24"/>
                <w:lang w:eastAsia="zh-CN"/>
              </w:rPr>
              <w:t>生产</w:t>
            </w:r>
            <w:r>
              <w:rPr>
                <w:rFonts w:hint="default" w:ascii="Times New Roman" w:hAnsi="Times New Roman" w:eastAsia="宋体" w:cs="Times New Roman"/>
                <w:sz w:val="24"/>
              </w:rPr>
              <w:t>，至今未办理相关环保手续。</w:t>
            </w:r>
            <w:r>
              <w:rPr>
                <w:rFonts w:hint="eastAsia" w:ascii="Times New Roman" w:hAnsi="Times New Roman" w:eastAsia="宋体" w:cs="Times New Roman"/>
                <w:sz w:val="24"/>
                <w:lang w:val="en-US" w:eastAsia="zh-CN"/>
              </w:rPr>
              <w:t>2020年10月12日经昆明市生态环境局富民分局综合执法大队对该公司进行调查核实，该公司未取得环保审批相关手续擅自开工建设并投入生产；生产过程中喷漆工艺在车间内进行，未采取污染防治措施；废油漆桶露天堆放，未采取符合国家环境保护标准的防护措施。责令该项目立即停止违法生产或排污行为，</w:t>
            </w:r>
            <w:r>
              <w:rPr>
                <w:rFonts w:hint="eastAsia" w:cs="Times New Roman"/>
                <w:sz w:val="24"/>
                <w:lang w:val="en-US" w:eastAsia="zh-CN"/>
              </w:rPr>
              <w:t>未</w:t>
            </w:r>
            <w:r>
              <w:rPr>
                <w:rFonts w:hint="eastAsia" w:ascii="Times New Roman" w:hAnsi="Times New Roman" w:eastAsia="宋体" w:cs="Times New Roman"/>
                <w:sz w:val="24"/>
                <w:lang w:val="en-US" w:eastAsia="zh-CN"/>
              </w:rPr>
              <w:t>取得环保审批手续前，不得投入生产或排放污染物。</w:t>
            </w:r>
            <w:r>
              <w:rPr>
                <w:rFonts w:hint="default" w:ascii="Times New Roman" w:hAnsi="Times New Roman" w:eastAsia="宋体" w:cs="Times New Roman"/>
                <w:sz w:val="24"/>
              </w:rPr>
              <w:t>因此，</w:t>
            </w:r>
            <w:r>
              <w:rPr>
                <w:rFonts w:hint="eastAsia" w:ascii="Times New Roman" w:hAnsi="Times New Roman" w:eastAsia="宋体" w:cs="Times New Roman"/>
                <w:sz w:val="24"/>
                <w:lang w:eastAsia="zh-CN"/>
              </w:rPr>
              <w:t>本项目正在完善污染防治措施、</w:t>
            </w:r>
            <w:r>
              <w:rPr>
                <w:rFonts w:hint="default" w:ascii="Times New Roman" w:hAnsi="Times New Roman" w:eastAsia="宋体" w:cs="Times New Roman"/>
                <w:sz w:val="24"/>
              </w:rPr>
              <w:t>完善项目环保审批手续，现正在补</w:t>
            </w:r>
            <w:r>
              <w:rPr>
                <w:rFonts w:hint="default" w:ascii="Times New Roman" w:hAnsi="Times New Roman" w:eastAsia="宋体" w:cs="Times New Roman"/>
                <w:kern w:val="0"/>
                <w:sz w:val="24"/>
                <w:lang w:val="zh-CN" w:bidi="ar"/>
              </w:rPr>
              <w:t>办环评。</w:t>
            </w:r>
          </w:p>
          <w:p>
            <w:pPr>
              <w:spacing w:line="480" w:lineRule="exact"/>
              <w:ind w:firstLine="480" w:firstLineChars="200"/>
              <w:outlineLvl w:val="1"/>
              <w:rPr>
                <w:rFonts w:hint="default" w:ascii="Times New Roman" w:hAnsi="Times New Roman" w:cs="Times New Roman" w:eastAsiaTheme="minorEastAsia"/>
                <w:color w:val="auto"/>
                <w:sz w:val="24"/>
                <w:szCs w:val="24"/>
                <w:lang w:eastAsia="zh-CN"/>
              </w:rPr>
            </w:pPr>
            <w:r>
              <w:rPr>
                <w:rFonts w:hint="default" w:ascii="Times New Roman" w:hAnsi="Times New Roman" w:eastAsia="宋体" w:cs="Times New Roman"/>
                <w:sz w:val="24"/>
                <w:szCs w:val="24"/>
              </w:rPr>
              <w:t>根据《中华人民共和国环境保护法》（2015年1月1日起施行）、国务院《建设项目环境保护管理条例》（2017年10月1日起施行）以及《中华人民共和国环境影响评价法》（2016年9月1日起施行）</w:t>
            </w:r>
            <w:r>
              <w:rPr>
                <w:rFonts w:hint="default" w:ascii="Times New Roman" w:hAnsi="Times New Roman" w:cs="Times New Roman" w:eastAsiaTheme="minorEastAsia"/>
                <w:color w:val="auto"/>
                <w:sz w:val="24"/>
                <w:szCs w:val="24"/>
                <w:lang w:eastAsia="zh-CN"/>
              </w:rPr>
              <w:t>，建设过程中或者建成投产后可能对环境产生影响的新建、扩建、改建、迁建、技术改造项目及区域开发建设项目，需进行环境影响评价。</w:t>
            </w:r>
            <w:r>
              <w:rPr>
                <w:rFonts w:hint="default" w:ascii="Times New Roman" w:hAnsi="Times New Roman" w:eastAsia="宋体" w:cs="Times New Roman"/>
                <w:sz w:val="24"/>
                <w:szCs w:val="24"/>
              </w:rPr>
              <w:t>根据《建设项目环境影响评价分类管理目录》（根据2018年4月28日公布的《</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"http://www.mep.gov.cn/gkml/sthjbgw/sthjbl/201804/t20180430_435750.htm"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关于修改&lt;建设项目环境影响评价分类管理名录&gt;部分内容的决定》修正</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t>）等有关条款规定</w:t>
            </w:r>
            <w:r>
              <w:rPr>
                <w:rFonts w:hint="default" w:ascii="Times New Roman" w:hAnsi="Times New Roman" w:cs="Times New Roman" w:eastAsiaTheme="minorEastAsia"/>
                <w:color w:val="auto"/>
                <w:sz w:val="24"/>
                <w:szCs w:val="24"/>
                <w:lang w:eastAsia="zh-CN"/>
              </w:rPr>
              <w:t>，本项目属于“二十二、金属制品业 67、金属制品加工制造中“其他（仅切割组装除外）”，建设项目不涉及电镀工艺且使用水性涂料，应该编制环境影响报告表。昆明银华工贸有限公司路桥分公司委托我公司开展该项目环境影响评价工作</w:t>
            </w:r>
            <w:r>
              <w:rPr>
                <w:rFonts w:hint="default" w:ascii="Times New Roman" w:hAnsi="Times New Roman" w:eastAsia="宋体" w:cs="Times New Roman"/>
                <w:sz w:val="24"/>
                <w:szCs w:val="24"/>
              </w:rPr>
              <w:t>（委托书见附件）</w:t>
            </w:r>
            <w:r>
              <w:rPr>
                <w:rFonts w:hint="default" w:ascii="Times New Roman" w:hAnsi="Times New Roman" w:cs="Times New Roman" w:eastAsiaTheme="minorEastAsia"/>
                <w:color w:val="auto"/>
                <w:sz w:val="24"/>
                <w:szCs w:val="24"/>
                <w:lang w:eastAsia="zh-CN"/>
              </w:rPr>
              <w:t>。</w:t>
            </w:r>
            <w:r>
              <w:rPr>
                <w:rFonts w:hint="default" w:ascii="Times New Roman" w:hAnsi="Times New Roman" w:eastAsia="宋体" w:cs="Times New Roman"/>
                <w:sz w:val="24"/>
                <w:szCs w:val="24"/>
              </w:rPr>
              <w:t>我</w:t>
            </w:r>
            <w:r>
              <w:rPr>
                <w:rFonts w:hint="eastAsia" w:cs="Times New Roman"/>
                <w:sz w:val="24"/>
                <w:szCs w:val="24"/>
                <w:lang w:eastAsia="zh-CN"/>
              </w:rPr>
              <w:t>单位</w:t>
            </w:r>
            <w:r>
              <w:rPr>
                <w:rFonts w:hint="default" w:ascii="Times New Roman" w:hAnsi="Times New Roman" w:eastAsia="宋体" w:cs="Times New Roman"/>
                <w:sz w:val="24"/>
                <w:szCs w:val="24"/>
              </w:rPr>
              <w:t>接受委托后，</w:t>
            </w:r>
            <w:r>
              <w:rPr>
                <w:rFonts w:hint="default" w:ascii="Times New Roman" w:hAnsi="Times New Roman" w:eastAsia="宋体" w:cs="Times New Roman"/>
                <w:sz w:val="24"/>
              </w:rPr>
              <w:t>根据国家建设项目环境管理的有关规定，</w:t>
            </w:r>
            <w:r>
              <w:rPr>
                <w:rFonts w:hint="default" w:ascii="Times New Roman" w:hAnsi="Times New Roman" w:eastAsia="宋体" w:cs="Times New Roman"/>
                <w:sz w:val="24"/>
                <w:szCs w:val="24"/>
              </w:rPr>
              <w:t>对项目建设地周围环境状况进行了实地调查，收集及核实了当地有关环境资料，按照环境影响评价有关技术规范编制完成了</w:t>
            </w:r>
            <w:r>
              <w:rPr>
                <w:rFonts w:hint="default" w:ascii="Times New Roman" w:hAnsi="Times New Roman" w:cs="Times New Roman" w:eastAsiaTheme="minorEastAsia"/>
                <w:color w:val="auto"/>
                <w:sz w:val="24"/>
                <w:szCs w:val="24"/>
                <w:lang w:eastAsia="zh-CN"/>
              </w:rPr>
              <w:t>《</w:t>
            </w:r>
            <w:r>
              <w:rPr>
                <w:rFonts w:hint="eastAsia"/>
                <w:color w:val="auto"/>
                <w:sz w:val="24"/>
                <w:szCs w:val="24"/>
                <w:lang w:val="en-US" w:eastAsia="zh-CN"/>
              </w:rPr>
              <w:t>昆明银华工贸有限公司路桥分公司装配式钢结构</w:t>
            </w:r>
            <w:r>
              <w:rPr>
                <w:rFonts w:hint="default" w:ascii="Times New Roman" w:hAnsi="Times New Roman" w:cs="Times New Roman" w:eastAsiaTheme="minorEastAsia"/>
                <w:color w:val="auto"/>
                <w:sz w:val="24"/>
                <w:szCs w:val="24"/>
                <w:lang w:eastAsia="zh-CN"/>
              </w:rPr>
              <w:t>项目环境影响评价报告表》供建设单位上报审批。</w:t>
            </w:r>
          </w:p>
          <w:p>
            <w:pPr>
              <w:spacing w:line="360" w:lineRule="auto"/>
              <w:ind w:left="0" w:leftChars="0" w:firstLine="482" w:firstLineChars="200"/>
              <w:jc w:val="both"/>
              <w:outlineLvl w:val="1"/>
              <w:rPr>
                <w:rFonts w:hint="default"/>
                <w:b/>
                <w:bCs/>
                <w:sz w:val="24"/>
                <w:szCs w:val="24"/>
                <w:lang w:eastAsia="zh-CN"/>
              </w:rPr>
            </w:pPr>
            <w:r>
              <w:rPr>
                <w:rFonts w:hint="eastAsia"/>
                <w:b/>
                <w:bCs/>
                <w:sz w:val="24"/>
                <w:szCs w:val="24"/>
                <w:lang w:val="en-US" w:eastAsia="zh-CN"/>
              </w:rPr>
              <w:t>二</w:t>
            </w:r>
            <w:r>
              <w:rPr>
                <w:rFonts w:hint="default"/>
                <w:b/>
                <w:bCs/>
                <w:sz w:val="24"/>
                <w:szCs w:val="24"/>
                <w:lang w:val="en-US" w:eastAsia="zh-CN"/>
              </w:rPr>
              <w:t>、</w:t>
            </w:r>
            <w:r>
              <w:rPr>
                <w:rFonts w:hint="default"/>
                <w:b/>
                <w:bCs/>
                <w:sz w:val="24"/>
                <w:szCs w:val="24"/>
                <w:lang w:eastAsia="zh-CN"/>
              </w:rPr>
              <w:t>与相关政策符合性</w:t>
            </w:r>
          </w:p>
          <w:p>
            <w:pPr>
              <w:spacing w:line="360" w:lineRule="auto"/>
              <w:ind w:firstLine="480" w:firstLineChars="200"/>
              <w:jc w:val="both"/>
              <w:outlineLvl w:val="1"/>
              <w:rPr>
                <w:sz w:val="24"/>
                <w:szCs w:val="24"/>
              </w:rPr>
            </w:pPr>
            <w:bookmarkStart w:id="2" w:name="_Toc1830"/>
            <w:bookmarkStart w:id="3" w:name="_Toc32217"/>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sz w:val="24"/>
                <w:szCs w:val="24"/>
              </w:rPr>
              <w:t>产业政策符合性分析</w:t>
            </w:r>
            <w:bookmarkEnd w:id="2"/>
            <w:bookmarkEnd w:id="3"/>
          </w:p>
          <w:p>
            <w:pPr>
              <w:spacing w:line="360" w:lineRule="auto"/>
              <w:ind w:firstLine="480" w:firstLineChars="200"/>
              <w:jc w:val="both"/>
              <w:outlineLvl w:val="1"/>
              <w:rPr>
                <w:rFonts w:hint="default" w:ascii="Times New Roman" w:hAnsi="Times New Roman" w:cs="Times New Roman"/>
                <w:b w:val="0"/>
                <w:bCs w:val="0"/>
                <w:color w:val="auto"/>
                <w:sz w:val="24"/>
              </w:rPr>
            </w:pPr>
            <w:r>
              <w:rPr>
                <w:rFonts w:hint="eastAsia"/>
                <w:sz w:val="24"/>
                <w:szCs w:val="24"/>
                <w:lang w:val="en-US" w:eastAsia="zh-CN"/>
              </w:rPr>
              <w:t>本项目为</w:t>
            </w:r>
            <w:r>
              <w:rPr>
                <w:rFonts w:hint="eastAsia"/>
                <w:color w:val="auto"/>
                <w:sz w:val="24"/>
                <w:szCs w:val="24"/>
                <w:lang w:val="en-US" w:eastAsia="zh-CN"/>
              </w:rPr>
              <w:t>昆明银华工贸有限公司路桥分公司装配式钢结构项目，主要从事钢结构产品的制作、销售</w:t>
            </w:r>
            <w:r>
              <w:rPr>
                <w:rFonts w:hint="eastAsia"/>
                <w:sz w:val="24"/>
                <w:szCs w:val="24"/>
                <w:lang w:val="en-US" w:eastAsia="zh-CN"/>
              </w:rPr>
              <w:t>。对照《产业结构调整指导目录（2019年本）》，</w:t>
            </w:r>
            <w:r>
              <w:rPr>
                <w:color w:val="auto"/>
                <w:spacing w:val="-6"/>
                <w:sz w:val="24"/>
              </w:rPr>
              <w:t>依照国家《产业结构调整指导目录</w:t>
            </w:r>
            <w:r>
              <w:rPr>
                <w:color w:val="auto"/>
                <w:sz w:val="24"/>
              </w:rPr>
              <w:t>（</w:t>
            </w:r>
            <w:r>
              <w:rPr>
                <w:rFonts w:ascii="Times New Roman" w:hAnsi="Times New Roman" w:eastAsia="Times New Roman"/>
                <w:color w:val="auto"/>
                <w:sz w:val="24"/>
              </w:rPr>
              <w:t>20</w:t>
            </w:r>
            <w:r>
              <w:rPr>
                <w:rFonts w:hint="eastAsia" w:eastAsia="宋体"/>
                <w:color w:val="auto"/>
                <w:sz w:val="24"/>
                <w:lang w:val="en-US" w:eastAsia="zh-CN"/>
              </w:rPr>
              <w:t>19</w:t>
            </w:r>
            <w:r>
              <w:rPr>
                <w:rFonts w:ascii="Times New Roman" w:hAnsi="Times New Roman" w:eastAsia="Times New Roman"/>
                <w:color w:val="auto"/>
                <w:sz w:val="24"/>
              </w:rPr>
              <w:t xml:space="preserve"> </w:t>
            </w:r>
            <w:r>
              <w:rPr>
                <w:color w:val="auto"/>
                <w:sz w:val="24"/>
              </w:rPr>
              <w:t>年本</w:t>
            </w:r>
            <w:r>
              <w:rPr>
                <w:color w:val="auto"/>
                <w:spacing w:val="-10"/>
                <w:sz w:val="24"/>
              </w:rPr>
              <w:t>）</w:t>
            </w:r>
            <w:r>
              <w:rPr>
                <w:color w:val="auto"/>
                <w:spacing w:val="-5"/>
                <w:sz w:val="24"/>
              </w:rPr>
              <w:t>》，项目属于鼓励类的第</w:t>
            </w:r>
            <w:r>
              <w:rPr>
                <w:rFonts w:hint="eastAsia"/>
                <w:color w:val="auto"/>
                <w:spacing w:val="-5"/>
                <w:sz w:val="24"/>
                <w:lang w:eastAsia="zh-CN"/>
              </w:rPr>
              <w:t>二十一</w:t>
            </w:r>
            <w:r>
              <w:rPr>
                <w:color w:val="auto"/>
                <w:spacing w:val="-4"/>
                <w:sz w:val="24"/>
              </w:rPr>
              <w:t>类“</w:t>
            </w:r>
            <w:r>
              <w:rPr>
                <w:rFonts w:hint="eastAsia"/>
                <w:color w:val="auto"/>
                <w:spacing w:val="-4"/>
                <w:sz w:val="24"/>
                <w:lang w:eastAsia="zh-CN"/>
              </w:rPr>
              <w:t>建筑</w:t>
            </w:r>
            <w:r>
              <w:rPr>
                <w:color w:val="auto"/>
                <w:spacing w:val="-4"/>
                <w:sz w:val="24"/>
              </w:rPr>
              <w:t>”中第</w:t>
            </w:r>
            <w:r>
              <w:rPr>
                <w:rFonts w:hint="eastAsia"/>
                <w:color w:val="auto"/>
                <w:spacing w:val="-4"/>
                <w:sz w:val="24"/>
                <w:lang w:eastAsia="zh-CN"/>
              </w:rPr>
              <w:t>十三</w:t>
            </w:r>
            <w:r>
              <w:rPr>
                <w:color w:val="auto"/>
                <w:spacing w:val="-4"/>
                <w:sz w:val="24"/>
              </w:rPr>
              <w:t>点</w:t>
            </w:r>
            <w:r>
              <w:rPr>
                <w:rFonts w:hint="eastAsia"/>
                <w:color w:val="auto"/>
                <w:spacing w:val="-4"/>
                <w:sz w:val="24"/>
                <w:lang w:eastAsia="zh-CN"/>
              </w:rPr>
              <w:t>“装配式钢结构绿色建筑体系的研发及推广</w:t>
            </w:r>
            <w:r>
              <w:rPr>
                <w:rFonts w:hint="eastAsia"/>
                <w:color w:val="auto"/>
                <w:spacing w:val="-1"/>
                <w:sz w:val="24"/>
                <w:lang w:eastAsia="zh-CN"/>
              </w:rPr>
              <w:t>”</w:t>
            </w:r>
            <w:r>
              <w:rPr>
                <w:color w:val="auto"/>
                <w:spacing w:val="-1"/>
                <w:sz w:val="24"/>
              </w:rPr>
              <w:t>的项目</w:t>
            </w:r>
            <w:r>
              <w:rPr>
                <w:color w:val="auto"/>
                <w:sz w:val="24"/>
              </w:rPr>
              <w:t>，</w:t>
            </w:r>
            <w:r>
              <w:rPr>
                <w:rFonts w:hint="eastAsia"/>
                <w:color w:val="auto"/>
                <w:sz w:val="24"/>
                <w:lang w:eastAsia="zh-CN"/>
              </w:rPr>
              <w:t>所以</w:t>
            </w:r>
            <w:r>
              <w:rPr>
                <w:color w:val="auto"/>
                <w:sz w:val="24"/>
              </w:rPr>
              <w:t>本项目符合国家的产业政策。</w:t>
            </w:r>
          </w:p>
          <w:p>
            <w:pPr>
              <w:spacing w:line="360" w:lineRule="auto"/>
              <w:ind w:firstLine="480"/>
              <w:jc w:val="both"/>
              <w:outlineLvl w:val="1"/>
              <w:rPr>
                <w:rFonts w:hint="eastAsia"/>
                <w:sz w:val="24"/>
                <w:szCs w:val="24"/>
                <w:lang w:val="en-US" w:eastAsia="zh-CN"/>
              </w:rPr>
            </w:pPr>
            <w:r>
              <w:rPr>
                <w:rFonts w:hint="eastAsia"/>
                <w:sz w:val="24"/>
                <w:szCs w:val="24"/>
                <w:lang w:val="en-US" w:eastAsia="zh-CN"/>
              </w:rPr>
              <w:t>因此，项目的建设符合国家现行的产业政策。</w:t>
            </w:r>
          </w:p>
          <w:p>
            <w:pPr>
              <w:spacing w:line="360" w:lineRule="auto"/>
              <w:ind w:firstLine="480" w:firstLineChars="200"/>
              <w:jc w:val="both"/>
              <w:outlineLvl w:val="1"/>
              <w:rPr>
                <w:rFonts w:hint="eastAsia" w:ascii="Times New Roman" w:hAnsi="Times New Roman" w:cs="Times New Roman"/>
                <w:sz w:val="24"/>
                <w:szCs w:val="24"/>
                <w:lang w:eastAsia="zh-CN"/>
              </w:rPr>
            </w:pPr>
            <w:bookmarkStart w:id="4" w:name="_Toc13953"/>
            <w:bookmarkStart w:id="5" w:name="_Toc22640"/>
            <w:r>
              <w:rPr>
                <w:rFonts w:hint="eastAsia" w:ascii="Times New Roman" w:hAnsi="Times New Roman" w:cs="Times New Roman"/>
                <w:sz w:val="24"/>
                <w:szCs w:val="24"/>
                <w:lang w:eastAsia="zh-CN"/>
              </w:rPr>
              <w:t>（2）与《云南省主体功能区规划》的符合性</w:t>
            </w:r>
            <w:bookmarkEnd w:id="4"/>
            <w:bookmarkEnd w:id="5"/>
          </w:p>
          <w:p>
            <w:pPr>
              <w:spacing w:line="360" w:lineRule="auto"/>
              <w:ind w:firstLine="480" w:firstLineChars="200"/>
              <w:jc w:val="both"/>
              <w:outlineLvl w:val="1"/>
              <w:rPr>
                <w:rFonts w:hint="eastAsia"/>
                <w:lang w:val="en-US" w:eastAsia="zh-CN"/>
              </w:rPr>
            </w:pPr>
            <w:bookmarkStart w:id="6" w:name="_Toc30441"/>
            <w:bookmarkStart w:id="7" w:name="_Toc31320"/>
            <w:r>
              <w:rPr>
                <w:rFonts w:hint="eastAsia" w:ascii="Times New Roman" w:hAnsi="Times New Roman" w:cs="Times New Roman"/>
                <w:sz w:val="24"/>
                <w:szCs w:val="24"/>
                <w:lang w:eastAsia="zh-CN"/>
              </w:rPr>
              <w:t>对照《云南省主体功能区规划》，项目区不属于《云南省主体功能区规划》中规定的禁止开发区及限值开发区。本项目不涉及基本农田，远离居民敏感点，对农田生态系统影响不大，本项目不违反《云南省主体功能区规划》。</w:t>
            </w:r>
            <w:bookmarkEnd w:id="6"/>
            <w:bookmarkEnd w:id="7"/>
          </w:p>
          <w:p>
            <w:pPr>
              <w:spacing w:line="360" w:lineRule="auto"/>
              <w:ind w:firstLine="480" w:firstLineChars="200"/>
              <w:jc w:val="both"/>
              <w:outlineLvl w:val="1"/>
              <w:rPr>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sz w:val="24"/>
                <w:szCs w:val="24"/>
              </w:rPr>
              <w:t>项目选址合理性分析</w:t>
            </w:r>
          </w:p>
          <w:p>
            <w:pPr>
              <w:spacing w:line="360" w:lineRule="auto"/>
              <w:ind w:firstLine="480"/>
              <w:jc w:val="both"/>
              <w:outlineLvl w:val="1"/>
              <w:rPr>
                <w:rFonts w:hint="eastAsia"/>
                <w:color w:val="auto"/>
                <w:sz w:val="24"/>
                <w:szCs w:val="24"/>
                <w:lang w:val="en-US" w:eastAsia="zh-CN"/>
              </w:rPr>
            </w:pPr>
            <w:r>
              <w:rPr>
                <w:rFonts w:hint="eastAsia"/>
                <w:color w:val="auto"/>
                <w:sz w:val="24"/>
                <w:szCs w:val="24"/>
                <w:lang w:val="en-US" w:eastAsia="zh-CN"/>
              </w:rPr>
              <w:t>本项目选址位于昆明市富民县工业园哨箐片区内，项目所在区为城市工业园区，不涉及饮用水源保护区、自然保护区、风景名胜区、基本农田保护区等需要特殊保护的区域，不涉及国家和地方文物保护单位。项目租用已建好的厂房，不涉及土建施工，营运期产生的各类污染物采取相应的防治措施后，对项目所在区域的环境质量及环境保护目标影响较小，因此，项目选址合理。</w:t>
            </w:r>
          </w:p>
          <w:p>
            <w:pPr>
              <w:spacing w:line="360" w:lineRule="auto"/>
              <w:ind w:firstLine="480" w:firstLineChars="200"/>
              <w:jc w:val="both"/>
              <w:outlineLvl w:val="1"/>
              <w:rPr>
                <w:rFonts w:hint="eastAsia" w:ascii="Times New Roman" w:hAnsi="Times New Roman" w:cs="Times New Roman"/>
                <w:sz w:val="24"/>
                <w:szCs w:val="24"/>
                <w:lang w:eastAsia="zh-CN"/>
              </w:rPr>
            </w:pPr>
            <w:bookmarkStart w:id="8" w:name="_Toc14198"/>
            <w:bookmarkStart w:id="9" w:name="_Toc16259"/>
            <w:r>
              <w:rPr>
                <w:rFonts w:hint="eastAsia" w:ascii="Times New Roman" w:hAnsi="Times New Roman" w:cs="Times New Roman"/>
                <w:sz w:val="24"/>
                <w:szCs w:val="24"/>
                <w:lang w:eastAsia="zh-CN"/>
              </w:rPr>
              <w:t>（4）与《富民县土地利用总体规划》规划符合性</w:t>
            </w:r>
            <w:bookmarkEnd w:id="8"/>
            <w:bookmarkEnd w:id="9"/>
          </w:p>
          <w:p>
            <w:pPr>
              <w:spacing w:line="360" w:lineRule="auto"/>
              <w:ind w:firstLine="480" w:firstLineChars="200"/>
              <w:jc w:val="both"/>
              <w:outlineLvl w:val="1"/>
              <w:rPr>
                <w:rFonts w:hint="eastAsia" w:ascii="Times New Roman" w:hAnsi="Times New Roman" w:cs="Times New Roman"/>
                <w:sz w:val="24"/>
                <w:szCs w:val="24"/>
                <w:lang w:eastAsia="zh-CN"/>
              </w:rPr>
            </w:pPr>
            <w:bookmarkStart w:id="10" w:name="_Toc26869"/>
            <w:bookmarkStart w:id="11" w:name="_Toc28556"/>
            <w:r>
              <w:rPr>
                <w:rFonts w:hint="eastAsia" w:ascii="Times New Roman" w:hAnsi="Times New Roman" w:cs="Times New Roman"/>
                <w:sz w:val="24"/>
                <w:szCs w:val="24"/>
                <w:lang w:eastAsia="zh-CN"/>
              </w:rPr>
              <w:t>本项目位于</w:t>
            </w:r>
            <w:r>
              <w:rPr>
                <w:rFonts w:hint="eastAsia"/>
                <w:color w:val="auto"/>
                <w:sz w:val="24"/>
                <w:szCs w:val="24"/>
                <w:lang w:val="en-US" w:eastAsia="zh-CN"/>
              </w:rPr>
              <w:t>昆明市</w:t>
            </w:r>
            <w:r>
              <w:rPr>
                <w:rFonts w:hint="default" w:ascii="Times New Roman" w:hAnsi="Times New Roman" w:eastAsia="宋体" w:cs="Times New Roman"/>
                <w:color w:val="auto"/>
                <w:sz w:val="24"/>
                <w:szCs w:val="24"/>
                <w:lang w:eastAsia="zh-CN"/>
              </w:rPr>
              <w:t>富民县工业园</w:t>
            </w:r>
            <w:r>
              <w:rPr>
                <w:rFonts w:hint="eastAsia" w:cs="Times New Roman"/>
                <w:color w:val="auto"/>
                <w:sz w:val="24"/>
                <w:szCs w:val="24"/>
                <w:lang w:eastAsia="zh-CN"/>
              </w:rPr>
              <w:t>哨箐片区</w:t>
            </w:r>
            <w:r>
              <w:rPr>
                <w:rFonts w:hint="eastAsia"/>
                <w:color w:val="auto"/>
                <w:sz w:val="24"/>
                <w:szCs w:val="24"/>
                <w:lang w:val="en-US" w:eastAsia="zh-CN"/>
              </w:rPr>
              <w:t>内</w:t>
            </w:r>
            <w:r>
              <w:rPr>
                <w:rFonts w:hint="eastAsia" w:ascii="Times New Roman" w:hAnsi="Times New Roman" w:cs="Times New Roman"/>
                <w:sz w:val="24"/>
                <w:szCs w:val="24"/>
                <w:lang w:eastAsia="zh-CN"/>
              </w:rPr>
              <w:t>，占地</w:t>
            </w:r>
            <w:r>
              <w:rPr>
                <w:rFonts w:hint="eastAsia" w:ascii="Times New Roman" w:hAnsi="Times New Roman" w:cs="Times New Roman"/>
                <w:sz w:val="24"/>
                <w:szCs w:val="24"/>
                <w:lang w:val="en-US" w:eastAsia="zh-CN"/>
              </w:rPr>
              <w:t>17000m</w:t>
            </w:r>
            <w:r>
              <w:rPr>
                <w:rFonts w:hint="eastAsia" w:ascii="Times New Roman" w:hAnsi="Times New Roman" w:cs="Times New Roman"/>
                <w:sz w:val="24"/>
                <w:szCs w:val="24"/>
                <w:vertAlign w:val="superscript"/>
                <w:lang w:val="en-US" w:eastAsia="zh-CN"/>
              </w:rPr>
              <w:t>2</w:t>
            </w:r>
            <w:r>
              <w:rPr>
                <w:rFonts w:hint="eastAsia" w:ascii="Times New Roman" w:hAnsi="Times New Roman" w:cs="Times New Roman"/>
                <w:sz w:val="24"/>
                <w:szCs w:val="24"/>
                <w:lang w:eastAsia="zh-CN"/>
              </w:rPr>
              <w:t>，</w:t>
            </w:r>
            <w:r>
              <w:rPr>
                <w:rFonts w:hint="default" w:ascii="Times New Roman" w:hAnsi="Times New Roman" w:cs="Times New Roman" w:eastAsiaTheme="minorEastAsia"/>
                <w:color w:val="auto"/>
                <w:sz w:val="24"/>
                <w:szCs w:val="24"/>
              </w:rPr>
              <w:t>公司租用</w:t>
            </w:r>
            <w:r>
              <w:rPr>
                <w:rFonts w:hint="eastAsia" w:ascii="Times New Roman" w:hAnsi="Times New Roman" w:cs="Times New Roman" w:eastAsiaTheme="minorEastAsia"/>
                <w:color w:val="auto"/>
                <w:sz w:val="24"/>
                <w:szCs w:val="24"/>
                <w:lang w:eastAsia="zh-CN"/>
              </w:rPr>
              <w:t>云南晨鑫机械制造有限公司</w:t>
            </w:r>
            <w:r>
              <w:rPr>
                <w:rFonts w:hint="default" w:ascii="Times New Roman" w:hAnsi="Times New Roman" w:cs="Times New Roman" w:eastAsiaTheme="minorEastAsia"/>
                <w:color w:val="auto"/>
                <w:sz w:val="24"/>
                <w:szCs w:val="24"/>
                <w:lang w:eastAsia="zh-CN"/>
              </w:rPr>
              <w:t>标准厂房作为生产厂房</w:t>
            </w:r>
            <w:r>
              <w:rPr>
                <w:rFonts w:hint="eastAsia" w:ascii="Times New Roman" w:hAnsi="Times New Roman" w:cs="Times New Roman"/>
                <w:sz w:val="24"/>
                <w:szCs w:val="24"/>
                <w:lang w:eastAsia="zh-CN"/>
              </w:rPr>
              <w:t>，与土地权属所有人签订了《土地租赁协议》，项目在工业园区内，用地性质为工业用地。符合《富民县土地利用总体规划（2010-2020年）》”因此，项目建设符合当地土地利用规划。</w:t>
            </w:r>
            <w:bookmarkEnd w:id="10"/>
            <w:bookmarkEnd w:id="11"/>
          </w:p>
          <w:p>
            <w:pPr>
              <w:spacing w:line="360" w:lineRule="auto"/>
              <w:ind w:firstLine="480" w:firstLineChars="200"/>
              <w:jc w:val="both"/>
              <w:outlineLvl w:val="1"/>
              <w:rPr>
                <w:rFonts w:hint="eastAsia" w:ascii="Times New Roman" w:hAnsi="Times New Roman" w:cs="Times New Roman"/>
                <w:sz w:val="24"/>
                <w:szCs w:val="24"/>
                <w:lang w:eastAsia="zh-CN"/>
              </w:rPr>
            </w:pPr>
            <w:bookmarkStart w:id="12" w:name="_Toc8262"/>
            <w:bookmarkStart w:id="13" w:name="_Toc20917"/>
            <w:r>
              <w:rPr>
                <w:rFonts w:hint="eastAsia" w:ascii="Times New Roman" w:hAnsi="Times New Roman" w:cs="Times New Roman"/>
                <w:sz w:val="24"/>
                <w:szCs w:val="24"/>
                <w:lang w:eastAsia="zh-CN"/>
              </w:rPr>
              <w:t>（5）“三线一单”符合性分析</w:t>
            </w:r>
            <w:bookmarkEnd w:id="12"/>
            <w:bookmarkEnd w:id="13"/>
          </w:p>
          <w:p>
            <w:pPr>
              <w:spacing w:line="360" w:lineRule="auto"/>
              <w:ind w:firstLine="480" w:firstLineChars="200"/>
              <w:jc w:val="both"/>
              <w:outlineLvl w:val="1"/>
              <w:rPr>
                <w:rFonts w:hint="eastAsia" w:ascii="Times New Roman" w:hAnsi="Times New Roman" w:cs="Times New Roman"/>
                <w:sz w:val="24"/>
                <w:szCs w:val="24"/>
                <w:lang w:eastAsia="zh-CN"/>
              </w:rPr>
            </w:pPr>
            <w:bookmarkStart w:id="14" w:name="_Toc23466"/>
            <w:bookmarkStart w:id="15" w:name="_Toc19786"/>
            <w:r>
              <w:rPr>
                <w:rFonts w:hint="eastAsia" w:ascii="Times New Roman" w:hAnsi="Times New Roman" w:cs="Times New Roman"/>
                <w:sz w:val="24"/>
                <w:szCs w:val="24"/>
                <w:lang w:eastAsia="zh-CN"/>
              </w:rPr>
              <w:t>a.本项目与生态红线管控要求的符合性分析。</w:t>
            </w:r>
            <w:bookmarkEnd w:id="14"/>
            <w:bookmarkEnd w:id="15"/>
          </w:p>
          <w:p>
            <w:pPr>
              <w:spacing w:line="360" w:lineRule="auto"/>
              <w:ind w:firstLine="480" w:firstLineChars="200"/>
              <w:jc w:val="both"/>
              <w:outlineLvl w:val="1"/>
              <w:rPr>
                <w:rFonts w:hint="eastAsia" w:ascii="Times New Roman" w:hAnsi="Times New Roman" w:cs="Times New Roman"/>
                <w:sz w:val="24"/>
                <w:szCs w:val="24"/>
                <w:lang w:eastAsia="zh-CN"/>
              </w:rPr>
            </w:pPr>
            <w:bookmarkStart w:id="16" w:name="_Toc17303"/>
            <w:bookmarkStart w:id="17" w:name="_Toc32091"/>
            <w:r>
              <w:rPr>
                <w:rFonts w:hint="eastAsia" w:ascii="Times New Roman" w:hAnsi="Times New Roman" w:cs="Times New Roman"/>
                <w:sz w:val="24"/>
                <w:szCs w:val="24"/>
                <w:lang w:eastAsia="zh-CN"/>
              </w:rPr>
              <w:t>本项目位于</w:t>
            </w:r>
            <w:r>
              <w:rPr>
                <w:rFonts w:hint="eastAsia"/>
                <w:color w:val="auto"/>
                <w:sz w:val="24"/>
                <w:szCs w:val="24"/>
                <w:lang w:val="en-US" w:eastAsia="zh-CN"/>
              </w:rPr>
              <w:t>昆明市富民县工业园哨箐片区内</w:t>
            </w:r>
            <w:r>
              <w:rPr>
                <w:rFonts w:hint="default" w:ascii="Times New Roman" w:hAnsi="Times New Roman" w:cs="Times New Roman"/>
                <w:sz w:val="24"/>
                <w:szCs w:val="24"/>
                <w:lang w:val="en-US" w:eastAsia="zh-CN"/>
              </w:rPr>
              <w:t>，</w:t>
            </w:r>
            <w:r>
              <w:rPr>
                <w:rFonts w:hint="eastAsia" w:cs="Times New Roman"/>
                <w:sz w:val="24"/>
                <w:szCs w:val="24"/>
                <w:lang w:val="en-US" w:eastAsia="zh-CN"/>
              </w:rPr>
              <w:t>项目所在地为工业园区，</w:t>
            </w:r>
            <w:r>
              <w:rPr>
                <w:rFonts w:hint="default" w:ascii="Times New Roman" w:hAnsi="Times New Roman" w:cs="Times New Roman"/>
                <w:sz w:val="24"/>
                <w:szCs w:val="24"/>
                <w:lang w:val="en-US" w:eastAsia="zh-CN"/>
              </w:rPr>
              <w:t>不涉及生态保护红线</w:t>
            </w:r>
            <w:r>
              <w:rPr>
                <w:rFonts w:hint="eastAsia" w:ascii="Times New Roman" w:hAnsi="Times New Roman" w:cs="Times New Roman"/>
                <w:sz w:val="24"/>
                <w:szCs w:val="24"/>
                <w:lang w:val="en-US" w:eastAsia="zh-CN"/>
              </w:rPr>
              <w:t>。</w:t>
            </w:r>
            <w:r>
              <w:rPr>
                <w:rFonts w:hint="eastAsia" w:ascii="Times New Roman" w:hAnsi="Times New Roman" w:cs="Times New Roman"/>
                <w:sz w:val="24"/>
                <w:szCs w:val="24"/>
                <w:lang w:eastAsia="zh-CN"/>
              </w:rPr>
              <w:t>且项目评价范围内不涉及自然保护区、饮用水源保护区等生态保护目标，本项目是符合生态红线管控要求的。</w:t>
            </w:r>
            <w:bookmarkEnd w:id="16"/>
            <w:bookmarkEnd w:id="17"/>
          </w:p>
          <w:p>
            <w:pPr>
              <w:spacing w:line="360" w:lineRule="auto"/>
              <w:ind w:firstLine="480" w:firstLineChars="200"/>
              <w:jc w:val="both"/>
              <w:outlineLvl w:val="1"/>
              <w:rPr>
                <w:rFonts w:hint="eastAsia" w:ascii="Times New Roman" w:hAnsi="Times New Roman" w:cs="Times New Roman"/>
                <w:sz w:val="24"/>
                <w:szCs w:val="24"/>
                <w:lang w:eastAsia="zh-CN"/>
              </w:rPr>
            </w:pPr>
            <w:bookmarkStart w:id="18" w:name="_Toc29960"/>
            <w:bookmarkStart w:id="19" w:name="_Toc30676"/>
            <w:r>
              <w:rPr>
                <w:rFonts w:hint="eastAsia" w:ascii="Times New Roman" w:hAnsi="Times New Roman" w:cs="Times New Roman"/>
                <w:sz w:val="24"/>
                <w:szCs w:val="24"/>
                <w:lang w:eastAsia="zh-CN"/>
              </w:rPr>
              <w:t>b.项目与资源利用上线符合性分析</w:t>
            </w:r>
            <w:bookmarkEnd w:id="18"/>
            <w:bookmarkEnd w:id="19"/>
          </w:p>
          <w:p>
            <w:pPr>
              <w:spacing w:line="360" w:lineRule="auto"/>
              <w:ind w:firstLine="480" w:firstLineChars="200"/>
              <w:jc w:val="both"/>
              <w:outlineLvl w:val="1"/>
              <w:rPr>
                <w:rFonts w:hint="eastAsia" w:ascii="Times New Roman" w:hAnsi="Times New Roman" w:cs="Times New Roman"/>
                <w:sz w:val="24"/>
                <w:szCs w:val="24"/>
                <w:lang w:eastAsia="zh-CN"/>
              </w:rPr>
            </w:pPr>
            <w:bookmarkStart w:id="20" w:name="_Toc25971"/>
            <w:bookmarkStart w:id="21" w:name="_Toc10279"/>
            <w:r>
              <w:rPr>
                <w:rFonts w:hint="eastAsia" w:ascii="Times New Roman" w:hAnsi="Times New Roman" w:cs="Times New Roman"/>
                <w:sz w:val="24"/>
                <w:szCs w:val="24"/>
                <w:lang w:eastAsia="zh-CN"/>
              </w:rPr>
              <w:t>本项目运营期间消耗一定量的电能、水源，项目资源消耗量占区域内的利用总量比例较小，因此符合资源利用上线。</w:t>
            </w:r>
            <w:bookmarkEnd w:id="20"/>
            <w:bookmarkEnd w:id="21"/>
          </w:p>
          <w:p>
            <w:pPr>
              <w:spacing w:line="360" w:lineRule="auto"/>
              <w:ind w:firstLine="480" w:firstLineChars="200"/>
              <w:jc w:val="both"/>
              <w:outlineLvl w:val="1"/>
              <w:rPr>
                <w:rFonts w:hint="eastAsia" w:ascii="Times New Roman" w:hAnsi="Times New Roman" w:cs="Times New Roman"/>
                <w:sz w:val="24"/>
                <w:szCs w:val="24"/>
                <w:lang w:eastAsia="zh-CN"/>
              </w:rPr>
            </w:pPr>
            <w:bookmarkStart w:id="22" w:name="_Toc1232"/>
            <w:bookmarkStart w:id="23" w:name="_Toc14526"/>
            <w:r>
              <w:rPr>
                <w:rFonts w:hint="eastAsia" w:ascii="Times New Roman" w:hAnsi="Times New Roman" w:cs="Times New Roman"/>
                <w:sz w:val="24"/>
                <w:szCs w:val="24"/>
                <w:lang w:eastAsia="zh-CN"/>
              </w:rPr>
              <w:t>c.项目与环境质量底线符合性分析。</w:t>
            </w:r>
            <w:bookmarkEnd w:id="22"/>
            <w:bookmarkEnd w:id="23"/>
          </w:p>
          <w:p>
            <w:pPr>
              <w:spacing w:line="360" w:lineRule="auto"/>
              <w:ind w:firstLine="480" w:firstLineChars="200"/>
              <w:jc w:val="both"/>
              <w:outlineLvl w:val="1"/>
              <w:rPr>
                <w:rFonts w:hint="eastAsia" w:ascii="Times New Roman" w:hAnsi="Times New Roman" w:cs="Times New Roman"/>
                <w:sz w:val="24"/>
                <w:szCs w:val="24"/>
                <w:lang w:eastAsia="zh-CN"/>
              </w:rPr>
            </w:pPr>
            <w:bookmarkStart w:id="24" w:name="_Toc18487"/>
            <w:bookmarkStart w:id="25" w:name="_Toc12305"/>
            <w:r>
              <w:rPr>
                <w:rFonts w:hint="eastAsia" w:ascii="Times New Roman" w:hAnsi="Times New Roman" w:cs="Times New Roman"/>
                <w:sz w:val="24"/>
                <w:szCs w:val="24"/>
                <w:lang w:eastAsia="zh-CN"/>
              </w:rPr>
              <w:t>本项目所在的区域环境空气、声环境均满足环境功能区要求，尚有一定的环境容量，项目建成后，产生的污染物较少</w:t>
            </w:r>
            <w:r>
              <w:rPr>
                <w:rFonts w:hint="eastAsia" w:cs="Times New Roman"/>
                <w:sz w:val="24"/>
                <w:szCs w:val="24"/>
                <w:lang w:eastAsia="zh-CN"/>
              </w:rPr>
              <w:t>。在严格按照本环评</w:t>
            </w:r>
            <w:r>
              <w:rPr>
                <w:rFonts w:hint="eastAsia" w:ascii="Times New Roman" w:hAnsi="Times New Roman" w:cs="Times New Roman"/>
                <w:sz w:val="24"/>
                <w:szCs w:val="24"/>
                <w:lang w:eastAsia="zh-CN"/>
              </w:rPr>
              <w:t>提出的环保</w:t>
            </w:r>
            <w:r>
              <w:rPr>
                <w:rFonts w:hint="eastAsia" w:cs="Times New Roman"/>
                <w:sz w:val="24"/>
                <w:szCs w:val="24"/>
                <w:lang w:eastAsia="zh-CN"/>
              </w:rPr>
              <w:t>措施执行</w:t>
            </w:r>
            <w:r>
              <w:rPr>
                <w:rFonts w:hint="eastAsia" w:ascii="Times New Roman" w:hAnsi="Times New Roman" w:cs="Times New Roman"/>
                <w:sz w:val="24"/>
                <w:szCs w:val="24"/>
                <w:lang w:eastAsia="zh-CN"/>
              </w:rPr>
              <w:t>后</w:t>
            </w:r>
            <w:r>
              <w:rPr>
                <w:rFonts w:hint="eastAsia" w:cs="Times New Roman"/>
                <w:sz w:val="24"/>
                <w:szCs w:val="24"/>
                <w:lang w:eastAsia="zh-CN"/>
              </w:rPr>
              <w:t>，</w:t>
            </w:r>
            <w:r>
              <w:rPr>
                <w:rFonts w:hint="eastAsia" w:ascii="Times New Roman" w:hAnsi="Times New Roman" w:cs="Times New Roman"/>
                <w:sz w:val="24"/>
                <w:szCs w:val="24"/>
                <w:lang w:eastAsia="zh-CN"/>
              </w:rPr>
              <w:t>对周围环境的影响</w:t>
            </w:r>
            <w:r>
              <w:rPr>
                <w:rFonts w:hint="eastAsia" w:cs="Times New Roman"/>
                <w:sz w:val="24"/>
                <w:szCs w:val="24"/>
                <w:lang w:eastAsia="zh-CN"/>
              </w:rPr>
              <w:t>较小，</w:t>
            </w:r>
            <w:r>
              <w:rPr>
                <w:rFonts w:hint="eastAsia" w:ascii="Times New Roman" w:hAnsi="Times New Roman" w:cs="Times New Roman"/>
                <w:sz w:val="24"/>
                <w:szCs w:val="24"/>
                <w:lang w:eastAsia="zh-CN"/>
              </w:rPr>
              <w:t>不会改变所在地及其周围居民区的环境功能，符合环境质量底线要求。</w:t>
            </w:r>
            <w:bookmarkEnd w:id="24"/>
            <w:bookmarkEnd w:id="25"/>
          </w:p>
          <w:p>
            <w:pPr>
              <w:spacing w:line="360" w:lineRule="auto"/>
              <w:ind w:firstLine="480" w:firstLineChars="200"/>
              <w:jc w:val="both"/>
              <w:outlineLvl w:val="1"/>
              <w:rPr>
                <w:rFonts w:hint="eastAsia" w:ascii="Times New Roman" w:hAnsi="Times New Roman" w:cs="Times New Roman"/>
                <w:color w:val="auto"/>
                <w:sz w:val="24"/>
                <w:szCs w:val="24"/>
                <w:lang w:eastAsia="zh-CN"/>
              </w:rPr>
            </w:pPr>
            <w:bookmarkStart w:id="26" w:name="_Toc16564"/>
            <w:bookmarkStart w:id="27" w:name="_Toc9281"/>
            <w:r>
              <w:rPr>
                <w:rFonts w:hint="eastAsia" w:ascii="Times New Roman" w:hAnsi="Times New Roman" w:cs="Times New Roman"/>
                <w:color w:val="auto"/>
                <w:sz w:val="24"/>
                <w:szCs w:val="24"/>
                <w:lang w:eastAsia="zh-CN"/>
              </w:rPr>
              <w:t>d.负面清单</w:t>
            </w:r>
            <w:bookmarkEnd w:id="26"/>
            <w:bookmarkEnd w:id="27"/>
          </w:p>
          <w:p>
            <w:pPr>
              <w:spacing w:line="360" w:lineRule="auto"/>
              <w:ind w:firstLine="480" w:firstLineChars="200"/>
              <w:jc w:val="both"/>
              <w:outlineLvl w:val="1"/>
              <w:rPr>
                <w:rFonts w:hint="eastAsia" w:ascii="Times New Roman" w:hAnsi="Times New Roman" w:cs="Times New Roman"/>
                <w:color w:val="auto"/>
                <w:sz w:val="24"/>
                <w:szCs w:val="24"/>
                <w:lang w:eastAsia="zh-CN"/>
              </w:rPr>
            </w:pPr>
            <w:bookmarkStart w:id="28" w:name="_Toc3145"/>
            <w:bookmarkStart w:id="29" w:name="_Toc17968"/>
            <w:r>
              <w:rPr>
                <w:rFonts w:hint="eastAsia" w:ascii="Times New Roman" w:hAnsi="Times New Roman" w:cs="Times New Roman"/>
                <w:color w:val="auto"/>
                <w:sz w:val="24"/>
                <w:szCs w:val="24"/>
                <w:lang w:eastAsia="zh-CN"/>
              </w:rPr>
              <w:t>对照《市场准入负面清单》(201</w:t>
            </w:r>
            <w:r>
              <w:rPr>
                <w:rFonts w:hint="eastAsia" w:cs="Times New Roman"/>
                <w:color w:val="auto"/>
                <w:sz w:val="24"/>
                <w:szCs w:val="24"/>
                <w:lang w:val="en-US" w:eastAsia="zh-CN"/>
              </w:rPr>
              <w:t>9</w:t>
            </w:r>
            <w:r>
              <w:rPr>
                <w:rFonts w:hint="eastAsia" w:ascii="Times New Roman" w:hAnsi="Times New Roman" w:cs="Times New Roman"/>
                <w:color w:val="auto"/>
                <w:sz w:val="24"/>
                <w:szCs w:val="24"/>
                <w:lang w:eastAsia="zh-CN"/>
              </w:rPr>
              <w:t>年版)，项目符合国家现行产业准入要求。</w:t>
            </w:r>
            <w:r>
              <w:rPr>
                <w:rFonts w:hint="eastAsia" w:cs="Times New Roman"/>
                <w:color w:val="auto"/>
                <w:sz w:val="24"/>
                <w:szCs w:val="24"/>
                <w:lang w:eastAsia="zh-CN"/>
              </w:rPr>
              <w:t>该</w:t>
            </w:r>
            <w:r>
              <w:rPr>
                <w:rFonts w:hint="eastAsia" w:ascii="Times New Roman" w:hAnsi="Times New Roman" w:cs="Times New Roman"/>
                <w:color w:val="auto"/>
                <w:sz w:val="24"/>
                <w:szCs w:val="24"/>
                <w:lang w:eastAsia="zh-CN"/>
              </w:rPr>
              <w:t>项目</w:t>
            </w:r>
            <w:r>
              <w:rPr>
                <w:rFonts w:hint="eastAsia" w:cs="Times New Roman"/>
                <w:color w:val="auto"/>
                <w:sz w:val="24"/>
                <w:szCs w:val="24"/>
                <w:lang w:eastAsia="zh-CN"/>
              </w:rPr>
              <w:t>不在</w:t>
            </w:r>
            <w:r>
              <w:rPr>
                <w:rFonts w:hint="eastAsia" w:ascii="Times New Roman" w:hAnsi="Times New Roman" w:cs="Times New Roman"/>
                <w:color w:val="auto"/>
                <w:sz w:val="24"/>
                <w:szCs w:val="24"/>
                <w:lang w:eastAsia="zh-CN"/>
              </w:rPr>
              <w:t>园区</w:t>
            </w:r>
            <w:r>
              <w:rPr>
                <w:rFonts w:hint="eastAsia" w:cs="Times New Roman"/>
                <w:color w:val="auto"/>
                <w:sz w:val="24"/>
                <w:szCs w:val="24"/>
                <w:lang w:eastAsia="zh-CN"/>
              </w:rPr>
              <w:t>负面清单上</w:t>
            </w:r>
            <w:r>
              <w:rPr>
                <w:rFonts w:hint="eastAsia" w:ascii="Times New Roman" w:hAnsi="Times New Roman" w:cs="Times New Roman"/>
                <w:color w:val="auto"/>
                <w:sz w:val="24"/>
                <w:szCs w:val="24"/>
                <w:lang w:eastAsia="zh-CN"/>
              </w:rPr>
              <w:t>。</w:t>
            </w:r>
            <w:bookmarkEnd w:id="28"/>
            <w:bookmarkEnd w:id="29"/>
          </w:p>
          <w:p>
            <w:pPr>
              <w:spacing w:line="360" w:lineRule="auto"/>
              <w:ind w:firstLine="480" w:firstLineChars="200"/>
              <w:jc w:val="both"/>
              <w:outlineLvl w:val="1"/>
              <w:rPr>
                <w:rFonts w:hint="default"/>
                <w:color w:val="auto"/>
                <w:lang w:val="en-US" w:eastAsia="zh-CN"/>
              </w:rPr>
            </w:pPr>
            <w:bookmarkStart w:id="30" w:name="_Toc21243"/>
            <w:bookmarkStart w:id="31" w:name="_Toc32239"/>
            <w:r>
              <w:rPr>
                <w:rFonts w:hint="eastAsia" w:ascii="Times New Roman" w:hAnsi="Times New Roman" w:cs="Times New Roman"/>
                <w:color w:val="auto"/>
                <w:sz w:val="24"/>
                <w:szCs w:val="24"/>
                <w:lang w:eastAsia="zh-CN"/>
              </w:rPr>
              <w:t>综上，初步判定，本项目的建设符合“三线一单”相关要求。</w:t>
            </w:r>
            <w:bookmarkEnd w:id="30"/>
            <w:bookmarkEnd w:id="31"/>
          </w:p>
          <w:p>
            <w:pPr>
              <w:numPr>
                <w:ilvl w:val="0"/>
                <w:numId w:val="0"/>
              </w:numPr>
              <w:spacing w:line="360" w:lineRule="auto"/>
              <w:ind w:firstLine="482" w:firstLineChars="200"/>
              <w:jc w:val="both"/>
              <w:outlineLvl w:val="1"/>
              <w:rPr>
                <w:rFonts w:hint="eastAsia"/>
                <w:b/>
                <w:bCs/>
                <w:sz w:val="24"/>
                <w:szCs w:val="24"/>
                <w:lang w:eastAsia="zh-CN"/>
              </w:rPr>
            </w:pPr>
            <w:r>
              <w:rPr>
                <w:rFonts w:hint="eastAsia"/>
                <w:b/>
                <w:bCs/>
                <w:sz w:val="24"/>
                <w:szCs w:val="24"/>
                <w:lang w:eastAsia="zh-CN"/>
              </w:rPr>
              <w:t>三、</w:t>
            </w:r>
            <w:r>
              <w:rPr>
                <w:b/>
                <w:bCs/>
                <w:sz w:val="24"/>
                <w:szCs w:val="24"/>
              </w:rPr>
              <w:t>建设</w:t>
            </w:r>
            <w:r>
              <w:rPr>
                <w:rFonts w:hint="eastAsia"/>
                <w:b/>
                <w:bCs/>
                <w:sz w:val="24"/>
                <w:szCs w:val="24"/>
                <w:lang w:eastAsia="zh-CN"/>
              </w:rPr>
              <w:t>项目基本情况</w:t>
            </w:r>
          </w:p>
          <w:p>
            <w:pPr>
              <w:pStyle w:val="19"/>
              <w:bidi w:val="0"/>
              <w:outlineLvl w:val="1"/>
              <w:rPr>
                <w:rFonts w:hint="default"/>
                <w:b/>
                <w:bCs/>
                <w:sz w:val="24"/>
                <w:szCs w:val="22"/>
                <w:lang w:val="en-US" w:eastAsia="zh-CN"/>
              </w:rPr>
            </w:pPr>
            <w:r>
              <w:rPr>
                <w:rFonts w:hint="eastAsia"/>
                <w:b/>
                <w:bCs/>
                <w:sz w:val="24"/>
                <w:szCs w:val="22"/>
                <w:lang w:val="en-US" w:eastAsia="zh-CN"/>
              </w:rPr>
              <w:t>1、项目名称、建设地点、建设性质</w:t>
            </w:r>
          </w:p>
          <w:p>
            <w:pPr>
              <w:spacing w:line="360" w:lineRule="auto"/>
              <w:ind w:firstLine="480" w:firstLineChars="200"/>
              <w:jc w:val="both"/>
              <w:outlineLvl w:val="1"/>
              <w:rPr>
                <w:rFonts w:hint="default"/>
                <w:color w:val="auto"/>
                <w:sz w:val="24"/>
                <w:szCs w:val="24"/>
                <w:lang w:val="en-US" w:eastAsia="zh-CN"/>
              </w:rPr>
            </w:pPr>
            <w:r>
              <w:rPr>
                <w:rFonts w:hint="eastAsia"/>
                <w:sz w:val="24"/>
                <w:szCs w:val="24"/>
              </w:rPr>
              <w:t>（1）</w:t>
            </w:r>
            <w:r>
              <w:rPr>
                <w:sz w:val="24"/>
                <w:szCs w:val="24"/>
              </w:rPr>
              <w:t>项目名称：</w:t>
            </w:r>
            <w:r>
              <w:rPr>
                <w:rFonts w:hint="eastAsia"/>
                <w:color w:val="auto"/>
                <w:sz w:val="24"/>
                <w:szCs w:val="24"/>
                <w:lang w:val="en-US" w:eastAsia="zh-CN"/>
              </w:rPr>
              <w:t>昆明银华工贸有限公司路桥分公司装配式钢结构项目</w:t>
            </w:r>
          </w:p>
          <w:p>
            <w:pPr>
              <w:spacing w:line="360" w:lineRule="auto"/>
              <w:ind w:firstLine="480" w:firstLineChars="200"/>
              <w:jc w:val="both"/>
              <w:outlineLvl w:val="1"/>
              <w:rPr>
                <w:sz w:val="24"/>
                <w:szCs w:val="24"/>
              </w:rPr>
            </w:pPr>
            <w:r>
              <w:rPr>
                <w:rFonts w:hint="eastAsia"/>
                <w:sz w:val="24"/>
                <w:szCs w:val="24"/>
              </w:rPr>
              <w:t>（2）</w:t>
            </w:r>
            <w:r>
              <w:rPr>
                <w:sz w:val="24"/>
                <w:szCs w:val="24"/>
              </w:rPr>
              <w:t>建设单位：</w:t>
            </w:r>
            <w:r>
              <w:rPr>
                <w:rFonts w:hint="eastAsia"/>
                <w:sz w:val="24"/>
                <w:szCs w:val="24"/>
                <w:lang w:val="en-US" w:eastAsia="zh-CN"/>
              </w:rPr>
              <w:t>昆明银华工贸有限公司路桥分公司</w:t>
            </w:r>
          </w:p>
          <w:p>
            <w:pPr>
              <w:spacing w:line="360" w:lineRule="auto"/>
              <w:ind w:firstLine="480" w:firstLineChars="200"/>
              <w:jc w:val="both"/>
              <w:outlineLvl w:val="1"/>
              <w:rPr>
                <w:rFonts w:hint="default"/>
                <w:sz w:val="24"/>
                <w:szCs w:val="24"/>
                <w:lang w:val="en-US" w:eastAsia="zh-CN"/>
              </w:rPr>
            </w:pPr>
            <w:r>
              <w:rPr>
                <w:rFonts w:hint="eastAsia"/>
                <w:sz w:val="24"/>
                <w:szCs w:val="24"/>
              </w:rPr>
              <w:t>（3）</w:t>
            </w:r>
            <w:r>
              <w:rPr>
                <w:sz w:val="24"/>
                <w:szCs w:val="24"/>
              </w:rPr>
              <w:t>建设性质：</w:t>
            </w:r>
            <w:r>
              <w:rPr>
                <w:rFonts w:hint="eastAsia"/>
                <w:sz w:val="24"/>
                <w:szCs w:val="24"/>
                <w:lang w:val="en-US" w:eastAsia="zh-CN"/>
              </w:rPr>
              <w:t>新建</w:t>
            </w:r>
          </w:p>
          <w:p>
            <w:pPr>
              <w:spacing w:line="360" w:lineRule="auto"/>
              <w:ind w:firstLine="480" w:firstLineChars="200"/>
              <w:jc w:val="both"/>
              <w:outlineLvl w:val="1"/>
              <w:rPr>
                <w:sz w:val="24"/>
                <w:szCs w:val="24"/>
              </w:rPr>
            </w:pPr>
            <w:r>
              <w:rPr>
                <w:rFonts w:hint="eastAsia"/>
                <w:sz w:val="24"/>
                <w:szCs w:val="24"/>
              </w:rPr>
              <w:t>（4）</w:t>
            </w:r>
            <w:r>
              <w:rPr>
                <w:sz w:val="24"/>
                <w:szCs w:val="24"/>
              </w:rPr>
              <w:t>总投资：</w:t>
            </w:r>
            <w:r>
              <w:rPr>
                <w:rFonts w:hint="eastAsia"/>
                <w:sz w:val="24"/>
                <w:szCs w:val="24"/>
                <w:lang w:val="en-US" w:eastAsia="zh-CN"/>
              </w:rPr>
              <w:t>1230</w:t>
            </w:r>
            <w:r>
              <w:rPr>
                <w:sz w:val="24"/>
                <w:szCs w:val="24"/>
              </w:rPr>
              <w:t>万元</w:t>
            </w:r>
          </w:p>
          <w:p>
            <w:pPr>
              <w:spacing w:line="360" w:lineRule="auto"/>
              <w:ind w:firstLine="480" w:firstLineChars="200"/>
              <w:jc w:val="both"/>
              <w:outlineLvl w:val="1"/>
              <w:rPr>
                <w:rFonts w:hint="eastAsia"/>
                <w:sz w:val="24"/>
                <w:szCs w:val="24"/>
                <w:lang w:eastAsia="zh-CN"/>
              </w:rPr>
            </w:pPr>
            <w:r>
              <w:rPr>
                <w:rFonts w:hint="eastAsia"/>
                <w:sz w:val="24"/>
                <w:szCs w:val="24"/>
              </w:rPr>
              <w:t>（5）</w:t>
            </w:r>
            <w:r>
              <w:rPr>
                <w:sz w:val="24"/>
                <w:szCs w:val="24"/>
              </w:rPr>
              <w:t>项目总用地面积：</w:t>
            </w:r>
            <w:r>
              <w:rPr>
                <w:rFonts w:hint="eastAsia"/>
                <w:sz w:val="24"/>
                <w:szCs w:val="24"/>
                <w:lang w:val="en-US" w:eastAsia="zh-CN"/>
              </w:rPr>
              <w:t>17000</w:t>
            </w:r>
            <w:r>
              <w:rPr>
                <w:sz w:val="24"/>
                <w:szCs w:val="24"/>
              </w:rPr>
              <w:t>m</w:t>
            </w:r>
            <w:r>
              <w:rPr>
                <w:sz w:val="24"/>
                <w:szCs w:val="24"/>
                <w:vertAlign w:val="superscript"/>
              </w:rPr>
              <w:t>2</w:t>
            </w:r>
          </w:p>
          <w:p>
            <w:pPr>
              <w:spacing w:line="360" w:lineRule="auto"/>
              <w:ind w:firstLine="480" w:firstLineChars="200"/>
              <w:jc w:val="both"/>
              <w:outlineLvl w:val="1"/>
              <w:rPr>
                <w:rFonts w:hint="eastAsia" w:eastAsia="宋体"/>
                <w:sz w:val="24"/>
                <w:szCs w:val="24"/>
                <w:lang w:val="en-US" w:eastAsia="zh-CN"/>
              </w:rPr>
            </w:pPr>
            <w:r>
              <w:rPr>
                <w:rFonts w:hint="eastAsia"/>
                <w:sz w:val="24"/>
                <w:szCs w:val="24"/>
                <w:lang w:eastAsia="zh-CN"/>
              </w:rPr>
              <w:t>（</w:t>
            </w:r>
            <w:r>
              <w:rPr>
                <w:rFonts w:hint="eastAsia"/>
                <w:sz w:val="24"/>
                <w:szCs w:val="24"/>
                <w:lang w:val="en-US" w:eastAsia="zh-CN"/>
              </w:rPr>
              <w:t>6</w:t>
            </w:r>
            <w:r>
              <w:rPr>
                <w:rFonts w:hint="eastAsia"/>
                <w:sz w:val="24"/>
                <w:szCs w:val="24"/>
                <w:lang w:eastAsia="zh-CN"/>
              </w:rPr>
              <w:t>）</w:t>
            </w:r>
            <w:r>
              <w:rPr>
                <w:rFonts w:hint="eastAsia"/>
                <w:sz w:val="24"/>
                <w:szCs w:val="24"/>
                <w:lang w:val="en-US" w:eastAsia="zh-CN"/>
              </w:rPr>
              <w:t>建设规模：本项目为租用已建厂房，项目所用厂房、仓库、办公楼等相关配套设施已经建成。</w:t>
            </w:r>
            <w:r>
              <w:rPr>
                <w:rFonts w:hint="eastAsia"/>
                <w:color w:val="auto"/>
                <w:sz w:val="24"/>
                <w:szCs w:val="24"/>
                <w:lang w:val="en-US" w:eastAsia="zh-CN"/>
              </w:rPr>
              <w:t>本项目总占地面积17000</w:t>
            </w:r>
            <w:r>
              <w:rPr>
                <w:color w:val="auto"/>
                <w:sz w:val="24"/>
                <w:szCs w:val="24"/>
              </w:rPr>
              <w:t>m</w:t>
            </w:r>
            <w:r>
              <w:rPr>
                <w:color w:val="auto"/>
                <w:sz w:val="24"/>
                <w:szCs w:val="24"/>
                <w:vertAlign w:val="superscript"/>
              </w:rPr>
              <w:t>2</w:t>
            </w:r>
            <w:r>
              <w:rPr>
                <w:rFonts w:hint="eastAsia"/>
                <w:color w:val="auto"/>
                <w:sz w:val="24"/>
                <w:szCs w:val="24"/>
                <w:vertAlign w:val="baseline"/>
                <w:lang w:eastAsia="zh-CN"/>
              </w:rPr>
              <w:t>，</w:t>
            </w:r>
            <w:r>
              <w:rPr>
                <w:rFonts w:hint="eastAsia"/>
                <w:sz w:val="24"/>
                <w:szCs w:val="24"/>
                <w:lang w:val="en-US" w:eastAsia="zh-CN"/>
              </w:rPr>
              <w:t>总建筑面积4000</w:t>
            </w:r>
            <w:r>
              <w:rPr>
                <w:sz w:val="24"/>
                <w:szCs w:val="24"/>
              </w:rPr>
              <w:t>m</w:t>
            </w:r>
            <w:r>
              <w:rPr>
                <w:sz w:val="24"/>
                <w:szCs w:val="24"/>
                <w:vertAlign w:val="superscript"/>
              </w:rPr>
              <w:t>2</w:t>
            </w:r>
            <w:r>
              <w:rPr>
                <w:rFonts w:hint="eastAsia"/>
                <w:sz w:val="24"/>
                <w:szCs w:val="24"/>
                <w:lang w:eastAsia="zh-CN"/>
              </w:rPr>
              <w:t>，其中生产车间</w:t>
            </w:r>
            <w:r>
              <w:rPr>
                <w:rFonts w:hint="eastAsia"/>
                <w:sz w:val="24"/>
                <w:szCs w:val="24"/>
                <w:lang w:val="en-US" w:eastAsia="zh-CN"/>
              </w:rPr>
              <w:t>3200m</w:t>
            </w:r>
            <w:r>
              <w:rPr>
                <w:rFonts w:hint="eastAsia"/>
                <w:sz w:val="24"/>
                <w:szCs w:val="24"/>
                <w:vertAlign w:val="superscript"/>
                <w:lang w:val="en-US" w:eastAsia="zh-CN"/>
              </w:rPr>
              <w:t>2</w:t>
            </w:r>
            <w:r>
              <w:rPr>
                <w:rFonts w:hint="eastAsia"/>
                <w:sz w:val="24"/>
                <w:szCs w:val="24"/>
                <w:lang w:val="en-US" w:eastAsia="zh-CN"/>
              </w:rPr>
              <w:t>，办公生活区800m</w:t>
            </w:r>
            <w:r>
              <w:rPr>
                <w:rFonts w:hint="eastAsia"/>
                <w:sz w:val="24"/>
                <w:szCs w:val="24"/>
                <w:vertAlign w:val="superscript"/>
                <w:lang w:val="en-US" w:eastAsia="zh-CN"/>
              </w:rPr>
              <w:t>2</w:t>
            </w:r>
            <w:r>
              <w:rPr>
                <w:rFonts w:hint="eastAsia"/>
                <w:sz w:val="24"/>
                <w:szCs w:val="24"/>
                <w:lang w:val="en-US" w:eastAsia="zh-CN"/>
              </w:rPr>
              <w:t>，剩余地块为闲置空地。现</w:t>
            </w:r>
            <w:r>
              <w:rPr>
                <w:rFonts w:hint="eastAsia"/>
                <w:sz w:val="24"/>
                <w:szCs w:val="24"/>
                <w:lang w:eastAsia="zh-CN"/>
              </w:rPr>
              <w:t>已建设有四条生产线（分别为切割下料产线、制孔折弯产线、组立焊接产线、打磨或喷砂除锈产线），项目可生产装配式钢结构</w:t>
            </w:r>
            <w:r>
              <w:rPr>
                <w:rFonts w:hint="eastAsia"/>
                <w:sz w:val="24"/>
                <w:szCs w:val="24"/>
                <w:lang w:val="en-US" w:eastAsia="zh-CN"/>
              </w:rPr>
              <w:t>3600t/a。</w:t>
            </w:r>
          </w:p>
          <w:p>
            <w:pPr>
              <w:pStyle w:val="18"/>
              <w:spacing w:line="360" w:lineRule="auto"/>
              <w:ind w:firstLine="480" w:firstLineChars="200"/>
              <w:jc w:val="both"/>
              <w:outlineLvl w:val="1"/>
              <w:rPr>
                <w:rFonts w:hint="default"/>
                <w:sz w:val="24"/>
                <w:szCs w:val="24"/>
                <w:lang w:val="en-US" w:eastAsia="zh-CN"/>
              </w:rPr>
            </w:pPr>
            <w:r>
              <w:rPr>
                <w:rFonts w:hint="eastAsia"/>
                <w:sz w:val="24"/>
                <w:szCs w:val="24"/>
              </w:rPr>
              <w:t>（</w:t>
            </w:r>
            <w:r>
              <w:rPr>
                <w:rFonts w:hint="eastAsia"/>
                <w:sz w:val="24"/>
                <w:szCs w:val="24"/>
                <w:lang w:val="en-US" w:eastAsia="zh-CN"/>
              </w:rPr>
              <w:t>7</w:t>
            </w:r>
            <w:r>
              <w:rPr>
                <w:rFonts w:hint="eastAsia"/>
                <w:sz w:val="24"/>
                <w:szCs w:val="24"/>
              </w:rPr>
              <w:t>）</w:t>
            </w:r>
            <w:r>
              <w:rPr>
                <w:sz w:val="24"/>
                <w:szCs w:val="24"/>
              </w:rPr>
              <w:t>建设地点：</w:t>
            </w:r>
            <w:r>
              <w:rPr>
                <w:rFonts w:hint="default" w:ascii="Times New Roman" w:hAnsi="Times New Roman" w:eastAsia="宋体" w:cs="Times New Roman"/>
                <w:color w:val="auto"/>
                <w:sz w:val="24"/>
                <w:szCs w:val="24"/>
                <w:lang w:eastAsia="zh-CN"/>
              </w:rPr>
              <w:t>富民县工业园</w:t>
            </w:r>
            <w:r>
              <w:rPr>
                <w:rFonts w:hint="eastAsia" w:cs="Times New Roman"/>
                <w:color w:val="auto"/>
                <w:sz w:val="24"/>
                <w:szCs w:val="24"/>
                <w:lang w:eastAsia="zh-CN"/>
              </w:rPr>
              <w:t>哨箐片区</w:t>
            </w:r>
            <w:r>
              <w:rPr>
                <w:sz w:val="24"/>
                <w:szCs w:val="24"/>
              </w:rPr>
              <w:t>，</w:t>
            </w:r>
            <w:r>
              <w:rPr>
                <w:rFonts w:hint="eastAsia"/>
                <w:sz w:val="24"/>
                <w:szCs w:val="24"/>
                <w:lang w:val="en-US" w:eastAsia="zh-CN"/>
              </w:rPr>
              <w:t>项目</w:t>
            </w:r>
            <w:r>
              <w:rPr>
                <w:rFonts w:hint="eastAsia"/>
                <w:sz w:val="24"/>
                <w:szCs w:val="24"/>
                <w:lang w:eastAsia="zh-CN"/>
              </w:rPr>
              <w:t>中心</w:t>
            </w:r>
            <w:r>
              <w:rPr>
                <w:sz w:val="24"/>
                <w:szCs w:val="24"/>
              </w:rPr>
              <w:t>地理坐标：东经10</w:t>
            </w:r>
            <w:r>
              <w:rPr>
                <w:rFonts w:hint="eastAsia"/>
                <w:sz w:val="24"/>
                <w:szCs w:val="24"/>
                <w:lang w:val="en-US" w:eastAsia="zh-CN"/>
              </w:rPr>
              <w:t>2</w:t>
            </w:r>
            <w:r>
              <w:rPr>
                <w:sz w:val="24"/>
                <w:szCs w:val="24"/>
              </w:rPr>
              <w:t>°</w:t>
            </w:r>
            <w:r>
              <w:rPr>
                <w:rFonts w:hint="eastAsia"/>
                <w:sz w:val="24"/>
                <w:szCs w:val="24"/>
                <w:lang w:val="en-US" w:eastAsia="zh-CN"/>
              </w:rPr>
              <w:t>27</w:t>
            </w:r>
            <w:r>
              <w:rPr>
                <w:sz w:val="24"/>
                <w:szCs w:val="24"/>
              </w:rPr>
              <w:t>′</w:t>
            </w:r>
            <w:r>
              <w:rPr>
                <w:rFonts w:hint="eastAsia"/>
                <w:sz w:val="24"/>
                <w:szCs w:val="24"/>
                <w:lang w:val="en-US" w:eastAsia="zh-CN"/>
              </w:rPr>
              <w:t>53.11</w:t>
            </w:r>
            <w:r>
              <w:rPr>
                <w:sz w:val="24"/>
                <w:szCs w:val="24"/>
              </w:rPr>
              <w:t>″，北纬2</w:t>
            </w:r>
            <w:r>
              <w:rPr>
                <w:rFonts w:hint="eastAsia"/>
                <w:sz w:val="24"/>
                <w:szCs w:val="24"/>
                <w:lang w:val="en-US" w:eastAsia="zh-CN"/>
              </w:rPr>
              <w:t>5</w:t>
            </w:r>
            <w:r>
              <w:rPr>
                <w:sz w:val="24"/>
                <w:szCs w:val="24"/>
              </w:rPr>
              <w:t>°</w:t>
            </w:r>
            <w:r>
              <w:rPr>
                <w:rFonts w:hint="eastAsia"/>
                <w:sz w:val="24"/>
                <w:szCs w:val="24"/>
                <w:lang w:val="en-US" w:eastAsia="zh-CN"/>
              </w:rPr>
              <w:t>15</w:t>
            </w:r>
            <w:r>
              <w:rPr>
                <w:sz w:val="24"/>
                <w:szCs w:val="24"/>
              </w:rPr>
              <w:t>′</w:t>
            </w:r>
            <w:r>
              <w:rPr>
                <w:rFonts w:hint="eastAsia"/>
                <w:sz w:val="24"/>
                <w:szCs w:val="24"/>
                <w:lang w:val="en-US" w:eastAsia="zh-CN"/>
              </w:rPr>
              <w:t>53.82</w:t>
            </w:r>
            <w:r>
              <w:rPr>
                <w:sz w:val="24"/>
                <w:szCs w:val="24"/>
              </w:rPr>
              <w:t>″。</w:t>
            </w:r>
            <w:r>
              <w:rPr>
                <w:rFonts w:hint="eastAsia"/>
                <w:sz w:val="24"/>
                <w:szCs w:val="24"/>
                <w:lang w:val="en-US" w:eastAsia="zh-CN"/>
              </w:rPr>
              <w:t>项目地理位置图见附图1。</w:t>
            </w:r>
          </w:p>
          <w:p>
            <w:pPr>
              <w:spacing w:line="360" w:lineRule="auto"/>
              <w:ind w:firstLine="482" w:firstLineChars="200"/>
              <w:jc w:val="both"/>
              <w:outlineLvl w:val="1"/>
              <w:rPr>
                <w:rFonts w:hint="eastAsia"/>
                <w:b/>
                <w:bCs/>
                <w:sz w:val="24"/>
                <w:szCs w:val="24"/>
                <w:lang w:eastAsia="zh-CN"/>
              </w:rPr>
            </w:pPr>
            <w:r>
              <w:rPr>
                <w:rFonts w:hint="eastAsia"/>
                <w:b/>
                <w:bCs/>
                <w:sz w:val="24"/>
                <w:szCs w:val="24"/>
                <w:lang w:val="en-US" w:eastAsia="zh-CN"/>
              </w:rPr>
              <w:t>2</w:t>
            </w:r>
            <w:r>
              <w:rPr>
                <w:rFonts w:hint="eastAsia"/>
                <w:b/>
                <w:bCs/>
                <w:sz w:val="24"/>
                <w:szCs w:val="24"/>
              </w:rPr>
              <w:t>、</w:t>
            </w:r>
            <w:r>
              <w:rPr>
                <w:b/>
                <w:bCs/>
                <w:sz w:val="24"/>
                <w:szCs w:val="24"/>
              </w:rPr>
              <w:t>建设内容及规模</w:t>
            </w:r>
          </w:p>
          <w:p>
            <w:pPr>
              <w:spacing w:line="360" w:lineRule="auto"/>
              <w:ind w:firstLine="480"/>
              <w:jc w:val="both"/>
              <w:outlineLvl w:val="1"/>
              <w:rPr>
                <w:color w:val="auto"/>
              </w:rPr>
            </w:pPr>
            <w:r>
              <w:rPr>
                <w:rFonts w:hint="eastAsia"/>
                <w:color w:val="auto"/>
                <w:sz w:val="24"/>
                <w:szCs w:val="24"/>
                <w:lang w:val="en-US" w:eastAsia="zh-CN"/>
              </w:rPr>
              <w:t>本项目总占地面积17000</w:t>
            </w:r>
            <w:r>
              <w:rPr>
                <w:color w:val="auto"/>
                <w:sz w:val="24"/>
                <w:szCs w:val="24"/>
              </w:rPr>
              <w:t>m</w:t>
            </w:r>
            <w:r>
              <w:rPr>
                <w:color w:val="auto"/>
                <w:sz w:val="24"/>
                <w:szCs w:val="24"/>
                <w:vertAlign w:val="superscript"/>
              </w:rPr>
              <w:t>2</w:t>
            </w:r>
            <w:r>
              <w:rPr>
                <w:rFonts w:hint="eastAsia"/>
                <w:color w:val="auto"/>
                <w:sz w:val="24"/>
                <w:szCs w:val="24"/>
                <w:vertAlign w:val="baseline"/>
                <w:lang w:eastAsia="zh-CN"/>
              </w:rPr>
              <w:t>，</w:t>
            </w:r>
            <w:r>
              <w:rPr>
                <w:rFonts w:hint="eastAsia"/>
                <w:sz w:val="24"/>
                <w:szCs w:val="24"/>
                <w:lang w:val="en-US" w:eastAsia="zh-CN"/>
              </w:rPr>
              <w:t>总建筑面积4000</w:t>
            </w:r>
            <w:r>
              <w:rPr>
                <w:sz w:val="24"/>
                <w:szCs w:val="24"/>
              </w:rPr>
              <w:t>m</w:t>
            </w:r>
            <w:r>
              <w:rPr>
                <w:sz w:val="24"/>
                <w:szCs w:val="24"/>
                <w:vertAlign w:val="superscript"/>
              </w:rPr>
              <w:t>2</w:t>
            </w:r>
            <w:r>
              <w:rPr>
                <w:rFonts w:hint="eastAsia"/>
                <w:sz w:val="24"/>
                <w:szCs w:val="24"/>
                <w:lang w:eastAsia="zh-CN"/>
              </w:rPr>
              <w:t>，其中生产车间</w:t>
            </w:r>
            <w:r>
              <w:rPr>
                <w:rFonts w:hint="eastAsia"/>
                <w:sz w:val="24"/>
                <w:szCs w:val="24"/>
                <w:lang w:val="en-US" w:eastAsia="zh-CN"/>
              </w:rPr>
              <w:t>3200m</w:t>
            </w:r>
            <w:r>
              <w:rPr>
                <w:rFonts w:hint="eastAsia"/>
                <w:sz w:val="24"/>
                <w:szCs w:val="24"/>
                <w:vertAlign w:val="superscript"/>
                <w:lang w:val="en-US" w:eastAsia="zh-CN"/>
              </w:rPr>
              <w:t>2</w:t>
            </w:r>
            <w:r>
              <w:rPr>
                <w:rFonts w:hint="eastAsia"/>
                <w:sz w:val="24"/>
                <w:szCs w:val="24"/>
                <w:lang w:val="en-US" w:eastAsia="zh-CN"/>
              </w:rPr>
              <w:t>，办公生活区800m</w:t>
            </w:r>
            <w:r>
              <w:rPr>
                <w:rFonts w:hint="eastAsia"/>
                <w:sz w:val="24"/>
                <w:szCs w:val="24"/>
                <w:vertAlign w:val="superscript"/>
                <w:lang w:val="en-US" w:eastAsia="zh-CN"/>
              </w:rPr>
              <w:t>2</w:t>
            </w:r>
            <w:r>
              <w:rPr>
                <w:rFonts w:hint="eastAsia"/>
                <w:sz w:val="24"/>
                <w:szCs w:val="24"/>
                <w:lang w:val="en-US" w:eastAsia="zh-CN"/>
              </w:rPr>
              <w:t>，剩余地块为闲置空地。</w:t>
            </w:r>
            <w:r>
              <w:rPr>
                <w:rFonts w:hint="eastAsia"/>
                <w:color w:val="auto"/>
                <w:sz w:val="24"/>
                <w:szCs w:val="24"/>
                <w:lang w:val="en-US" w:eastAsia="zh-CN"/>
              </w:rPr>
              <w:t>项目主要由生产车间、办公楼及其他相关配套设施组成。该项目生产车间、办公楼及其他相关生产设备已经建设安装完成，项目已建四条生产线，</w:t>
            </w:r>
            <w:r>
              <w:rPr>
                <w:rFonts w:hint="eastAsia"/>
                <w:sz w:val="24"/>
                <w:szCs w:val="24"/>
                <w:lang w:eastAsia="zh-CN"/>
              </w:rPr>
              <w:t>分别为切割下料产线、制孔折弯产线、组立焊接产线、打磨或喷砂除锈产线。</w:t>
            </w:r>
            <w:r>
              <w:rPr>
                <w:rFonts w:hint="eastAsia"/>
                <w:color w:val="auto"/>
                <w:sz w:val="24"/>
                <w:szCs w:val="24"/>
                <w:lang w:val="en-US" w:eastAsia="zh-CN"/>
              </w:rPr>
              <w:t>年生产</w:t>
            </w:r>
            <w:r>
              <w:rPr>
                <w:rFonts w:hint="eastAsia"/>
                <w:sz w:val="24"/>
                <w:szCs w:val="24"/>
                <w:lang w:eastAsia="zh-CN"/>
              </w:rPr>
              <w:t>生产装配式钢结构</w:t>
            </w:r>
            <w:r>
              <w:rPr>
                <w:rFonts w:hint="eastAsia"/>
                <w:sz w:val="24"/>
                <w:szCs w:val="24"/>
                <w:lang w:val="en-US" w:eastAsia="zh-CN"/>
              </w:rPr>
              <w:t>3600t。该项目车间</w:t>
            </w:r>
            <w:r>
              <w:rPr>
                <w:rFonts w:hint="eastAsia" w:ascii="Times New Roman" w:hAnsi="Times New Roman" w:eastAsia="宋体" w:cs="Times New Roman"/>
                <w:sz w:val="24"/>
                <w:lang w:val="en-US" w:eastAsia="zh-CN"/>
              </w:rPr>
              <w:t>未采取污染防治措施</w:t>
            </w:r>
            <w:r>
              <w:rPr>
                <w:rFonts w:hint="eastAsia" w:ascii="Times New Roman" w:hAnsi="Times New Roman" w:cs="Times New Roman"/>
                <w:sz w:val="24"/>
                <w:lang w:val="en-US" w:eastAsia="zh-CN"/>
              </w:rPr>
              <w:t>，现需对建设项目环保措施进行建设完善。</w:t>
            </w:r>
            <w:r>
              <w:rPr>
                <w:rFonts w:hint="eastAsia"/>
                <w:color w:val="auto"/>
                <w:sz w:val="24"/>
                <w:szCs w:val="24"/>
                <w:lang w:val="en-US" w:eastAsia="zh-CN"/>
              </w:rPr>
              <w:t>详细建设内容及规模见表1-1；项目总平面布置见附图4：项目平面布置示意图</w:t>
            </w:r>
            <w:r>
              <w:rPr>
                <w:rFonts w:hint="eastAsia"/>
                <w:color w:val="auto"/>
                <w:lang w:val="en-US" w:eastAsia="zh-CN"/>
              </w:rPr>
              <w:t>。</w:t>
            </w:r>
          </w:p>
          <w:p>
            <w:pPr>
              <w:jc w:val="center"/>
              <w:outlineLvl w:val="1"/>
              <w:rPr>
                <w:b/>
                <w:bCs/>
              </w:rPr>
            </w:pPr>
            <w:r>
              <w:rPr>
                <w:b/>
                <w:bCs/>
              </w:rPr>
              <w:t>表1-</w:t>
            </w:r>
            <w:r>
              <w:rPr>
                <w:rFonts w:hint="eastAsia"/>
                <w:b/>
                <w:bCs/>
                <w:lang w:val="en-US" w:eastAsia="zh-CN"/>
              </w:rPr>
              <w:t>1</w:t>
            </w:r>
            <w:r>
              <w:rPr>
                <w:b/>
                <w:bCs/>
              </w:rPr>
              <w:t xml:space="preserve">  项目主要建设内容及规模</w:t>
            </w:r>
          </w:p>
          <w:tbl>
            <w:tblPr>
              <w:tblStyle w:val="37"/>
              <w:tblW w:w="8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762"/>
              <w:gridCol w:w="476"/>
              <w:gridCol w:w="875"/>
              <w:gridCol w:w="3470"/>
              <w:gridCol w:w="2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8"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工程</w:t>
                  </w:r>
                </w:p>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类别</w:t>
                  </w:r>
                </w:p>
              </w:tc>
              <w:tc>
                <w:tcPr>
                  <w:tcW w:w="2113" w:type="dxa"/>
                  <w:gridSpan w:val="3"/>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工程组成</w:t>
                  </w:r>
                </w:p>
              </w:tc>
              <w:tc>
                <w:tcPr>
                  <w:tcW w:w="3470"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主要工程内容</w:t>
                  </w:r>
                </w:p>
              </w:tc>
              <w:tc>
                <w:tcPr>
                  <w:tcW w:w="2063"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648"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主体工程</w:t>
                  </w:r>
                </w:p>
              </w:tc>
              <w:tc>
                <w:tcPr>
                  <w:tcW w:w="762"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标准化厂房</w:t>
                  </w:r>
                </w:p>
              </w:tc>
              <w:tc>
                <w:tcPr>
                  <w:tcW w:w="1351" w:type="dxa"/>
                  <w:gridSpan w:val="2"/>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生产车间</w:t>
                  </w:r>
                </w:p>
              </w:tc>
              <w:tc>
                <w:tcPr>
                  <w:tcW w:w="3470" w:type="dxa"/>
                  <w:tcBorders>
                    <w:right w:val="nil"/>
                  </w:tcBorders>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车间建筑面积</w:t>
                  </w:r>
                  <w:r>
                    <w:rPr>
                      <w:rFonts w:hint="eastAsia" w:ascii="Times New Roman" w:hAnsi="Times New Roman" w:cs="Times New Roman" w:eastAsiaTheme="minorEastAsia"/>
                      <w:b w:val="0"/>
                      <w:bCs w:val="0"/>
                      <w:color w:val="auto"/>
                      <w:sz w:val="21"/>
                      <w:szCs w:val="21"/>
                      <w:lang w:val="en-US" w:eastAsia="zh-CN"/>
                    </w:rPr>
                    <w:t>3</w:t>
                  </w:r>
                  <w:r>
                    <w:rPr>
                      <w:rFonts w:hint="eastAsia" w:cs="Times New Roman" w:eastAsiaTheme="minorEastAsia"/>
                      <w:b w:val="0"/>
                      <w:bCs w:val="0"/>
                      <w:color w:val="auto"/>
                      <w:sz w:val="21"/>
                      <w:szCs w:val="21"/>
                      <w:lang w:val="en-US" w:eastAsia="zh-CN"/>
                    </w:rPr>
                    <w:t>2</w:t>
                  </w:r>
                  <w:r>
                    <w:rPr>
                      <w:rFonts w:hint="eastAsia" w:ascii="Times New Roman" w:hAnsi="Times New Roman" w:cs="Times New Roman" w:eastAsiaTheme="minorEastAsia"/>
                      <w:b w:val="0"/>
                      <w:bCs w:val="0"/>
                      <w:color w:val="auto"/>
                      <w:sz w:val="21"/>
                      <w:szCs w:val="21"/>
                      <w:lang w:val="en-US" w:eastAsia="zh-CN"/>
                    </w:rPr>
                    <w:t>00</w:t>
                  </w:r>
                  <w:r>
                    <w:rPr>
                      <w:rFonts w:hint="default" w:ascii="Times New Roman" w:hAnsi="Times New Roman" w:cs="Times New Roman" w:eastAsiaTheme="minorEastAsia"/>
                      <w:b w:val="0"/>
                      <w:bCs w:val="0"/>
                      <w:color w:val="auto"/>
                      <w:sz w:val="21"/>
                      <w:szCs w:val="21"/>
                      <w:lang w:val="en-US" w:eastAsia="zh-CN"/>
                    </w:rPr>
                    <w:t>m</w:t>
                  </w:r>
                  <w:r>
                    <w:rPr>
                      <w:rFonts w:hint="default" w:ascii="Times New Roman" w:hAnsi="Times New Roman" w:cs="Times New Roman" w:eastAsiaTheme="minorEastAsia"/>
                      <w:b w:val="0"/>
                      <w:bCs w:val="0"/>
                      <w:color w:val="auto"/>
                      <w:sz w:val="21"/>
                      <w:szCs w:val="21"/>
                      <w:vertAlign w:val="superscript"/>
                      <w:lang w:val="en-US" w:eastAsia="zh-CN"/>
                    </w:rPr>
                    <w:t>2</w:t>
                  </w:r>
                  <w:r>
                    <w:rPr>
                      <w:rFonts w:hint="default" w:ascii="Times New Roman" w:hAnsi="Times New Roman" w:cs="Times New Roman" w:eastAsiaTheme="minorEastAsia"/>
                      <w:b w:val="0"/>
                      <w:bCs w:val="0"/>
                      <w:color w:val="auto"/>
                      <w:sz w:val="21"/>
                      <w:szCs w:val="21"/>
                    </w:rPr>
                    <w:t>，位置于厂区</w:t>
                  </w:r>
                  <w:r>
                    <w:rPr>
                      <w:rFonts w:hint="eastAsia" w:ascii="Times New Roman" w:hAnsi="Times New Roman" w:cs="Times New Roman" w:eastAsiaTheme="minorEastAsia"/>
                      <w:b w:val="0"/>
                      <w:bCs w:val="0"/>
                      <w:color w:val="auto"/>
                      <w:sz w:val="21"/>
                      <w:szCs w:val="21"/>
                      <w:lang w:eastAsia="zh-CN"/>
                    </w:rPr>
                    <w:t>南</w:t>
                  </w:r>
                  <w:r>
                    <w:rPr>
                      <w:rFonts w:hint="default" w:ascii="Times New Roman" w:hAnsi="Times New Roman" w:cs="Times New Roman" w:eastAsiaTheme="minorEastAsia"/>
                      <w:b w:val="0"/>
                      <w:bCs w:val="0"/>
                      <w:color w:val="auto"/>
                      <w:sz w:val="21"/>
                      <w:szCs w:val="21"/>
                    </w:rPr>
                    <w:t>部，</w:t>
                  </w:r>
                  <w:r>
                    <w:rPr>
                      <w:rFonts w:hint="default" w:ascii="Times New Roman" w:hAnsi="Times New Roman" w:cs="Times New Roman" w:eastAsiaTheme="minorEastAsia"/>
                      <w:b w:val="0"/>
                      <w:bCs w:val="0"/>
                      <w:color w:val="auto"/>
                      <w:sz w:val="21"/>
                      <w:szCs w:val="21"/>
                      <w:lang w:eastAsia="zh-CN"/>
                    </w:rPr>
                    <w:t>设置钢材</w:t>
                  </w:r>
                  <w:r>
                    <w:rPr>
                      <w:rFonts w:hint="default" w:ascii="Times New Roman" w:hAnsi="Times New Roman" w:cs="Times New Roman" w:eastAsiaTheme="minorEastAsia"/>
                      <w:b w:val="0"/>
                      <w:bCs w:val="0"/>
                      <w:color w:val="auto"/>
                      <w:sz w:val="21"/>
                      <w:szCs w:val="21"/>
                    </w:rPr>
                    <w:t>剪板（切割）、矫正、钻孔、组合、焊接、喷漆</w:t>
                  </w:r>
                  <w:r>
                    <w:rPr>
                      <w:rFonts w:hint="default" w:ascii="Times New Roman" w:hAnsi="Times New Roman" w:cs="Times New Roman" w:eastAsiaTheme="minorEastAsia"/>
                      <w:b w:val="0"/>
                      <w:bCs w:val="0"/>
                      <w:color w:val="auto"/>
                      <w:sz w:val="21"/>
                      <w:szCs w:val="21"/>
                      <w:lang w:eastAsia="zh-CN"/>
                    </w:rPr>
                    <w:t>等工序设备</w:t>
                  </w:r>
                  <w:r>
                    <w:rPr>
                      <w:rFonts w:hint="default" w:ascii="Times New Roman" w:hAnsi="Times New Roman" w:cs="Times New Roman" w:eastAsiaTheme="minorEastAsia"/>
                      <w:b w:val="0"/>
                      <w:bCs w:val="0"/>
                      <w:color w:val="auto"/>
                      <w:sz w:val="21"/>
                      <w:szCs w:val="21"/>
                    </w:rPr>
                    <w:t>等。</w:t>
                  </w:r>
                </w:p>
              </w:tc>
              <w:tc>
                <w:tcPr>
                  <w:tcW w:w="2063" w:type="dxa"/>
                  <w:tcBorders>
                    <w:right w:val="single" w:color="auto" w:sz="4" w:space="0"/>
                  </w:tcBorders>
                  <w:noWrap w:val="0"/>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eastAsia="zh-CN"/>
                    </w:rPr>
                  </w:pPr>
                  <w:r>
                    <w:rPr>
                      <w:rFonts w:hint="default" w:ascii="Times New Roman" w:hAnsi="Times New Roman" w:cs="Times New Roman" w:eastAsiaTheme="minorEastAsia"/>
                      <w:b w:val="0"/>
                      <w:bCs w:val="0"/>
                      <w:color w:val="auto"/>
                      <w:sz w:val="21"/>
                      <w:szCs w:val="21"/>
                    </w:rPr>
                    <w:t>生产厂房</w:t>
                  </w:r>
                  <w:r>
                    <w:rPr>
                      <w:rFonts w:hint="eastAsia" w:cs="Times New Roman" w:eastAsiaTheme="minorEastAsia"/>
                      <w:b w:val="0"/>
                      <w:bCs w:val="0"/>
                      <w:color w:val="auto"/>
                      <w:sz w:val="21"/>
                      <w:szCs w:val="21"/>
                      <w:lang w:eastAsia="zh-CN"/>
                    </w:rPr>
                    <w:t>租赁企业</w:t>
                  </w:r>
                  <w:r>
                    <w:rPr>
                      <w:rFonts w:hint="default" w:ascii="Times New Roman" w:hAnsi="Times New Roman" w:cs="Times New Roman" w:eastAsiaTheme="minorEastAsia"/>
                      <w:b w:val="0"/>
                      <w:bCs w:val="0"/>
                      <w:color w:val="auto"/>
                      <w:sz w:val="21"/>
                      <w:szCs w:val="21"/>
                    </w:rPr>
                    <w:t>已建</w:t>
                  </w:r>
                  <w:r>
                    <w:rPr>
                      <w:rFonts w:hint="eastAsia" w:cs="Times New Roman" w:eastAsiaTheme="minorEastAsia"/>
                      <w:b w:val="0"/>
                      <w:bCs w:val="0"/>
                      <w:color w:val="auto"/>
                      <w:sz w:val="21"/>
                      <w:szCs w:val="21"/>
                      <w:lang w:eastAsia="zh-CN"/>
                    </w:rPr>
                    <w:t>，</w:t>
                  </w:r>
                  <w:r>
                    <w:rPr>
                      <w:rFonts w:hint="default" w:ascii="Times New Roman" w:hAnsi="Times New Roman" w:cs="Times New Roman" w:eastAsiaTheme="minorEastAsia"/>
                      <w:b w:val="0"/>
                      <w:bCs w:val="0"/>
                      <w:color w:val="auto"/>
                      <w:sz w:val="21"/>
                      <w:szCs w:val="21"/>
                    </w:rPr>
                    <w:t>为双跨等高钢结构体系，1层。层高9.65m。</w:t>
                  </w:r>
                  <w:r>
                    <w:rPr>
                      <w:rFonts w:hint="eastAsia" w:cs="Times New Roman" w:eastAsiaTheme="minorEastAsia"/>
                      <w:b w:val="0"/>
                      <w:bCs w:val="0"/>
                      <w:color w:val="auto"/>
                      <w:sz w:val="21"/>
                      <w:szCs w:val="21"/>
                      <w:lang w:eastAsia="zh-CN"/>
                    </w:rPr>
                    <w:t>设备产线建设单位已经安装完成并且投入使用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8" w:type="dxa"/>
                  <w:vMerge w:val="restart"/>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公用及辅助工程</w:t>
                  </w:r>
                </w:p>
              </w:tc>
              <w:tc>
                <w:tcPr>
                  <w:tcW w:w="762" w:type="dxa"/>
                  <w:vMerge w:val="restart"/>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给排水</w:t>
                  </w:r>
                </w:p>
              </w:tc>
              <w:tc>
                <w:tcPr>
                  <w:tcW w:w="1351" w:type="dxa"/>
                  <w:gridSpan w:val="2"/>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供水</w:t>
                  </w:r>
                </w:p>
              </w:tc>
              <w:tc>
                <w:tcPr>
                  <w:tcW w:w="3470" w:type="dxa"/>
                  <w:tcBorders>
                    <w:right w:val="single" w:color="auto" w:sz="4" w:space="0"/>
                  </w:tcBorders>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由富民工业园区供水管网供给。项目不直接取水，区域内无取水井设置。</w:t>
                  </w:r>
                </w:p>
              </w:tc>
              <w:tc>
                <w:tcPr>
                  <w:tcW w:w="2063" w:type="dxa"/>
                  <w:tcBorders>
                    <w:right w:val="single" w:color="auto" w:sz="4" w:space="0"/>
                  </w:tcBorders>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eastAsia" w:cs="Times New Roman" w:eastAsiaTheme="minorEastAsia"/>
                      <w:b w:val="0"/>
                      <w:bCs w:val="0"/>
                      <w:color w:val="auto"/>
                      <w:sz w:val="21"/>
                      <w:szCs w:val="21"/>
                      <w:lang w:eastAsia="zh-CN"/>
                    </w:rPr>
                    <w:t>租赁企业</w:t>
                  </w:r>
                  <w:r>
                    <w:rPr>
                      <w:rFonts w:hint="default" w:ascii="Times New Roman" w:hAnsi="Times New Roman" w:cs="Times New Roman" w:eastAsiaTheme="minorEastAsia"/>
                      <w:b w:val="0"/>
                      <w:bCs w:val="0"/>
                      <w:color w:val="auto"/>
                      <w:sz w:val="21"/>
                      <w:szCs w:val="21"/>
                    </w:rPr>
                    <w:t>已建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48"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p>
              </w:tc>
              <w:tc>
                <w:tcPr>
                  <w:tcW w:w="762"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p>
              </w:tc>
              <w:tc>
                <w:tcPr>
                  <w:tcW w:w="476" w:type="dxa"/>
                  <w:vMerge w:val="restart"/>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排水</w:t>
                  </w:r>
                </w:p>
              </w:tc>
              <w:tc>
                <w:tcPr>
                  <w:tcW w:w="875"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生产污水</w:t>
                  </w:r>
                </w:p>
              </w:tc>
              <w:tc>
                <w:tcPr>
                  <w:tcW w:w="3470" w:type="dxa"/>
                  <w:tcBorders>
                    <w:right w:val="single" w:color="auto" w:sz="4" w:space="0"/>
                  </w:tcBorders>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本项目为钢材生产，生产过程中水性丙烯酸涂料在生产过程中需要用自来水进行调漆。本项目调漆用水全部挥发或进入产品，因此生产过程中无生产废水产生。</w:t>
                  </w:r>
                </w:p>
              </w:tc>
              <w:tc>
                <w:tcPr>
                  <w:tcW w:w="2063" w:type="dxa"/>
                  <w:vMerge w:val="restart"/>
                  <w:tcBorders>
                    <w:right w:val="single" w:color="auto" w:sz="4" w:space="0"/>
                  </w:tcBorders>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各雨污管网</w:t>
                  </w:r>
                  <w:r>
                    <w:rPr>
                      <w:rFonts w:hint="eastAsia" w:cs="Times New Roman" w:eastAsiaTheme="minorEastAsia"/>
                      <w:b w:val="0"/>
                      <w:bCs w:val="0"/>
                      <w:color w:val="auto"/>
                      <w:sz w:val="21"/>
                      <w:szCs w:val="21"/>
                      <w:lang w:eastAsia="zh-CN"/>
                    </w:rPr>
                    <w:t>租赁企业</w:t>
                  </w:r>
                  <w:r>
                    <w:rPr>
                      <w:rFonts w:hint="default" w:ascii="Times New Roman" w:hAnsi="Times New Roman" w:cs="Times New Roman" w:eastAsiaTheme="minorEastAsia"/>
                      <w:b w:val="0"/>
                      <w:bCs w:val="0"/>
                      <w:color w:val="auto"/>
                      <w:sz w:val="21"/>
                      <w:szCs w:val="21"/>
                    </w:rPr>
                    <w:t>已建成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648"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p>
              </w:tc>
              <w:tc>
                <w:tcPr>
                  <w:tcW w:w="762"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p>
              </w:tc>
              <w:tc>
                <w:tcPr>
                  <w:tcW w:w="476"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p>
              </w:tc>
              <w:tc>
                <w:tcPr>
                  <w:tcW w:w="875"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生活污水</w:t>
                  </w:r>
                </w:p>
              </w:tc>
              <w:tc>
                <w:tcPr>
                  <w:tcW w:w="3470" w:type="dxa"/>
                  <w:tcBorders>
                    <w:right w:val="single" w:color="auto" w:sz="4" w:space="0"/>
                  </w:tcBorders>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lang w:eastAsia="zh-CN"/>
                    </w:rPr>
                    <w:t>本项目员工在项目区食宿，</w:t>
                  </w:r>
                  <w:r>
                    <w:rPr>
                      <w:rFonts w:hint="eastAsia" w:ascii="Times New Roman" w:hAnsi="Times New Roman" w:cs="Times New Roman" w:eastAsiaTheme="minorEastAsia"/>
                      <w:b w:val="0"/>
                      <w:bCs w:val="0"/>
                      <w:color w:val="auto"/>
                      <w:sz w:val="21"/>
                      <w:szCs w:val="21"/>
                      <w:lang w:eastAsia="zh-CN"/>
                    </w:rPr>
                    <w:t>员工产生的生活污水进入化粪池处理后排入</w:t>
                  </w:r>
                  <w:r>
                    <w:rPr>
                      <w:rFonts w:hint="eastAsia" w:cs="Times New Roman" w:eastAsiaTheme="minorEastAsia"/>
                      <w:b w:val="0"/>
                      <w:bCs w:val="0"/>
                      <w:color w:val="auto"/>
                      <w:sz w:val="21"/>
                      <w:szCs w:val="21"/>
                      <w:lang w:eastAsia="zh-CN"/>
                    </w:rPr>
                    <w:t>园区污水</w:t>
                  </w:r>
                  <w:r>
                    <w:rPr>
                      <w:rFonts w:hint="eastAsia" w:ascii="Times New Roman" w:hAnsi="Times New Roman" w:cs="Times New Roman" w:eastAsiaTheme="minorEastAsia"/>
                      <w:b w:val="0"/>
                      <w:bCs w:val="0"/>
                      <w:color w:val="auto"/>
                      <w:sz w:val="21"/>
                      <w:szCs w:val="21"/>
                      <w:lang w:eastAsia="zh-CN"/>
                    </w:rPr>
                    <w:t>管</w:t>
                  </w:r>
                  <w:r>
                    <w:rPr>
                      <w:rFonts w:hint="eastAsia" w:cs="Times New Roman" w:eastAsiaTheme="minorEastAsia"/>
                      <w:b w:val="0"/>
                      <w:bCs w:val="0"/>
                      <w:color w:val="auto"/>
                      <w:sz w:val="21"/>
                      <w:szCs w:val="21"/>
                      <w:lang w:eastAsia="zh-CN"/>
                    </w:rPr>
                    <w:t>网</w:t>
                  </w:r>
                  <w:r>
                    <w:rPr>
                      <w:rFonts w:hint="default" w:ascii="Times New Roman" w:hAnsi="Times New Roman" w:cs="Times New Roman" w:eastAsiaTheme="minorEastAsia"/>
                      <w:b w:val="0"/>
                      <w:bCs w:val="0"/>
                      <w:color w:val="auto"/>
                      <w:sz w:val="21"/>
                      <w:szCs w:val="21"/>
                    </w:rPr>
                    <w:t>。</w:t>
                  </w:r>
                </w:p>
              </w:tc>
              <w:tc>
                <w:tcPr>
                  <w:tcW w:w="2063" w:type="dxa"/>
                  <w:vMerge w:val="continue"/>
                  <w:tcBorders>
                    <w:right w:val="single" w:color="auto" w:sz="4" w:space="0"/>
                  </w:tcBorders>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8"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p>
              </w:tc>
              <w:tc>
                <w:tcPr>
                  <w:tcW w:w="762" w:type="dxa"/>
                  <w:noWrap w:val="0"/>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eastAsia="zh-CN"/>
                    </w:rPr>
                  </w:pPr>
                  <w:r>
                    <w:rPr>
                      <w:rFonts w:hint="eastAsia" w:cs="Times New Roman" w:eastAsiaTheme="minorEastAsia"/>
                      <w:b w:val="0"/>
                      <w:bCs w:val="0"/>
                      <w:color w:val="auto"/>
                      <w:sz w:val="21"/>
                      <w:szCs w:val="21"/>
                      <w:lang w:eastAsia="zh-CN"/>
                    </w:rPr>
                    <w:t>消防水池</w:t>
                  </w:r>
                </w:p>
              </w:tc>
              <w:tc>
                <w:tcPr>
                  <w:tcW w:w="1351" w:type="dxa"/>
                  <w:gridSpan w:val="2"/>
                  <w:noWrap w:val="0"/>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eastAsia="zh-CN"/>
                    </w:rPr>
                  </w:pPr>
                  <w:r>
                    <w:rPr>
                      <w:rFonts w:hint="eastAsia" w:cs="Times New Roman" w:eastAsiaTheme="minorEastAsia"/>
                      <w:b w:val="0"/>
                      <w:bCs w:val="0"/>
                      <w:color w:val="auto"/>
                      <w:sz w:val="21"/>
                      <w:szCs w:val="21"/>
                      <w:lang w:eastAsia="zh-CN"/>
                    </w:rPr>
                    <w:t>消防用水</w:t>
                  </w:r>
                </w:p>
              </w:tc>
              <w:tc>
                <w:tcPr>
                  <w:tcW w:w="3470" w:type="dxa"/>
                  <w:tcBorders>
                    <w:right w:val="single" w:color="auto" w:sz="4" w:space="0"/>
                  </w:tcBorders>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vertAlign w:val="baseline"/>
                      <w:lang w:val="en-US" w:eastAsia="zh-CN"/>
                    </w:rPr>
                  </w:pPr>
                  <w:r>
                    <w:rPr>
                      <w:rFonts w:hint="eastAsia" w:cs="Times New Roman" w:eastAsiaTheme="minorEastAsia"/>
                      <w:b w:val="0"/>
                      <w:bCs w:val="0"/>
                      <w:color w:val="auto"/>
                      <w:sz w:val="21"/>
                      <w:szCs w:val="21"/>
                      <w:lang w:eastAsia="zh-CN"/>
                    </w:rPr>
                    <w:t>厂区东侧设置有一个</w:t>
                  </w:r>
                  <w:r>
                    <w:rPr>
                      <w:rFonts w:hint="eastAsia" w:cs="Times New Roman" w:eastAsiaTheme="minorEastAsia"/>
                      <w:b w:val="0"/>
                      <w:bCs w:val="0"/>
                      <w:color w:val="auto"/>
                      <w:sz w:val="21"/>
                      <w:szCs w:val="21"/>
                      <w:lang w:val="en-US" w:eastAsia="zh-CN"/>
                    </w:rPr>
                    <w:t>20m</w:t>
                  </w:r>
                  <w:r>
                    <w:rPr>
                      <w:rFonts w:hint="eastAsia" w:cs="Times New Roman" w:eastAsiaTheme="minorEastAsia"/>
                      <w:b w:val="0"/>
                      <w:bCs w:val="0"/>
                      <w:color w:val="auto"/>
                      <w:sz w:val="21"/>
                      <w:szCs w:val="21"/>
                      <w:vertAlign w:val="superscript"/>
                      <w:lang w:val="en-US" w:eastAsia="zh-CN"/>
                    </w:rPr>
                    <w:t>3</w:t>
                  </w:r>
                  <w:r>
                    <w:rPr>
                      <w:rFonts w:hint="eastAsia" w:cs="Times New Roman" w:eastAsiaTheme="minorEastAsia"/>
                      <w:b w:val="0"/>
                      <w:bCs w:val="0"/>
                      <w:color w:val="auto"/>
                      <w:sz w:val="21"/>
                      <w:szCs w:val="21"/>
                      <w:vertAlign w:val="baseline"/>
                      <w:lang w:val="en-US" w:eastAsia="zh-CN"/>
                    </w:rPr>
                    <w:t>的消防水池，为厂区消防用水</w:t>
                  </w:r>
                </w:p>
              </w:tc>
              <w:tc>
                <w:tcPr>
                  <w:tcW w:w="2063" w:type="dxa"/>
                  <w:tcBorders>
                    <w:right w:val="single" w:color="auto" w:sz="4" w:space="0"/>
                  </w:tcBorders>
                  <w:noWrap w:val="0"/>
                  <w:vAlign w:val="center"/>
                </w:tcPr>
                <w:p>
                  <w:pPr>
                    <w:pStyle w:val="53"/>
                    <w:bidi w:val="0"/>
                    <w:spacing w:line="240" w:lineRule="auto"/>
                    <w:outlineLvl w:val="1"/>
                    <w:rPr>
                      <w:rFonts w:hint="eastAsia" w:cs="Times New Roman" w:eastAsiaTheme="minorEastAsia"/>
                      <w:b w:val="0"/>
                      <w:bCs w:val="0"/>
                      <w:color w:val="auto"/>
                      <w:sz w:val="21"/>
                      <w:szCs w:val="21"/>
                      <w:lang w:eastAsia="zh-CN"/>
                    </w:rPr>
                  </w:pPr>
                  <w:r>
                    <w:rPr>
                      <w:rFonts w:hint="eastAsia" w:cs="Times New Roman" w:eastAsiaTheme="minorEastAsia"/>
                      <w:b w:val="0"/>
                      <w:bCs w:val="0"/>
                      <w:color w:val="auto"/>
                      <w:sz w:val="21"/>
                      <w:szCs w:val="21"/>
                      <w:lang w:eastAsia="zh-CN"/>
                    </w:rPr>
                    <w:t>租赁企业已经建设完成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8"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p>
              </w:tc>
              <w:tc>
                <w:tcPr>
                  <w:tcW w:w="762"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能源</w:t>
                  </w:r>
                </w:p>
              </w:tc>
              <w:tc>
                <w:tcPr>
                  <w:tcW w:w="1351" w:type="dxa"/>
                  <w:gridSpan w:val="2"/>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供电</w:t>
                  </w:r>
                </w:p>
              </w:tc>
              <w:tc>
                <w:tcPr>
                  <w:tcW w:w="3470" w:type="dxa"/>
                  <w:tcBorders>
                    <w:right w:val="single" w:color="auto" w:sz="4" w:space="0"/>
                  </w:tcBorders>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项目生产、消防等用电由富民工业园区电网供给，场区范围内无备用电源设置。</w:t>
                  </w:r>
                </w:p>
              </w:tc>
              <w:tc>
                <w:tcPr>
                  <w:tcW w:w="2063" w:type="dxa"/>
                  <w:tcBorders>
                    <w:right w:val="single" w:color="auto" w:sz="4" w:space="0"/>
                  </w:tcBorders>
                  <w:noWrap w:val="0"/>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eastAsia="zh-CN"/>
                    </w:rPr>
                  </w:pPr>
                  <w:r>
                    <w:rPr>
                      <w:rFonts w:hint="eastAsia" w:cs="Times New Roman" w:eastAsiaTheme="minorEastAsia"/>
                      <w:b w:val="0"/>
                      <w:bCs w:val="0"/>
                      <w:color w:val="auto"/>
                      <w:sz w:val="21"/>
                      <w:szCs w:val="21"/>
                      <w:lang w:eastAsia="zh-CN"/>
                    </w:rPr>
                    <w:t>租赁企业已建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8"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p>
              </w:tc>
              <w:tc>
                <w:tcPr>
                  <w:tcW w:w="762" w:type="dxa"/>
                  <w:noWrap w:val="0"/>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eastAsia="zh-CN"/>
                    </w:rPr>
                  </w:pPr>
                  <w:r>
                    <w:rPr>
                      <w:rFonts w:hint="eastAsia" w:cs="Times New Roman" w:eastAsiaTheme="minorEastAsia"/>
                      <w:b w:val="0"/>
                      <w:bCs w:val="0"/>
                      <w:color w:val="auto"/>
                      <w:sz w:val="21"/>
                      <w:szCs w:val="21"/>
                      <w:lang w:eastAsia="zh-CN"/>
                    </w:rPr>
                    <w:t>办公生活区</w:t>
                  </w:r>
                </w:p>
              </w:tc>
              <w:tc>
                <w:tcPr>
                  <w:tcW w:w="1351" w:type="dxa"/>
                  <w:gridSpan w:val="2"/>
                  <w:noWrap w:val="0"/>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eastAsia="zh-CN"/>
                    </w:rPr>
                  </w:pPr>
                  <w:r>
                    <w:rPr>
                      <w:rFonts w:hint="eastAsia" w:cs="Times New Roman" w:eastAsiaTheme="minorEastAsia"/>
                      <w:b w:val="0"/>
                      <w:bCs w:val="0"/>
                      <w:color w:val="auto"/>
                      <w:sz w:val="21"/>
                      <w:szCs w:val="21"/>
                      <w:lang w:eastAsia="zh-CN"/>
                    </w:rPr>
                    <w:t>宿舍楼、食堂、卫生间</w:t>
                  </w:r>
                </w:p>
              </w:tc>
              <w:tc>
                <w:tcPr>
                  <w:tcW w:w="3470" w:type="dxa"/>
                  <w:tcBorders>
                    <w:right w:val="single" w:color="auto" w:sz="4" w:space="0"/>
                  </w:tcBorders>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rPr>
                    <w:t>设置于生产厂房外，项目区</w:t>
                  </w:r>
                  <w:r>
                    <w:rPr>
                      <w:rFonts w:hint="eastAsia" w:cs="Times New Roman" w:eastAsiaTheme="minorEastAsia"/>
                      <w:b w:val="0"/>
                      <w:bCs w:val="0"/>
                      <w:color w:val="auto"/>
                      <w:sz w:val="21"/>
                      <w:szCs w:val="21"/>
                      <w:lang w:eastAsia="zh-CN"/>
                    </w:rPr>
                    <w:t>东</w:t>
                  </w:r>
                  <w:r>
                    <w:rPr>
                      <w:rFonts w:hint="default" w:ascii="Times New Roman" w:hAnsi="Times New Roman" w:cs="Times New Roman" w:eastAsiaTheme="minorEastAsia"/>
                      <w:b w:val="0"/>
                      <w:bCs w:val="0"/>
                      <w:color w:val="auto"/>
                      <w:sz w:val="21"/>
                      <w:szCs w:val="21"/>
                    </w:rPr>
                    <w:t>侧，为4层砖混结构房屋，其中1层</w:t>
                  </w:r>
                  <w:r>
                    <w:rPr>
                      <w:rFonts w:hint="eastAsia" w:cs="Times New Roman" w:eastAsiaTheme="minorEastAsia"/>
                      <w:b w:val="0"/>
                      <w:bCs w:val="0"/>
                      <w:color w:val="auto"/>
                      <w:sz w:val="21"/>
                      <w:szCs w:val="21"/>
                      <w:lang w:eastAsia="zh-CN"/>
                    </w:rPr>
                    <w:t>北</w:t>
                  </w:r>
                  <w:r>
                    <w:rPr>
                      <w:rFonts w:hint="default" w:ascii="Times New Roman" w:hAnsi="Times New Roman" w:cs="Times New Roman" w:eastAsiaTheme="minorEastAsia"/>
                      <w:b w:val="0"/>
                      <w:bCs w:val="0"/>
                      <w:color w:val="auto"/>
                      <w:sz w:val="21"/>
                      <w:szCs w:val="21"/>
                    </w:rPr>
                    <w:t>侧设置</w:t>
                  </w:r>
                  <w:r>
                    <w:rPr>
                      <w:rFonts w:hint="eastAsia" w:cs="Times New Roman" w:eastAsiaTheme="minorEastAsia"/>
                      <w:b w:val="0"/>
                      <w:bCs w:val="0"/>
                      <w:color w:val="auto"/>
                      <w:sz w:val="21"/>
                      <w:szCs w:val="21"/>
                      <w:lang w:eastAsia="zh-CN"/>
                    </w:rPr>
                    <w:t>有食堂、卫生间</w:t>
                  </w:r>
                  <w:r>
                    <w:rPr>
                      <w:rFonts w:hint="default" w:ascii="Times New Roman" w:hAnsi="Times New Roman" w:cs="Times New Roman" w:eastAsiaTheme="minorEastAsia"/>
                      <w:b w:val="0"/>
                      <w:bCs w:val="0"/>
                      <w:color w:val="auto"/>
                      <w:sz w:val="21"/>
                      <w:szCs w:val="21"/>
                    </w:rPr>
                    <w:t>，</w:t>
                  </w:r>
                  <w:r>
                    <w:rPr>
                      <w:rFonts w:hint="eastAsia" w:cs="Times New Roman" w:eastAsiaTheme="minorEastAsia"/>
                      <w:b w:val="0"/>
                      <w:bCs w:val="0"/>
                      <w:color w:val="auto"/>
                      <w:sz w:val="21"/>
                      <w:szCs w:val="21"/>
                      <w:lang w:val="en-US" w:eastAsia="zh-CN"/>
                    </w:rPr>
                    <w:t>2层</w:t>
                  </w:r>
                  <w:r>
                    <w:rPr>
                      <w:rFonts w:hint="default" w:ascii="Times New Roman" w:hAnsi="Times New Roman" w:cs="Times New Roman" w:eastAsiaTheme="minorEastAsia"/>
                      <w:b w:val="0"/>
                      <w:bCs w:val="0"/>
                      <w:color w:val="auto"/>
                      <w:sz w:val="21"/>
                      <w:szCs w:val="21"/>
                    </w:rPr>
                    <w:t>为办公室</w:t>
                  </w:r>
                  <w:r>
                    <w:rPr>
                      <w:rFonts w:hint="eastAsia" w:cs="Times New Roman" w:eastAsiaTheme="minorEastAsia"/>
                      <w:b w:val="0"/>
                      <w:bCs w:val="0"/>
                      <w:color w:val="auto"/>
                      <w:sz w:val="21"/>
                      <w:szCs w:val="21"/>
                      <w:lang w:eastAsia="zh-CN"/>
                    </w:rPr>
                    <w:t>，</w:t>
                  </w:r>
                  <w:r>
                    <w:rPr>
                      <w:rFonts w:hint="eastAsia" w:cs="Times New Roman" w:eastAsiaTheme="minorEastAsia"/>
                      <w:b w:val="0"/>
                      <w:bCs w:val="0"/>
                      <w:color w:val="auto"/>
                      <w:sz w:val="21"/>
                      <w:szCs w:val="21"/>
                      <w:lang w:val="en-US" w:eastAsia="zh-CN"/>
                    </w:rPr>
                    <w:t>3、4层为宿舍</w:t>
                  </w:r>
                </w:p>
              </w:tc>
              <w:tc>
                <w:tcPr>
                  <w:tcW w:w="2063" w:type="dxa"/>
                  <w:tcBorders>
                    <w:right w:val="single" w:color="auto" w:sz="4" w:space="0"/>
                  </w:tcBorders>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eastAsia" w:cs="Times New Roman" w:eastAsiaTheme="minorEastAsia"/>
                      <w:b w:val="0"/>
                      <w:bCs w:val="0"/>
                      <w:color w:val="auto"/>
                      <w:sz w:val="21"/>
                      <w:szCs w:val="21"/>
                      <w:lang w:eastAsia="zh-CN"/>
                    </w:rPr>
                    <w:t>租赁企业已建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8" w:type="dxa"/>
                  <w:vMerge w:val="restart"/>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环保工程</w:t>
                  </w:r>
                </w:p>
              </w:tc>
              <w:tc>
                <w:tcPr>
                  <w:tcW w:w="762" w:type="dxa"/>
                  <w:vMerge w:val="restart"/>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eastAsia="zh-CN"/>
                    </w:rPr>
                  </w:pPr>
                  <w:r>
                    <w:rPr>
                      <w:rFonts w:hint="default" w:ascii="Times New Roman" w:hAnsi="Times New Roman" w:cs="Times New Roman" w:eastAsiaTheme="minorEastAsia"/>
                      <w:b w:val="0"/>
                      <w:bCs w:val="0"/>
                      <w:color w:val="auto"/>
                      <w:sz w:val="21"/>
                      <w:szCs w:val="21"/>
                      <w:lang w:eastAsia="zh-CN"/>
                    </w:rPr>
                    <w:t>固废</w:t>
                  </w:r>
                </w:p>
              </w:tc>
              <w:tc>
                <w:tcPr>
                  <w:tcW w:w="1351" w:type="dxa"/>
                  <w:gridSpan w:val="2"/>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危险废物暂存间</w:t>
                  </w:r>
                </w:p>
              </w:tc>
              <w:tc>
                <w:tcPr>
                  <w:tcW w:w="3470" w:type="dxa"/>
                  <w:tcBorders>
                    <w:right w:val="single" w:color="auto" w:sz="4" w:space="0"/>
                  </w:tcBorders>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于项目成品仓库西</w:t>
                  </w:r>
                  <w:r>
                    <w:rPr>
                      <w:rFonts w:hint="eastAsia" w:cs="Times New Roman" w:eastAsiaTheme="minorEastAsia"/>
                      <w:b w:val="0"/>
                      <w:bCs w:val="0"/>
                      <w:color w:val="auto"/>
                      <w:sz w:val="21"/>
                      <w:szCs w:val="21"/>
                      <w:lang w:eastAsia="zh-CN"/>
                    </w:rPr>
                    <w:t>北</w:t>
                  </w:r>
                  <w:r>
                    <w:rPr>
                      <w:rFonts w:hint="default" w:ascii="Times New Roman" w:hAnsi="Times New Roman" w:cs="Times New Roman" w:eastAsiaTheme="minorEastAsia"/>
                      <w:b w:val="0"/>
                      <w:bCs w:val="0"/>
                      <w:color w:val="auto"/>
                      <w:sz w:val="21"/>
                      <w:szCs w:val="21"/>
                    </w:rPr>
                    <w:t>角设置一座危险废物暂存间，建筑面积为8</w:t>
                  </w:r>
                  <w:r>
                    <w:rPr>
                      <w:rFonts w:hint="default" w:ascii="Times New Roman" w:hAnsi="Times New Roman" w:cs="Times New Roman" w:eastAsiaTheme="minorEastAsia"/>
                      <w:b w:val="0"/>
                      <w:bCs w:val="0"/>
                      <w:color w:val="auto"/>
                      <w:sz w:val="21"/>
                      <w:szCs w:val="21"/>
                      <w:lang w:val="en-US" w:eastAsia="zh-CN"/>
                    </w:rPr>
                    <w:t>m</w:t>
                  </w:r>
                  <w:r>
                    <w:rPr>
                      <w:rFonts w:hint="default" w:ascii="Times New Roman" w:hAnsi="Times New Roman" w:cs="Times New Roman" w:eastAsiaTheme="minorEastAsia"/>
                      <w:b w:val="0"/>
                      <w:bCs w:val="0"/>
                      <w:color w:val="auto"/>
                      <w:sz w:val="21"/>
                      <w:szCs w:val="21"/>
                      <w:vertAlign w:val="superscript"/>
                      <w:lang w:val="en-US" w:eastAsia="zh-CN"/>
                    </w:rPr>
                    <w:t>2</w:t>
                  </w:r>
                  <w:r>
                    <w:rPr>
                      <w:rFonts w:hint="default" w:ascii="Times New Roman" w:hAnsi="Times New Roman" w:cs="Times New Roman" w:eastAsiaTheme="minorEastAsia"/>
                      <w:b w:val="0"/>
                      <w:bCs w:val="0"/>
                      <w:color w:val="auto"/>
                      <w:sz w:val="21"/>
                      <w:szCs w:val="21"/>
                    </w:rPr>
                    <w:t>，用于项目废</w:t>
                  </w:r>
                  <w:r>
                    <w:rPr>
                      <w:rFonts w:hint="default" w:ascii="Times New Roman" w:hAnsi="Times New Roman" w:cs="Times New Roman" w:eastAsiaTheme="minorEastAsia"/>
                      <w:b w:val="0"/>
                      <w:bCs w:val="0"/>
                      <w:color w:val="auto"/>
                      <w:sz w:val="21"/>
                      <w:szCs w:val="21"/>
                      <w:lang w:eastAsia="zh-CN"/>
                    </w:rPr>
                    <w:t>过滤棉、活性炭等危废的</w:t>
                  </w:r>
                  <w:r>
                    <w:rPr>
                      <w:rFonts w:hint="default" w:ascii="Times New Roman" w:hAnsi="Times New Roman" w:cs="Times New Roman" w:eastAsiaTheme="minorEastAsia"/>
                      <w:b w:val="0"/>
                      <w:bCs w:val="0"/>
                      <w:color w:val="auto"/>
                      <w:sz w:val="21"/>
                      <w:szCs w:val="21"/>
                    </w:rPr>
                    <w:t>暂存。</w:t>
                  </w:r>
                </w:p>
              </w:tc>
              <w:tc>
                <w:tcPr>
                  <w:tcW w:w="2063" w:type="dxa"/>
                  <w:tcBorders>
                    <w:right w:val="single" w:color="auto" w:sz="4" w:space="0"/>
                  </w:tcBorders>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8"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p>
              </w:tc>
              <w:tc>
                <w:tcPr>
                  <w:tcW w:w="762"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eastAsia="zh-CN"/>
                    </w:rPr>
                  </w:pPr>
                </w:p>
              </w:tc>
              <w:tc>
                <w:tcPr>
                  <w:tcW w:w="1351" w:type="dxa"/>
                  <w:gridSpan w:val="2"/>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eastAsia="zh-CN"/>
                    </w:rPr>
                  </w:pPr>
                  <w:r>
                    <w:rPr>
                      <w:rFonts w:hint="default" w:ascii="Times New Roman" w:hAnsi="Times New Roman" w:cs="Times New Roman" w:eastAsiaTheme="minorEastAsia"/>
                      <w:b w:val="0"/>
                      <w:bCs w:val="0"/>
                      <w:color w:val="auto"/>
                      <w:sz w:val="21"/>
                      <w:szCs w:val="21"/>
                      <w:lang w:eastAsia="zh-CN"/>
                    </w:rPr>
                    <w:t>生产固废</w:t>
                  </w:r>
                </w:p>
              </w:tc>
              <w:tc>
                <w:tcPr>
                  <w:tcW w:w="3470" w:type="dxa"/>
                  <w:tcBorders>
                    <w:right w:val="single" w:color="auto" w:sz="4" w:space="0"/>
                  </w:tcBorders>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eastAsia="zh-CN"/>
                    </w:rPr>
                    <w:t>在生产车间西北角设置一间</w:t>
                  </w:r>
                  <w:r>
                    <w:rPr>
                      <w:rFonts w:hint="default" w:ascii="Times New Roman" w:hAnsi="Times New Roman" w:cs="Times New Roman" w:eastAsiaTheme="minorEastAsia"/>
                      <w:b w:val="0"/>
                      <w:bCs w:val="0"/>
                      <w:color w:val="auto"/>
                      <w:sz w:val="21"/>
                      <w:szCs w:val="21"/>
                      <w:lang w:val="en-US" w:eastAsia="zh-CN"/>
                    </w:rPr>
                    <w:t>30m</w:t>
                  </w:r>
                  <w:r>
                    <w:rPr>
                      <w:rFonts w:hint="default" w:ascii="Times New Roman" w:hAnsi="Times New Roman" w:cs="Times New Roman" w:eastAsiaTheme="minorEastAsia"/>
                      <w:b w:val="0"/>
                      <w:bCs w:val="0"/>
                      <w:color w:val="auto"/>
                      <w:sz w:val="21"/>
                      <w:szCs w:val="21"/>
                      <w:vertAlign w:val="superscript"/>
                      <w:lang w:val="en-US" w:eastAsia="zh-CN"/>
                    </w:rPr>
                    <w:t>2</w:t>
                  </w:r>
                  <w:r>
                    <w:rPr>
                      <w:rFonts w:hint="default" w:ascii="Times New Roman" w:hAnsi="Times New Roman" w:cs="Times New Roman" w:eastAsiaTheme="minorEastAsia"/>
                      <w:b w:val="0"/>
                      <w:bCs w:val="0"/>
                      <w:color w:val="auto"/>
                      <w:sz w:val="21"/>
                      <w:szCs w:val="21"/>
                      <w:lang w:val="en-US" w:eastAsia="zh-CN"/>
                    </w:rPr>
                    <w:t>的一般固废暂存间，用于收集暂存边角废料、收集的</w:t>
                  </w:r>
                  <w:r>
                    <w:rPr>
                      <w:rFonts w:hint="eastAsia" w:cs="Times New Roman" w:eastAsiaTheme="minorEastAsia"/>
                      <w:b w:val="0"/>
                      <w:bCs w:val="0"/>
                      <w:color w:val="auto"/>
                      <w:sz w:val="21"/>
                      <w:szCs w:val="21"/>
                      <w:lang w:val="en-US" w:eastAsia="zh-CN"/>
                    </w:rPr>
                    <w:t>打磨粉尘</w:t>
                  </w:r>
                  <w:r>
                    <w:rPr>
                      <w:rFonts w:hint="default" w:ascii="Times New Roman" w:hAnsi="Times New Roman" w:cs="Times New Roman" w:eastAsiaTheme="minorEastAsia"/>
                      <w:b w:val="0"/>
                      <w:bCs w:val="0"/>
                      <w:color w:val="auto"/>
                      <w:sz w:val="21"/>
                      <w:szCs w:val="21"/>
                      <w:lang w:val="en-US" w:eastAsia="zh-CN"/>
                    </w:rPr>
                    <w:t>、焊接烟尘、焊渣集中、废包装材料等一般固体废物。</w:t>
                  </w:r>
                </w:p>
              </w:tc>
              <w:tc>
                <w:tcPr>
                  <w:tcW w:w="2063" w:type="dxa"/>
                  <w:tcBorders>
                    <w:right w:val="single" w:color="auto" w:sz="4" w:space="0"/>
                  </w:tcBorders>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eastAsia="zh-CN"/>
                    </w:rPr>
                  </w:pPr>
                  <w:r>
                    <w:rPr>
                      <w:rFonts w:hint="default" w:ascii="Times New Roman" w:hAnsi="Times New Roman" w:cs="Times New Roman" w:eastAsiaTheme="minorEastAsia"/>
                      <w:b w:val="0"/>
                      <w:bCs w:val="0"/>
                      <w:color w:val="auto"/>
                      <w:sz w:val="21"/>
                      <w:szCs w:val="21"/>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8"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p>
              </w:tc>
              <w:tc>
                <w:tcPr>
                  <w:tcW w:w="762"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eastAsia="zh-CN"/>
                    </w:rPr>
                  </w:pPr>
                </w:p>
              </w:tc>
              <w:tc>
                <w:tcPr>
                  <w:tcW w:w="1351" w:type="dxa"/>
                  <w:gridSpan w:val="2"/>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eastAsia="zh-CN"/>
                    </w:rPr>
                  </w:pPr>
                  <w:r>
                    <w:rPr>
                      <w:rFonts w:hint="default" w:ascii="Times New Roman" w:hAnsi="Times New Roman" w:cs="Times New Roman" w:eastAsiaTheme="minorEastAsia"/>
                      <w:b w:val="0"/>
                      <w:bCs w:val="0"/>
                      <w:color w:val="auto"/>
                      <w:sz w:val="21"/>
                      <w:szCs w:val="21"/>
                      <w:lang w:eastAsia="zh-CN"/>
                    </w:rPr>
                    <w:t>生活垃圾</w:t>
                  </w:r>
                </w:p>
              </w:tc>
              <w:tc>
                <w:tcPr>
                  <w:tcW w:w="3470" w:type="dxa"/>
                  <w:tcBorders>
                    <w:right w:val="single" w:color="auto" w:sz="4" w:space="0"/>
                  </w:tcBorders>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eastAsia="zh-CN"/>
                    </w:rPr>
                  </w:pPr>
                  <w:r>
                    <w:rPr>
                      <w:rFonts w:hint="default" w:ascii="Times New Roman" w:hAnsi="Times New Roman" w:cs="Times New Roman" w:eastAsiaTheme="minorEastAsia"/>
                      <w:b w:val="0"/>
                      <w:bCs w:val="0"/>
                      <w:color w:val="auto"/>
                      <w:sz w:val="21"/>
                      <w:szCs w:val="21"/>
                      <w:lang w:eastAsia="zh-CN"/>
                    </w:rPr>
                    <w:t>本项目在项目区内设置生活垃圾收集桶，生活垃圾收集后交园区环卫部门进行清运处理。</w:t>
                  </w:r>
                </w:p>
              </w:tc>
              <w:tc>
                <w:tcPr>
                  <w:tcW w:w="2063" w:type="dxa"/>
                  <w:tcBorders>
                    <w:right w:val="single" w:color="auto" w:sz="4" w:space="0"/>
                  </w:tcBorders>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eastAsia" w:cs="Times New Roman" w:eastAsiaTheme="minorEastAsia"/>
                      <w:b w:val="0"/>
                      <w:bCs w:val="0"/>
                      <w:color w:val="auto"/>
                      <w:sz w:val="21"/>
                      <w:szCs w:val="21"/>
                      <w:lang w:val="en-US" w:eastAsia="zh-CN"/>
                    </w:rPr>
                    <w:t>已建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48"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p>
              </w:tc>
              <w:tc>
                <w:tcPr>
                  <w:tcW w:w="762" w:type="dxa"/>
                  <w:vMerge w:val="restart"/>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废气</w:t>
                  </w:r>
                </w:p>
              </w:tc>
              <w:tc>
                <w:tcPr>
                  <w:tcW w:w="1351" w:type="dxa"/>
                  <w:gridSpan w:val="2"/>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eastAsia" w:cs="Times New Roman" w:eastAsiaTheme="minorEastAsia"/>
                      <w:b w:val="0"/>
                      <w:bCs w:val="0"/>
                      <w:color w:val="auto"/>
                      <w:sz w:val="21"/>
                      <w:szCs w:val="21"/>
                      <w:lang w:eastAsia="zh-CN"/>
                    </w:rPr>
                    <w:t>切割烟尘</w:t>
                  </w:r>
                </w:p>
              </w:tc>
              <w:tc>
                <w:tcPr>
                  <w:tcW w:w="3470"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eastAsia" w:cs="Times New Roman" w:eastAsiaTheme="minorEastAsia"/>
                      <w:b w:val="0"/>
                      <w:bCs w:val="0"/>
                      <w:color w:val="auto"/>
                      <w:sz w:val="21"/>
                      <w:szCs w:val="21"/>
                      <w:lang w:eastAsia="zh-CN"/>
                    </w:rPr>
                    <w:t>本项目设置有一台激光切割区，切割</w:t>
                  </w:r>
                  <w:r>
                    <w:rPr>
                      <w:rFonts w:hint="default" w:ascii="Times New Roman" w:hAnsi="Times New Roman" w:cs="Times New Roman" w:eastAsiaTheme="minorEastAsia"/>
                      <w:b w:val="0"/>
                      <w:bCs w:val="0"/>
                      <w:color w:val="auto"/>
                      <w:sz w:val="21"/>
                      <w:szCs w:val="21"/>
                      <w:lang w:eastAsia="zh-CN"/>
                    </w:rPr>
                    <w:t>产生的废气主要为</w:t>
                  </w:r>
                  <w:r>
                    <w:rPr>
                      <w:rFonts w:hint="eastAsia" w:cs="Times New Roman" w:eastAsiaTheme="minorEastAsia"/>
                      <w:b w:val="0"/>
                      <w:bCs w:val="0"/>
                      <w:color w:val="auto"/>
                      <w:sz w:val="21"/>
                      <w:szCs w:val="21"/>
                      <w:lang w:eastAsia="zh-CN"/>
                    </w:rPr>
                    <w:t>烟尘</w:t>
                  </w:r>
                  <w:r>
                    <w:rPr>
                      <w:rFonts w:hint="default" w:ascii="Times New Roman" w:hAnsi="Times New Roman" w:cs="Times New Roman" w:eastAsiaTheme="minorEastAsia"/>
                      <w:b w:val="0"/>
                      <w:bCs w:val="0"/>
                      <w:color w:val="auto"/>
                      <w:sz w:val="21"/>
                      <w:szCs w:val="21"/>
                      <w:lang w:eastAsia="zh-CN"/>
                    </w:rPr>
                    <w:t>，车间内设置</w:t>
                  </w:r>
                  <w:r>
                    <w:rPr>
                      <w:rFonts w:hint="eastAsia" w:cs="Times New Roman" w:eastAsiaTheme="minorEastAsia"/>
                      <w:b w:val="0"/>
                      <w:bCs w:val="0"/>
                      <w:color w:val="auto"/>
                      <w:sz w:val="21"/>
                      <w:szCs w:val="21"/>
                      <w:lang w:eastAsia="zh-CN"/>
                    </w:rPr>
                    <w:t>有</w:t>
                  </w:r>
                  <w:r>
                    <w:rPr>
                      <w:rFonts w:hint="default" w:ascii="Times New Roman" w:hAnsi="Times New Roman" w:cs="Times New Roman" w:eastAsiaTheme="minorEastAsia"/>
                      <w:b w:val="0"/>
                      <w:bCs w:val="0"/>
                      <w:color w:val="auto"/>
                      <w:sz w:val="21"/>
                      <w:szCs w:val="21"/>
                      <w:lang w:eastAsia="zh-CN"/>
                    </w:rPr>
                    <w:t>一套</w:t>
                  </w:r>
                  <w:r>
                    <w:rPr>
                      <w:rFonts w:hint="eastAsia" w:cs="Times New Roman" w:eastAsiaTheme="minorEastAsia"/>
                      <w:b w:val="0"/>
                      <w:bCs w:val="0"/>
                      <w:color w:val="auto"/>
                      <w:sz w:val="21"/>
                      <w:szCs w:val="21"/>
                      <w:lang w:eastAsia="zh-CN"/>
                    </w:rPr>
                    <w:t>移动式烟尘净化器</w:t>
                  </w:r>
                  <w:r>
                    <w:rPr>
                      <w:rFonts w:hint="default" w:ascii="Times New Roman" w:hAnsi="Times New Roman" w:cs="Times New Roman" w:eastAsiaTheme="minorEastAsia"/>
                      <w:b w:val="0"/>
                      <w:bCs w:val="0"/>
                      <w:color w:val="auto"/>
                      <w:sz w:val="21"/>
                      <w:szCs w:val="21"/>
                      <w:lang w:eastAsia="zh-CN"/>
                    </w:rPr>
                    <w:t>处理后，少量粉尘经过车间阻隔自然沉降后少部分从车间门窗外逸</w:t>
                  </w:r>
                  <w:r>
                    <w:rPr>
                      <w:rFonts w:hint="default" w:ascii="Times New Roman" w:hAnsi="Times New Roman" w:cs="Times New Roman" w:eastAsiaTheme="minorEastAsia"/>
                      <w:b w:val="0"/>
                      <w:bCs w:val="0"/>
                      <w:color w:val="auto"/>
                      <w:sz w:val="21"/>
                      <w:szCs w:val="21"/>
                    </w:rPr>
                    <w:t>。</w:t>
                  </w:r>
                </w:p>
              </w:tc>
              <w:tc>
                <w:tcPr>
                  <w:tcW w:w="2063"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eastAsia="zh-CN"/>
                    </w:rPr>
                  </w:pPr>
                  <w:r>
                    <w:rPr>
                      <w:rFonts w:hint="default" w:ascii="Times New Roman" w:hAnsi="Times New Roman" w:cs="Times New Roman" w:eastAsiaTheme="minorEastAsia"/>
                      <w:b w:val="0"/>
                      <w:bCs w:val="0"/>
                      <w:color w:val="auto"/>
                      <w:sz w:val="21"/>
                      <w:szCs w:val="21"/>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48"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p>
              </w:tc>
              <w:tc>
                <w:tcPr>
                  <w:tcW w:w="762"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p>
              </w:tc>
              <w:tc>
                <w:tcPr>
                  <w:tcW w:w="1351" w:type="dxa"/>
                  <w:gridSpan w:val="2"/>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eastAsia="zh-CN"/>
                    </w:rPr>
                  </w:pPr>
                  <w:r>
                    <w:rPr>
                      <w:rFonts w:hint="default" w:ascii="Times New Roman" w:hAnsi="Times New Roman" w:cs="Times New Roman" w:eastAsiaTheme="minorEastAsia"/>
                      <w:b w:val="0"/>
                      <w:bCs w:val="0"/>
                      <w:color w:val="auto"/>
                      <w:sz w:val="21"/>
                      <w:szCs w:val="21"/>
                      <w:lang w:eastAsia="zh-CN"/>
                    </w:rPr>
                    <w:t>焊接烟尘</w:t>
                  </w:r>
                </w:p>
              </w:tc>
              <w:tc>
                <w:tcPr>
                  <w:tcW w:w="3470"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eastAsia="zh-CN"/>
                    </w:rPr>
                  </w:pPr>
                  <w:r>
                    <w:rPr>
                      <w:rFonts w:hint="default" w:ascii="Times New Roman" w:hAnsi="Times New Roman" w:cs="Times New Roman" w:eastAsiaTheme="minorEastAsia"/>
                      <w:b w:val="0"/>
                      <w:bCs w:val="0"/>
                      <w:color w:val="auto"/>
                      <w:sz w:val="21"/>
                      <w:szCs w:val="21"/>
                      <w:lang w:eastAsia="zh-CN"/>
                    </w:rPr>
                    <w:t>本项目</w:t>
                  </w:r>
                  <w:r>
                    <w:rPr>
                      <w:rFonts w:hint="eastAsia" w:cs="Times New Roman" w:eastAsiaTheme="minorEastAsia"/>
                      <w:b w:val="0"/>
                      <w:bCs w:val="0"/>
                      <w:color w:val="auto"/>
                      <w:sz w:val="21"/>
                      <w:szCs w:val="21"/>
                      <w:lang w:eastAsia="zh-CN"/>
                    </w:rPr>
                    <w:t>设置有一条焊接产线，</w:t>
                  </w:r>
                  <w:r>
                    <w:rPr>
                      <w:rFonts w:hint="default" w:ascii="Times New Roman" w:hAnsi="Times New Roman" w:cs="Times New Roman" w:eastAsiaTheme="minorEastAsia"/>
                      <w:b w:val="0"/>
                      <w:bCs w:val="0"/>
                      <w:color w:val="auto"/>
                      <w:sz w:val="21"/>
                      <w:szCs w:val="21"/>
                      <w:lang w:eastAsia="zh-CN"/>
                    </w:rPr>
                    <w:t>焊接</w:t>
                  </w:r>
                  <w:r>
                    <w:rPr>
                      <w:rFonts w:hint="eastAsia" w:cs="Times New Roman" w:eastAsiaTheme="minorEastAsia"/>
                      <w:b w:val="0"/>
                      <w:bCs w:val="0"/>
                      <w:color w:val="auto"/>
                      <w:sz w:val="21"/>
                      <w:szCs w:val="21"/>
                      <w:lang w:eastAsia="zh-CN"/>
                    </w:rPr>
                    <w:t>产生烟尘，</w:t>
                  </w:r>
                  <w:r>
                    <w:rPr>
                      <w:rFonts w:hint="default" w:ascii="Times New Roman" w:hAnsi="Times New Roman" w:cs="Times New Roman" w:eastAsiaTheme="minorEastAsia"/>
                      <w:b w:val="0"/>
                      <w:bCs w:val="0"/>
                      <w:color w:val="auto"/>
                      <w:sz w:val="21"/>
                      <w:szCs w:val="21"/>
                      <w:lang w:eastAsia="zh-CN"/>
                    </w:rPr>
                    <w:t>烟尘通过在生产车间内设置</w:t>
                  </w:r>
                  <w:r>
                    <w:rPr>
                      <w:rFonts w:hint="eastAsia" w:cs="Times New Roman" w:eastAsiaTheme="minorEastAsia"/>
                      <w:b w:val="0"/>
                      <w:bCs w:val="0"/>
                      <w:color w:val="auto"/>
                      <w:sz w:val="21"/>
                      <w:szCs w:val="21"/>
                      <w:lang w:eastAsia="zh-CN"/>
                    </w:rPr>
                    <w:t>的移动式烟尘净化器</w:t>
                  </w:r>
                  <w:r>
                    <w:rPr>
                      <w:rFonts w:hint="default" w:ascii="Times New Roman" w:hAnsi="Times New Roman" w:cs="Times New Roman" w:eastAsiaTheme="minorEastAsia"/>
                      <w:b w:val="0"/>
                      <w:bCs w:val="0"/>
                      <w:color w:val="auto"/>
                      <w:sz w:val="21"/>
                      <w:szCs w:val="21"/>
                      <w:lang w:eastAsia="zh-CN"/>
                    </w:rPr>
                    <w:t>进行处理</w:t>
                  </w:r>
                  <w:r>
                    <w:rPr>
                      <w:rFonts w:hint="eastAsia" w:cs="Times New Roman" w:eastAsiaTheme="minorEastAsia"/>
                      <w:b w:val="0"/>
                      <w:bCs w:val="0"/>
                      <w:color w:val="auto"/>
                      <w:sz w:val="21"/>
                      <w:szCs w:val="21"/>
                      <w:lang w:eastAsia="zh-CN"/>
                    </w:rPr>
                    <w:t>后无组织排放</w:t>
                  </w:r>
                  <w:r>
                    <w:rPr>
                      <w:rFonts w:hint="default" w:ascii="Times New Roman" w:hAnsi="Times New Roman" w:cs="Times New Roman" w:eastAsiaTheme="minorEastAsia"/>
                      <w:b w:val="0"/>
                      <w:bCs w:val="0"/>
                      <w:color w:val="auto"/>
                      <w:sz w:val="21"/>
                      <w:szCs w:val="21"/>
                      <w:lang w:eastAsia="zh-CN"/>
                    </w:rPr>
                    <w:t>。</w:t>
                  </w:r>
                </w:p>
              </w:tc>
              <w:tc>
                <w:tcPr>
                  <w:tcW w:w="2063"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eastAsia="zh-CN"/>
                    </w:rPr>
                  </w:pPr>
                  <w:r>
                    <w:rPr>
                      <w:rFonts w:hint="default" w:ascii="Times New Roman" w:hAnsi="Times New Roman" w:cs="Times New Roman" w:eastAsiaTheme="minorEastAsia"/>
                      <w:b w:val="0"/>
                      <w:bCs w:val="0"/>
                      <w:color w:val="auto"/>
                      <w:sz w:val="21"/>
                      <w:szCs w:val="21"/>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48"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p>
              </w:tc>
              <w:tc>
                <w:tcPr>
                  <w:tcW w:w="762"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p>
              </w:tc>
              <w:tc>
                <w:tcPr>
                  <w:tcW w:w="1351" w:type="dxa"/>
                  <w:gridSpan w:val="2"/>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eastAsia="zh-CN"/>
                    </w:rPr>
                  </w:pPr>
                  <w:r>
                    <w:rPr>
                      <w:rFonts w:hint="eastAsia" w:cs="Times New Roman" w:eastAsiaTheme="minorEastAsia"/>
                      <w:b w:val="0"/>
                      <w:bCs w:val="0"/>
                      <w:color w:val="auto"/>
                      <w:sz w:val="21"/>
                      <w:szCs w:val="21"/>
                      <w:lang w:eastAsia="zh-CN"/>
                    </w:rPr>
                    <w:t>打磨粉尘</w:t>
                  </w:r>
                </w:p>
              </w:tc>
              <w:tc>
                <w:tcPr>
                  <w:tcW w:w="3470"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eastAsia="zh-CN"/>
                    </w:rPr>
                  </w:pPr>
                  <w:r>
                    <w:rPr>
                      <w:rFonts w:hint="eastAsia" w:cs="Times New Roman" w:eastAsiaTheme="minorEastAsia"/>
                      <w:b w:val="0"/>
                      <w:bCs w:val="0"/>
                      <w:color w:val="auto"/>
                      <w:sz w:val="21"/>
                      <w:szCs w:val="21"/>
                      <w:lang w:eastAsia="zh-CN"/>
                    </w:rPr>
                    <w:t>本项目在喷砂打磨产线设置有一台喷砂打磨机，产生的粉尘经过喷砂机自带的布袋除尘器处理后无组织排放</w:t>
                  </w:r>
                </w:p>
              </w:tc>
              <w:tc>
                <w:tcPr>
                  <w:tcW w:w="2063"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8"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p>
              </w:tc>
              <w:tc>
                <w:tcPr>
                  <w:tcW w:w="762"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p>
              </w:tc>
              <w:tc>
                <w:tcPr>
                  <w:tcW w:w="1351" w:type="dxa"/>
                  <w:gridSpan w:val="2"/>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lang w:eastAsia="zh-CN"/>
                    </w:rPr>
                    <w:t>喷漆</w:t>
                  </w:r>
                </w:p>
              </w:tc>
              <w:tc>
                <w:tcPr>
                  <w:tcW w:w="3470"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喷漆车间设置1套</w:t>
                  </w:r>
                  <w:r>
                    <w:rPr>
                      <w:rFonts w:hint="default" w:ascii="Times New Roman" w:hAnsi="Times New Roman" w:cs="Times New Roman" w:eastAsiaTheme="minorEastAsia"/>
                      <w:b w:val="0"/>
                      <w:bCs w:val="0"/>
                      <w:color w:val="auto"/>
                      <w:sz w:val="21"/>
                      <w:szCs w:val="21"/>
                      <w:lang w:eastAsia="zh-CN"/>
                    </w:rPr>
                    <w:t>过滤棉+活性炭</w:t>
                  </w:r>
                  <w:r>
                    <w:rPr>
                      <w:rFonts w:hint="default" w:ascii="Times New Roman" w:hAnsi="Times New Roman" w:cs="Times New Roman" w:eastAsiaTheme="minorEastAsia"/>
                      <w:b w:val="0"/>
                      <w:bCs w:val="0"/>
                      <w:color w:val="auto"/>
                      <w:sz w:val="21"/>
                      <w:szCs w:val="21"/>
                    </w:rPr>
                    <w:t>吸附装置，对所收集有机废气进行处理，达标后由15m排气筒统一排放。</w:t>
                  </w:r>
                </w:p>
              </w:tc>
              <w:tc>
                <w:tcPr>
                  <w:tcW w:w="2063"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8"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p>
              </w:tc>
              <w:tc>
                <w:tcPr>
                  <w:tcW w:w="762"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p>
              </w:tc>
              <w:tc>
                <w:tcPr>
                  <w:tcW w:w="1351" w:type="dxa"/>
                  <w:gridSpan w:val="2"/>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eastAsia="zh-CN"/>
                    </w:rPr>
                  </w:pPr>
                  <w:r>
                    <w:rPr>
                      <w:rFonts w:hint="eastAsia" w:cs="Times New Roman" w:eastAsiaTheme="minorEastAsia"/>
                      <w:b w:val="0"/>
                      <w:bCs w:val="0"/>
                      <w:color w:val="auto"/>
                      <w:sz w:val="21"/>
                      <w:szCs w:val="21"/>
                      <w:lang w:eastAsia="zh-CN"/>
                    </w:rPr>
                    <w:t>食堂油烟</w:t>
                  </w:r>
                </w:p>
              </w:tc>
              <w:tc>
                <w:tcPr>
                  <w:tcW w:w="3470" w:type="dxa"/>
                  <w:noWrap w:val="0"/>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eastAsia="zh-CN"/>
                    </w:rPr>
                  </w:pPr>
                  <w:r>
                    <w:rPr>
                      <w:rFonts w:hint="eastAsia" w:cs="Times New Roman" w:eastAsiaTheme="minorEastAsia"/>
                      <w:b w:val="0"/>
                      <w:bCs w:val="0"/>
                      <w:color w:val="auto"/>
                      <w:sz w:val="21"/>
                      <w:szCs w:val="21"/>
                      <w:lang w:eastAsia="zh-CN"/>
                    </w:rPr>
                    <w:t>厂区办公生活区设置有食堂，食堂油烟配套“集气罩+油烟净化器+高于房顶1.5m高排气筒”，油烟净化器效率为</w:t>
                  </w:r>
                  <w:r>
                    <w:rPr>
                      <w:rFonts w:hint="eastAsia" w:cs="Times New Roman" w:eastAsiaTheme="minorEastAsia"/>
                      <w:b w:val="0"/>
                      <w:bCs w:val="0"/>
                      <w:color w:val="auto"/>
                      <w:sz w:val="21"/>
                      <w:szCs w:val="21"/>
                      <w:lang w:val="en-US" w:eastAsia="zh-CN"/>
                    </w:rPr>
                    <w:t>80</w:t>
                  </w:r>
                  <w:r>
                    <w:rPr>
                      <w:rFonts w:hint="eastAsia" w:cs="Times New Roman" w:eastAsiaTheme="minorEastAsia"/>
                      <w:b w:val="0"/>
                      <w:bCs w:val="0"/>
                      <w:color w:val="auto"/>
                      <w:sz w:val="21"/>
                      <w:szCs w:val="21"/>
                      <w:lang w:eastAsia="zh-CN"/>
                    </w:rPr>
                    <w:t>%</w:t>
                  </w:r>
                </w:p>
              </w:tc>
              <w:tc>
                <w:tcPr>
                  <w:tcW w:w="2063"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eastAsia" w:cs="Times New Roman" w:eastAsiaTheme="minorEastAsia"/>
                      <w:b w:val="0"/>
                      <w:bCs w:val="0"/>
                      <w:color w:val="auto"/>
                      <w:sz w:val="21"/>
                      <w:szCs w:val="21"/>
                      <w:lang w:eastAsia="zh-CN"/>
                    </w:rPr>
                    <w:t>租赁企业已建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48"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p>
              </w:tc>
              <w:tc>
                <w:tcPr>
                  <w:tcW w:w="762" w:type="dxa"/>
                  <w:noWrap w:val="0"/>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eastAsia="zh-CN"/>
                    </w:rPr>
                  </w:pPr>
                  <w:r>
                    <w:rPr>
                      <w:rFonts w:hint="eastAsia" w:cs="Times New Roman" w:eastAsiaTheme="minorEastAsia"/>
                      <w:b w:val="0"/>
                      <w:bCs w:val="0"/>
                      <w:color w:val="auto"/>
                      <w:sz w:val="21"/>
                      <w:szCs w:val="21"/>
                      <w:lang w:eastAsia="zh-CN"/>
                    </w:rPr>
                    <w:t>废水</w:t>
                  </w:r>
                </w:p>
              </w:tc>
              <w:tc>
                <w:tcPr>
                  <w:tcW w:w="1351" w:type="dxa"/>
                  <w:gridSpan w:val="2"/>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eastAsia="zh-CN"/>
                    </w:rPr>
                  </w:pPr>
                  <w:r>
                    <w:rPr>
                      <w:rFonts w:hint="eastAsia" w:cs="Times New Roman" w:eastAsiaTheme="minorEastAsia"/>
                      <w:b w:val="0"/>
                      <w:bCs w:val="0"/>
                      <w:color w:val="auto"/>
                      <w:sz w:val="21"/>
                      <w:szCs w:val="21"/>
                      <w:lang w:eastAsia="zh-CN"/>
                    </w:rPr>
                    <w:t>化粪池</w:t>
                  </w:r>
                </w:p>
              </w:tc>
              <w:tc>
                <w:tcPr>
                  <w:tcW w:w="3470"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1个容积约为</w:t>
                  </w:r>
                  <w:r>
                    <w:rPr>
                      <w:rFonts w:hint="eastAsia" w:cs="Times New Roman" w:eastAsiaTheme="minorEastAsia"/>
                      <w:b w:val="0"/>
                      <w:bCs w:val="0"/>
                      <w:color w:val="auto"/>
                      <w:sz w:val="21"/>
                      <w:szCs w:val="21"/>
                      <w:lang w:val="en-US" w:eastAsia="zh-CN"/>
                    </w:rPr>
                    <w:t>6</w:t>
                  </w:r>
                  <w:r>
                    <w:rPr>
                      <w:rFonts w:hint="default" w:ascii="Times New Roman" w:hAnsi="Times New Roman" w:cs="Times New Roman" w:eastAsiaTheme="minorEastAsia"/>
                      <w:b w:val="0"/>
                      <w:bCs w:val="0"/>
                      <w:color w:val="auto"/>
                      <w:sz w:val="21"/>
                      <w:szCs w:val="21"/>
                    </w:rPr>
                    <w:t>m</w:t>
                  </w:r>
                  <w:r>
                    <w:rPr>
                      <w:rFonts w:hint="default" w:ascii="Times New Roman" w:hAnsi="Times New Roman" w:cs="Times New Roman" w:eastAsiaTheme="minorEastAsia"/>
                      <w:b w:val="0"/>
                      <w:bCs w:val="0"/>
                      <w:color w:val="auto"/>
                      <w:sz w:val="21"/>
                      <w:szCs w:val="21"/>
                      <w:vertAlign w:val="superscript"/>
                    </w:rPr>
                    <w:t>3</w:t>
                  </w:r>
                  <w:r>
                    <w:rPr>
                      <w:rFonts w:hint="default" w:ascii="Times New Roman" w:hAnsi="Times New Roman" w:cs="Times New Roman" w:eastAsiaTheme="minorEastAsia"/>
                      <w:b w:val="0"/>
                      <w:bCs w:val="0"/>
                      <w:color w:val="auto"/>
                      <w:sz w:val="21"/>
                      <w:szCs w:val="21"/>
                    </w:rPr>
                    <w:t>的化粪池，用于收集处理项目区所有的办公生活废水。</w:t>
                  </w:r>
                </w:p>
              </w:tc>
              <w:tc>
                <w:tcPr>
                  <w:tcW w:w="2063" w:type="dxa"/>
                  <w:noWrap w:val="0"/>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eastAsia="zh-CN"/>
                    </w:rPr>
                  </w:pPr>
                  <w:r>
                    <w:rPr>
                      <w:rFonts w:hint="eastAsia" w:cs="Times New Roman" w:eastAsiaTheme="minorEastAsia"/>
                      <w:b w:val="0"/>
                      <w:bCs w:val="0"/>
                      <w:color w:val="auto"/>
                      <w:sz w:val="21"/>
                      <w:szCs w:val="21"/>
                      <w:lang w:eastAsia="zh-CN"/>
                    </w:rPr>
                    <w:t>租赁企业已建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48" w:type="dxa"/>
                  <w:vMerge w:val="continue"/>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p>
              </w:tc>
              <w:tc>
                <w:tcPr>
                  <w:tcW w:w="762"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eastAsia="zh-CN"/>
                    </w:rPr>
                  </w:pPr>
                  <w:r>
                    <w:rPr>
                      <w:rFonts w:hint="default" w:ascii="Times New Roman" w:hAnsi="Times New Roman" w:cs="Times New Roman" w:eastAsiaTheme="minorEastAsia"/>
                      <w:b w:val="0"/>
                      <w:bCs w:val="0"/>
                      <w:color w:val="auto"/>
                      <w:sz w:val="21"/>
                      <w:szCs w:val="21"/>
                      <w:lang w:eastAsia="zh-CN"/>
                    </w:rPr>
                    <w:t>噪声</w:t>
                  </w:r>
                </w:p>
              </w:tc>
              <w:tc>
                <w:tcPr>
                  <w:tcW w:w="1351" w:type="dxa"/>
                  <w:gridSpan w:val="2"/>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eastAsia="zh-CN"/>
                    </w:rPr>
                  </w:pPr>
                  <w:r>
                    <w:rPr>
                      <w:rFonts w:hint="default" w:ascii="Times New Roman" w:hAnsi="Times New Roman" w:cs="Times New Roman" w:eastAsiaTheme="minorEastAsia"/>
                      <w:b w:val="0"/>
                      <w:bCs w:val="0"/>
                      <w:color w:val="auto"/>
                      <w:sz w:val="21"/>
                      <w:szCs w:val="21"/>
                      <w:lang w:eastAsia="zh-CN"/>
                    </w:rPr>
                    <w:t>设备噪声</w:t>
                  </w:r>
                </w:p>
              </w:tc>
              <w:tc>
                <w:tcPr>
                  <w:tcW w:w="3470"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rPr>
                  </w:pPr>
                  <w:r>
                    <w:rPr>
                      <w:rFonts w:hint="default" w:ascii="Times New Roman" w:hAnsi="Times New Roman" w:cs="Times New Roman" w:eastAsiaTheme="minorEastAsia"/>
                      <w:b w:val="0"/>
                      <w:bCs w:val="0"/>
                      <w:color w:val="auto"/>
                      <w:sz w:val="21"/>
                      <w:szCs w:val="21"/>
                    </w:rPr>
                    <w:t>项目区选用低噪声设备，所有生产设备置于厂房内；设备安装减震垫进行基础减震</w:t>
                  </w:r>
                </w:p>
              </w:tc>
              <w:tc>
                <w:tcPr>
                  <w:tcW w:w="2063" w:type="dxa"/>
                  <w:noWrap w:val="0"/>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eastAsia="zh-CN"/>
                    </w:rPr>
                  </w:pPr>
                  <w:r>
                    <w:rPr>
                      <w:rFonts w:hint="eastAsia" w:cs="Times New Roman" w:eastAsiaTheme="minorEastAsia"/>
                      <w:b w:val="0"/>
                      <w:bCs w:val="0"/>
                      <w:color w:val="auto"/>
                      <w:sz w:val="21"/>
                      <w:szCs w:val="21"/>
                      <w:lang w:eastAsia="zh-CN"/>
                    </w:rPr>
                    <w:t>建设单位已建</w:t>
                  </w:r>
                </w:p>
              </w:tc>
            </w:tr>
          </w:tbl>
          <w:p>
            <w:pPr>
              <w:spacing w:line="360" w:lineRule="auto"/>
              <w:ind w:firstLine="482" w:firstLineChars="200"/>
              <w:jc w:val="both"/>
              <w:outlineLvl w:val="1"/>
              <w:rPr>
                <w:rFonts w:hint="eastAsia"/>
                <w:b/>
                <w:bCs/>
                <w:sz w:val="24"/>
                <w:szCs w:val="24"/>
                <w:lang w:eastAsia="zh-CN"/>
              </w:rPr>
            </w:pPr>
            <w:r>
              <w:rPr>
                <w:rFonts w:hint="eastAsia"/>
                <w:b/>
                <w:bCs/>
                <w:sz w:val="24"/>
                <w:szCs w:val="24"/>
                <w:lang w:val="en-US" w:eastAsia="zh-CN"/>
              </w:rPr>
              <w:t>3</w:t>
            </w:r>
            <w:r>
              <w:rPr>
                <w:rFonts w:hint="eastAsia"/>
                <w:b/>
                <w:bCs/>
                <w:sz w:val="24"/>
                <w:szCs w:val="24"/>
              </w:rPr>
              <w:t>、</w:t>
            </w:r>
            <w:r>
              <w:rPr>
                <w:rFonts w:hint="default" w:ascii="Times New Roman" w:hAnsi="Times New Roman" w:eastAsia="宋体" w:cs="Times New Roman"/>
                <w:b/>
                <w:sz w:val="24"/>
              </w:rPr>
              <w:t>项目沿用工程情况说明</w:t>
            </w:r>
          </w:p>
          <w:p>
            <w:pPr>
              <w:adjustRightInd w:val="0"/>
              <w:snapToGrid w:val="0"/>
              <w:spacing w:line="360" w:lineRule="auto"/>
              <w:ind w:firstLine="480" w:firstLineChars="200"/>
              <w:outlineLvl w:val="1"/>
              <w:rPr>
                <w:rFonts w:hint="default" w:ascii="Times New Roman" w:hAnsi="Times New Roman" w:eastAsia="宋体" w:cs="Times New Roman"/>
                <w:sz w:val="24"/>
                <w:szCs w:val="24"/>
              </w:rPr>
            </w:pPr>
            <w:r>
              <w:rPr>
                <w:rFonts w:hint="default" w:ascii="Times New Roman" w:hAnsi="Times New Roman" w:eastAsia="宋体" w:cs="Times New Roman"/>
                <w:sz w:val="24"/>
              </w:rPr>
              <w:t>经现场踏勘，项目租用厂区前房东已</w:t>
            </w:r>
            <w:r>
              <w:rPr>
                <w:rFonts w:hint="default" w:ascii="Times New Roman" w:hAnsi="Times New Roman" w:eastAsia="宋体" w:cs="Times New Roman"/>
                <w:sz w:val="24"/>
                <w:szCs w:val="24"/>
              </w:rPr>
              <w:t>建立完善的</w:t>
            </w:r>
            <w:r>
              <w:rPr>
                <w:rFonts w:hint="default" w:ascii="Times New Roman" w:hAnsi="Times New Roman" w:eastAsia="宋体" w:cs="Times New Roman"/>
                <w:sz w:val="24"/>
              </w:rPr>
              <w:t>供电、供水设施，</w:t>
            </w:r>
            <w:r>
              <w:rPr>
                <w:rFonts w:hint="default" w:ascii="Times New Roman" w:hAnsi="Times New Roman" w:eastAsia="宋体" w:cs="Times New Roman"/>
                <w:sz w:val="24"/>
                <w:szCs w:val="24"/>
              </w:rPr>
              <w:t>同时已建设了雨污管道及1个容积为</w:t>
            </w:r>
            <w:r>
              <w:rPr>
                <w:rFonts w:hint="eastAsia" w:eastAsia="宋体" w:cs="Times New Roman"/>
                <w:color w:val="auto"/>
                <w:sz w:val="24"/>
                <w:szCs w:val="24"/>
                <w:lang w:val="en-US" w:eastAsia="zh-CN"/>
              </w:rPr>
              <w:t>6</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的</w:t>
            </w:r>
            <w:r>
              <w:rPr>
                <w:rFonts w:hint="default" w:ascii="Times New Roman" w:hAnsi="Times New Roman" w:eastAsia="宋体" w:cs="Times New Roman"/>
                <w:sz w:val="24"/>
                <w:szCs w:val="24"/>
              </w:rPr>
              <w:t>化粪池，本项目供水、供电、污水处理设施均可沿用房东已建成设施进行使用。本项目沿用工程具体情况详见表1-</w:t>
            </w:r>
            <w:r>
              <w:rPr>
                <w:rFonts w:hint="eastAsia" w:eastAsia="宋体" w:cs="Times New Roman"/>
                <w:sz w:val="24"/>
                <w:szCs w:val="24"/>
                <w:lang w:val="en-US" w:eastAsia="zh-CN"/>
              </w:rPr>
              <w:t>2</w:t>
            </w:r>
            <w:r>
              <w:rPr>
                <w:rFonts w:hint="default" w:ascii="Times New Roman" w:hAnsi="Times New Roman" w:eastAsia="宋体" w:cs="Times New Roman"/>
                <w:sz w:val="24"/>
                <w:szCs w:val="24"/>
              </w:rPr>
              <w:t>所示。</w:t>
            </w:r>
          </w:p>
          <w:p>
            <w:pPr>
              <w:adjustRightInd w:val="0"/>
              <w:snapToGrid w:val="0"/>
              <w:jc w:val="center"/>
              <w:outlineLvl w:val="1"/>
              <w:rPr>
                <w:rFonts w:hint="default" w:ascii="Times New Roman" w:hAnsi="Times New Roman" w:eastAsia="宋体" w:cs="Times New Roman"/>
                <w:b/>
                <w:bCs/>
              </w:rPr>
            </w:pPr>
            <w:r>
              <w:rPr>
                <w:rFonts w:hint="default" w:ascii="Times New Roman" w:hAnsi="Times New Roman" w:eastAsia="宋体" w:cs="Times New Roman"/>
                <w:b/>
                <w:bCs/>
              </w:rPr>
              <w:t>表1-</w:t>
            </w:r>
            <w:r>
              <w:rPr>
                <w:rFonts w:hint="eastAsia" w:eastAsia="宋体" w:cs="Times New Roman"/>
                <w:b/>
                <w:bCs/>
                <w:lang w:val="en-US" w:eastAsia="zh-CN"/>
              </w:rPr>
              <w:t>2</w:t>
            </w:r>
            <w:r>
              <w:rPr>
                <w:rFonts w:hint="default" w:ascii="Times New Roman" w:hAnsi="Times New Roman" w:eastAsia="宋体" w:cs="Times New Roman"/>
                <w:b/>
                <w:bCs/>
              </w:rPr>
              <w:t xml:space="preserve">  项目沿用工程一览表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2"/>
              <w:gridCol w:w="1140"/>
              <w:gridCol w:w="5303"/>
              <w:gridCol w:w="1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noWrap w:val="0"/>
                  <w:vAlign w:val="center"/>
                </w:tcPr>
                <w:p>
                  <w:pPr>
                    <w:adjustRightInd w:val="0"/>
                    <w:snapToGrid w:val="0"/>
                    <w:jc w:val="center"/>
                    <w:outlineLvl w:val="1"/>
                    <w:rPr>
                      <w:rFonts w:hint="default" w:ascii="Times New Roman" w:hAnsi="Times New Roman" w:eastAsia="宋体" w:cs="Times New Roman"/>
                      <w:b/>
                      <w:bCs/>
                    </w:rPr>
                  </w:pPr>
                  <w:r>
                    <w:rPr>
                      <w:rFonts w:hint="default" w:ascii="Times New Roman" w:hAnsi="Times New Roman" w:eastAsia="宋体" w:cs="Times New Roman"/>
                      <w:b/>
                      <w:bCs/>
                    </w:rPr>
                    <w:t>工程</w:t>
                  </w:r>
                </w:p>
                <w:p>
                  <w:pPr>
                    <w:adjustRightInd w:val="0"/>
                    <w:snapToGrid w:val="0"/>
                    <w:jc w:val="center"/>
                    <w:outlineLvl w:val="1"/>
                    <w:rPr>
                      <w:rFonts w:hint="default" w:ascii="Times New Roman" w:hAnsi="Times New Roman" w:eastAsia="宋体" w:cs="Times New Roman"/>
                      <w:b/>
                      <w:bCs/>
                    </w:rPr>
                  </w:pPr>
                  <w:r>
                    <w:rPr>
                      <w:rFonts w:hint="default" w:ascii="Times New Roman" w:hAnsi="Times New Roman" w:eastAsia="宋体" w:cs="Times New Roman"/>
                      <w:b/>
                      <w:bCs/>
                    </w:rPr>
                    <w:t>分类</w:t>
                  </w:r>
                </w:p>
              </w:tc>
              <w:tc>
                <w:tcPr>
                  <w:tcW w:w="1140" w:type="dxa"/>
                  <w:noWrap w:val="0"/>
                  <w:vAlign w:val="center"/>
                </w:tcPr>
                <w:p>
                  <w:pPr>
                    <w:adjustRightInd w:val="0"/>
                    <w:snapToGrid w:val="0"/>
                    <w:jc w:val="center"/>
                    <w:outlineLvl w:val="1"/>
                    <w:rPr>
                      <w:rFonts w:hint="default" w:ascii="Times New Roman" w:hAnsi="Times New Roman" w:eastAsia="宋体" w:cs="Times New Roman"/>
                      <w:b/>
                      <w:bCs/>
                    </w:rPr>
                  </w:pPr>
                  <w:r>
                    <w:rPr>
                      <w:rFonts w:hint="default" w:ascii="Times New Roman" w:hAnsi="Times New Roman" w:eastAsia="宋体" w:cs="Times New Roman"/>
                      <w:b/>
                      <w:bCs/>
                    </w:rPr>
                    <w:t>项目名称</w:t>
                  </w:r>
                </w:p>
              </w:tc>
              <w:tc>
                <w:tcPr>
                  <w:tcW w:w="5303" w:type="dxa"/>
                  <w:noWrap w:val="0"/>
                  <w:vAlign w:val="center"/>
                </w:tcPr>
                <w:p>
                  <w:pPr>
                    <w:adjustRightInd w:val="0"/>
                    <w:snapToGrid w:val="0"/>
                    <w:jc w:val="center"/>
                    <w:outlineLvl w:val="1"/>
                    <w:rPr>
                      <w:rFonts w:hint="default" w:ascii="Times New Roman" w:hAnsi="Times New Roman" w:eastAsia="宋体" w:cs="Times New Roman"/>
                      <w:b/>
                      <w:bCs/>
                    </w:rPr>
                  </w:pPr>
                  <w:r>
                    <w:rPr>
                      <w:rFonts w:hint="default" w:ascii="Times New Roman" w:hAnsi="Times New Roman" w:eastAsia="宋体" w:cs="Times New Roman"/>
                      <w:b/>
                      <w:bCs/>
                    </w:rPr>
                    <w:t>建设内容及规模</w:t>
                  </w:r>
                </w:p>
              </w:tc>
              <w:tc>
                <w:tcPr>
                  <w:tcW w:w="1068" w:type="dxa"/>
                  <w:noWrap w:val="0"/>
                  <w:vAlign w:val="center"/>
                </w:tcPr>
                <w:p>
                  <w:pPr>
                    <w:adjustRightInd w:val="0"/>
                    <w:snapToGrid w:val="0"/>
                    <w:jc w:val="center"/>
                    <w:outlineLvl w:val="1"/>
                    <w:rPr>
                      <w:rFonts w:hint="default" w:ascii="Times New Roman" w:hAnsi="Times New Roman" w:eastAsia="宋体" w:cs="Times New Roman"/>
                      <w:b/>
                      <w:bCs/>
                    </w:rPr>
                  </w:pPr>
                  <w:r>
                    <w:rPr>
                      <w:rFonts w:hint="default" w:ascii="Times New Roman" w:hAnsi="Times New Roman" w:eastAsia="宋体" w:cs="Times New Roman"/>
                      <w:b/>
                      <w:bC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noWrap w:val="0"/>
                  <w:vAlign w:val="center"/>
                </w:tcPr>
                <w:p>
                  <w:pPr>
                    <w:adjustRightInd w:val="0"/>
                    <w:snapToGrid w:val="0"/>
                    <w:jc w:val="center"/>
                    <w:outlineLvl w:val="1"/>
                    <w:rPr>
                      <w:rFonts w:hint="default" w:ascii="Times New Roman" w:hAnsi="Times New Roman" w:eastAsia="宋体" w:cs="Times New Roman"/>
                    </w:rPr>
                  </w:pPr>
                  <w:r>
                    <w:rPr>
                      <w:rFonts w:hint="default" w:ascii="Times New Roman" w:hAnsi="Times New Roman" w:eastAsia="宋体" w:cs="Times New Roman"/>
                    </w:rPr>
                    <w:t>主体工程</w:t>
                  </w:r>
                </w:p>
              </w:tc>
              <w:tc>
                <w:tcPr>
                  <w:tcW w:w="1140" w:type="dxa"/>
                  <w:noWrap w:val="0"/>
                  <w:vAlign w:val="center"/>
                </w:tcPr>
                <w:p>
                  <w:pPr>
                    <w:adjustRightInd w:val="0"/>
                    <w:snapToGrid w:val="0"/>
                    <w:spacing w:line="0" w:lineRule="atLeast"/>
                    <w:jc w:val="center"/>
                    <w:outlineLvl w:val="1"/>
                    <w:rPr>
                      <w:rFonts w:hint="default" w:ascii="Times New Roman" w:hAnsi="Times New Roman" w:eastAsia="宋体" w:cs="Times New Roman"/>
                    </w:rPr>
                  </w:pPr>
                  <w:r>
                    <w:rPr>
                      <w:rFonts w:hint="default" w:ascii="Times New Roman" w:hAnsi="Times New Roman" w:eastAsia="宋体" w:cs="Times New Roman"/>
                    </w:rPr>
                    <w:t>生产厂房</w:t>
                  </w:r>
                </w:p>
              </w:tc>
              <w:tc>
                <w:tcPr>
                  <w:tcW w:w="5303" w:type="dxa"/>
                  <w:noWrap w:val="0"/>
                  <w:vAlign w:val="center"/>
                </w:tcPr>
                <w:p>
                  <w:pPr>
                    <w:adjustRightInd w:val="0"/>
                    <w:snapToGrid w:val="0"/>
                    <w:spacing w:line="0" w:lineRule="atLeast"/>
                    <w:jc w:val="center"/>
                    <w:outlineLvl w:val="1"/>
                    <w:rPr>
                      <w:rFonts w:hint="default" w:ascii="Times New Roman" w:hAnsi="Times New Roman" w:eastAsia="宋体" w:cs="Times New Roman"/>
                    </w:rPr>
                  </w:pPr>
                  <w:r>
                    <w:rPr>
                      <w:rFonts w:hint="default" w:ascii="Times New Roman" w:hAnsi="Times New Roman" w:cs="Times New Roman" w:eastAsiaTheme="minorEastAsia"/>
                      <w:b w:val="0"/>
                      <w:bCs w:val="0"/>
                      <w:color w:val="auto"/>
                      <w:sz w:val="21"/>
                      <w:szCs w:val="21"/>
                    </w:rPr>
                    <w:t>车间建筑面积</w:t>
                  </w:r>
                  <w:r>
                    <w:rPr>
                      <w:rFonts w:hint="eastAsia" w:ascii="Times New Roman" w:hAnsi="Times New Roman" w:cs="Times New Roman" w:eastAsiaTheme="minorEastAsia"/>
                      <w:b w:val="0"/>
                      <w:bCs w:val="0"/>
                      <w:color w:val="auto"/>
                      <w:sz w:val="21"/>
                      <w:szCs w:val="21"/>
                      <w:lang w:val="en-US" w:eastAsia="zh-CN"/>
                    </w:rPr>
                    <w:t>3</w:t>
                  </w:r>
                  <w:r>
                    <w:rPr>
                      <w:rFonts w:hint="eastAsia" w:cs="Times New Roman" w:eastAsiaTheme="minorEastAsia"/>
                      <w:b w:val="0"/>
                      <w:bCs w:val="0"/>
                      <w:color w:val="auto"/>
                      <w:sz w:val="21"/>
                      <w:szCs w:val="21"/>
                      <w:lang w:val="en-US" w:eastAsia="zh-CN"/>
                    </w:rPr>
                    <w:t>2</w:t>
                  </w:r>
                  <w:r>
                    <w:rPr>
                      <w:rFonts w:hint="eastAsia" w:ascii="Times New Roman" w:hAnsi="Times New Roman" w:cs="Times New Roman" w:eastAsiaTheme="minorEastAsia"/>
                      <w:b w:val="0"/>
                      <w:bCs w:val="0"/>
                      <w:color w:val="auto"/>
                      <w:sz w:val="21"/>
                      <w:szCs w:val="21"/>
                      <w:lang w:val="en-US" w:eastAsia="zh-CN"/>
                    </w:rPr>
                    <w:t>00</w:t>
                  </w:r>
                  <w:r>
                    <w:rPr>
                      <w:rFonts w:hint="default" w:ascii="Times New Roman" w:hAnsi="Times New Roman" w:cs="Times New Roman" w:eastAsiaTheme="minorEastAsia"/>
                      <w:b w:val="0"/>
                      <w:bCs w:val="0"/>
                      <w:color w:val="auto"/>
                      <w:sz w:val="21"/>
                      <w:szCs w:val="21"/>
                      <w:lang w:val="en-US" w:eastAsia="zh-CN"/>
                    </w:rPr>
                    <w:t>m</w:t>
                  </w:r>
                  <w:r>
                    <w:rPr>
                      <w:rFonts w:hint="default" w:ascii="Times New Roman" w:hAnsi="Times New Roman" w:cs="Times New Roman" w:eastAsiaTheme="minorEastAsia"/>
                      <w:b w:val="0"/>
                      <w:bCs w:val="0"/>
                      <w:color w:val="auto"/>
                      <w:sz w:val="21"/>
                      <w:szCs w:val="21"/>
                      <w:vertAlign w:val="superscript"/>
                      <w:lang w:val="en-US" w:eastAsia="zh-CN"/>
                    </w:rPr>
                    <w:t>2</w:t>
                  </w:r>
                  <w:r>
                    <w:rPr>
                      <w:rFonts w:hint="default" w:ascii="Times New Roman" w:hAnsi="Times New Roman" w:cs="Times New Roman" w:eastAsiaTheme="minorEastAsia"/>
                      <w:b w:val="0"/>
                      <w:bCs w:val="0"/>
                      <w:color w:val="auto"/>
                      <w:sz w:val="21"/>
                      <w:szCs w:val="21"/>
                    </w:rPr>
                    <w:t>，为双跨等高钢结构体系，1层。层高9.65m</w:t>
                  </w:r>
                  <w:r>
                    <w:rPr>
                      <w:rFonts w:hint="eastAsia" w:cs="Times New Roman" w:eastAsiaTheme="minorEastAsia"/>
                      <w:b w:val="0"/>
                      <w:bCs w:val="0"/>
                      <w:color w:val="auto"/>
                      <w:sz w:val="21"/>
                      <w:szCs w:val="21"/>
                      <w:lang w:eastAsia="zh-CN"/>
                    </w:rPr>
                    <w:t>。</w:t>
                  </w:r>
                  <w:r>
                    <w:rPr>
                      <w:rFonts w:hint="default" w:ascii="Times New Roman" w:hAnsi="Times New Roman" w:cs="Times New Roman" w:eastAsiaTheme="minorEastAsia"/>
                      <w:b w:val="0"/>
                      <w:bCs w:val="0"/>
                      <w:color w:val="auto"/>
                      <w:sz w:val="21"/>
                      <w:szCs w:val="21"/>
                    </w:rPr>
                    <w:t>位置于厂区</w:t>
                  </w:r>
                  <w:r>
                    <w:rPr>
                      <w:rFonts w:hint="eastAsia" w:ascii="Times New Roman" w:hAnsi="Times New Roman" w:cs="Times New Roman" w:eastAsiaTheme="minorEastAsia"/>
                      <w:b w:val="0"/>
                      <w:bCs w:val="0"/>
                      <w:color w:val="auto"/>
                      <w:sz w:val="21"/>
                      <w:szCs w:val="21"/>
                      <w:lang w:eastAsia="zh-CN"/>
                    </w:rPr>
                    <w:t>南</w:t>
                  </w:r>
                  <w:r>
                    <w:rPr>
                      <w:rFonts w:hint="default" w:ascii="Times New Roman" w:hAnsi="Times New Roman" w:cs="Times New Roman" w:eastAsiaTheme="minorEastAsia"/>
                      <w:b w:val="0"/>
                      <w:bCs w:val="0"/>
                      <w:color w:val="auto"/>
                      <w:sz w:val="21"/>
                      <w:szCs w:val="21"/>
                    </w:rPr>
                    <w:t>部，</w:t>
                  </w:r>
                  <w:r>
                    <w:rPr>
                      <w:rFonts w:hint="default" w:ascii="Times New Roman" w:hAnsi="Times New Roman" w:cs="Times New Roman" w:eastAsiaTheme="minorEastAsia"/>
                      <w:b w:val="0"/>
                      <w:bCs w:val="0"/>
                      <w:color w:val="auto"/>
                      <w:sz w:val="21"/>
                      <w:szCs w:val="21"/>
                      <w:lang w:eastAsia="zh-CN"/>
                    </w:rPr>
                    <w:t>设置钢材</w:t>
                  </w:r>
                  <w:r>
                    <w:rPr>
                      <w:rFonts w:hint="default" w:ascii="Times New Roman" w:hAnsi="Times New Roman" w:cs="Times New Roman" w:eastAsiaTheme="minorEastAsia"/>
                      <w:b w:val="0"/>
                      <w:bCs w:val="0"/>
                      <w:color w:val="auto"/>
                      <w:sz w:val="21"/>
                      <w:szCs w:val="21"/>
                    </w:rPr>
                    <w:t>剪板（切割）、组合、焊接、矫正、钻孔、喷漆</w:t>
                  </w:r>
                  <w:r>
                    <w:rPr>
                      <w:rFonts w:hint="default" w:ascii="Times New Roman" w:hAnsi="Times New Roman" w:cs="Times New Roman" w:eastAsiaTheme="minorEastAsia"/>
                      <w:b w:val="0"/>
                      <w:bCs w:val="0"/>
                      <w:color w:val="auto"/>
                      <w:sz w:val="21"/>
                      <w:szCs w:val="21"/>
                      <w:lang w:eastAsia="zh-CN"/>
                    </w:rPr>
                    <w:t>等工序设备</w:t>
                  </w:r>
                  <w:r>
                    <w:rPr>
                      <w:rFonts w:hint="default" w:ascii="Times New Roman" w:hAnsi="Times New Roman" w:cs="Times New Roman" w:eastAsiaTheme="minorEastAsia"/>
                      <w:b w:val="0"/>
                      <w:bCs w:val="0"/>
                      <w:color w:val="auto"/>
                      <w:sz w:val="21"/>
                      <w:szCs w:val="21"/>
                    </w:rPr>
                    <w:t>等。</w:t>
                  </w:r>
                </w:p>
              </w:tc>
              <w:tc>
                <w:tcPr>
                  <w:tcW w:w="1068" w:type="dxa"/>
                  <w:vMerge w:val="restart"/>
                  <w:noWrap w:val="0"/>
                  <w:vAlign w:val="center"/>
                </w:tcPr>
                <w:p>
                  <w:pPr>
                    <w:adjustRightInd w:val="0"/>
                    <w:snapToGrid w:val="0"/>
                    <w:jc w:val="center"/>
                    <w:outlineLvl w:val="1"/>
                    <w:rPr>
                      <w:rFonts w:hint="default" w:ascii="Times New Roman" w:hAnsi="Times New Roman" w:eastAsia="宋体" w:cs="Times New Roman"/>
                    </w:rPr>
                  </w:pPr>
                  <w:r>
                    <w:rPr>
                      <w:rFonts w:hint="eastAsia" w:eastAsia="宋体" w:cs="Times New Roman"/>
                      <w:lang w:eastAsia="zh-CN"/>
                    </w:rPr>
                    <w:t>租赁企业</w:t>
                  </w:r>
                  <w:r>
                    <w:rPr>
                      <w:rFonts w:hint="default" w:ascii="Times New Roman" w:hAnsi="Times New Roman" w:eastAsia="宋体" w:cs="Times New Roman"/>
                    </w:rPr>
                    <w:t>建成，本项目沿用</w:t>
                  </w:r>
                </w:p>
                <w:p>
                  <w:pPr>
                    <w:adjustRightInd w:val="0"/>
                    <w:snapToGrid w:val="0"/>
                    <w:jc w:val="center"/>
                    <w:outlineLvl w:val="1"/>
                    <w:rPr>
                      <w:rFonts w:hint="default"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672" w:type="dxa"/>
                  <w:vMerge w:val="restart"/>
                  <w:noWrap w:val="0"/>
                  <w:vAlign w:val="center"/>
                </w:tcPr>
                <w:p>
                  <w:pPr>
                    <w:adjustRightInd w:val="0"/>
                    <w:snapToGrid w:val="0"/>
                    <w:jc w:val="center"/>
                    <w:outlineLvl w:val="1"/>
                    <w:rPr>
                      <w:rFonts w:hint="default" w:ascii="Times New Roman" w:hAnsi="Times New Roman" w:eastAsia="宋体" w:cs="Times New Roman"/>
                    </w:rPr>
                  </w:pPr>
                  <w:r>
                    <w:rPr>
                      <w:rFonts w:hint="default" w:ascii="Times New Roman" w:hAnsi="Times New Roman" w:eastAsia="宋体" w:cs="Times New Roman"/>
                    </w:rPr>
                    <w:t>公辅工程</w:t>
                  </w:r>
                </w:p>
              </w:tc>
              <w:tc>
                <w:tcPr>
                  <w:tcW w:w="1140" w:type="dxa"/>
                  <w:noWrap w:val="0"/>
                  <w:vAlign w:val="center"/>
                </w:tcPr>
                <w:p>
                  <w:pPr>
                    <w:adjustRightInd w:val="0"/>
                    <w:snapToGrid w:val="0"/>
                    <w:spacing w:line="0" w:lineRule="atLeast"/>
                    <w:jc w:val="center"/>
                    <w:outlineLvl w:val="1"/>
                    <w:rPr>
                      <w:rFonts w:hint="eastAsia" w:ascii="Times New Roman" w:hAnsi="Times New Roman" w:eastAsia="宋体" w:cs="Times New Roman"/>
                      <w:lang w:eastAsia="zh-CN"/>
                    </w:rPr>
                  </w:pPr>
                  <w:r>
                    <w:rPr>
                      <w:rFonts w:hint="eastAsia" w:eastAsia="宋体" w:cs="Times New Roman"/>
                      <w:lang w:eastAsia="zh-CN"/>
                    </w:rPr>
                    <w:t>办公生活区</w:t>
                  </w:r>
                </w:p>
              </w:tc>
              <w:tc>
                <w:tcPr>
                  <w:tcW w:w="5303" w:type="dxa"/>
                  <w:noWrap w:val="0"/>
                  <w:vAlign w:val="center"/>
                </w:tcPr>
                <w:p>
                  <w:pPr>
                    <w:snapToGrid w:val="0"/>
                    <w:jc w:val="center"/>
                    <w:outlineLvl w:val="1"/>
                    <w:rPr>
                      <w:rFonts w:hint="default" w:ascii="Times New Roman" w:hAnsi="Times New Roman" w:eastAsia="宋体" w:cs="Times New Roman"/>
                    </w:rPr>
                  </w:pPr>
                  <w:r>
                    <w:rPr>
                      <w:rFonts w:hint="default" w:ascii="Times New Roman" w:hAnsi="Times New Roman" w:cs="Times New Roman" w:eastAsiaTheme="minorEastAsia"/>
                      <w:b w:val="0"/>
                      <w:bCs w:val="0"/>
                      <w:color w:val="auto"/>
                      <w:sz w:val="21"/>
                      <w:szCs w:val="21"/>
                    </w:rPr>
                    <w:t>设置于生产厂房外，项目区</w:t>
                  </w:r>
                  <w:r>
                    <w:rPr>
                      <w:rFonts w:hint="eastAsia" w:cs="Times New Roman" w:eastAsiaTheme="minorEastAsia"/>
                      <w:b w:val="0"/>
                      <w:bCs w:val="0"/>
                      <w:color w:val="auto"/>
                      <w:sz w:val="21"/>
                      <w:szCs w:val="21"/>
                      <w:lang w:eastAsia="zh-CN"/>
                    </w:rPr>
                    <w:t>东</w:t>
                  </w:r>
                  <w:r>
                    <w:rPr>
                      <w:rFonts w:hint="default" w:ascii="Times New Roman" w:hAnsi="Times New Roman" w:cs="Times New Roman" w:eastAsiaTheme="minorEastAsia"/>
                      <w:b w:val="0"/>
                      <w:bCs w:val="0"/>
                      <w:color w:val="auto"/>
                      <w:sz w:val="21"/>
                      <w:szCs w:val="21"/>
                    </w:rPr>
                    <w:t>侧，为4层砖混结构房屋，其中1层</w:t>
                  </w:r>
                  <w:r>
                    <w:rPr>
                      <w:rFonts w:hint="eastAsia" w:cs="Times New Roman" w:eastAsiaTheme="minorEastAsia"/>
                      <w:b w:val="0"/>
                      <w:bCs w:val="0"/>
                      <w:color w:val="auto"/>
                      <w:sz w:val="21"/>
                      <w:szCs w:val="21"/>
                      <w:lang w:eastAsia="zh-CN"/>
                    </w:rPr>
                    <w:t>北</w:t>
                  </w:r>
                  <w:r>
                    <w:rPr>
                      <w:rFonts w:hint="default" w:ascii="Times New Roman" w:hAnsi="Times New Roman" w:cs="Times New Roman" w:eastAsiaTheme="minorEastAsia"/>
                      <w:b w:val="0"/>
                      <w:bCs w:val="0"/>
                      <w:color w:val="auto"/>
                      <w:sz w:val="21"/>
                      <w:szCs w:val="21"/>
                    </w:rPr>
                    <w:t>侧设置</w:t>
                  </w:r>
                  <w:r>
                    <w:rPr>
                      <w:rFonts w:hint="eastAsia" w:cs="Times New Roman" w:eastAsiaTheme="minorEastAsia"/>
                      <w:b w:val="0"/>
                      <w:bCs w:val="0"/>
                      <w:color w:val="auto"/>
                      <w:sz w:val="21"/>
                      <w:szCs w:val="21"/>
                      <w:lang w:eastAsia="zh-CN"/>
                    </w:rPr>
                    <w:t>有食堂、卫生间</w:t>
                  </w:r>
                  <w:r>
                    <w:rPr>
                      <w:rFonts w:hint="default" w:ascii="Times New Roman" w:hAnsi="Times New Roman" w:cs="Times New Roman" w:eastAsiaTheme="minorEastAsia"/>
                      <w:b w:val="0"/>
                      <w:bCs w:val="0"/>
                      <w:color w:val="auto"/>
                      <w:sz w:val="21"/>
                      <w:szCs w:val="21"/>
                    </w:rPr>
                    <w:t>，</w:t>
                  </w:r>
                  <w:r>
                    <w:rPr>
                      <w:rFonts w:hint="eastAsia" w:cs="Times New Roman" w:eastAsiaTheme="minorEastAsia"/>
                      <w:b w:val="0"/>
                      <w:bCs w:val="0"/>
                      <w:color w:val="auto"/>
                      <w:sz w:val="21"/>
                      <w:szCs w:val="21"/>
                      <w:lang w:val="en-US" w:eastAsia="zh-CN"/>
                    </w:rPr>
                    <w:t>2层</w:t>
                  </w:r>
                  <w:r>
                    <w:rPr>
                      <w:rFonts w:hint="default" w:ascii="Times New Roman" w:hAnsi="Times New Roman" w:cs="Times New Roman" w:eastAsiaTheme="minorEastAsia"/>
                      <w:b w:val="0"/>
                      <w:bCs w:val="0"/>
                      <w:color w:val="auto"/>
                      <w:sz w:val="21"/>
                      <w:szCs w:val="21"/>
                    </w:rPr>
                    <w:t>为办公室</w:t>
                  </w:r>
                  <w:r>
                    <w:rPr>
                      <w:rFonts w:hint="eastAsia" w:cs="Times New Roman" w:eastAsiaTheme="minorEastAsia"/>
                      <w:b w:val="0"/>
                      <w:bCs w:val="0"/>
                      <w:color w:val="auto"/>
                      <w:sz w:val="21"/>
                      <w:szCs w:val="21"/>
                      <w:lang w:eastAsia="zh-CN"/>
                    </w:rPr>
                    <w:t>，</w:t>
                  </w:r>
                  <w:r>
                    <w:rPr>
                      <w:rFonts w:hint="eastAsia" w:cs="Times New Roman" w:eastAsiaTheme="minorEastAsia"/>
                      <w:b w:val="0"/>
                      <w:bCs w:val="0"/>
                      <w:color w:val="auto"/>
                      <w:sz w:val="21"/>
                      <w:szCs w:val="21"/>
                      <w:lang w:val="en-US" w:eastAsia="zh-CN"/>
                    </w:rPr>
                    <w:t>3、4层为宿舍。</w:t>
                  </w:r>
                </w:p>
              </w:tc>
              <w:tc>
                <w:tcPr>
                  <w:tcW w:w="1068" w:type="dxa"/>
                  <w:vMerge w:val="continue"/>
                  <w:noWrap w:val="0"/>
                  <w:vAlign w:val="center"/>
                </w:tcPr>
                <w:p>
                  <w:pPr>
                    <w:adjustRightInd w:val="0"/>
                    <w:snapToGrid w:val="0"/>
                    <w:jc w:val="center"/>
                    <w:outlineLvl w:val="1"/>
                    <w:rPr>
                      <w:rFonts w:hint="default"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Merge w:val="continue"/>
                  <w:noWrap w:val="0"/>
                  <w:vAlign w:val="center"/>
                </w:tcPr>
                <w:p>
                  <w:pPr>
                    <w:adjustRightInd w:val="0"/>
                    <w:snapToGrid w:val="0"/>
                    <w:jc w:val="center"/>
                    <w:outlineLvl w:val="1"/>
                    <w:rPr>
                      <w:rFonts w:hint="default" w:ascii="Times New Roman" w:hAnsi="Times New Roman" w:eastAsia="宋体" w:cs="Times New Roman"/>
                    </w:rPr>
                  </w:pPr>
                </w:p>
              </w:tc>
              <w:tc>
                <w:tcPr>
                  <w:tcW w:w="1140" w:type="dxa"/>
                  <w:noWrap w:val="0"/>
                  <w:vAlign w:val="center"/>
                </w:tcPr>
                <w:p>
                  <w:pPr>
                    <w:adjustRightInd w:val="0"/>
                    <w:snapToGrid w:val="0"/>
                    <w:jc w:val="center"/>
                    <w:outlineLvl w:val="1"/>
                    <w:rPr>
                      <w:rFonts w:hint="default" w:ascii="Times New Roman" w:hAnsi="Times New Roman" w:eastAsia="宋体" w:cs="Times New Roman"/>
                    </w:rPr>
                  </w:pPr>
                  <w:r>
                    <w:rPr>
                      <w:rFonts w:hint="default" w:ascii="Times New Roman" w:hAnsi="Times New Roman" w:eastAsia="宋体" w:cs="Times New Roman"/>
                    </w:rPr>
                    <w:t>供电</w:t>
                  </w:r>
                </w:p>
              </w:tc>
              <w:tc>
                <w:tcPr>
                  <w:tcW w:w="5303" w:type="dxa"/>
                  <w:noWrap w:val="0"/>
                  <w:vAlign w:val="center"/>
                </w:tcPr>
                <w:p>
                  <w:pPr>
                    <w:adjustRightInd w:val="0"/>
                    <w:snapToGrid w:val="0"/>
                    <w:jc w:val="center"/>
                    <w:outlineLvl w:val="1"/>
                    <w:rPr>
                      <w:rFonts w:hint="default" w:ascii="Times New Roman" w:hAnsi="Times New Roman" w:eastAsia="宋体" w:cs="Times New Roman"/>
                    </w:rPr>
                  </w:pPr>
                  <w:r>
                    <w:rPr>
                      <w:rFonts w:hint="default" w:ascii="Times New Roman" w:hAnsi="Times New Roman" w:cs="Times New Roman" w:eastAsiaTheme="minorEastAsia"/>
                      <w:b w:val="0"/>
                      <w:bCs w:val="0"/>
                      <w:color w:val="auto"/>
                      <w:sz w:val="21"/>
                      <w:szCs w:val="21"/>
                    </w:rPr>
                    <w:t>由富民工业园区电网供给</w:t>
                  </w:r>
                </w:p>
              </w:tc>
              <w:tc>
                <w:tcPr>
                  <w:tcW w:w="1068" w:type="dxa"/>
                  <w:vMerge w:val="continue"/>
                  <w:noWrap w:val="0"/>
                  <w:vAlign w:val="center"/>
                </w:tcPr>
                <w:p>
                  <w:pPr>
                    <w:adjustRightInd w:val="0"/>
                    <w:snapToGrid w:val="0"/>
                    <w:jc w:val="center"/>
                    <w:outlineLvl w:val="1"/>
                    <w:rPr>
                      <w:rFonts w:hint="default"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Merge w:val="continue"/>
                  <w:noWrap w:val="0"/>
                  <w:vAlign w:val="center"/>
                </w:tcPr>
                <w:p>
                  <w:pPr>
                    <w:adjustRightInd w:val="0"/>
                    <w:snapToGrid w:val="0"/>
                    <w:jc w:val="center"/>
                    <w:outlineLvl w:val="1"/>
                    <w:rPr>
                      <w:rFonts w:hint="default" w:ascii="Times New Roman" w:hAnsi="Times New Roman" w:eastAsia="宋体" w:cs="Times New Roman"/>
                    </w:rPr>
                  </w:pPr>
                </w:p>
              </w:tc>
              <w:tc>
                <w:tcPr>
                  <w:tcW w:w="1140" w:type="dxa"/>
                  <w:noWrap w:val="0"/>
                  <w:vAlign w:val="center"/>
                </w:tcPr>
                <w:p>
                  <w:pPr>
                    <w:adjustRightInd w:val="0"/>
                    <w:snapToGrid w:val="0"/>
                    <w:jc w:val="center"/>
                    <w:outlineLvl w:val="1"/>
                    <w:rPr>
                      <w:rFonts w:hint="default" w:ascii="Times New Roman" w:hAnsi="Times New Roman" w:eastAsia="宋体" w:cs="Times New Roman"/>
                    </w:rPr>
                  </w:pPr>
                  <w:r>
                    <w:rPr>
                      <w:rFonts w:hint="default" w:ascii="Times New Roman" w:hAnsi="Times New Roman" w:eastAsia="宋体" w:cs="Times New Roman"/>
                    </w:rPr>
                    <w:t>供水</w:t>
                  </w:r>
                </w:p>
              </w:tc>
              <w:tc>
                <w:tcPr>
                  <w:tcW w:w="5303" w:type="dxa"/>
                  <w:noWrap w:val="0"/>
                  <w:vAlign w:val="center"/>
                </w:tcPr>
                <w:p>
                  <w:pPr>
                    <w:adjustRightInd w:val="0"/>
                    <w:snapToGrid w:val="0"/>
                    <w:jc w:val="center"/>
                    <w:outlineLvl w:val="1"/>
                    <w:rPr>
                      <w:rFonts w:hint="default" w:ascii="Times New Roman" w:hAnsi="Times New Roman" w:eastAsia="宋体" w:cs="Times New Roman"/>
                    </w:rPr>
                  </w:pPr>
                  <w:r>
                    <w:rPr>
                      <w:rFonts w:hint="default" w:ascii="Times New Roman" w:hAnsi="Times New Roman" w:cs="Times New Roman" w:eastAsiaTheme="minorEastAsia"/>
                      <w:b w:val="0"/>
                      <w:bCs w:val="0"/>
                      <w:color w:val="auto"/>
                      <w:sz w:val="21"/>
                      <w:szCs w:val="21"/>
                    </w:rPr>
                    <w:t>富民工业园区供水管网供给</w:t>
                  </w:r>
                </w:p>
              </w:tc>
              <w:tc>
                <w:tcPr>
                  <w:tcW w:w="1068" w:type="dxa"/>
                  <w:vMerge w:val="continue"/>
                  <w:noWrap w:val="0"/>
                  <w:vAlign w:val="center"/>
                </w:tcPr>
                <w:p>
                  <w:pPr>
                    <w:adjustRightInd w:val="0"/>
                    <w:snapToGrid w:val="0"/>
                    <w:jc w:val="center"/>
                    <w:outlineLvl w:val="1"/>
                    <w:rPr>
                      <w:rFonts w:hint="default"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2" w:type="dxa"/>
                  <w:vMerge w:val="restart"/>
                  <w:noWrap w:val="0"/>
                  <w:vAlign w:val="center"/>
                </w:tcPr>
                <w:p>
                  <w:pPr>
                    <w:adjustRightInd w:val="0"/>
                    <w:snapToGrid w:val="0"/>
                    <w:jc w:val="center"/>
                    <w:outlineLvl w:val="1"/>
                    <w:rPr>
                      <w:rFonts w:hint="default" w:ascii="Times New Roman" w:hAnsi="Times New Roman" w:eastAsia="宋体" w:cs="Times New Roman"/>
                    </w:rPr>
                  </w:pPr>
                  <w:r>
                    <w:rPr>
                      <w:rFonts w:hint="default" w:ascii="Times New Roman" w:hAnsi="Times New Roman" w:eastAsia="宋体" w:cs="Times New Roman"/>
                    </w:rPr>
                    <w:t>环保工程</w:t>
                  </w:r>
                </w:p>
              </w:tc>
              <w:tc>
                <w:tcPr>
                  <w:tcW w:w="1140" w:type="dxa"/>
                  <w:vMerge w:val="restart"/>
                  <w:noWrap w:val="0"/>
                  <w:vAlign w:val="center"/>
                </w:tcPr>
                <w:p>
                  <w:pPr>
                    <w:adjustRightInd w:val="0"/>
                    <w:snapToGrid w:val="0"/>
                    <w:jc w:val="center"/>
                    <w:outlineLvl w:val="1"/>
                    <w:rPr>
                      <w:rFonts w:hint="default" w:ascii="Times New Roman" w:hAnsi="Times New Roman" w:eastAsia="宋体" w:cs="Times New Roman"/>
                    </w:rPr>
                  </w:pPr>
                  <w:r>
                    <w:rPr>
                      <w:rFonts w:hint="default" w:ascii="Times New Roman" w:hAnsi="Times New Roman" w:eastAsia="宋体" w:cs="Times New Roman"/>
                    </w:rPr>
                    <w:t>废水</w:t>
                  </w:r>
                </w:p>
              </w:tc>
              <w:tc>
                <w:tcPr>
                  <w:tcW w:w="5303" w:type="dxa"/>
                  <w:noWrap w:val="0"/>
                  <w:vAlign w:val="center"/>
                </w:tcPr>
                <w:p>
                  <w:pPr>
                    <w:pStyle w:val="36"/>
                    <w:adjustRightInd w:val="0"/>
                    <w:snapToGrid w:val="0"/>
                    <w:ind w:firstLine="0" w:firstLineChars="0"/>
                    <w:jc w:val="center"/>
                    <w:outlineLvl w:val="1"/>
                    <w:rPr>
                      <w:rFonts w:hint="default" w:ascii="Times New Roman" w:hAnsi="Times New Roman" w:eastAsia="宋体" w:cs="Times New Roman"/>
                    </w:rPr>
                  </w:pPr>
                  <w:r>
                    <w:rPr>
                      <w:rFonts w:hint="default" w:ascii="Times New Roman" w:hAnsi="Times New Roman" w:eastAsia="宋体" w:cs="Times New Roman"/>
                    </w:rPr>
                    <w:t>项目排水采用雨污分流，雨水排入</w:t>
                  </w:r>
                  <w:r>
                    <w:rPr>
                      <w:rFonts w:hint="eastAsia" w:cs="Times New Roman" w:eastAsiaTheme="minorEastAsia"/>
                      <w:b w:val="0"/>
                      <w:bCs w:val="0"/>
                      <w:color w:val="auto"/>
                      <w:sz w:val="21"/>
                      <w:szCs w:val="21"/>
                      <w:lang w:eastAsia="zh-CN"/>
                    </w:rPr>
                    <w:t>园区污水</w:t>
                  </w:r>
                  <w:r>
                    <w:rPr>
                      <w:rFonts w:hint="eastAsia" w:ascii="Times New Roman" w:hAnsi="Times New Roman" w:cs="Times New Roman" w:eastAsiaTheme="minorEastAsia"/>
                      <w:b w:val="0"/>
                      <w:bCs w:val="0"/>
                      <w:color w:val="auto"/>
                      <w:sz w:val="21"/>
                      <w:szCs w:val="21"/>
                      <w:lang w:eastAsia="zh-CN"/>
                    </w:rPr>
                    <w:t>管</w:t>
                  </w:r>
                  <w:r>
                    <w:rPr>
                      <w:rFonts w:hint="eastAsia" w:cs="Times New Roman" w:eastAsiaTheme="minorEastAsia"/>
                      <w:b w:val="0"/>
                      <w:bCs w:val="0"/>
                      <w:color w:val="auto"/>
                      <w:sz w:val="21"/>
                      <w:szCs w:val="21"/>
                      <w:lang w:eastAsia="zh-CN"/>
                    </w:rPr>
                    <w:t>网</w:t>
                  </w:r>
                  <w:r>
                    <w:rPr>
                      <w:rFonts w:hint="default" w:ascii="Times New Roman" w:hAnsi="Times New Roman" w:eastAsia="宋体" w:cs="Times New Roman"/>
                    </w:rPr>
                    <w:t>。</w:t>
                  </w:r>
                </w:p>
              </w:tc>
              <w:tc>
                <w:tcPr>
                  <w:tcW w:w="1068" w:type="dxa"/>
                  <w:vMerge w:val="continue"/>
                  <w:noWrap w:val="0"/>
                  <w:vAlign w:val="center"/>
                </w:tcPr>
                <w:p>
                  <w:pPr>
                    <w:adjustRightInd w:val="0"/>
                    <w:snapToGrid w:val="0"/>
                    <w:jc w:val="center"/>
                    <w:outlineLvl w:val="1"/>
                    <w:rPr>
                      <w:rFonts w:hint="default"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Merge w:val="continue"/>
                  <w:noWrap w:val="0"/>
                  <w:vAlign w:val="center"/>
                </w:tcPr>
                <w:p>
                  <w:pPr>
                    <w:adjustRightInd w:val="0"/>
                    <w:snapToGrid w:val="0"/>
                    <w:jc w:val="center"/>
                    <w:outlineLvl w:val="1"/>
                    <w:rPr>
                      <w:rFonts w:hint="default" w:ascii="Times New Roman" w:hAnsi="Times New Roman" w:eastAsia="宋体" w:cs="Times New Roman"/>
                    </w:rPr>
                  </w:pPr>
                </w:p>
              </w:tc>
              <w:tc>
                <w:tcPr>
                  <w:tcW w:w="1140" w:type="dxa"/>
                  <w:vMerge w:val="continue"/>
                  <w:noWrap w:val="0"/>
                  <w:vAlign w:val="center"/>
                </w:tcPr>
                <w:p>
                  <w:pPr>
                    <w:adjustRightInd w:val="0"/>
                    <w:snapToGrid w:val="0"/>
                    <w:jc w:val="center"/>
                    <w:outlineLvl w:val="1"/>
                    <w:rPr>
                      <w:rFonts w:hint="default" w:ascii="Times New Roman" w:hAnsi="Times New Roman" w:eastAsia="宋体" w:cs="Times New Roman"/>
                    </w:rPr>
                  </w:pPr>
                </w:p>
              </w:tc>
              <w:tc>
                <w:tcPr>
                  <w:tcW w:w="5303" w:type="dxa"/>
                  <w:noWrap w:val="0"/>
                  <w:vAlign w:val="center"/>
                </w:tcPr>
                <w:p>
                  <w:pPr>
                    <w:adjustRightInd w:val="0"/>
                    <w:snapToGrid w:val="0"/>
                    <w:jc w:val="center"/>
                    <w:outlineLvl w:val="1"/>
                    <w:rPr>
                      <w:rFonts w:hint="default" w:ascii="Times New Roman" w:hAnsi="Times New Roman" w:eastAsia="宋体" w:cs="Times New Roman"/>
                    </w:rPr>
                  </w:pPr>
                  <w:r>
                    <w:rPr>
                      <w:rFonts w:hint="eastAsia" w:eastAsia="宋体" w:cs="Times New Roman"/>
                      <w:lang w:eastAsia="zh-CN"/>
                    </w:rPr>
                    <w:t>办公生活区</w:t>
                  </w:r>
                  <w:r>
                    <w:rPr>
                      <w:rFonts w:hint="default" w:ascii="Times New Roman" w:hAnsi="Times New Roman" w:eastAsia="宋体" w:cs="Times New Roman"/>
                    </w:rPr>
                    <w:t>建设容积</w:t>
                  </w:r>
                  <w:r>
                    <w:rPr>
                      <w:rFonts w:hint="default" w:ascii="Times New Roman" w:hAnsi="Times New Roman" w:eastAsia="宋体" w:cs="Times New Roman"/>
                      <w:color w:val="auto"/>
                    </w:rPr>
                    <w:t>为</w:t>
                  </w:r>
                  <w:r>
                    <w:rPr>
                      <w:rFonts w:hint="eastAsia" w:eastAsia="宋体" w:cs="Times New Roman"/>
                      <w:color w:val="auto"/>
                      <w:lang w:val="en-US" w:eastAsia="zh-CN"/>
                    </w:rPr>
                    <w:t>6</w:t>
                  </w:r>
                  <w:r>
                    <w:rPr>
                      <w:rFonts w:hint="default" w:ascii="Times New Roman" w:hAnsi="Times New Roman" w:eastAsia="宋体" w:cs="Times New Roman"/>
                      <w:color w:val="auto"/>
                    </w:rPr>
                    <w:t>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rPr>
                    <w:t>的化粪池</w:t>
                  </w:r>
                  <w:r>
                    <w:rPr>
                      <w:rFonts w:hint="eastAsia" w:eastAsia="宋体" w:cs="Times New Roman"/>
                      <w:lang w:eastAsia="zh-CN"/>
                    </w:rPr>
                    <w:t>，生活污水经过化粪池处理后</w:t>
                  </w:r>
                  <w:r>
                    <w:rPr>
                      <w:rFonts w:hint="default" w:ascii="Times New Roman" w:hAnsi="Times New Roman" w:eastAsia="宋体" w:cs="Times New Roman"/>
                    </w:rPr>
                    <w:t>排入</w:t>
                  </w:r>
                  <w:r>
                    <w:rPr>
                      <w:rFonts w:hint="eastAsia" w:cs="Times New Roman" w:eastAsiaTheme="minorEastAsia"/>
                      <w:b w:val="0"/>
                      <w:bCs w:val="0"/>
                      <w:color w:val="auto"/>
                      <w:sz w:val="21"/>
                      <w:szCs w:val="21"/>
                      <w:lang w:eastAsia="zh-CN"/>
                    </w:rPr>
                    <w:t>园区污水</w:t>
                  </w:r>
                  <w:r>
                    <w:rPr>
                      <w:rFonts w:hint="eastAsia" w:ascii="Times New Roman" w:hAnsi="Times New Roman" w:cs="Times New Roman" w:eastAsiaTheme="minorEastAsia"/>
                      <w:b w:val="0"/>
                      <w:bCs w:val="0"/>
                      <w:color w:val="auto"/>
                      <w:sz w:val="21"/>
                      <w:szCs w:val="21"/>
                      <w:lang w:eastAsia="zh-CN"/>
                    </w:rPr>
                    <w:t>管</w:t>
                  </w:r>
                  <w:r>
                    <w:rPr>
                      <w:rFonts w:hint="eastAsia" w:cs="Times New Roman" w:eastAsiaTheme="minorEastAsia"/>
                      <w:b w:val="0"/>
                      <w:bCs w:val="0"/>
                      <w:color w:val="auto"/>
                      <w:sz w:val="21"/>
                      <w:szCs w:val="21"/>
                      <w:lang w:eastAsia="zh-CN"/>
                    </w:rPr>
                    <w:t>网</w:t>
                  </w:r>
                  <w:r>
                    <w:rPr>
                      <w:rFonts w:hint="default" w:ascii="Times New Roman" w:hAnsi="Times New Roman" w:eastAsia="宋体" w:cs="Times New Roman"/>
                    </w:rPr>
                    <w:t>。</w:t>
                  </w:r>
                </w:p>
              </w:tc>
              <w:tc>
                <w:tcPr>
                  <w:tcW w:w="1068" w:type="dxa"/>
                  <w:vMerge w:val="continue"/>
                  <w:noWrap w:val="0"/>
                  <w:vAlign w:val="center"/>
                </w:tcPr>
                <w:p>
                  <w:pPr>
                    <w:adjustRightInd w:val="0"/>
                    <w:snapToGrid w:val="0"/>
                    <w:jc w:val="center"/>
                    <w:outlineLvl w:val="1"/>
                    <w:rPr>
                      <w:rFonts w:hint="default"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Merge w:val="continue"/>
                  <w:noWrap w:val="0"/>
                  <w:vAlign w:val="center"/>
                </w:tcPr>
                <w:p>
                  <w:pPr>
                    <w:adjustRightInd w:val="0"/>
                    <w:snapToGrid w:val="0"/>
                    <w:jc w:val="center"/>
                    <w:outlineLvl w:val="1"/>
                    <w:rPr>
                      <w:rFonts w:hint="default" w:ascii="Times New Roman" w:hAnsi="Times New Roman" w:eastAsia="宋体" w:cs="Times New Roman"/>
                    </w:rPr>
                  </w:pPr>
                </w:p>
              </w:tc>
              <w:tc>
                <w:tcPr>
                  <w:tcW w:w="1140" w:type="dxa"/>
                  <w:noWrap w:val="0"/>
                  <w:vAlign w:val="center"/>
                </w:tcPr>
                <w:p>
                  <w:pPr>
                    <w:adjustRightInd w:val="0"/>
                    <w:snapToGrid w:val="0"/>
                    <w:jc w:val="center"/>
                    <w:outlineLvl w:val="1"/>
                    <w:rPr>
                      <w:rFonts w:hint="eastAsia" w:ascii="Times New Roman" w:hAnsi="Times New Roman" w:eastAsia="宋体" w:cs="Times New Roman"/>
                      <w:lang w:eastAsia="zh-CN"/>
                    </w:rPr>
                  </w:pPr>
                  <w:r>
                    <w:rPr>
                      <w:rFonts w:hint="eastAsia" w:eastAsia="宋体" w:cs="Times New Roman"/>
                      <w:lang w:eastAsia="zh-CN"/>
                    </w:rPr>
                    <w:t>废气</w:t>
                  </w:r>
                </w:p>
              </w:tc>
              <w:tc>
                <w:tcPr>
                  <w:tcW w:w="5303" w:type="dxa"/>
                  <w:noWrap w:val="0"/>
                  <w:vAlign w:val="center"/>
                </w:tcPr>
                <w:p>
                  <w:pPr>
                    <w:adjustRightInd w:val="0"/>
                    <w:snapToGrid w:val="0"/>
                    <w:jc w:val="center"/>
                    <w:outlineLvl w:val="1"/>
                    <w:rPr>
                      <w:rFonts w:hint="eastAsia" w:eastAsia="宋体" w:cs="Times New Roman"/>
                      <w:lang w:eastAsia="zh-CN"/>
                    </w:rPr>
                  </w:pPr>
                  <w:r>
                    <w:rPr>
                      <w:rFonts w:hint="eastAsia" w:cs="Times New Roman" w:eastAsiaTheme="minorEastAsia"/>
                      <w:b w:val="0"/>
                      <w:bCs w:val="0"/>
                      <w:color w:val="auto"/>
                      <w:sz w:val="21"/>
                      <w:szCs w:val="21"/>
                      <w:lang w:eastAsia="zh-CN"/>
                    </w:rPr>
                    <w:t>厂区办公生活区设置有食堂，食堂油烟配套“集气罩+油烟净化器+高于房顶1.5m高排气筒”，油烟净化器效率为</w:t>
                  </w:r>
                  <w:r>
                    <w:rPr>
                      <w:rFonts w:hint="eastAsia" w:cs="Times New Roman" w:eastAsiaTheme="minorEastAsia"/>
                      <w:b w:val="0"/>
                      <w:bCs w:val="0"/>
                      <w:color w:val="auto"/>
                      <w:sz w:val="21"/>
                      <w:szCs w:val="21"/>
                      <w:lang w:val="en-US" w:eastAsia="zh-CN"/>
                    </w:rPr>
                    <w:t>80</w:t>
                  </w:r>
                  <w:r>
                    <w:rPr>
                      <w:rFonts w:hint="eastAsia" w:cs="Times New Roman" w:eastAsiaTheme="minorEastAsia"/>
                      <w:b w:val="0"/>
                      <w:bCs w:val="0"/>
                      <w:color w:val="auto"/>
                      <w:sz w:val="21"/>
                      <w:szCs w:val="21"/>
                      <w:lang w:eastAsia="zh-CN"/>
                    </w:rPr>
                    <w:t>%</w:t>
                  </w:r>
                </w:p>
              </w:tc>
              <w:tc>
                <w:tcPr>
                  <w:tcW w:w="1068" w:type="dxa"/>
                  <w:vMerge w:val="continue"/>
                  <w:noWrap w:val="0"/>
                  <w:vAlign w:val="center"/>
                </w:tcPr>
                <w:p>
                  <w:pPr>
                    <w:adjustRightInd w:val="0"/>
                    <w:snapToGrid w:val="0"/>
                    <w:jc w:val="center"/>
                    <w:outlineLvl w:val="1"/>
                    <w:rPr>
                      <w:rFonts w:hint="default" w:ascii="Times New Roman" w:hAnsi="Times New Roman" w:eastAsia="宋体" w:cs="Times New Roman"/>
                    </w:rPr>
                  </w:pPr>
                </w:p>
              </w:tc>
            </w:tr>
          </w:tbl>
          <w:p>
            <w:pPr>
              <w:pStyle w:val="2"/>
              <w:outlineLvl w:val="1"/>
              <w:rPr>
                <w:rFonts w:hint="eastAsia" w:eastAsia="宋体"/>
                <w:lang w:eastAsia="zh-CN"/>
              </w:rPr>
            </w:pPr>
          </w:p>
          <w:p>
            <w:pPr>
              <w:spacing w:line="360" w:lineRule="auto"/>
              <w:ind w:left="0" w:leftChars="0" w:firstLine="482" w:firstLineChars="200"/>
              <w:outlineLvl w:val="1"/>
              <w:rPr>
                <w:rFonts w:hint="eastAsia"/>
                <w:b/>
                <w:bCs/>
                <w:sz w:val="24"/>
                <w:szCs w:val="24"/>
                <w:lang w:eastAsia="zh-CN"/>
              </w:rPr>
            </w:pPr>
            <w:r>
              <w:rPr>
                <w:rFonts w:hint="eastAsia"/>
                <w:b/>
                <w:bCs/>
                <w:sz w:val="24"/>
                <w:szCs w:val="24"/>
                <w:lang w:eastAsia="zh-CN"/>
              </w:rPr>
              <w:t>四</w:t>
            </w:r>
            <w:r>
              <w:rPr>
                <w:b/>
                <w:bCs/>
                <w:sz w:val="24"/>
                <w:szCs w:val="24"/>
              </w:rPr>
              <w:t>、</w:t>
            </w:r>
            <w:r>
              <w:rPr>
                <w:rFonts w:hint="default"/>
                <w:b/>
                <w:bCs/>
                <w:color w:val="auto"/>
                <w:sz w:val="24"/>
                <w:szCs w:val="24"/>
                <w:lang w:val="en-US" w:eastAsia="zh-CN"/>
              </w:rPr>
              <w:t>产品方案及规模</w:t>
            </w:r>
          </w:p>
          <w:p>
            <w:pPr>
              <w:spacing w:line="360" w:lineRule="auto"/>
              <w:ind w:firstLine="482" w:firstLineChars="200"/>
              <w:outlineLvl w:val="1"/>
              <w:rPr>
                <w:rFonts w:hint="eastAsia"/>
                <w:b/>
                <w:bCs/>
                <w:sz w:val="24"/>
                <w:szCs w:val="24"/>
                <w:lang w:val="en-US" w:eastAsia="zh-CN"/>
              </w:rPr>
            </w:pPr>
            <w:r>
              <w:rPr>
                <w:rFonts w:hint="eastAsia"/>
                <w:b/>
                <w:bCs/>
                <w:sz w:val="24"/>
                <w:szCs w:val="24"/>
                <w:lang w:val="en-US" w:eastAsia="zh-CN"/>
              </w:rPr>
              <w:t>1、原辅料用量</w:t>
            </w:r>
          </w:p>
          <w:p>
            <w:pPr>
              <w:spacing w:line="360" w:lineRule="auto"/>
              <w:ind w:firstLine="480" w:firstLineChars="200"/>
              <w:outlineLvl w:val="1"/>
              <w:rPr>
                <w:rFonts w:hint="eastAsia"/>
                <w:sz w:val="24"/>
                <w:szCs w:val="24"/>
                <w:lang w:val="en-US" w:eastAsia="zh-CN"/>
              </w:rPr>
            </w:pPr>
            <w:r>
              <w:rPr>
                <w:sz w:val="24"/>
                <w:szCs w:val="24"/>
              </w:rPr>
              <w:t>项目主要原辅材料消耗包括</w:t>
            </w:r>
            <w:r>
              <w:rPr>
                <w:rFonts w:hint="eastAsia"/>
                <w:sz w:val="24"/>
                <w:szCs w:val="24"/>
                <w:lang w:eastAsia="zh-CN"/>
              </w:rPr>
              <w:t>各类钢材、涂料等，能耗主要为</w:t>
            </w:r>
            <w:r>
              <w:rPr>
                <w:sz w:val="24"/>
                <w:szCs w:val="24"/>
              </w:rPr>
              <w:t>水、电等。</w:t>
            </w:r>
            <w:r>
              <w:rPr>
                <w:rFonts w:hint="eastAsia"/>
                <w:sz w:val="24"/>
                <w:szCs w:val="24"/>
                <w:lang w:eastAsia="zh-CN"/>
              </w:rPr>
              <w:t>项目主要原辅材料及能耗见表</w:t>
            </w:r>
            <w:r>
              <w:rPr>
                <w:rFonts w:hint="eastAsia"/>
                <w:sz w:val="24"/>
                <w:szCs w:val="24"/>
                <w:lang w:val="en-US" w:eastAsia="zh-CN"/>
              </w:rPr>
              <w:t>1-3。</w:t>
            </w:r>
          </w:p>
          <w:p>
            <w:pPr>
              <w:spacing w:line="240" w:lineRule="auto"/>
              <w:jc w:val="center"/>
              <w:outlineLvl w:val="1"/>
              <w:rPr>
                <w:rFonts w:hint="default"/>
                <w:b/>
                <w:bCs/>
                <w:color w:val="auto"/>
              </w:rPr>
            </w:pPr>
            <w:r>
              <w:rPr>
                <w:rFonts w:hint="default"/>
                <w:b/>
                <w:bCs/>
                <w:color w:val="auto"/>
              </w:rPr>
              <w:t>表1-</w:t>
            </w:r>
            <w:r>
              <w:rPr>
                <w:rFonts w:hint="eastAsia"/>
                <w:b/>
                <w:bCs/>
                <w:color w:val="auto"/>
                <w:lang w:val="en-US" w:eastAsia="zh-CN"/>
              </w:rPr>
              <w:t xml:space="preserve">3  </w:t>
            </w:r>
            <w:r>
              <w:rPr>
                <w:rFonts w:hint="default"/>
                <w:b/>
                <w:bCs/>
                <w:color w:val="auto"/>
              </w:rPr>
              <w:t>项目主要原辅材料</w:t>
            </w:r>
            <w:r>
              <w:rPr>
                <w:rFonts w:hint="eastAsia"/>
                <w:b/>
                <w:bCs/>
                <w:color w:val="auto"/>
                <w:lang w:eastAsia="zh-CN"/>
              </w:rPr>
              <w:t>及能耗</w:t>
            </w:r>
            <w:r>
              <w:rPr>
                <w:rFonts w:hint="default"/>
                <w:b/>
                <w:bCs/>
                <w:color w:val="auto"/>
              </w:rPr>
              <w:t>一览表</w:t>
            </w:r>
          </w:p>
          <w:tbl>
            <w:tblPr>
              <w:tblStyle w:val="37"/>
              <w:tblW w:w="4996"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2"/>
              <w:gridCol w:w="1875"/>
              <w:gridCol w:w="2111"/>
              <w:gridCol w:w="252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jc w:val="center"/>
              </w:trPr>
              <w:tc>
                <w:tcPr>
                  <w:tcW w:w="1016"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序号</w:t>
                  </w:r>
                </w:p>
              </w:tc>
              <w:tc>
                <w:tcPr>
                  <w:tcW w:w="1148"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名称</w:t>
                  </w:r>
                </w:p>
              </w:tc>
              <w:tc>
                <w:tcPr>
                  <w:tcW w:w="1292"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年消耗量</w:t>
                  </w:r>
                </w:p>
              </w:tc>
              <w:tc>
                <w:tcPr>
                  <w:tcW w:w="1542"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来源</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2" w:hRule="atLeast"/>
                <w:jc w:val="center"/>
              </w:trPr>
              <w:tc>
                <w:tcPr>
                  <w:tcW w:w="5000" w:type="pct"/>
                  <w:gridSpan w:val="4"/>
                  <w:tcBorders>
                    <w:tl2br w:val="nil"/>
                    <w:tr2bl w:val="nil"/>
                  </w:tcBorders>
                  <w:vAlign w:val="center"/>
                </w:tcPr>
                <w:p>
                  <w:pPr>
                    <w:pStyle w:val="104"/>
                    <w:spacing w:before="21" w:line="240" w:lineRule="auto"/>
                    <w:ind w:left="729" w:right="706" w:firstLine="2530" w:firstLineChars="1200"/>
                    <w:jc w:val="both"/>
                    <w:outlineLvl w:val="1"/>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主要原辅材料</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jc w:val="center"/>
              </w:trPr>
              <w:tc>
                <w:tcPr>
                  <w:tcW w:w="1016"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148"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钢板</w:t>
                  </w:r>
                </w:p>
              </w:tc>
              <w:tc>
                <w:tcPr>
                  <w:tcW w:w="1292"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r>
                    <w:rPr>
                      <w:rFonts w:hint="eastAsia" w:cs="Times New Roman"/>
                      <w:color w:val="auto"/>
                      <w:sz w:val="21"/>
                      <w:szCs w:val="21"/>
                      <w:lang w:val="en-US" w:eastAsia="zh-CN"/>
                    </w:rPr>
                    <w:t>60</w:t>
                  </w:r>
                  <w:r>
                    <w:rPr>
                      <w:rFonts w:hint="default" w:ascii="Times New Roman" w:hAnsi="Times New Roman" w:cs="Times New Roman"/>
                      <w:color w:val="auto"/>
                      <w:sz w:val="21"/>
                      <w:szCs w:val="21"/>
                      <w:lang w:val="en-US" w:eastAsia="zh-CN"/>
                    </w:rPr>
                    <w:t>0吨</w:t>
                  </w:r>
                </w:p>
              </w:tc>
              <w:tc>
                <w:tcPr>
                  <w:tcW w:w="1542"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外购</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jc w:val="center"/>
              </w:trPr>
              <w:tc>
                <w:tcPr>
                  <w:tcW w:w="1016"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1148"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角钢</w:t>
                  </w:r>
                </w:p>
              </w:tc>
              <w:tc>
                <w:tcPr>
                  <w:tcW w:w="1292"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600吨</w:t>
                  </w:r>
                </w:p>
              </w:tc>
              <w:tc>
                <w:tcPr>
                  <w:tcW w:w="1542"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外购</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jc w:val="center"/>
              </w:trPr>
              <w:tc>
                <w:tcPr>
                  <w:tcW w:w="1016"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1148"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槽钢</w:t>
                  </w:r>
                </w:p>
              </w:tc>
              <w:tc>
                <w:tcPr>
                  <w:tcW w:w="1292"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1200吨</w:t>
                  </w:r>
                </w:p>
              </w:tc>
              <w:tc>
                <w:tcPr>
                  <w:tcW w:w="1542"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外购</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jc w:val="center"/>
              </w:trPr>
              <w:tc>
                <w:tcPr>
                  <w:tcW w:w="1016"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1148"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焊条</w:t>
                  </w:r>
                </w:p>
              </w:tc>
              <w:tc>
                <w:tcPr>
                  <w:tcW w:w="1292"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50</w:t>
                  </w:r>
                  <w:r>
                    <w:rPr>
                      <w:rFonts w:hint="default" w:ascii="Times New Roman" w:hAnsi="Times New Roman" w:cs="Times New Roman"/>
                      <w:color w:val="auto"/>
                      <w:sz w:val="21"/>
                      <w:szCs w:val="21"/>
                      <w:lang w:val="en-US" w:eastAsia="zh-CN"/>
                    </w:rPr>
                    <w:t>吨</w:t>
                  </w:r>
                </w:p>
              </w:tc>
              <w:tc>
                <w:tcPr>
                  <w:tcW w:w="1542"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外购</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3" w:hRule="atLeast"/>
                <w:jc w:val="center"/>
              </w:trPr>
              <w:tc>
                <w:tcPr>
                  <w:tcW w:w="1016"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p>
              </w:tc>
              <w:tc>
                <w:tcPr>
                  <w:tcW w:w="1148"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漆</w:t>
                  </w:r>
                </w:p>
              </w:tc>
              <w:tc>
                <w:tcPr>
                  <w:tcW w:w="1292"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8.18</w:t>
                  </w:r>
                  <w:r>
                    <w:rPr>
                      <w:rFonts w:hint="default" w:ascii="Times New Roman" w:hAnsi="Times New Roman" w:cs="Times New Roman"/>
                      <w:color w:val="auto"/>
                      <w:sz w:val="21"/>
                      <w:szCs w:val="21"/>
                      <w:lang w:val="en-US" w:eastAsia="zh-CN"/>
                    </w:rPr>
                    <w:t>吨</w:t>
                  </w:r>
                </w:p>
              </w:tc>
              <w:tc>
                <w:tcPr>
                  <w:tcW w:w="1542"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外购</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jc w:val="center"/>
              </w:trPr>
              <w:tc>
                <w:tcPr>
                  <w:tcW w:w="1016"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w:t>
                  </w:r>
                </w:p>
              </w:tc>
              <w:tc>
                <w:tcPr>
                  <w:tcW w:w="1148"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乙炔</w:t>
                  </w:r>
                </w:p>
              </w:tc>
              <w:tc>
                <w:tcPr>
                  <w:tcW w:w="1292"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700瓶</w:t>
                  </w:r>
                </w:p>
              </w:tc>
              <w:tc>
                <w:tcPr>
                  <w:tcW w:w="1542"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外购</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1016"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w:t>
                  </w:r>
                </w:p>
              </w:tc>
              <w:tc>
                <w:tcPr>
                  <w:tcW w:w="1148"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氧气</w:t>
                  </w:r>
                </w:p>
              </w:tc>
              <w:tc>
                <w:tcPr>
                  <w:tcW w:w="1292"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1400瓶</w:t>
                  </w:r>
                </w:p>
              </w:tc>
              <w:tc>
                <w:tcPr>
                  <w:tcW w:w="1542" w:type="pct"/>
                  <w:tcBorders>
                    <w:tl2br w:val="nil"/>
                    <w:tr2bl w:val="nil"/>
                  </w:tcBorders>
                  <w:vAlign w:val="center"/>
                </w:tcPr>
                <w:p>
                  <w:pPr>
                    <w:pStyle w:val="104"/>
                    <w:spacing w:before="21" w:line="240" w:lineRule="auto"/>
                    <w:ind w:left="729" w:right="706"/>
                    <w:jc w:val="center"/>
                    <w:outlineLvl w:val="1"/>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外购</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jc w:val="center"/>
              </w:trPr>
              <w:tc>
                <w:tcPr>
                  <w:tcW w:w="5000" w:type="pct"/>
                  <w:gridSpan w:val="4"/>
                  <w:tcBorders>
                    <w:tl2br w:val="nil"/>
                    <w:tr2bl w:val="nil"/>
                  </w:tcBorders>
                  <w:vAlign w:val="center"/>
                </w:tcPr>
                <w:p>
                  <w:pPr>
                    <w:pStyle w:val="104"/>
                    <w:spacing w:before="20"/>
                    <w:ind w:right="3578"/>
                    <w:jc w:val="center"/>
                    <w:outlineLvl w:val="1"/>
                    <w:rPr>
                      <w:rFonts w:hint="default" w:ascii="Times New Roman" w:hAnsi="Times New Roman" w:cs="Times New Roman"/>
                      <w:b/>
                      <w:color w:val="auto"/>
                      <w:sz w:val="21"/>
                      <w:szCs w:val="21"/>
                    </w:rPr>
                  </w:pPr>
                  <w:r>
                    <w:rPr>
                      <w:rFonts w:hint="eastAsia" w:cs="Times New Roman"/>
                      <w:b/>
                      <w:color w:val="auto"/>
                      <w:sz w:val="21"/>
                      <w:szCs w:val="21"/>
                      <w:lang w:val="en-US" w:eastAsia="zh-CN"/>
                    </w:rPr>
                    <w:t xml:space="preserve">                               </w:t>
                  </w:r>
                  <w:r>
                    <w:rPr>
                      <w:rFonts w:hint="default" w:ascii="Times New Roman" w:hAnsi="Times New Roman" w:cs="Times New Roman"/>
                      <w:b/>
                      <w:color w:val="auto"/>
                      <w:sz w:val="21"/>
                      <w:szCs w:val="21"/>
                    </w:rPr>
                    <w:t>主要能源消耗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jc w:val="center"/>
              </w:trPr>
              <w:tc>
                <w:tcPr>
                  <w:tcW w:w="1016" w:type="pct"/>
                  <w:tcBorders>
                    <w:tl2br w:val="nil"/>
                    <w:tr2bl w:val="nil"/>
                  </w:tcBorders>
                  <w:vAlign w:val="center"/>
                </w:tcPr>
                <w:p>
                  <w:pPr>
                    <w:pStyle w:val="104"/>
                    <w:spacing w:before="27"/>
                    <w:ind w:left="20"/>
                    <w:jc w:val="center"/>
                    <w:outlineLvl w:val="1"/>
                    <w:rPr>
                      <w:rFonts w:hint="default" w:ascii="Times New Roman" w:hAnsi="Times New Roman" w:cs="Times New Roman"/>
                      <w:color w:val="auto"/>
                      <w:sz w:val="21"/>
                      <w:szCs w:val="21"/>
                    </w:rPr>
                  </w:pPr>
                  <w:r>
                    <w:rPr>
                      <w:rFonts w:hint="default" w:ascii="Times New Roman" w:hAnsi="Times New Roman" w:cs="Times New Roman"/>
                      <w:color w:val="auto"/>
                      <w:w w:val="99"/>
                      <w:sz w:val="21"/>
                      <w:szCs w:val="21"/>
                    </w:rPr>
                    <w:t>1</w:t>
                  </w:r>
                </w:p>
              </w:tc>
              <w:tc>
                <w:tcPr>
                  <w:tcW w:w="1148" w:type="pct"/>
                  <w:tcBorders>
                    <w:tl2br w:val="nil"/>
                    <w:tr2bl w:val="nil"/>
                  </w:tcBorders>
                  <w:vAlign w:val="center"/>
                </w:tcPr>
                <w:p>
                  <w:pPr>
                    <w:pStyle w:val="104"/>
                    <w:spacing w:before="22"/>
                    <w:ind w:left="26"/>
                    <w:jc w:val="center"/>
                    <w:outlineLvl w:val="1"/>
                    <w:rPr>
                      <w:rFonts w:hint="default" w:ascii="Times New Roman" w:hAnsi="Times New Roman" w:cs="Times New Roman"/>
                      <w:color w:val="auto"/>
                      <w:sz w:val="21"/>
                      <w:szCs w:val="21"/>
                    </w:rPr>
                  </w:pPr>
                  <w:r>
                    <w:rPr>
                      <w:rFonts w:hint="default" w:ascii="Times New Roman" w:hAnsi="Times New Roman" w:cs="Times New Roman"/>
                      <w:color w:val="auto"/>
                      <w:w w:val="99"/>
                      <w:sz w:val="21"/>
                      <w:szCs w:val="21"/>
                    </w:rPr>
                    <w:t>电</w:t>
                  </w:r>
                </w:p>
              </w:tc>
              <w:tc>
                <w:tcPr>
                  <w:tcW w:w="1292" w:type="pct"/>
                  <w:tcBorders>
                    <w:tl2br w:val="nil"/>
                    <w:tr2bl w:val="nil"/>
                  </w:tcBorders>
                  <w:vAlign w:val="center"/>
                </w:tcPr>
                <w:p>
                  <w:pPr>
                    <w:pStyle w:val="104"/>
                    <w:jc w:val="center"/>
                    <w:outlineLvl w:val="1"/>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108000度/年</w:t>
                  </w:r>
                </w:p>
              </w:tc>
              <w:tc>
                <w:tcPr>
                  <w:tcW w:w="1542" w:type="pct"/>
                  <w:tcBorders>
                    <w:tl2br w:val="nil"/>
                    <w:tr2bl w:val="nil"/>
                  </w:tcBorders>
                  <w:vAlign w:val="center"/>
                </w:tcPr>
                <w:p>
                  <w:pPr>
                    <w:pStyle w:val="104"/>
                    <w:jc w:val="center"/>
                    <w:outlineLvl w:val="1"/>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jc w:val="center"/>
              </w:trPr>
              <w:tc>
                <w:tcPr>
                  <w:tcW w:w="1016" w:type="pct"/>
                  <w:tcBorders>
                    <w:tl2br w:val="nil"/>
                    <w:tr2bl w:val="nil"/>
                  </w:tcBorders>
                  <w:vAlign w:val="center"/>
                </w:tcPr>
                <w:p>
                  <w:pPr>
                    <w:pStyle w:val="104"/>
                    <w:spacing w:before="29"/>
                    <w:ind w:left="20"/>
                    <w:jc w:val="center"/>
                    <w:outlineLvl w:val="1"/>
                    <w:rPr>
                      <w:rFonts w:hint="default" w:ascii="Times New Roman" w:hAnsi="Times New Roman" w:cs="Times New Roman"/>
                      <w:color w:val="auto"/>
                      <w:sz w:val="21"/>
                      <w:szCs w:val="21"/>
                    </w:rPr>
                  </w:pPr>
                  <w:r>
                    <w:rPr>
                      <w:rFonts w:hint="default" w:ascii="Times New Roman" w:hAnsi="Times New Roman" w:cs="Times New Roman"/>
                      <w:color w:val="auto"/>
                      <w:w w:val="99"/>
                      <w:sz w:val="21"/>
                      <w:szCs w:val="21"/>
                    </w:rPr>
                    <w:t>2</w:t>
                  </w:r>
                </w:p>
              </w:tc>
              <w:tc>
                <w:tcPr>
                  <w:tcW w:w="1148" w:type="pct"/>
                  <w:tcBorders>
                    <w:tl2br w:val="nil"/>
                    <w:tr2bl w:val="nil"/>
                  </w:tcBorders>
                  <w:vAlign w:val="center"/>
                </w:tcPr>
                <w:p>
                  <w:pPr>
                    <w:pStyle w:val="104"/>
                    <w:spacing w:before="21"/>
                    <w:ind w:left="26"/>
                    <w:jc w:val="center"/>
                    <w:outlineLvl w:val="1"/>
                    <w:rPr>
                      <w:rFonts w:hint="default" w:ascii="Times New Roman" w:hAnsi="Times New Roman" w:cs="Times New Roman"/>
                      <w:color w:val="auto"/>
                      <w:sz w:val="21"/>
                      <w:szCs w:val="21"/>
                    </w:rPr>
                  </w:pPr>
                  <w:r>
                    <w:rPr>
                      <w:rFonts w:hint="default" w:ascii="Times New Roman" w:hAnsi="Times New Roman" w:cs="Times New Roman"/>
                      <w:color w:val="auto"/>
                      <w:w w:val="99"/>
                      <w:sz w:val="21"/>
                      <w:szCs w:val="21"/>
                    </w:rPr>
                    <w:t>水</w:t>
                  </w:r>
                </w:p>
              </w:tc>
              <w:tc>
                <w:tcPr>
                  <w:tcW w:w="1292" w:type="pct"/>
                  <w:tcBorders>
                    <w:tl2br w:val="nil"/>
                    <w:tr2bl w:val="nil"/>
                  </w:tcBorders>
                  <w:vAlign w:val="center"/>
                </w:tcPr>
                <w:p>
                  <w:pPr>
                    <w:pStyle w:val="104"/>
                    <w:jc w:val="center"/>
                    <w:outlineLvl w:val="1"/>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1020吨/年</w:t>
                  </w:r>
                </w:p>
              </w:tc>
              <w:tc>
                <w:tcPr>
                  <w:tcW w:w="1542" w:type="pct"/>
                  <w:tcBorders>
                    <w:tl2br w:val="nil"/>
                    <w:tr2bl w:val="nil"/>
                  </w:tcBorders>
                  <w:vAlign w:val="center"/>
                </w:tcPr>
                <w:p>
                  <w:pPr>
                    <w:pStyle w:val="104"/>
                    <w:jc w:val="center"/>
                    <w:outlineLvl w:val="1"/>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r>
          </w:tbl>
          <w:p>
            <w:pPr>
              <w:pStyle w:val="18"/>
              <w:numPr>
                <w:ilvl w:val="0"/>
                <w:numId w:val="0"/>
              </w:numPr>
              <w:ind w:firstLine="482" w:firstLineChars="200"/>
              <w:jc w:val="both"/>
              <w:outlineLvl w:val="1"/>
              <w:rPr>
                <w:rFonts w:hint="default"/>
                <w:b/>
                <w:bCs/>
                <w:color w:val="auto"/>
                <w:lang w:val="en-US" w:eastAsia="zh-CN"/>
              </w:rPr>
            </w:pPr>
            <w:r>
              <w:rPr>
                <w:rFonts w:hint="eastAsia"/>
                <w:b/>
                <w:bCs/>
                <w:color w:val="auto"/>
                <w:lang w:val="en-US" w:eastAsia="zh-CN"/>
              </w:rPr>
              <w:t>2、主要原、辅料化学成分</w:t>
            </w:r>
          </w:p>
          <w:p>
            <w:pPr>
              <w:pStyle w:val="104"/>
              <w:kinsoku w:val="0"/>
              <w:overflowPunct w:val="0"/>
              <w:spacing w:beforeLines="0" w:afterLines="0" w:line="360" w:lineRule="auto"/>
              <w:ind w:left="0" w:firstLine="480" w:firstLineChars="200"/>
              <w:jc w:val="left"/>
              <w:outlineLvl w:val="1"/>
              <w:rPr>
                <w:rFonts w:hint="eastAsia"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本项目涂料由</w:t>
            </w:r>
            <w:r>
              <w:rPr>
                <w:rFonts w:hint="eastAsia" w:ascii="Times New Roman" w:hAnsi="Times New Roman" w:cs="Times New Roman" w:eastAsiaTheme="minorEastAsia"/>
                <w:color w:val="auto"/>
                <w:sz w:val="24"/>
                <w:szCs w:val="24"/>
                <w:lang w:val="en-US" w:eastAsia="zh-CN"/>
              </w:rPr>
              <w:t>山东齐鲁漆业</w:t>
            </w:r>
            <w:r>
              <w:rPr>
                <w:rFonts w:hint="default" w:ascii="Times New Roman" w:hAnsi="Times New Roman" w:cs="Times New Roman" w:eastAsiaTheme="minorEastAsia"/>
                <w:color w:val="auto"/>
                <w:sz w:val="24"/>
                <w:szCs w:val="24"/>
                <w:lang w:val="en-US" w:eastAsia="zh-CN"/>
              </w:rPr>
              <w:t>有限公司提供。根据</w:t>
            </w:r>
            <w:r>
              <w:rPr>
                <w:rFonts w:hint="eastAsia" w:ascii="Times New Roman" w:hAnsi="Times New Roman" w:cs="Times New Roman" w:eastAsiaTheme="minorEastAsia"/>
                <w:color w:val="auto"/>
                <w:sz w:val="24"/>
                <w:szCs w:val="24"/>
                <w:lang w:val="en-US" w:eastAsia="zh-CN"/>
              </w:rPr>
              <w:t>山东省产品质量检验研究院</w:t>
            </w:r>
            <w:r>
              <w:rPr>
                <w:rFonts w:hint="default" w:ascii="Times New Roman" w:hAnsi="Times New Roman" w:cs="Times New Roman" w:eastAsiaTheme="minorEastAsia"/>
                <w:color w:val="auto"/>
                <w:sz w:val="24"/>
                <w:szCs w:val="24"/>
                <w:lang w:val="en-US" w:eastAsia="zh-CN"/>
              </w:rPr>
              <w:t>对</w:t>
            </w:r>
            <w:r>
              <w:rPr>
                <w:rFonts w:hint="eastAsia" w:ascii="Times New Roman" w:hAnsi="Times New Roman" w:cs="Times New Roman" w:eastAsiaTheme="minorEastAsia"/>
                <w:color w:val="auto"/>
                <w:sz w:val="24"/>
                <w:szCs w:val="24"/>
                <w:lang w:val="en-US" w:eastAsia="zh-CN"/>
              </w:rPr>
              <w:t>油漆</w:t>
            </w:r>
            <w:r>
              <w:rPr>
                <w:rFonts w:hint="default" w:ascii="Times New Roman" w:hAnsi="Times New Roman" w:cs="Times New Roman" w:eastAsiaTheme="minorEastAsia"/>
                <w:color w:val="auto"/>
                <w:sz w:val="24"/>
                <w:szCs w:val="24"/>
                <w:lang w:val="en-US" w:eastAsia="zh-CN"/>
              </w:rPr>
              <w:t>检验报告（见附件），项目所用</w:t>
            </w:r>
            <w:r>
              <w:rPr>
                <w:rFonts w:hint="eastAsia" w:ascii="Times New Roman" w:hAnsi="Times New Roman" w:cs="Times New Roman" w:eastAsiaTheme="minorEastAsia"/>
                <w:color w:val="auto"/>
                <w:sz w:val="24"/>
                <w:szCs w:val="24"/>
                <w:lang w:val="en-US" w:eastAsia="zh-CN"/>
              </w:rPr>
              <w:t>三种</w:t>
            </w:r>
            <w:r>
              <w:rPr>
                <w:rFonts w:hint="default" w:ascii="Times New Roman" w:hAnsi="Times New Roman" w:cs="Times New Roman" w:eastAsiaTheme="minorEastAsia"/>
                <w:color w:val="auto"/>
                <w:sz w:val="24"/>
                <w:szCs w:val="24"/>
                <w:lang w:val="en-US" w:eastAsia="zh-CN"/>
              </w:rPr>
              <w:t>涂料中VOCs</w:t>
            </w:r>
            <w:r>
              <w:rPr>
                <w:rFonts w:hint="eastAsia" w:ascii="Times New Roman" w:hAnsi="Times New Roman" w:cs="Times New Roman" w:eastAsiaTheme="minorEastAsia"/>
                <w:color w:val="auto"/>
                <w:sz w:val="24"/>
                <w:szCs w:val="24"/>
                <w:lang w:val="en-US" w:eastAsia="zh-CN"/>
              </w:rPr>
              <w:t>检验结果见表1-4。</w:t>
            </w:r>
          </w:p>
          <w:p>
            <w:pPr>
              <w:pStyle w:val="18"/>
              <w:numPr>
                <w:ilvl w:val="0"/>
                <w:numId w:val="0"/>
              </w:numPr>
              <w:ind w:firstLine="422" w:firstLineChars="200"/>
              <w:jc w:val="center"/>
              <w:outlineLvl w:val="1"/>
              <w:rPr>
                <w:rFonts w:hint="eastAsia"/>
                <w:b w:val="0"/>
                <w:bCs w:val="0"/>
                <w:color w:val="auto"/>
                <w:sz w:val="24"/>
                <w:szCs w:val="24"/>
                <w:lang w:val="en-US" w:eastAsia="zh-CN"/>
              </w:rPr>
            </w:pPr>
            <w:r>
              <w:rPr>
                <w:rFonts w:hint="eastAsia"/>
                <w:b/>
                <w:bCs/>
                <w:color w:val="auto"/>
                <w:sz w:val="21"/>
                <w:szCs w:val="16"/>
                <w:lang w:eastAsia="zh-CN"/>
              </w:rPr>
              <w:t>表</w:t>
            </w:r>
            <w:r>
              <w:rPr>
                <w:rFonts w:hint="eastAsia"/>
                <w:b/>
                <w:bCs/>
                <w:color w:val="auto"/>
                <w:sz w:val="21"/>
                <w:szCs w:val="16"/>
                <w:lang w:val="en-US" w:eastAsia="zh-CN"/>
              </w:rPr>
              <w:t>1-4 项目所用涂料</w:t>
            </w:r>
            <w:r>
              <w:rPr>
                <w:rFonts w:hint="eastAsia" w:cs="Times New Roman" w:eastAsiaTheme="minorEastAsia"/>
                <w:b/>
                <w:bCs/>
                <w:color w:val="auto"/>
                <w:sz w:val="21"/>
                <w:szCs w:val="21"/>
                <w:lang w:val="en-US" w:eastAsia="zh-CN"/>
              </w:rPr>
              <w:t>挥发性有机物含量表</w:t>
            </w:r>
          </w:p>
          <w:tbl>
            <w:tblPr>
              <w:tblStyle w:val="37"/>
              <w:tblW w:w="5400" w:type="dxa"/>
              <w:tblInd w:w="-25" w:type="dxa"/>
              <w:shd w:val="clear" w:color="auto" w:fill="auto"/>
              <w:tblLayout w:type="autofit"/>
              <w:tblCellMar>
                <w:top w:w="0" w:type="dxa"/>
                <w:left w:w="0" w:type="dxa"/>
                <w:bottom w:w="0" w:type="dxa"/>
                <w:right w:w="0" w:type="dxa"/>
              </w:tblCellMar>
            </w:tblPr>
            <w:tblGrid>
              <w:gridCol w:w="1659"/>
              <w:gridCol w:w="3390"/>
              <w:gridCol w:w="1048"/>
              <w:gridCol w:w="1048"/>
              <w:gridCol w:w="1048"/>
            </w:tblGrid>
            <w:tr>
              <w:tblPrEx>
                <w:shd w:val="clear" w:color="auto" w:fill="auto"/>
                <w:tblCellMar>
                  <w:top w:w="0" w:type="dxa"/>
                  <w:left w:w="0" w:type="dxa"/>
                  <w:bottom w:w="0" w:type="dxa"/>
                  <w:right w:w="0" w:type="dxa"/>
                </w:tblCellMar>
              </w:tblPrEx>
              <w:trPr>
                <w:trHeight w:val="285"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样品名称</w:t>
                  </w:r>
                </w:p>
              </w:tc>
              <w:tc>
                <w:tcPr>
                  <w:tcW w:w="1080"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检验项目</w:t>
                  </w:r>
                </w:p>
              </w:tc>
              <w:tc>
                <w:tcPr>
                  <w:tcW w:w="1080"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技术要求</w:t>
                  </w:r>
                </w:p>
              </w:tc>
              <w:tc>
                <w:tcPr>
                  <w:tcW w:w="1080"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检验结果</w:t>
                  </w:r>
                </w:p>
              </w:tc>
              <w:tc>
                <w:tcPr>
                  <w:tcW w:w="1080"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本项结果</w:t>
                  </w:r>
                </w:p>
              </w:tc>
            </w:tr>
            <w:tr>
              <w:tblPrEx>
                <w:tblCellMar>
                  <w:top w:w="0" w:type="dxa"/>
                  <w:left w:w="0" w:type="dxa"/>
                  <w:bottom w:w="0" w:type="dxa"/>
                  <w:right w:w="0"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环氧富锌底漆</w:t>
                  </w:r>
                </w:p>
              </w:tc>
              <w:tc>
                <w:tcPr>
                  <w:tcW w:w="0" w:type="auto"/>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挥发性有机化合物（VOC）含量，g/L</w:t>
                  </w:r>
                </w:p>
              </w:tc>
              <w:tc>
                <w:tcPr>
                  <w:tcW w:w="0" w:type="auto"/>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≤450</w:t>
                  </w:r>
                </w:p>
              </w:tc>
              <w:tc>
                <w:tcPr>
                  <w:tcW w:w="0" w:type="auto"/>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212</w:t>
                  </w:r>
                </w:p>
              </w:tc>
              <w:tc>
                <w:tcPr>
                  <w:tcW w:w="0" w:type="auto"/>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合格</w:t>
                  </w:r>
                </w:p>
              </w:tc>
            </w:tr>
            <w:tr>
              <w:tblPrEx>
                <w:tblCellMar>
                  <w:top w:w="0" w:type="dxa"/>
                  <w:left w:w="0" w:type="dxa"/>
                  <w:bottom w:w="0" w:type="dxa"/>
                  <w:right w:w="0"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灰环氧云铁中间漆</w:t>
                  </w:r>
                </w:p>
              </w:tc>
              <w:tc>
                <w:tcPr>
                  <w:tcW w:w="0" w:type="auto"/>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挥发性有机化合物（VOC）含量，g/L</w:t>
                  </w:r>
                </w:p>
              </w:tc>
              <w:tc>
                <w:tcPr>
                  <w:tcW w:w="0" w:type="auto"/>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≤420</w:t>
                  </w:r>
                </w:p>
              </w:tc>
              <w:tc>
                <w:tcPr>
                  <w:tcW w:w="0" w:type="auto"/>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385</w:t>
                  </w:r>
                </w:p>
              </w:tc>
              <w:tc>
                <w:tcPr>
                  <w:tcW w:w="0" w:type="auto"/>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合格</w:t>
                  </w:r>
                </w:p>
              </w:tc>
            </w:tr>
            <w:tr>
              <w:tblPrEx>
                <w:tblCellMar>
                  <w:top w:w="0" w:type="dxa"/>
                  <w:left w:w="0" w:type="dxa"/>
                  <w:bottom w:w="0" w:type="dxa"/>
                  <w:right w:w="0"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中黄氟碳面漆</w:t>
                  </w:r>
                </w:p>
              </w:tc>
              <w:tc>
                <w:tcPr>
                  <w:tcW w:w="0" w:type="auto"/>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挥发性有机化合物（VOC）含量，g/L</w:t>
                  </w:r>
                </w:p>
              </w:tc>
              <w:tc>
                <w:tcPr>
                  <w:tcW w:w="0" w:type="auto"/>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≤450</w:t>
                  </w:r>
                </w:p>
              </w:tc>
              <w:tc>
                <w:tcPr>
                  <w:tcW w:w="0" w:type="auto"/>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202</w:t>
                  </w:r>
                </w:p>
              </w:tc>
              <w:tc>
                <w:tcPr>
                  <w:tcW w:w="0" w:type="auto"/>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合格</w:t>
                  </w:r>
                </w:p>
              </w:tc>
            </w:tr>
          </w:tbl>
          <w:p>
            <w:pPr>
              <w:rPr>
                <w:rFonts w:hint="eastAsia" w:eastAsia="宋体"/>
                <w:lang w:val="en-US" w:eastAsia="zh-CN"/>
              </w:rPr>
            </w:pPr>
          </w:p>
          <w:p>
            <w:pPr>
              <w:pStyle w:val="18"/>
              <w:numPr>
                <w:ilvl w:val="0"/>
                <w:numId w:val="1"/>
              </w:numPr>
              <w:ind w:firstLine="482" w:firstLineChars="200"/>
              <w:jc w:val="both"/>
              <w:outlineLvl w:val="1"/>
              <w:rPr>
                <w:rFonts w:hint="eastAsia"/>
                <w:b/>
                <w:bCs/>
                <w:color w:val="auto"/>
                <w:lang w:eastAsia="zh-CN"/>
              </w:rPr>
            </w:pPr>
            <w:r>
              <w:rPr>
                <w:rFonts w:hint="eastAsia"/>
                <w:b/>
                <w:bCs/>
                <w:color w:val="auto"/>
                <w:lang w:eastAsia="zh-CN"/>
              </w:rPr>
              <w:t>项目主要设备</w:t>
            </w:r>
          </w:p>
          <w:p>
            <w:pPr>
              <w:pStyle w:val="104"/>
              <w:kinsoku w:val="0"/>
              <w:overflowPunct w:val="0"/>
              <w:spacing w:beforeLines="0" w:afterLines="0" w:line="360" w:lineRule="auto"/>
              <w:ind w:left="0" w:firstLine="480" w:firstLineChars="200"/>
              <w:jc w:val="left"/>
              <w:outlineLvl w:val="1"/>
              <w:rPr>
                <w:rFonts w:hint="eastAsia"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color w:val="auto"/>
                <w:sz w:val="24"/>
                <w:szCs w:val="24"/>
                <w:lang w:val="en-US" w:eastAsia="zh-CN"/>
              </w:rPr>
              <w:t>项目主要设备见表1-5。</w:t>
            </w:r>
          </w:p>
          <w:p>
            <w:pPr>
              <w:spacing w:line="240" w:lineRule="auto"/>
              <w:jc w:val="center"/>
              <w:outlineLvl w:val="1"/>
              <w:rPr>
                <w:rFonts w:hint="eastAsia"/>
                <w:b/>
                <w:bCs/>
                <w:color w:val="auto"/>
                <w:lang w:eastAsia="zh-CN"/>
              </w:rPr>
            </w:pPr>
            <w:r>
              <w:rPr>
                <w:rFonts w:hint="eastAsia"/>
                <w:b/>
                <w:bCs/>
                <w:color w:val="auto"/>
                <w:lang w:eastAsia="zh-CN"/>
              </w:rPr>
              <w:t>表</w:t>
            </w:r>
            <w:r>
              <w:rPr>
                <w:rFonts w:hint="eastAsia"/>
                <w:b/>
                <w:bCs/>
                <w:color w:val="auto"/>
                <w:lang w:val="en-US" w:eastAsia="zh-CN"/>
              </w:rPr>
              <w:t xml:space="preserve">1-5  </w:t>
            </w:r>
            <w:r>
              <w:rPr>
                <w:rFonts w:hint="eastAsia"/>
                <w:b/>
                <w:bCs/>
                <w:color w:val="auto"/>
                <w:lang w:eastAsia="zh-CN"/>
              </w:rPr>
              <w:t>项目主要设备一览表</w:t>
            </w:r>
          </w:p>
          <w:tbl>
            <w:tblPr>
              <w:tblStyle w:val="3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2575"/>
              <w:gridCol w:w="1632"/>
              <w:gridCol w:w="1632"/>
              <w:gridCol w:w="1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noWrap w:val="0"/>
                  <w:vAlign w:val="top"/>
                </w:tcPr>
                <w:p>
                  <w:pPr>
                    <w:pStyle w:val="53"/>
                    <w:bidi w:val="0"/>
                    <w:spacing w:line="240" w:lineRule="auto"/>
                    <w:outlineLvl w:val="1"/>
                    <w:rPr>
                      <w:rFonts w:hint="eastAsia"/>
                      <w:b w:val="0"/>
                      <w:bCs w:val="0"/>
                      <w:color w:val="auto"/>
                      <w:sz w:val="21"/>
                      <w:szCs w:val="21"/>
                      <w:lang w:val="en-US" w:eastAsia="zh-CN"/>
                    </w:rPr>
                  </w:pPr>
                  <w:r>
                    <w:rPr>
                      <w:rFonts w:hint="eastAsia"/>
                      <w:b w:val="0"/>
                      <w:bCs w:val="0"/>
                      <w:color w:val="auto"/>
                      <w:sz w:val="21"/>
                      <w:szCs w:val="21"/>
                      <w:lang w:val="en-US" w:eastAsia="zh-CN"/>
                    </w:rPr>
                    <w:t>序号</w:t>
                  </w:r>
                </w:p>
              </w:tc>
              <w:tc>
                <w:tcPr>
                  <w:tcW w:w="1573" w:type="pct"/>
                  <w:noWrap w:val="0"/>
                  <w:vAlign w:val="top"/>
                </w:tcPr>
                <w:p>
                  <w:pPr>
                    <w:pStyle w:val="53"/>
                    <w:bidi w:val="0"/>
                    <w:spacing w:line="240" w:lineRule="auto"/>
                    <w:outlineLvl w:val="1"/>
                    <w:rPr>
                      <w:rFonts w:hint="eastAsia"/>
                      <w:b w:val="0"/>
                      <w:bCs w:val="0"/>
                      <w:color w:val="auto"/>
                      <w:sz w:val="21"/>
                      <w:szCs w:val="21"/>
                      <w:lang w:val="en-US" w:eastAsia="zh-CN"/>
                    </w:rPr>
                  </w:pPr>
                  <w:r>
                    <w:rPr>
                      <w:rFonts w:hint="eastAsia"/>
                      <w:b w:val="0"/>
                      <w:bCs w:val="0"/>
                      <w:color w:val="auto"/>
                      <w:sz w:val="21"/>
                      <w:szCs w:val="21"/>
                      <w:lang w:val="en-US" w:eastAsia="zh-CN"/>
                    </w:rPr>
                    <w:t>名称</w:t>
                  </w:r>
                </w:p>
              </w:tc>
              <w:tc>
                <w:tcPr>
                  <w:tcW w:w="997" w:type="pct"/>
                  <w:noWrap w:val="0"/>
                  <w:vAlign w:val="top"/>
                </w:tcPr>
                <w:p>
                  <w:pPr>
                    <w:pStyle w:val="53"/>
                    <w:bidi w:val="0"/>
                    <w:spacing w:line="240" w:lineRule="auto"/>
                    <w:outlineLvl w:val="1"/>
                    <w:rPr>
                      <w:rFonts w:hint="eastAsia"/>
                      <w:b w:val="0"/>
                      <w:bCs w:val="0"/>
                      <w:color w:val="auto"/>
                      <w:sz w:val="21"/>
                      <w:szCs w:val="21"/>
                      <w:lang w:val="en-US" w:eastAsia="zh-CN"/>
                    </w:rPr>
                  </w:pPr>
                  <w:r>
                    <w:rPr>
                      <w:rFonts w:hint="eastAsia"/>
                      <w:b w:val="0"/>
                      <w:bCs w:val="0"/>
                      <w:color w:val="auto"/>
                      <w:sz w:val="21"/>
                      <w:szCs w:val="21"/>
                      <w:lang w:val="en-US" w:eastAsia="zh-CN"/>
                    </w:rPr>
                    <w:t>单位</w:t>
                  </w:r>
                </w:p>
              </w:tc>
              <w:tc>
                <w:tcPr>
                  <w:tcW w:w="997" w:type="pct"/>
                  <w:noWrap w:val="0"/>
                  <w:vAlign w:val="top"/>
                </w:tcPr>
                <w:p>
                  <w:pPr>
                    <w:pStyle w:val="53"/>
                    <w:bidi w:val="0"/>
                    <w:spacing w:line="240" w:lineRule="auto"/>
                    <w:outlineLvl w:val="1"/>
                    <w:rPr>
                      <w:rFonts w:hint="eastAsia"/>
                      <w:b w:val="0"/>
                      <w:bCs w:val="0"/>
                      <w:color w:val="auto"/>
                      <w:sz w:val="21"/>
                      <w:szCs w:val="21"/>
                      <w:lang w:val="en-US" w:eastAsia="zh-CN"/>
                    </w:rPr>
                  </w:pPr>
                  <w:r>
                    <w:rPr>
                      <w:rFonts w:hint="eastAsia"/>
                      <w:b w:val="0"/>
                      <w:bCs w:val="0"/>
                      <w:color w:val="auto"/>
                      <w:sz w:val="21"/>
                      <w:szCs w:val="21"/>
                      <w:lang w:val="en-US" w:eastAsia="zh-CN"/>
                    </w:rPr>
                    <w:t>数量</w:t>
                  </w:r>
                </w:p>
              </w:tc>
              <w:tc>
                <w:tcPr>
                  <w:tcW w:w="1010" w:type="pct"/>
                  <w:noWrap w:val="0"/>
                  <w:vAlign w:val="top"/>
                </w:tcPr>
                <w:p>
                  <w:pPr>
                    <w:pStyle w:val="53"/>
                    <w:bidi w:val="0"/>
                    <w:spacing w:line="240" w:lineRule="auto"/>
                    <w:outlineLvl w:val="1"/>
                    <w:rPr>
                      <w:rFonts w:hint="eastAsia" w:eastAsia="宋体"/>
                      <w:b w:val="0"/>
                      <w:bCs w:val="0"/>
                      <w:color w:val="auto"/>
                      <w:sz w:val="21"/>
                      <w:szCs w:val="21"/>
                      <w:lang w:val="en-US" w:eastAsia="zh-CN"/>
                    </w:rPr>
                  </w:pPr>
                  <w:r>
                    <w:rPr>
                      <w:rFonts w:hint="eastAsia"/>
                      <w:b w:val="0"/>
                      <w:bCs w:val="0"/>
                      <w:color w:val="auto"/>
                      <w:sz w:val="21"/>
                      <w:szCs w:val="21"/>
                      <w:lang w:val="en-US" w:eastAsia="zh-CN"/>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noWrap w:val="0"/>
                  <w:vAlign w:val="top"/>
                </w:tcPr>
                <w:p>
                  <w:pPr>
                    <w:pStyle w:val="53"/>
                    <w:bidi w:val="0"/>
                    <w:spacing w:line="240" w:lineRule="auto"/>
                    <w:outlineLvl w:val="1"/>
                    <w:rPr>
                      <w:rFonts w:hint="default"/>
                      <w:b w:val="0"/>
                      <w:bCs w:val="0"/>
                      <w:color w:val="auto"/>
                      <w:sz w:val="21"/>
                      <w:szCs w:val="21"/>
                      <w:lang w:val="en-US" w:eastAsia="zh-CN"/>
                    </w:rPr>
                  </w:pPr>
                  <w:r>
                    <w:rPr>
                      <w:rFonts w:hint="eastAsia"/>
                      <w:b w:val="0"/>
                      <w:bCs w:val="0"/>
                      <w:color w:val="auto"/>
                      <w:sz w:val="21"/>
                      <w:szCs w:val="21"/>
                      <w:lang w:val="en-US" w:eastAsia="zh-CN"/>
                    </w:rPr>
                    <w:t>1</w:t>
                  </w:r>
                </w:p>
              </w:tc>
              <w:tc>
                <w:tcPr>
                  <w:tcW w:w="1573" w:type="pct"/>
                  <w:noWrap w:val="0"/>
                  <w:vAlign w:val="top"/>
                </w:tcPr>
                <w:p>
                  <w:pPr>
                    <w:pStyle w:val="104"/>
                    <w:spacing w:line="360" w:lineRule="auto"/>
                    <w:jc w:val="center"/>
                    <w:outlineLvl w:val="1"/>
                    <w:rPr>
                      <w:rFonts w:hint="eastAsia"/>
                      <w:b w:val="0"/>
                      <w:bCs w:val="0"/>
                      <w:color w:val="auto"/>
                      <w:sz w:val="21"/>
                      <w:szCs w:val="21"/>
                      <w:lang w:val="en-US" w:eastAsia="zh-CN"/>
                    </w:rPr>
                  </w:pPr>
                  <w:r>
                    <w:rPr>
                      <w:rFonts w:hint="eastAsia" w:ascii="Times New Roman"/>
                      <w:color w:val="auto"/>
                      <w:sz w:val="21"/>
                      <w:szCs w:val="21"/>
                      <w:lang w:eastAsia="zh-CN"/>
                    </w:rPr>
                    <w:t>液压式折弯机</w:t>
                  </w:r>
                </w:p>
              </w:tc>
              <w:tc>
                <w:tcPr>
                  <w:tcW w:w="997" w:type="pct"/>
                  <w:noWrap w:val="0"/>
                  <w:vAlign w:val="top"/>
                </w:tcPr>
                <w:p>
                  <w:pPr>
                    <w:pStyle w:val="104"/>
                    <w:spacing w:line="360" w:lineRule="auto"/>
                    <w:jc w:val="center"/>
                    <w:outlineLvl w:val="1"/>
                    <w:rPr>
                      <w:rFonts w:hint="eastAsia" w:ascii="Times New Roman"/>
                      <w:color w:val="auto"/>
                      <w:sz w:val="21"/>
                      <w:szCs w:val="21"/>
                      <w:lang w:eastAsia="zh-CN"/>
                    </w:rPr>
                  </w:pPr>
                  <w:r>
                    <w:rPr>
                      <w:rFonts w:hint="eastAsia" w:ascii="Times New Roman"/>
                      <w:color w:val="auto"/>
                      <w:sz w:val="21"/>
                      <w:szCs w:val="21"/>
                      <w:lang w:eastAsia="zh-CN"/>
                    </w:rPr>
                    <w:t>台</w:t>
                  </w:r>
                </w:p>
              </w:tc>
              <w:tc>
                <w:tcPr>
                  <w:tcW w:w="997" w:type="pct"/>
                  <w:noWrap w:val="0"/>
                  <w:vAlign w:val="top"/>
                </w:tcPr>
                <w:p>
                  <w:pPr>
                    <w:pStyle w:val="104"/>
                    <w:spacing w:line="360" w:lineRule="auto"/>
                    <w:jc w:val="center"/>
                    <w:outlineLvl w:val="1"/>
                    <w:rPr>
                      <w:rFonts w:hint="default"/>
                      <w:b w:val="0"/>
                      <w:bCs w:val="0"/>
                      <w:color w:val="auto"/>
                      <w:sz w:val="21"/>
                      <w:szCs w:val="21"/>
                      <w:lang w:val="en-US" w:eastAsia="zh-CN"/>
                    </w:rPr>
                  </w:pPr>
                  <w:r>
                    <w:rPr>
                      <w:rFonts w:hint="eastAsia" w:ascii="Times New Roman"/>
                      <w:color w:val="auto"/>
                      <w:sz w:val="21"/>
                      <w:szCs w:val="21"/>
                      <w:lang w:val="en-US" w:eastAsia="zh-CN"/>
                    </w:rPr>
                    <w:t>1</w:t>
                  </w:r>
                </w:p>
              </w:tc>
              <w:tc>
                <w:tcPr>
                  <w:tcW w:w="1010" w:type="pct"/>
                  <w:noWrap w:val="0"/>
                  <w:vAlign w:val="top"/>
                </w:tcPr>
                <w:p>
                  <w:pPr>
                    <w:pStyle w:val="104"/>
                    <w:spacing w:line="360" w:lineRule="auto"/>
                    <w:jc w:val="center"/>
                    <w:outlineLvl w:val="1"/>
                    <w:rPr>
                      <w:rFonts w:hint="default"/>
                      <w:b w:val="0"/>
                      <w:bCs w:val="0"/>
                      <w:color w:val="auto"/>
                      <w:sz w:val="21"/>
                      <w:szCs w:val="21"/>
                      <w:lang w:val="en-US" w:eastAsia="zh-CN"/>
                    </w:rPr>
                  </w:pPr>
                  <w:r>
                    <w:rPr>
                      <w:rFonts w:hint="eastAsia" w:ascii="Times New Roman"/>
                      <w:color w:val="auto"/>
                      <w:sz w:val="21"/>
                      <w:szCs w:val="21"/>
                      <w:lang w:eastAsia="zh-CN"/>
                    </w:rPr>
                    <w:t>板材折弯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noWrap w:val="0"/>
                  <w:vAlign w:val="top"/>
                </w:tcPr>
                <w:p>
                  <w:pPr>
                    <w:pStyle w:val="53"/>
                    <w:bidi w:val="0"/>
                    <w:spacing w:line="240" w:lineRule="auto"/>
                    <w:outlineLvl w:val="1"/>
                    <w:rPr>
                      <w:rFonts w:hint="default"/>
                      <w:b w:val="0"/>
                      <w:bCs w:val="0"/>
                      <w:color w:val="auto"/>
                      <w:sz w:val="21"/>
                      <w:szCs w:val="21"/>
                      <w:lang w:val="en-US" w:eastAsia="zh-CN"/>
                    </w:rPr>
                  </w:pPr>
                  <w:r>
                    <w:rPr>
                      <w:rFonts w:hint="eastAsia"/>
                      <w:b w:val="0"/>
                      <w:bCs w:val="0"/>
                      <w:color w:val="auto"/>
                      <w:sz w:val="21"/>
                      <w:szCs w:val="21"/>
                      <w:lang w:val="en-US" w:eastAsia="zh-CN"/>
                    </w:rPr>
                    <w:t>2</w:t>
                  </w:r>
                </w:p>
              </w:tc>
              <w:tc>
                <w:tcPr>
                  <w:tcW w:w="1573" w:type="pct"/>
                  <w:noWrap w:val="0"/>
                  <w:vAlign w:val="top"/>
                </w:tcPr>
                <w:p>
                  <w:pPr>
                    <w:pStyle w:val="104"/>
                    <w:spacing w:line="360" w:lineRule="auto"/>
                    <w:jc w:val="center"/>
                    <w:outlineLvl w:val="1"/>
                    <w:rPr>
                      <w:rFonts w:hint="eastAsia"/>
                      <w:b w:val="0"/>
                      <w:bCs w:val="0"/>
                      <w:color w:val="auto"/>
                      <w:sz w:val="21"/>
                      <w:szCs w:val="21"/>
                      <w:lang w:val="en-US" w:eastAsia="zh-CN"/>
                    </w:rPr>
                  </w:pPr>
                  <w:r>
                    <w:rPr>
                      <w:rFonts w:hint="eastAsia" w:ascii="Times New Roman"/>
                      <w:color w:val="auto"/>
                      <w:sz w:val="21"/>
                      <w:szCs w:val="21"/>
                      <w:lang w:eastAsia="zh-CN"/>
                    </w:rPr>
                    <w:t>摇臂钻床</w:t>
                  </w:r>
                </w:p>
              </w:tc>
              <w:tc>
                <w:tcPr>
                  <w:tcW w:w="997" w:type="pct"/>
                  <w:noWrap w:val="0"/>
                  <w:vAlign w:val="top"/>
                </w:tcPr>
                <w:p>
                  <w:pPr>
                    <w:pStyle w:val="104"/>
                    <w:spacing w:line="360" w:lineRule="auto"/>
                    <w:jc w:val="center"/>
                    <w:outlineLvl w:val="1"/>
                    <w:rPr>
                      <w:rFonts w:hint="eastAsia" w:ascii="Times New Roman"/>
                      <w:color w:val="auto"/>
                      <w:sz w:val="21"/>
                      <w:szCs w:val="21"/>
                      <w:lang w:eastAsia="zh-CN"/>
                    </w:rPr>
                  </w:pPr>
                  <w:r>
                    <w:rPr>
                      <w:rFonts w:hint="eastAsia" w:ascii="Times New Roman"/>
                      <w:color w:val="auto"/>
                      <w:sz w:val="21"/>
                      <w:szCs w:val="21"/>
                      <w:lang w:eastAsia="zh-CN"/>
                    </w:rPr>
                    <w:t>台</w:t>
                  </w:r>
                </w:p>
              </w:tc>
              <w:tc>
                <w:tcPr>
                  <w:tcW w:w="997" w:type="pct"/>
                  <w:noWrap w:val="0"/>
                  <w:vAlign w:val="top"/>
                </w:tcPr>
                <w:p>
                  <w:pPr>
                    <w:pStyle w:val="104"/>
                    <w:spacing w:line="360" w:lineRule="auto"/>
                    <w:jc w:val="center"/>
                    <w:outlineLvl w:val="1"/>
                    <w:rPr>
                      <w:rFonts w:hint="default"/>
                      <w:b w:val="0"/>
                      <w:bCs w:val="0"/>
                      <w:color w:val="auto"/>
                      <w:sz w:val="21"/>
                      <w:szCs w:val="21"/>
                      <w:lang w:val="en-US" w:eastAsia="zh-CN"/>
                    </w:rPr>
                  </w:pPr>
                  <w:r>
                    <w:rPr>
                      <w:rFonts w:hint="eastAsia" w:ascii="Times New Roman"/>
                      <w:color w:val="auto"/>
                      <w:sz w:val="21"/>
                      <w:szCs w:val="21"/>
                      <w:lang w:val="en-US" w:eastAsia="zh-CN"/>
                    </w:rPr>
                    <w:t>1</w:t>
                  </w:r>
                </w:p>
              </w:tc>
              <w:tc>
                <w:tcPr>
                  <w:tcW w:w="1010" w:type="pct"/>
                  <w:noWrap w:val="0"/>
                  <w:vAlign w:val="top"/>
                </w:tcPr>
                <w:p>
                  <w:pPr>
                    <w:pStyle w:val="104"/>
                    <w:spacing w:line="360" w:lineRule="auto"/>
                    <w:jc w:val="center"/>
                    <w:outlineLvl w:val="1"/>
                    <w:rPr>
                      <w:rFonts w:hint="eastAsia"/>
                      <w:b w:val="0"/>
                      <w:bCs w:val="0"/>
                      <w:color w:val="auto"/>
                      <w:sz w:val="21"/>
                      <w:szCs w:val="21"/>
                      <w:lang w:val="en-US" w:eastAsia="zh-CN"/>
                    </w:rPr>
                  </w:pPr>
                  <w:r>
                    <w:rPr>
                      <w:rFonts w:hint="eastAsia" w:ascii="Times New Roman"/>
                      <w:color w:val="auto"/>
                      <w:sz w:val="21"/>
                      <w:szCs w:val="21"/>
                      <w:lang w:eastAsia="zh-CN"/>
                    </w:rPr>
                    <w:t>钻孔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noWrap w:val="0"/>
                  <w:vAlign w:val="top"/>
                </w:tcPr>
                <w:p>
                  <w:pPr>
                    <w:pStyle w:val="53"/>
                    <w:bidi w:val="0"/>
                    <w:spacing w:line="240" w:lineRule="auto"/>
                    <w:outlineLvl w:val="1"/>
                    <w:rPr>
                      <w:rFonts w:hint="default"/>
                      <w:b w:val="0"/>
                      <w:bCs w:val="0"/>
                      <w:color w:val="auto"/>
                      <w:sz w:val="21"/>
                      <w:szCs w:val="21"/>
                      <w:lang w:val="en-US" w:eastAsia="zh-CN"/>
                    </w:rPr>
                  </w:pPr>
                  <w:r>
                    <w:rPr>
                      <w:rFonts w:hint="eastAsia"/>
                      <w:b w:val="0"/>
                      <w:bCs w:val="0"/>
                      <w:color w:val="auto"/>
                      <w:sz w:val="21"/>
                      <w:szCs w:val="21"/>
                      <w:lang w:val="en-US" w:eastAsia="zh-CN"/>
                    </w:rPr>
                    <w:t>3</w:t>
                  </w:r>
                </w:p>
              </w:tc>
              <w:tc>
                <w:tcPr>
                  <w:tcW w:w="1573" w:type="pct"/>
                  <w:noWrap w:val="0"/>
                  <w:vAlign w:val="top"/>
                </w:tcPr>
                <w:p>
                  <w:pPr>
                    <w:pStyle w:val="104"/>
                    <w:spacing w:line="360" w:lineRule="auto"/>
                    <w:jc w:val="center"/>
                    <w:outlineLvl w:val="1"/>
                    <w:rPr>
                      <w:rFonts w:hint="eastAsia"/>
                      <w:b w:val="0"/>
                      <w:bCs w:val="0"/>
                      <w:color w:val="auto"/>
                      <w:sz w:val="21"/>
                      <w:szCs w:val="21"/>
                      <w:lang w:val="en-US" w:eastAsia="zh-CN"/>
                    </w:rPr>
                  </w:pPr>
                  <w:r>
                    <w:rPr>
                      <w:rFonts w:hint="eastAsia" w:ascii="Times New Roman"/>
                      <w:color w:val="auto"/>
                      <w:sz w:val="21"/>
                      <w:szCs w:val="21"/>
                      <w:lang w:eastAsia="zh-CN"/>
                    </w:rPr>
                    <w:t>激光切割机</w:t>
                  </w:r>
                </w:p>
              </w:tc>
              <w:tc>
                <w:tcPr>
                  <w:tcW w:w="997" w:type="pct"/>
                  <w:noWrap w:val="0"/>
                  <w:vAlign w:val="top"/>
                </w:tcPr>
                <w:p>
                  <w:pPr>
                    <w:pStyle w:val="104"/>
                    <w:spacing w:line="360" w:lineRule="auto"/>
                    <w:jc w:val="center"/>
                    <w:outlineLvl w:val="1"/>
                    <w:rPr>
                      <w:rFonts w:hint="eastAsia" w:ascii="Times New Roman"/>
                      <w:color w:val="auto"/>
                      <w:sz w:val="21"/>
                      <w:szCs w:val="21"/>
                      <w:lang w:eastAsia="zh-CN"/>
                    </w:rPr>
                  </w:pPr>
                  <w:r>
                    <w:rPr>
                      <w:rFonts w:hint="eastAsia" w:ascii="Times New Roman"/>
                      <w:color w:val="auto"/>
                      <w:sz w:val="21"/>
                      <w:szCs w:val="21"/>
                      <w:lang w:val="en-US" w:eastAsia="zh-CN"/>
                    </w:rPr>
                    <w:t>台</w:t>
                  </w:r>
                </w:p>
              </w:tc>
              <w:tc>
                <w:tcPr>
                  <w:tcW w:w="997" w:type="pct"/>
                  <w:noWrap w:val="0"/>
                  <w:vAlign w:val="top"/>
                </w:tcPr>
                <w:p>
                  <w:pPr>
                    <w:pStyle w:val="104"/>
                    <w:spacing w:line="360" w:lineRule="auto"/>
                    <w:jc w:val="center"/>
                    <w:outlineLvl w:val="1"/>
                    <w:rPr>
                      <w:rFonts w:hint="default"/>
                      <w:b w:val="0"/>
                      <w:bCs w:val="0"/>
                      <w:color w:val="auto"/>
                      <w:sz w:val="21"/>
                      <w:szCs w:val="21"/>
                      <w:lang w:val="en-US" w:eastAsia="zh-CN"/>
                    </w:rPr>
                  </w:pPr>
                  <w:r>
                    <w:rPr>
                      <w:rFonts w:hint="eastAsia" w:ascii="Times New Roman"/>
                      <w:color w:val="auto"/>
                      <w:sz w:val="21"/>
                      <w:szCs w:val="21"/>
                      <w:lang w:val="en-US" w:eastAsia="zh-CN"/>
                    </w:rPr>
                    <w:t>1</w:t>
                  </w:r>
                </w:p>
              </w:tc>
              <w:tc>
                <w:tcPr>
                  <w:tcW w:w="1010" w:type="pct"/>
                  <w:noWrap w:val="0"/>
                  <w:vAlign w:val="top"/>
                </w:tcPr>
                <w:p>
                  <w:pPr>
                    <w:pStyle w:val="104"/>
                    <w:spacing w:line="360" w:lineRule="auto"/>
                    <w:jc w:val="center"/>
                    <w:outlineLvl w:val="1"/>
                    <w:rPr>
                      <w:rFonts w:hint="default"/>
                      <w:b w:val="0"/>
                      <w:bCs w:val="0"/>
                      <w:color w:val="auto"/>
                      <w:sz w:val="21"/>
                      <w:szCs w:val="21"/>
                      <w:lang w:val="en-US" w:eastAsia="zh-CN"/>
                    </w:rPr>
                  </w:pPr>
                  <w:r>
                    <w:rPr>
                      <w:rFonts w:hint="eastAsia" w:ascii="Times New Roman"/>
                      <w:color w:val="auto"/>
                      <w:sz w:val="21"/>
                      <w:szCs w:val="21"/>
                      <w:lang w:eastAsia="zh-CN"/>
                    </w:rPr>
                    <w:t>材料切割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noWrap w:val="0"/>
                  <w:vAlign w:val="top"/>
                </w:tcPr>
                <w:p>
                  <w:pPr>
                    <w:pStyle w:val="53"/>
                    <w:bidi w:val="0"/>
                    <w:spacing w:line="240" w:lineRule="auto"/>
                    <w:outlineLvl w:val="1"/>
                    <w:rPr>
                      <w:rFonts w:hint="default"/>
                      <w:b w:val="0"/>
                      <w:bCs w:val="0"/>
                      <w:color w:val="auto"/>
                      <w:sz w:val="21"/>
                      <w:szCs w:val="21"/>
                      <w:lang w:val="en-US" w:eastAsia="zh-CN"/>
                    </w:rPr>
                  </w:pPr>
                  <w:r>
                    <w:rPr>
                      <w:rFonts w:hint="eastAsia"/>
                      <w:b w:val="0"/>
                      <w:bCs w:val="0"/>
                      <w:color w:val="auto"/>
                      <w:sz w:val="21"/>
                      <w:szCs w:val="21"/>
                      <w:lang w:val="en-US" w:eastAsia="zh-CN"/>
                    </w:rPr>
                    <w:t>4</w:t>
                  </w:r>
                </w:p>
              </w:tc>
              <w:tc>
                <w:tcPr>
                  <w:tcW w:w="1573" w:type="pct"/>
                  <w:noWrap w:val="0"/>
                  <w:vAlign w:val="top"/>
                </w:tcPr>
                <w:p>
                  <w:pPr>
                    <w:pStyle w:val="104"/>
                    <w:spacing w:line="360" w:lineRule="auto"/>
                    <w:jc w:val="center"/>
                    <w:outlineLvl w:val="1"/>
                    <w:rPr>
                      <w:rFonts w:hint="eastAsia"/>
                      <w:b w:val="0"/>
                      <w:bCs w:val="0"/>
                      <w:color w:val="auto"/>
                      <w:sz w:val="21"/>
                      <w:szCs w:val="21"/>
                      <w:lang w:val="en-US" w:eastAsia="zh-CN"/>
                    </w:rPr>
                  </w:pPr>
                  <w:r>
                    <w:rPr>
                      <w:rFonts w:hint="eastAsia" w:ascii="Times New Roman"/>
                      <w:color w:val="auto"/>
                      <w:sz w:val="21"/>
                      <w:szCs w:val="21"/>
                      <w:lang w:eastAsia="zh-CN"/>
                    </w:rPr>
                    <w:t>行吊</w:t>
                  </w:r>
                </w:p>
              </w:tc>
              <w:tc>
                <w:tcPr>
                  <w:tcW w:w="997" w:type="pct"/>
                  <w:noWrap w:val="0"/>
                  <w:vAlign w:val="top"/>
                </w:tcPr>
                <w:p>
                  <w:pPr>
                    <w:pStyle w:val="104"/>
                    <w:spacing w:line="360" w:lineRule="auto"/>
                    <w:jc w:val="center"/>
                    <w:outlineLvl w:val="1"/>
                    <w:rPr>
                      <w:rFonts w:hint="eastAsia" w:ascii="Times New Roman"/>
                      <w:color w:val="auto"/>
                      <w:sz w:val="21"/>
                      <w:szCs w:val="21"/>
                      <w:lang w:eastAsia="zh-CN"/>
                    </w:rPr>
                  </w:pPr>
                  <w:r>
                    <w:rPr>
                      <w:rFonts w:hint="eastAsia" w:ascii="Times New Roman"/>
                      <w:color w:val="auto"/>
                      <w:sz w:val="21"/>
                      <w:szCs w:val="21"/>
                      <w:lang w:val="en-US" w:eastAsia="zh-CN"/>
                    </w:rPr>
                    <w:t>台</w:t>
                  </w:r>
                </w:p>
              </w:tc>
              <w:tc>
                <w:tcPr>
                  <w:tcW w:w="997" w:type="pct"/>
                  <w:noWrap w:val="0"/>
                  <w:vAlign w:val="top"/>
                </w:tcPr>
                <w:p>
                  <w:pPr>
                    <w:pStyle w:val="104"/>
                    <w:spacing w:line="360" w:lineRule="auto"/>
                    <w:jc w:val="center"/>
                    <w:outlineLvl w:val="1"/>
                    <w:rPr>
                      <w:rFonts w:hint="default"/>
                      <w:b w:val="0"/>
                      <w:bCs w:val="0"/>
                      <w:color w:val="auto"/>
                      <w:sz w:val="21"/>
                      <w:szCs w:val="21"/>
                      <w:lang w:val="en-US" w:eastAsia="zh-CN"/>
                    </w:rPr>
                  </w:pPr>
                  <w:r>
                    <w:rPr>
                      <w:rFonts w:hint="eastAsia" w:ascii="Times New Roman"/>
                      <w:color w:val="auto"/>
                      <w:sz w:val="21"/>
                      <w:szCs w:val="21"/>
                      <w:lang w:val="en-US" w:eastAsia="zh-CN"/>
                    </w:rPr>
                    <w:t>4</w:t>
                  </w:r>
                </w:p>
              </w:tc>
              <w:tc>
                <w:tcPr>
                  <w:tcW w:w="1010" w:type="pct"/>
                  <w:noWrap w:val="0"/>
                  <w:vAlign w:val="top"/>
                </w:tcPr>
                <w:p>
                  <w:pPr>
                    <w:pStyle w:val="104"/>
                    <w:spacing w:line="360" w:lineRule="auto"/>
                    <w:jc w:val="center"/>
                    <w:outlineLvl w:val="1"/>
                    <w:rPr>
                      <w:rFonts w:hint="default"/>
                      <w:b w:val="0"/>
                      <w:bCs w:val="0"/>
                      <w:color w:val="auto"/>
                      <w:sz w:val="21"/>
                      <w:szCs w:val="21"/>
                      <w:lang w:val="en-US" w:eastAsia="zh-CN"/>
                    </w:rPr>
                  </w:pPr>
                  <w:r>
                    <w:rPr>
                      <w:rFonts w:hint="eastAsia" w:ascii="Times New Roman"/>
                      <w:color w:val="auto"/>
                      <w:sz w:val="21"/>
                      <w:szCs w:val="21"/>
                      <w:lang w:eastAsia="zh-CN"/>
                    </w:rPr>
                    <w:t>吊装材料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noWrap w:val="0"/>
                  <w:vAlign w:val="top"/>
                </w:tcPr>
                <w:p>
                  <w:pPr>
                    <w:pStyle w:val="53"/>
                    <w:bidi w:val="0"/>
                    <w:spacing w:line="240" w:lineRule="auto"/>
                    <w:outlineLvl w:val="1"/>
                    <w:rPr>
                      <w:rFonts w:hint="default"/>
                      <w:b w:val="0"/>
                      <w:bCs w:val="0"/>
                      <w:color w:val="auto"/>
                      <w:sz w:val="21"/>
                      <w:szCs w:val="21"/>
                      <w:lang w:val="en-US" w:eastAsia="zh-CN"/>
                    </w:rPr>
                  </w:pPr>
                  <w:r>
                    <w:rPr>
                      <w:rFonts w:hint="eastAsia"/>
                      <w:b w:val="0"/>
                      <w:bCs w:val="0"/>
                      <w:color w:val="auto"/>
                      <w:sz w:val="21"/>
                      <w:szCs w:val="21"/>
                      <w:lang w:val="en-US" w:eastAsia="zh-CN"/>
                    </w:rPr>
                    <w:t>5</w:t>
                  </w:r>
                </w:p>
              </w:tc>
              <w:tc>
                <w:tcPr>
                  <w:tcW w:w="1573" w:type="pct"/>
                  <w:noWrap w:val="0"/>
                  <w:vAlign w:val="top"/>
                </w:tcPr>
                <w:p>
                  <w:pPr>
                    <w:pStyle w:val="104"/>
                    <w:spacing w:line="360" w:lineRule="auto"/>
                    <w:jc w:val="center"/>
                    <w:outlineLvl w:val="1"/>
                    <w:rPr>
                      <w:rFonts w:hint="eastAsia"/>
                      <w:b w:val="0"/>
                      <w:bCs w:val="0"/>
                      <w:color w:val="auto"/>
                      <w:sz w:val="21"/>
                      <w:szCs w:val="21"/>
                      <w:lang w:val="en-US" w:eastAsia="zh-CN"/>
                    </w:rPr>
                  </w:pPr>
                  <w:r>
                    <w:rPr>
                      <w:rFonts w:hint="eastAsia" w:ascii="Times New Roman"/>
                      <w:color w:val="auto"/>
                      <w:sz w:val="21"/>
                      <w:szCs w:val="21"/>
                      <w:lang w:eastAsia="zh-CN"/>
                    </w:rPr>
                    <w:t>空压机</w:t>
                  </w:r>
                </w:p>
              </w:tc>
              <w:tc>
                <w:tcPr>
                  <w:tcW w:w="997" w:type="pct"/>
                  <w:noWrap w:val="0"/>
                  <w:vAlign w:val="top"/>
                </w:tcPr>
                <w:p>
                  <w:pPr>
                    <w:pStyle w:val="104"/>
                    <w:spacing w:line="360" w:lineRule="auto"/>
                    <w:jc w:val="center"/>
                    <w:outlineLvl w:val="1"/>
                    <w:rPr>
                      <w:rFonts w:hint="eastAsia" w:ascii="Times New Roman"/>
                      <w:color w:val="auto"/>
                      <w:sz w:val="21"/>
                      <w:szCs w:val="21"/>
                      <w:lang w:eastAsia="zh-CN"/>
                    </w:rPr>
                  </w:pPr>
                  <w:r>
                    <w:rPr>
                      <w:rFonts w:hint="eastAsia" w:ascii="Times New Roman"/>
                      <w:color w:val="auto"/>
                      <w:sz w:val="21"/>
                      <w:szCs w:val="21"/>
                      <w:lang w:eastAsia="zh-CN"/>
                    </w:rPr>
                    <w:t>台</w:t>
                  </w:r>
                </w:p>
              </w:tc>
              <w:tc>
                <w:tcPr>
                  <w:tcW w:w="997" w:type="pct"/>
                  <w:noWrap w:val="0"/>
                  <w:vAlign w:val="top"/>
                </w:tcPr>
                <w:p>
                  <w:pPr>
                    <w:pStyle w:val="104"/>
                    <w:spacing w:line="360" w:lineRule="auto"/>
                    <w:jc w:val="center"/>
                    <w:outlineLvl w:val="1"/>
                    <w:rPr>
                      <w:rFonts w:hint="default"/>
                      <w:b w:val="0"/>
                      <w:bCs w:val="0"/>
                      <w:color w:val="auto"/>
                      <w:sz w:val="21"/>
                      <w:szCs w:val="21"/>
                      <w:lang w:val="en-US" w:eastAsia="zh-CN"/>
                    </w:rPr>
                  </w:pPr>
                  <w:r>
                    <w:rPr>
                      <w:rFonts w:hint="eastAsia" w:ascii="Times New Roman"/>
                      <w:color w:val="auto"/>
                      <w:sz w:val="21"/>
                      <w:szCs w:val="21"/>
                      <w:lang w:val="en-US" w:eastAsia="zh-CN"/>
                    </w:rPr>
                    <w:t>4</w:t>
                  </w:r>
                </w:p>
              </w:tc>
              <w:tc>
                <w:tcPr>
                  <w:tcW w:w="1010" w:type="pct"/>
                  <w:noWrap w:val="0"/>
                  <w:vAlign w:val="top"/>
                </w:tcPr>
                <w:p>
                  <w:pPr>
                    <w:pStyle w:val="104"/>
                    <w:spacing w:line="360" w:lineRule="auto"/>
                    <w:jc w:val="center"/>
                    <w:outlineLvl w:val="1"/>
                    <w:rPr>
                      <w:rFonts w:hint="default"/>
                      <w:b w:val="0"/>
                      <w:bCs w:val="0"/>
                      <w:color w:val="auto"/>
                      <w:sz w:val="21"/>
                      <w:szCs w:val="21"/>
                      <w:lang w:val="en-US" w:eastAsia="zh-CN"/>
                    </w:rPr>
                  </w:pPr>
                  <w:r>
                    <w:rPr>
                      <w:rFonts w:hint="eastAsia" w:ascii="Times New Roman"/>
                      <w:color w:val="auto"/>
                      <w:sz w:val="21"/>
                      <w:szCs w:val="21"/>
                      <w:lang w:eastAsia="zh-CN"/>
                    </w:rPr>
                    <w:t>切割、喷漆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noWrap w:val="0"/>
                  <w:vAlign w:val="top"/>
                </w:tcPr>
                <w:p>
                  <w:pPr>
                    <w:pStyle w:val="53"/>
                    <w:bidi w:val="0"/>
                    <w:spacing w:line="240" w:lineRule="auto"/>
                    <w:outlineLvl w:val="1"/>
                    <w:rPr>
                      <w:rFonts w:hint="default"/>
                      <w:b w:val="0"/>
                      <w:bCs w:val="0"/>
                      <w:color w:val="auto"/>
                      <w:sz w:val="21"/>
                      <w:szCs w:val="21"/>
                      <w:lang w:val="en-US" w:eastAsia="zh-CN"/>
                    </w:rPr>
                  </w:pPr>
                  <w:r>
                    <w:rPr>
                      <w:rFonts w:hint="eastAsia"/>
                      <w:b w:val="0"/>
                      <w:bCs w:val="0"/>
                      <w:color w:val="auto"/>
                      <w:sz w:val="21"/>
                      <w:szCs w:val="21"/>
                      <w:lang w:val="en-US" w:eastAsia="zh-CN"/>
                    </w:rPr>
                    <w:t>6</w:t>
                  </w:r>
                </w:p>
              </w:tc>
              <w:tc>
                <w:tcPr>
                  <w:tcW w:w="1573" w:type="pct"/>
                  <w:noWrap w:val="0"/>
                  <w:vAlign w:val="top"/>
                </w:tcPr>
                <w:p>
                  <w:pPr>
                    <w:pStyle w:val="104"/>
                    <w:spacing w:line="360" w:lineRule="auto"/>
                    <w:jc w:val="center"/>
                    <w:outlineLvl w:val="1"/>
                    <w:rPr>
                      <w:rFonts w:hint="eastAsia"/>
                      <w:b w:val="0"/>
                      <w:bCs w:val="0"/>
                      <w:color w:val="auto"/>
                      <w:sz w:val="21"/>
                      <w:szCs w:val="21"/>
                      <w:lang w:val="en-US" w:eastAsia="zh-CN"/>
                    </w:rPr>
                  </w:pPr>
                  <w:r>
                    <w:rPr>
                      <w:rFonts w:hint="eastAsia" w:ascii="Times New Roman"/>
                      <w:color w:val="auto"/>
                      <w:sz w:val="21"/>
                      <w:szCs w:val="21"/>
                      <w:lang w:eastAsia="zh-CN"/>
                    </w:rPr>
                    <w:t>焊机</w:t>
                  </w:r>
                </w:p>
              </w:tc>
              <w:tc>
                <w:tcPr>
                  <w:tcW w:w="997" w:type="pct"/>
                  <w:noWrap w:val="0"/>
                  <w:vAlign w:val="top"/>
                </w:tcPr>
                <w:p>
                  <w:pPr>
                    <w:pStyle w:val="104"/>
                    <w:spacing w:line="360" w:lineRule="auto"/>
                    <w:jc w:val="center"/>
                    <w:outlineLvl w:val="1"/>
                    <w:rPr>
                      <w:rFonts w:hint="eastAsia" w:ascii="Times New Roman"/>
                      <w:color w:val="auto"/>
                      <w:sz w:val="21"/>
                      <w:szCs w:val="21"/>
                      <w:lang w:eastAsia="zh-CN"/>
                    </w:rPr>
                  </w:pPr>
                  <w:r>
                    <w:rPr>
                      <w:rFonts w:hint="eastAsia" w:ascii="Times New Roman"/>
                      <w:color w:val="auto"/>
                      <w:sz w:val="21"/>
                      <w:szCs w:val="21"/>
                      <w:lang w:eastAsia="zh-CN"/>
                    </w:rPr>
                    <w:t>台</w:t>
                  </w:r>
                </w:p>
              </w:tc>
              <w:tc>
                <w:tcPr>
                  <w:tcW w:w="997" w:type="pct"/>
                  <w:noWrap w:val="0"/>
                  <w:vAlign w:val="top"/>
                </w:tcPr>
                <w:p>
                  <w:pPr>
                    <w:pStyle w:val="104"/>
                    <w:spacing w:line="360" w:lineRule="auto"/>
                    <w:jc w:val="center"/>
                    <w:outlineLvl w:val="1"/>
                    <w:rPr>
                      <w:rFonts w:hint="default"/>
                      <w:b w:val="0"/>
                      <w:bCs w:val="0"/>
                      <w:color w:val="auto"/>
                      <w:sz w:val="21"/>
                      <w:szCs w:val="21"/>
                      <w:lang w:val="en-US" w:eastAsia="zh-CN"/>
                    </w:rPr>
                  </w:pPr>
                  <w:r>
                    <w:rPr>
                      <w:rFonts w:hint="eastAsia" w:ascii="Times New Roman"/>
                      <w:color w:val="auto"/>
                      <w:sz w:val="21"/>
                      <w:szCs w:val="21"/>
                      <w:lang w:val="en-US" w:eastAsia="zh-CN"/>
                    </w:rPr>
                    <w:t>10</w:t>
                  </w:r>
                </w:p>
              </w:tc>
              <w:tc>
                <w:tcPr>
                  <w:tcW w:w="1010" w:type="pct"/>
                  <w:noWrap w:val="0"/>
                  <w:vAlign w:val="top"/>
                </w:tcPr>
                <w:p>
                  <w:pPr>
                    <w:pStyle w:val="104"/>
                    <w:spacing w:line="360" w:lineRule="auto"/>
                    <w:jc w:val="center"/>
                    <w:outlineLvl w:val="1"/>
                    <w:rPr>
                      <w:rFonts w:hint="default"/>
                      <w:b w:val="0"/>
                      <w:bCs w:val="0"/>
                      <w:color w:val="auto"/>
                      <w:sz w:val="21"/>
                      <w:szCs w:val="21"/>
                      <w:lang w:val="en-US" w:eastAsia="zh-CN"/>
                    </w:rPr>
                  </w:pPr>
                  <w:r>
                    <w:rPr>
                      <w:rFonts w:hint="eastAsia" w:ascii="Times New Roman"/>
                      <w:color w:val="auto"/>
                      <w:sz w:val="21"/>
                      <w:szCs w:val="21"/>
                      <w:lang w:eastAsia="zh-CN"/>
                    </w:rPr>
                    <w:t>材料焊接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noWrap w:val="0"/>
                  <w:vAlign w:val="top"/>
                </w:tcPr>
                <w:p>
                  <w:pPr>
                    <w:pStyle w:val="53"/>
                    <w:bidi w:val="0"/>
                    <w:spacing w:line="240" w:lineRule="auto"/>
                    <w:outlineLvl w:val="1"/>
                    <w:rPr>
                      <w:rFonts w:hint="default"/>
                      <w:b w:val="0"/>
                      <w:bCs w:val="0"/>
                      <w:color w:val="auto"/>
                      <w:sz w:val="21"/>
                      <w:szCs w:val="21"/>
                      <w:lang w:val="en-US" w:eastAsia="zh-CN"/>
                    </w:rPr>
                  </w:pPr>
                  <w:r>
                    <w:rPr>
                      <w:rFonts w:hint="eastAsia"/>
                      <w:b w:val="0"/>
                      <w:bCs w:val="0"/>
                      <w:color w:val="auto"/>
                      <w:sz w:val="21"/>
                      <w:szCs w:val="21"/>
                      <w:lang w:val="en-US" w:eastAsia="zh-CN"/>
                    </w:rPr>
                    <w:t>7</w:t>
                  </w:r>
                </w:p>
              </w:tc>
              <w:tc>
                <w:tcPr>
                  <w:tcW w:w="1573" w:type="pct"/>
                  <w:noWrap w:val="0"/>
                  <w:vAlign w:val="top"/>
                </w:tcPr>
                <w:p>
                  <w:pPr>
                    <w:pStyle w:val="104"/>
                    <w:spacing w:line="360" w:lineRule="auto"/>
                    <w:jc w:val="center"/>
                    <w:outlineLvl w:val="1"/>
                    <w:rPr>
                      <w:rFonts w:hint="eastAsia"/>
                      <w:b w:val="0"/>
                      <w:bCs w:val="0"/>
                      <w:color w:val="auto"/>
                      <w:sz w:val="21"/>
                      <w:szCs w:val="21"/>
                      <w:lang w:val="en-US" w:eastAsia="zh-CN"/>
                    </w:rPr>
                  </w:pPr>
                  <w:r>
                    <w:rPr>
                      <w:rFonts w:hint="eastAsia" w:ascii="Times New Roman"/>
                      <w:color w:val="auto"/>
                      <w:sz w:val="21"/>
                      <w:szCs w:val="21"/>
                      <w:lang w:eastAsia="zh-CN"/>
                    </w:rPr>
                    <w:t>锯床</w:t>
                  </w:r>
                </w:p>
              </w:tc>
              <w:tc>
                <w:tcPr>
                  <w:tcW w:w="997" w:type="pct"/>
                  <w:noWrap w:val="0"/>
                  <w:vAlign w:val="top"/>
                </w:tcPr>
                <w:p>
                  <w:pPr>
                    <w:pStyle w:val="104"/>
                    <w:spacing w:line="360" w:lineRule="auto"/>
                    <w:jc w:val="center"/>
                    <w:outlineLvl w:val="1"/>
                    <w:rPr>
                      <w:rFonts w:hint="eastAsia" w:ascii="Times New Roman"/>
                      <w:color w:val="auto"/>
                      <w:sz w:val="21"/>
                      <w:szCs w:val="21"/>
                      <w:lang w:eastAsia="zh-CN"/>
                    </w:rPr>
                  </w:pPr>
                  <w:r>
                    <w:rPr>
                      <w:rFonts w:hint="eastAsia" w:ascii="Times New Roman"/>
                      <w:color w:val="auto"/>
                      <w:sz w:val="21"/>
                      <w:szCs w:val="21"/>
                      <w:lang w:eastAsia="zh-CN"/>
                    </w:rPr>
                    <w:t>台</w:t>
                  </w:r>
                </w:p>
              </w:tc>
              <w:tc>
                <w:tcPr>
                  <w:tcW w:w="997" w:type="pct"/>
                  <w:noWrap w:val="0"/>
                  <w:vAlign w:val="top"/>
                </w:tcPr>
                <w:p>
                  <w:pPr>
                    <w:pStyle w:val="104"/>
                    <w:spacing w:line="360" w:lineRule="auto"/>
                    <w:jc w:val="center"/>
                    <w:outlineLvl w:val="1"/>
                    <w:rPr>
                      <w:rFonts w:hint="default"/>
                      <w:b w:val="0"/>
                      <w:bCs w:val="0"/>
                      <w:color w:val="auto"/>
                      <w:sz w:val="21"/>
                      <w:szCs w:val="21"/>
                      <w:lang w:val="en-US" w:eastAsia="zh-CN"/>
                    </w:rPr>
                  </w:pPr>
                  <w:r>
                    <w:rPr>
                      <w:rFonts w:hint="eastAsia" w:ascii="Times New Roman"/>
                      <w:color w:val="auto"/>
                      <w:sz w:val="21"/>
                      <w:szCs w:val="21"/>
                      <w:lang w:val="en-US" w:eastAsia="zh-CN"/>
                    </w:rPr>
                    <w:t>3</w:t>
                  </w:r>
                </w:p>
              </w:tc>
              <w:tc>
                <w:tcPr>
                  <w:tcW w:w="1010" w:type="pct"/>
                  <w:noWrap w:val="0"/>
                  <w:vAlign w:val="top"/>
                </w:tcPr>
                <w:p>
                  <w:pPr>
                    <w:pStyle w:val="104"/>
                    <w:spacing w:line="360" w:lineRule="auto"/>
                    <w:jc w:val="center"/>
                    <w:outlineLvl w:val="1"/>
                    <w:rPr>
                      <w:rFonts w:hint="default"/>
                      <w:b w:val="0"/>
                      <w:bCs w:val="0"/>
                      <w:color w:val="auto"/>
                      <w:sz w:val="21"/>
                      <w:szCs w:val="21"/>
                      <w:lang w:val="en-US" w:eastAsia="zh-CN"/>
                    </w:rPr>
                  </w:pPr>
                  <w:r>
                    <w:rPr>
                      <w:rFonts w:hint="eastAsia" w:ascii="Times New Roman"/>
                      <w:color w:val="auto"/>
                      <w:sz w:val="21"/>
                      <w:szCs w:val="21"/>
                      <w:lang w:eastAsia="zh-CN"/>
                    </w:rPr>
                    <w:t>材料切割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noWrap w:val="0"/>
                  <w:vAlign w:val="top"/>
                </w:tcPr>
                <w:p>
                  <w:pPr>
                    <w:pStyle w:val="53"/>
                    <w:bidi w:val="0"/>
                    <w:spacing w:line="240" w:lineRule="auto"/>
                    <w:outlineLvl w:val="1"/>
                    <w:rPr>
                      <w:rFonts w:hint="default"/>
                      <w:b w:val="0"/>
                      <w:bCs w:val="0"/>
                      <w:color w:val="auto"/>
                      <w:sz w:val="21"/>
                      <w:szCs w:val="21"/>
                      <w:lang w:val="en-US" w:eastAsia="zh-CN"/>
                    </w:rPr>
                  </w:pPr>
                  <w:r>
                    <w:rPr>
                      <w:rFonts w:hint="eastAsia"/>
                      <w:b w:val="0"/>
                      <w:bCs w:val="0"/>
                      <w:color w:val="auto"/>
                      <w:sz w:val="21"/>
                      <w:szCs w:val="21"/>
                      <w:lang w:val="en-US" w:eastAsia="zh-CN"/>
                    </w:rPr>
                    <w:t>8</w:t>
                  </w:r>
                </w:p>
              </w:tc>
              <w:tc>
                <w:tcPr>
                  <w:tcW w:w="1573" w:type="pct"/>
                  <w:noWrap w:val="0"/>
                  <w:vAlign w:val="top"/>
                </w:tcPr>
                <w:p>
                  <w:pPr>
                    <w:pStyle w:val="104"/>
                    <w:spacing w:line="360" w:lineRule="auto"/>
                    <w:jc w:val="center"/>
                    <w:outlineLvl w:val="1"/>
                    <w:rPr>
                      <w:rFonts w:hint="eastAsia"/>
                      <w:b w:val="0"/>
                      <w:bCs w:val="0"/>
                      <w:color w:val="auto"/>
                      <w:sz w:val="21"/>
                      <w:szCs w:val="21"/>
                      <w:lang w:val="en-US" w:eastAsia="zh-CN"/>
                    </w:rPr>
                  </w:pPr>
                  <w:r>
                    <w:rPr>
                      <w:rFonts w:hint="eastAsia" w:ascii="Times New Roman"/>
                      <w:color w:val="auto"/>
                      <w:sz w:val="21"/>
                      <w:szCs w:val="21"/>
                      <w:lang w:eastAsia="zh-CN"/>
                    </w:rPr>
                    <w:t>喷砂机</w:t>
                  </w:r>
                </w:p>
              </w:tc>
              <w:tc>
                <w:tcPr>
                  <w:tcW w:w="997" w:type="pct"/>
                  <w:noWrap w:val="0"/>
                  <w:vAlign w:val="top"/>
                </w:tcPr>
                <w:p>
                  <w:pPr>
                    <w:pStyle w:val="104"/>
                    <w:spacing w:line="360" w:lineRule="auto"/>
                    <w:jc w:val="center"/>
                    <w:outlineLvl w:val="1"/>
                    <w:rPr>
                      <w:rFonts w:hint="eastAsia" w:ascii="Times New Roman"/>
                      <w:color w:val="auto"/>
                      <w:sz w:val="21"/>
                      <w:szCs w:val="21"/>
                      <w:lang w:eastAsia="zh-CN"/>
                    </w:rPr>
                  </w:pPr>
                  <w:r>
                    <w:rPr>
                      <w:rFonts w:hint="eastAsia" w:ascii="Times New Roman"/>
                      <w:color w:val="auto"/>
                      <w:sz w:val="21"/>
                      <w:szCs w:val="21"/>
                      <w:lang w:eastAsia="zh-CN"/>
                    </w:rPr>
                    <w:t>台</w:t>
                  </w:r>
                </w:p>
              </w:tc>
              <w:tc>
                <w:tcPr>
                  <w:tcW w:w="997" w:type="pct"/>
                  <w:noWrap w:val="0"/>
                  <w:vAlign w:val="top"/>
                </w:tcPr>
                <w:p>
                  <w:pPr>
                    <w:pStyle w:val="104"/>
                    <w:spacing w:line="360" w:lineRule="auto"/>
                    <w:jc w:val="center"/>
                    <w:outlineLvl w:val="1"/>
                    <w:rPr>
                      <w:rFonts w:hint="default"/>
                      <w:b w:val="0"/>
                      <w:bCs w:val="0"/>
                      <w:color w:val="auto"/>
                      <w:sz w:val="21"/>
                      <w:szCs w:val="21"/>
                      <w:lang w:val="en-US" w:eastAsia="zh-CN"/>
                    </w:rPr>
                  </w:pPr>
                  <w:r>
                    <w:rPr>
                      <w:rFonts w:hint="eastAsia" w:ascii="Times New Roman"/>
                      <w:color w:val="auto"/>
                      <w:sz w:val="21"/>
                      <w:szCs w:val="21"/>
                      <w:lang w:val="en-US" w:eastAsia="zh-CN"/>
                    </w:rPr>
                    <w:t>1</w:t>
                  </w:r>
                </w:p>
              </w:tc>
              <w:tc>
                <w:tcPr>
                  <w:tcW w:w="1010" w:type="pct"/>
                  <w:noWrap w:val="0"/>
                  <w:vAlign w:val="top"/>
                </w:tcPr>
                <w:p>
                  <w:pPr>
                    <w:pStyle w:val="104"/>
                    <w:spacing w:line="360" w:lineRule="auto"/>
                    <w:jc w:val="center"/>
                    <w:outlineLvl w:val="1"/>
                    <w:rPr>
                      <w:rFonts w:hint="default"/>
                      <w:b w:val="0"/>
                      <w:bCs w:val="0"/>
                      <w:color w:val="auto"/>
                      <w:sz w:val="21"/>
                      <w:szCs w:val="21"/>
                      <w:lang w:val="en-US" w:eastAsia="zh-CN"/>
                    </w:rPr>
                  </w:pPr>
                  <w:r>
                    <w:rPr>
                      <w:rFonts w:hint="eastAsia" w:ascii="Times New Roman"/>
                      <w:color w:val="auto"/>
                      <w:sz w:val="21"/>
                      <w:szCs w:val="21"/>
                      <w:lang w:eastAsia="zh-CN"/>
                    </w:rPr>
                    <w:t>打磨除锈</w:t>
                  </w:r>
                </w:p>
              </w:tc>
            </w:tr>
          </w:tbl>
          <w:p>
            <w:pPr>
              <w:numPr>
                <w:ilvl w:val="0"/>
                <w:numId w:val="0"/>
              </w:numPr>
              <w:ind w:left="482" w:leftChars="0" w:right="0" w:rightChars="0"/>
              <w:outlineLvl w:val="1"/>
              <w:rPr>
                <w:rFonts w:hint="eastAsia"/>
                <w:color w:val="auto"/>
                <w:sz w:val="24"/>
                <w:szCs w:val="24"/>
                <w:lang w:val="en-US" w:eastAsia="zh-CN"/>
              </w:rPr>
            </w:pPr>
            <w:r>
              <w:rPr>
                <w:rFonts w:hint="eastAsia"/>
                <w:color w:val="auto"/>
                <w:sz w:val="24"/>
                <w:szCs w:val="24"/>
                <w:lang w:val="en-US" w:eastAsia="zh-CN"/>
              </w:rPr>
              <w:t>本项目设备均布置于生产厂房内。</w:t>
            </w:r>
          </w:p>
          <w:p>
            <w:pPr>
              <w:pStyle w:val="104"/>
              <w:kinsoku w:val="0"/>
              <w:overflowPunct w:val="0"/>
              <w:spacing w:beforeLines="0" w:afterLines="0" w:line="360" w:lineRule="auto"/>
              <w:ind w:firstLine="480" w:firstLineChars="200"/>
              <w:jc w:val="left"/>
              <w:outlineLvl w:val="1"/>
              <w:rPr>
                <w:rFonts w:hint="eastAsia"/>
                <w:color w:val="auto"/>
                <w:sz w:val="24"/>
                <w:szCs w:val="24"/>
                <w:lang w:val="en-US" w:eastAsia="zh-CN"/>
              </w:rPr>
            </w:pPr>
            <w:r>
              <w:rPr>
                <w:rFonts w:hint="eastAsia"/>
                <w:color w:val="auto"/>
                <w:sz w:val="24"/>
                <w:szCs w:val="24"/>
                <w:lang w:val="en-US" w:eastAsia="zh-CN"/>
              </w:rPr>
              <w:t>3、项目主要产品</w:t>
            </w:r>
          </w:p>
          <w:p>
            <w:pPr>
              <w:pStyle w:val="104"/>
              <w:kinsoku w:val="0"/>
              <w:overflowPunct w:val="0"/>
              <w:spacing w:beforeLines="0" w:afterLines="0" w:line="360" w:lineRule="auto"/>
              <w:ind w:left="0" w:firstLine="480" w:firstLineChars="200"/>
              <w:jc w:val="left"/>
              <w:outlineLvl w:val="1"/>
              <w:rPr>
                <w:rFonts w:hint="eastAsia"/>
                <w:b/>
                <w:bCs/>
                <w:color w:val="auto"/>
                <w:sz w:val="21"/>
                <w:szCs w:val="21"/>
                <w:lang w:val="en-US" w:eastAsia="zh-CN"/>
              </w:rPr>
            </w:pPr>
            <w:r>
              <w:rPr>
                <w:rFonts w:hint="default" w:ascii="Times New Roman" w:hAnsi="Times New Roman" w:cs="Times New Roman" w:eastAsiaTheme="minorEastAsia"/>
                <w:color w:val="auto"/>
                <w:sz w:val="24"/>
                <w:szCs w:val="24"/>
                <w:lang w:val="en-US" w:eastAsia="zh-CN"/>
              </w:rPr>
              <w:t>项目共生产</w:t>
            </w:r>
            <w:r>
              <w:rPr>
                <w:rFonts w:hint="eastAsia" w:cs="Times New Roman" w:eastAsiaTheme="minorEastAsia"/>
                <w:color w:val="auto"/>
                <w:sz w:val="24"/>
                <w:szCs w:val="24"/>
                <w:lang w:val="en-US" w:eastAsia="zh-CN"/>
              </w:rPr>
              <w:t>2</w:t>
            </w:r>
            <w:r>
              <w:rPr>
                <w:rFonts w:hint="default" w:ascii="Times New Roman" w:hAnsi="Times New Roman" w:cs="Times New Roman" w:eastAsiaTheme="minorEastAsia"/>
                <w:color w:val="auto"/>
                <w:sz w:val="24"/>
                <w:szCs w:val="24"/>
                <w:lang w:val="en-US" w:eastAsia="zh-CN"/>
              </w:rPr>
              <w:t>类产品，视市场订货情况组织生产，主要为：</w:t>
            </w:r>
            <w:r>
              <w:rPr>
                <w:rFonts w:hint="eastAsia" w:ascii="Times New Roman"/>
                <w:color w:val="auto"/>
                <w:sz w:val="22"/>
                <w:lang w:eastAsia="zh-CN"/>
              </w:rPr>
              <w:t>异型模板、钢结构</w:t>
            </w:r>
            <w:r>
              <w:rPr>
                <w:rFonts w:hint="default" w:ascii="Times New Roman" w:hAnsi="Times New Roman" w:cs="Times New Roman" w:eastAsiaTheme="minorEastAsia"/>
                <w:color w:val="auto"/>
                <w:sz w:val="24"/>
                <w:szCs w:val="24"/>
                <w:lang w:val="en-US" w:eastAsia="zh-CN"/>
              </w:rPr>
              <w:t>。项目各产品方案及产量间表1-</w:t>
            </w:r>
            <w:r>
              <w:rPr>
                <w:rFonts w:hint="eastAsia" w:cs="Times New Roman" w:eastAsiaTheme="minorEastAsia"/>
                <w:color w:val="auto"/>
                <w:sz w:val="24"/>
                <w:szCs w:val="24"/>
                <w:lang w:val="en-US" w:eastAsia="zh-CN"/>
              </w:rPr>
              <w:t>6</w:t>
            </w:r>
            <w:r>
              <w:rPr>
                <w:rFonts w:hint="default" w:ascii="Times New Roman" w:hAnsi="Times New Roman" w:cs="Times New Roman" w:eastAsiaTheme="minorEastAsia"/>
                <w:color w:val="auto"/>
                <w:sz w:val="24"/>
                <w:szCs w:val="24"/>
                <w:lang w:val="en-US" w:eastAsia="zh-CN"/>
              </w:rPr>
              <w:t>。</w:t>
            </w:r>
          </w:p>
          <w:p>
            <w:pPr>
              <w:pStyle w:val="18"/>
              <w:jc w:val="center"/>
              <w:outlineLvl w:val="1"/>
              <w:rPr>
                <w:rFonts w:hint="eastAsia"/>
                <w:b/>
                <w:bCs/>
                <w:color w:val="auto"/>
                <w:sz w:val="21"/>
                <w:szCs w:val="21"/>
                <w:lang w:val="en-US" w:eastAsia="zh-CN"/>
              </w:rPr>
            </w:pPr>
            <w:r>
              <w:rPr>
                <w:rFonts w:hint="eastAsia"/>
                <w:b/>
                <w:bCs/>
                <w:color w:val="auto"/>
                <w:sz w:val="21"/>
                <w:szCs w:val="21"/>
                <w:lang w:val="en-US" w:eastAsia="zh-CN"/>
              </w:rPr>
              <w:t>表1-6 项目产品方案</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2596"/>
              <w:gridCol w:w="2435"/>
              <w:gridCol w:w="2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noWrap w:val="0"/>
                  <w:vAlign w:val="center"/>
                </w:tcPr>
                <w:p>
                  <w:pPr>
                    <w:pStyle w:val="53"/>
                    <w:bidi w:val="0"/>
                    <w:spacing w:line="240" w:lineRule="auto"/>
                    <w:outlineLvl w:val="1"/>
                    <w:rPr>
                      <w:rFonts w:hint="default" w:ascii="Times New Roman" w:hAnsi="Times New Roman" w:cs="Times New Roman"/>
                      <w:b w:val="0"/>
                      <w:bCs w:val="0"/>
                      <w:color w:val="auto"/>
                      <w:sz w:val="21"/>
                      <w:szCs w:val="21"/>
                      <w:lang w:eastAsia="zh-CN"/>
                    </w:rPr>
                  </w:pPr>
                  <w:r>
                    <w:rPr>
                      <w:rFonts w:hint="default" w:ascii="Times New Roman" w:hAnsi="Times New Roman" w:cs="Times New Roman"/>
                      <w:b w:val="0"/>
                      <w:bCs w:val="0"/>
                      <w:color w:val="auto"/>
                      <w:sz w:val="21"/>
                      <w:szCs w:val="21"/>
                      <w:lang w:eastAsia="zh-CN"/>
                    </w:rPr>
                    <w:t>序号</w:t>
                  </w:r>
                </w:p>
              </w:tc>
              <w:tc>
                <w:tcPr>
                  <w:tcW w:w="2596" w:type="dxa"/>
                  <w:noWrap w:val="0"/>
                  <w:vAlign w:val="center"/>
                </w:tcPr>
                <w:p>
                  <w:pPr>
                    <w:pStyle w:val="53"/>
                    <w:bidi w:val="0"/>
                    <w:spacing w:line="240" w:lineRule="auto"/>
                    <w:outlineLvl w:val="1"/>
                    <w:rPr>
                      <w:rFonts w:hint="default" w:ascii="Times New Roman" w:hAnsi="Times New Roman" w:cs="Times New Roman"/>
                      <w:b w:val="0"/>
                      <w:bCs w:val="0"/>
                      <w:color w:val="auto"/>
                      <w:sz w:val="21"/>
                      <w:szCs w:val="21"/>
                      <w:lang w:eastAsia="zh-CN"/>
                    </w:rPr>
                  </w:pPr>
                  <w:r>
                    <w:rPr>
                      <w:rFonts w:hint="default" w:ascii="Times New Roman" w:hAnsi="Times New Roman" w:cs="Times New Roman"/>
                      <w:b w:val="0"/>
                      <w:bCs w:val="0"/>
                      <w:color w:val="auto"/>
                      <w:sz w:val="21"/>
                      <w:szCs w:val="21"/>
                      <w:lang w:eastAsia="zh-CN"/>
                    </w:rPr>
                    <w:t>产品名称</w:t>
                  </w:r>
                </w:p>
              </w:tc>
              <w:tc>
                <w:tcPr>
                  <w:tcW w:w="2435" w:type="dxa"/>
                  <w:noWrap w:val="0"/>
                  <w:vAlign w:val="center"/>
                </w:tcPr>
                <w:p>
                  <w:pPr>
                    <w:pStyle w:val="53"/>
                    <w:bidi w:val="0"/>
                    <w:spacing w:line="240" w:lineRule="auto"/>
                    <w:outlineLvl w:val="1"/>
                    <w:rPr>
                      <w:rFonts w:hint="default" w:ascii="Times New Roman" w:hAnsi="Times New Roman" w:cs="Times New Roman"/>
                      <w:b w:val="0"/>
                      <w:bCs w:val="0"/>
                      <w:color w:val="auto"/>
                      <w:sz w:val="21"/>
                      <w:szCs w:val="21"/>
                      <w:lang w:eastAsia="zh-CN"/>
                    </w:rPr>
                  </w:pPr>
                  <w:r>
                    <w:rPr>
                      <w:rFonts w:hint="default" w:ascii="Times New Roman" w:hAnsi="Times New Roman" w:cs="Times New Roman"/>
                      <w:b w:val="0"/>
                      <w:bCs w:val="0"/>
                      <w:color w:val="auto"/>
                      <w:sz w:val="21"/>
                      <w:szCs w:val="21"/>
                      <w:lang w:eastAsia="zh-CN"/>
                    </w:rPr>
                    <w:t>生产规模（</w:t>
                  </w:r>
                  <w:r>
                    <w:rPr>
                      <w:rFonts w:hint="default" w:ascii="Times New Roman" w:hAnsi="Times New Roman" w:cs="Times New Roman"/>
                      <w:b w:val="0"/>
                      <w:bCs w:val="0"/>
                      <w:color w:val="auto"/>
                      <w:sz w:val="21"/>
                      <w:szCs w:val="21"/>
                      <w:lang w:val="en-US" w:eastAsia="zh-CN"/>
                    </w:rPr>
                    <w:t>t/a</w:t>
                  </w:r>
                  <w:r>
                    <w:rPr>
                      <w:rFonts w:hint="default" w:ascii="Times New Roman" w:hAnsi="Times New Roman" w:cs="Times New Roman"/>
                      <w:b w:val="0"/>
                      <w:bCs w:val="0"/>
                      <w:color w:val="auto"/>
                      <w:sz w:val="21"/>
                      <w:szCs w:val="21"/>
                      <w:lang w:eastAsia="zh-CN"/>
                    </w:rPr>
                    <w:t>）</w:t>
                  </w:r>
                </w:p>
              </w:tc>
              <w:tc>
                <w:tcPr>
                  <w:tcW w:w="2310" w:type="dxa"/>
                  <w:noWrap w:val="0"/>
                  <w:vAlign w:val="center"/>
                </w:tcPr>
                <w:p>
                  <w:pPr>
                    <w:pStyle w:val="53"/>
                    <w:bidi w:val="0"/>
                    <w:spacing w:line="240" w:lineRule="auto"/>
                    <w:outlineLvl w:val="1"/>
                    <w:rPr>
                      <w:rFonts w:hint="default" w:ascii="Times New Roman" w:hAnsi="Times New Roman" w:cs="Times New Roman"/>
                      <w:b w:val="0"/>
                      <w:bCs w:val="0"/>
                      <w:color w:val="auto"/>
                      <w:sz w:val="21"/>
                      <w:szCs w:val="21"/>
                      <w:lang w:eastAsia="zh-CN"/>
                    </w:rPr>
                  </w:pPr>
                  <w:r>
                    <w:rPr>
                      <w:rFonts w:hint="default" w:ascii="Times New Roman" w:hAnsi="Times New Roman" w:cs="Times New Roman"/>
                      <w:b w:val="0"/>
                      <w:bCs w:val="0"/>
                      <w:color w:val="auto"/>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noWrap w:val="0"/>
                  <w:vAlign w:val="center"/>
                </w:tcPr>
                <w:p>
                  <w:pPr>
                    <w:pStyle w:val="53"/>
                    <w:bidi w:val="0"/>
                    <w:spacing w:line="240" w:lineRule="auto"/>
                    <w:outlineLvl w:val="1"/>
                    <w:rPr>
                      <w:rFonts w:hint="default" w:ascii="Times New Roman" w:hAnsi="Times New Roman" w:cs="Times New Roman"/>
                      <w:b w:val="0"/>
                      <w:bCs w:val="0"/>
                      <w:color w:val="auto"/>
                      <w:sz w:val="21"/>
                      <w:szCs w:val="21"/>
                      <w:lang w:eastAsia="zh-CN"/>
                    </w:rPr>
                  </w:pPr>
                  <w:r>
                    <w:rPr>
                      <w:rFonts w:hint="default" w:ascii="Times New Roman" w:hAnsi="Times New Roman" w:cs="Times New Roman"/>
                      <w:b w:val="0"/>
                      <w:bCs w:val="0"/>
                      <w:color w:val="auto"/>
                      <w:sz w:val="21"/>
                      <w:szCs w:val="21"/>
                      <w:lang w:eastAsia="zh-CN"/>
                    </w:rPr>
                    <w:t>1</w:t>
                  </w:r>
                </w:p>
              </w:tc>
              <w:tc>
                <w:tcPr>
                  <w:tcW w:w="2596" w:type="dxa"/>
                  <w:noWrap w:val="0"/>
                  <w:vAlign w:val="center"/>
                </w:tcPr>
                <w:p>
                  <w:pPr>
                    <w:pStyle w:val="53"/>
                    <w:bidi w:val="0"/>
                    <w:spacing w:line="240" w:lineRule="auto"/>
                    <w:outlineLvl w:val="1"/>
                    <w:rPr>
                      <w:rFonts w:hint="default" w:ascii="Times New Roman" w:hAnsi="Times New Roman" w:cs="Times New Roman"/>
                      <w:b w:val="0"/>
                      <w:bCs w:val="0"/>
                      <w:color w:val="auto"/>
                      <w:sz w:val="21"/>
                      <w:szCs w:val="21"/>
                      <w:lang w:eastAsia="zh-CN"/>
                    </w:rPr>
                  </w:pPr>
                  <w:r>
                    <w:rPr>
                      <w:rFonts w:hint="default" w:ascii="Times New Roman" w:hAnsi="Times New Roman" w:cs="Times New Roman"/>
                      <w:b w:val="0"/>
                      <w:bCs w:val="0"/>
                      <w:color w:val="auto"/>
                      <w:sz w:val="21"/>
                      <w:szCs w:val="21"/>
                      <w:lang w:eastAsia="zh-CN"/>
                    </w:rPr>
                    <w:t>异型模板</w:t>
                  </w:r>
                </w:p>
              </w:tc>
              <w:tc>
                <w:tcPr>
                  <w:tcW w:w="2435" w:type="dxa"/>
                  <w:noWrap w:val="0"/>
                  <w:vAlign w:val="center"/>
                </w:tcPr>
                <w:p>
                  <w:pPr>
                    <w:pStyle w:val="53"/>
                    <w:bidi w:val="0"/>
                    <w:spacing w:line="240" w:lineRule="auto"/>
                    <w:outlineLvl w:val="1"/>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1000</w:t>
                  </w:r>
                </w:p>
              </w:tc>
              <w:tc>
                <w:tcPr>
                  <w:tcW w:w="2310" w:type="dxa"/>
                  <w:noWrap w:val="0"/>
                  <w:vAlign w:val="center"/>
                </w:tcPr>
                <w:p>
                  <w:pPr>
                    <w:pStyle w:val="53"/>
                    <w:bidi w:val="0"/>
                    <w:spacing w:line="240" w:lineRule="auto"/>
                    <w:outlineLvl w:val="1"/>
                    <w:rPr>
                      <w:rFonts w:hint="default" w:ascii="Times New Roman" w:hAnsi="Times New Roman" w:cs="Times New Roman"/>
                      <w:b w:val="0"/>
                      <w:bCs w:val="0"/>
                      <w:color w:val="auto"/>
                      <w:sz w:val="21"/>
                      <w:szCs w:val="21"/>
                      <w:lang w:val="en-US" w:eastAsia="zh-CN"/>
                    </w:rPr>
                  </w:pPr>
                  <w:r>
                    <w:rPr>
                      <w:rFonts w:hint="eastAsia" w:cs="Times New Roman"/>
                      <w:b w:val="0"/>
                      <w:bCs w:val="0"/>
                      <w:color w:val="auto"/>
                      <w:sz w:val="21"/>
                      <w:szCs w:val="21"/>
                      <w:lang w:val="en-US" w:eastAsia="zh-CN"/>
                    </w:rPr>
                    <w:t>主要是</w:t>
                  </w:r>
                  <w:r>
                    <w:rPr>
                      <w:rFonts w:hint="default" w:ascii="Times New Roman" w:hAnsi="Times New Roman" w:cs="Times New Roman"/>
                      <w:b w:val="0"/>
                      <w:bCs w:val="0"/>
                      <w:color w:val="auto"/>
                      <w:sz w:val="21"/>
                      <w:szCs w:val="21"/>
                      <w:lang w:val="en-US" w:eastAsia="zh-CN"/>
                    </w:rPr>
                    <w:t>桥梁盖梁模板、20米、30米、40米T梁模板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noWrap w:val="0"/>
                  <w:vAlign w:val="center"/>
                </w:tcPr>
                <w:p>
                  <w:pPr>
                    <w:pStyle w:val="53"/>
                    <w:bidi w:val="0"/>
                    <w:spacing w:line="240" w:lineRule="auto"/>
                    <w:outlineLvl w:val="1"/>
                    <w:rPr>
                      <w:rFonts w:hint="default" w:ascii="Times New Roman" w:hAnsi="Times New Roman" w:cs="Times New Roman"/>
                      <w:b w:val="0"/>
                      <w:bCs w:val="0"/>
                      <w:color w:val="auto"/>
                      <w:sz w:val="21"/>
                      <w:szCs w:val="21"/>
                      <w:lang w:eastAsia="zh-CN"/>
                    </w:rPr>
                  </w:pPr>
                  <w:r>
                    <w:rPr>
                      <w:rFonts w:hint="default" w:ascii="Times New Roman" w:hAnsi="Times New Roman" w:cs="Times New Roman"/>
                      <w:b w:val="0"/>
                      <w:bCs w:val="0"/>
                      <w:color w:val="auto"/>
                      <w:sz w:val="21"/>
                      <w:szCs w:val="21"/>
                      <w:lang w:eastAsia="zh-CN"/>
                    </w:rPr>
                    <w:t>2</w:t>
                  </w:r>
                </w:p>
              </w:tc>
              <w:tc>
                <w:tcPr>
                  <w:tcW w:w="2596" w:type="dxa"/>
                  <w:noWrap w:val="0"/>
                  <w:vAlign w:val="center"/>
                </w:tcPr>
                <w:p>
                  <w:pPr>
                    <w:pStyle w:val="53"/>
                    <w:bidi w:val="0"/>
                    <w:spacing w:line="240" w:lineRule="auto"/>
                    <w:outlineLvl w:val="1"/>
                    <w:rPr>
                      <w:rFonts w:hint="default" w:ascii="Times New Roman" w:hAnsi="Times New Roman" w:cs="Times New Roman"/>
                      <w:b w:val="0"/>
                      <w:bCs w:val="0"/>
                      <w:color w:val="auto"/>
                      <w:sz w:val="21"/>
                      <w:szCs w:val="21"/>
                      <w:lang w:eastAsia="zh-CN"/>
                    </w:rPr>
                  </w:pPr>
                  <w:r>
                    <w:rPr>
                      <w:rFonts w:hint="default" w:ascii="Times New Roman" w:hAnsi="Times New Roman" w:cs="Times New Roman"/>
                      <w:b w:val="0"/>
                      <w:bCs w:val="0"/>
                      <w:color w:val="auto"/>
                      <w:sz w:val="21"/>
                      <w:szCs w:val="21"/>
                      <w:lang w:eastAsia="zh-CN"/>
                    </w:rPr>
                    <w:t>钢结构</w:t>
                  </w:r>
                </w:p>
              </w:tc>
              <w:tc>
                <w:tcPr>
                  <w:tcW w:w="2435" w:type="dxa"/>
                  <w:noWrap w:val="0"/>
                  <w:vAlign w:val="center"/>
                </w:tcPr>
                <w:p>
                  <w:pPr>
                    <w:pStyle w:val="53"/>
                    <w:bidi w:val="0"/>
                    <w:spacing w:line="240" w:lineRule="auto"/>
                    <w:outlineLvl w:val="1"/>
                    <w:rPr>
                      <w:rFonts w:hint="default" w:ascii="Times New Roman" w:hAnsi="Times New Roman" w:cs="Times New Roman"/>
                      <w:b w:val="0"/>
                      <w:bCs w:val="0"/>
                      <w:color w:val="auto"/>
                      <w:sz w:val="21"/>
                      <w:szCs w:val="21"/>
                      <w:lang w:val="en-US" w:eastAsia="zh-CN"/>
                    </w:rPr>
                  </w:pPr>
                  <w:r>
                    <w:rPr>
                      <w:rFonts w:hint="eastAsia" w:cs="Times New Roman"/>
                      <w:b w:val="0"/>
                      <w:bCs w:val="0"/>
                      <w:color w:val="auto"/>
                      <w:sz w:val="21"/>
                      <w:szCs w:val="21"/>
                      <w:lang w:val="en-US" w:eastAsia="zh-CN"/>
                    </w:rPr>
                    <w:t>2600</w:t>
                  </w:r>
                </w:p>
              </w:tc>
              <w:tc>
                <w:tcPr>
                  <w:tcW w:w="2310" w:type="dxa"/>
                  <w:noWrap w:val="0"/>
                  <w:vAlign w:val="center"/>
                </w:tcPr>
                <w:p>
                  <w:pPr>
                    <w:pStyle w:val="53"/>
                    <w:bidi w:val="0"/>
                    <w:spacing w:line="240" w:lineRule="auto"/>
                    <w:outlineLvl w:val="1"/>
                    <w:rPr>
                      <w:rFonts w:hint="default" w:ascii="Times New Roman" w:hAnsi="Times New Roman" w:cs="Times New Roman"/>
                      <w:b w:val="0"/>
                      <w:bCs w:val="0"/>
                      <w:color w:val="auto"/>
                      <w:sz w:val="21"/>
                      <w:szCs w:val="21"/>
                      <w:lang w:eastAsia="zh-CN"/>
                    </w:rPr>
                  </w:pPr>
                  <w:r>
                    <w:rPr>
                      <w:rFonts w:hint="eastAsia" w:cs="Times New Roman"/>
                      <w:b w:val="0"/>
                      <w:bCs w:val="0"/>
                      <w:color w:val="auto"/>
                      <w:sz w:val="21"/>
                      <w:szCs w:val="21"/>
                      <w:lang w:val="en-US" w:eastAsia="zh-CN"/>
                    </w:rPr>
                    <w:t>主要是工字钢、H型钢、C型钢</w:t>
                  </w:r>
                </w:p>
              </w:tc>
            </w:tr>
          </w:tbl>
          <w:p>
            <w:pPr>
              <w:pStyle w:val="104"/>
              <w:kinsoku w:val="0"/>
              <w:overflowPunct w:val="0"/>
              <w:spacing w:beforeLines="0" w:afterLines="0" w:line="360" w:lineRule="auto"/>
              <w:ind w:left="0" w:firstLine="480" w:firstLineChars="200"/>
              <w:jc w:val="left"/>
              <w:outlineLvl w:val="1"/>
              <w:rPr>
                <w:rFonts w:hint="eastAsia"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color w:val="auto"/>
                <w:sz w:val="24"/>
                <w:szCs w:val="24"/>
                <w:lang w:val="en-US" w:eastAsia="zh-CN"/>
              </w:rPr>
              <w:t>承接常规产品的钢模板加工制作形态：平板模板、侧墙台车、异性钢模板主要为桥梁盖梁模板、20米、30米、40米T梁模板；</w:t>
            </w:r>
          </w:p>
          <w:p>
            <w:pPr>
              <w:pStyle w:val="104"/>
              <w:kinsoku w:val="0"/>
              <w:overflowPunct w:val="0"/>
              <w:spacing w:beforeLines="0" w:afterLines="0" w:line="360" w:lineRule="auto"/>
              <w:ind w:left="0" w:firstLine="480" w:firstLineChars="200"/>
              <w:jc w:val="left"/>
              <w:outlineLvl w:val="1"/>
              <w:rPr>
                <w:rFonts w:hint="eastAsia"/>
                <w:b/>
                <w:bCs/>
                <w:color w:val="auto"/>
                <w:sz w:val="21"/>
                <w:szCs w:val="21"/>
                <w:lang w:val="en-US" w:eastAsia="zh-CN"/>
              </w:rPr>
            </w:pPr>
            <w:r>
              <w:rPr>
                <w:rFonts w:hint="eastAsia" w:ascii="Times New Roman" w:hAnsi="Times New Roman" w:cs="Times New Roman" w:eastAsiaTheme="minorEastAsia"/>
                <w:color w:val="auto"/>
                <w:sz w:val="24"/>
                <w:szCs w:val="24"/>
                <w:lang w:val="en-US" w:eastAsia="zh-CN"/>
              </w:rPr>
              <w:t xml:space="preserve">   模板设计中，面板常采用6mm厚钢板，边框8*80角钢，背楞采用8*80或8#槽钢，背架采用10#槽钢</w:t>
            </w:r>
            <w:r>
              <w:rPr>
                <w:rFonts w:hint="eastAsia" w:cs="Times New Roman" w:eastAsiaTheme="minorEastAsia"/>
                <w:color w:val="auto"/>
                <w:sz w:val="24"/>
                <w:szCs w:val="24"/>
                <w:lang w:val="en-US" w:eastAsia="zh-CN"/>
              </w:rPr>
              <w:t>（产品方案见附件）。</w:t>
            </w:r>
          </w:p>
          <w:p>
            <w:pPr>
              <w:pStyle w:val="18"/>
              <w:jc w:val="center"/>
              <w:outlineLvl w:val="1"/>
              <w:rPr>
                <w:rFonts w:hint="eastAsia" w:cs="Times New Roman" w:eastAsiaTheme="minorEastAsia"/>
                <w:color w:val="auto"/>
                <w:sz w:val="24"/>
                <w:szCs w:val="24"/>
                <w:lang w:val="en-US" w:eastAsia="zh-CN"/>
              </w:rPr>
            </w:pPr>
            <w:r>
              <w:rPr>
                <w:rFonts w:hint="eastAsia"/>
                <w:b/>
                <w:bCs/>
                <w:color w:val="auto"/>
                <w:sz w:val="21"/>
                <w:szCs w:val="21"/>
                <w:lang w:val="en-US" w:eastAsia="zh-CN"/>
              </w:rPr>
              <w:t>表1-7 项目产品涂装设计要求</w:t>
            </w:r>
          </w:p>
          <w:tbl>
            <w:tblPr>
              <w:tblStyle w:val="37"/>
              <w:tblW w:w="4998" w:type="pct"/>
              <w:jc w:val="center"/>
              <w:shd w:val="clear" w:color="auto" w:fill="auto"/>
              <w:tblLayout w:type="autofit"/>
              <w:tblCellMar>
                <w:top w:w="0" w:type="dxa"/>
                <w:left w:w="0" w:type="dxa"/>
                <w:bottom w:w="0" w:type="dxa"/>
                <w:right w:w="0" w:type="dxa"/>
              </w:tblCellMar>
            </w:tblPr>
            <w:tblGrid>
              <w:gridCol w:w="1305"/>
              <w:gridCol w:w="966"/>
              <w:gridCol w:w="1857"/>
              <w:gridCol w:w="3095"/>
              <w:gridCol w:w="967"/>
            </w:tblGrid>
            <w:tr>
              <w:tblPrEx>
                <w:tblCellMar>
                  <w:top w:w="0" w:type="dxa"/>
                  <w:left w:w="0" w:type="dxa"/>
                  <w:bottom w:w="0" w:type="dxa"/>
                  <w:right w:w="0" w:type="dxa"/>
                </w:tblCellMar>
              </w:tblPrEx>
              <w:trPr>
                <w:trHeight w:val="270" w:hRule="atLeast"/>
                <w:jc w:val="center"/>
              </w:trPr>
              <w:tc>
                <w:tcPr>
                  <w:tcW w:w="103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防腐方案</w:t>
                  </w:r>
                </w:p>
              </w:tc>
              <w:tc>
                <w:tcPr>
                  <w:tcW w:w="8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涂层</w:t>
                  </w:r>
                </w:p>
              </w:tc>
              <w:tc>
                <w:tcPr>
                  <w:tcW w:w="13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涂料品种</w:t>
                  </w:r>
                </w:p>
              </w:tc>
              <w:tc>
                <w:tcPr>
                  <w:tcW w:w="94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道数/最低干膜厚度</w:t>
                  </w:r>
                  <w:r>
                    <w:rPr>
                      <w:rFonts w:hint="eastAsia" w:cs="Times New Roman" w:eastAsiaTheme="minorEastAsia"/>
                      <w:b w:val="0"/>
                      <w:bCs w:val="0"/>
                      <w:color w:val="auto"/>
                      <w:sz w:val="21"/>
                      <w:szCs w:val="21"/>
                      <w:lang w:val="en-US" w:eastAsia="zh-CN"/>
                    </w:rPr>
                    <w:t>（单位：</w:t>
                  </w:r>
                  <w:r>
                    <w:rPr>
                      <w:rFonts w:hint="default" w:ascii="Times New Roman" w:hAnsi="Times New Roman" w:eastAsia="楷体_GB2312" w:cs="Times New Roman"/>
                      <w:b w:val="0"/>
                      <w:bCs w:val="0"/>
                      <w:color w:val="auto"/>
                      <w:sz w:val="21"/>
                      <w:szCs w:val="21"/>
                      <w:lang w:val="en-US" w:eastAsia="zh-CN"/>
                    </w:rPr>
                    <w:t>μ</w:t>
                  </w:r>
                  <w:r>
                    <w:rPr>
                      <w:rFonts w:hint="default" w:ascii="Times New Roman" w:hAnsi="Times New Roman" w:cs="Times New Roman" w:eastAsiaTheme="minorEastAsia"/>
                      <w:b w:val="0"/>
                      <w:bCs w:val="0"/>
                      <w:color w:val="auto"/>
                      <w:sz w:val="21"/>
                      <w:szCs w:val="21"/>
                      <w:lang w:val="en-US" w:eastAsia="zh-CN"/>
                    </w:rPr>
                    <w:t>m</w:t>
                  </w:r>
                  <w:r>
                    <w:rPr>
                      <w:rFonts w:hint="eastAsia" w:cs="Times New Roman" w:eastAsiaTheme="minorEastAsia"/>
                      <w:b w:val="0"/>
                      <w:bCs w:val="0"/>
                      <w:color w:val="auto"/>
                      <w:sz w:val="21"/>
                      <w:szCs w:val="21"/>
                      <w:lang w:val="en-US" w:eastAsia="zh-CN"/>
                    </w:rPr>
                    <w:t>）</w:t>
                  </w:r>
                </w:p>
              </w:tc>
              <w:tc>
                <w:tcPr>
                  <w:tcW w:w="8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备注</w:t>
                  </w:r>
                </w:p>
              </w:tc>
            </w:tr>
            <w:tr>
              <w:tblPrEx>
                <w:tblCellMar>
                  <w:top w:w="0" w:type="dxa"/>
                  <w:left w:w="0" w:type="dxa"/>
                  <w:bottom w:w="0" w:type="dxa"/>
                  <w:right w:w="0" w:type="dxa"/>
                </w:tblCellMar>
              </w:tblPrEx>
              <w:trPr>
                <w:trHeight w:val="270" w:hRule="atLeast"/>
                <w:jc w:val="center"/>
              </w:trPr>
              <w:tc>
                <w:tcPr>
                  <w:tcW w:w="1032"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加劲梁外表面</w:t>
                  </w:r>
                </w:p>
              </w:tc>
              <w:tc>
                <w:tcPr>
                  <w:tcW w:w="8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底涂层</w:t>
                  </w:r>
                </w:p>
              </w:tc>
              <w:tc>
                <w:tcPr>
                  <w:tcW w:w="13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环氧富锌底漆</w:t>
                  </w:r>
                </w:p>
              </w:tc>
              <w:tc>
                <w:tcPr>
                  <w:tcW w:w="94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1/60</w:t>
                  </w:r>
                </w:p>
              </w:tc>
              <w:tc>
                <w:tcPr>
                  <w:tcW w:w="825"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w:t>
                  </w:r>
                </w:p>
              </w:tc>
            </w:tr>
            <w:tr>
              <w:tblPrEx>
                <w:tblCellMar>
                  <w:top w:w="0" w:type="dxa"/>
                  <w:left w:w="0" w:type="dxa"/>
                  <w:bottom w:w="0" w:type="dxa"/>
                  <w:right w:w="0" w:type="dxa"/>
                </w:tblCellMar>
              </w:tblPrEx>
              <w:trPr>
                <w:trHeight w:val="270" w:hRule="atLeast"/>
                <w:jc w:val="center"/>
              </w:trPr>
              <w:tc>
                <w:tcPr>
                  <w:tcW w:w="103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p>
              </w:tc>
              <w:tc>
                <w:tcPr>
                  <w:tcW w:w="8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中间涂层</w:t>
                  </w:r>
                </w:p>
              </w:tc>
              <w:tc>
                <w:tcPr>
                  <w:tcW w:w="13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灰环氧云铁中间漆</w:t>
                  </w:r>
                </w:p>
              </w:tc>
              <w:tc>
                <w:tcPr>
                  <w:tcW w:w="94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（1-2）/100</w:t>
                  </w:r>
                </w:p>
              </w:tc>
              <w:tc>
                <w:tcPr>
                  <w:tcW w:w="82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270" w:hRule="atLeast"/>
                <w:jc w:val="center"/>
              </w:trPr>
              <w:tc>
                <w:tcPr>
                  <w:tcW w:w="103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p>
              </w:tc>
              <w:tc>
                <w:tcPr>
                  <w:tcW w:w="8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面涂层</w:t>
                  </w:r>
                </w:p>
              </w:tc>
              <w:tc>
                <w:tcPr>
                  <w:tcW w:w="13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中黄氟碳面漆</w:t>
                  </w:r>
                </w:p>
              </w:tc>
              <w:tc>
                <w:tcPr>
                  <w:tcW w:w="94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2/80</w:t>
                  </w:r>
                </w:p>
              </w:tc>
              <w:tc>
                <w:tcPr>
                  <w:tcW w:w="82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270" w:hRule="atLeast"/>
                <w:jc w:val="center"/>
              </w:trPr>
              <w:tc>
                <w:tcPr>
                  <w:tcW w:w="103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p>
              </w:tc>
              <w:tc>
                <w:tcPr>
                  <w:tcW w:w="219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总干膜厚度</w:t>
                  </w:r>
                </w:p>
              </w:tc>
              <w:tc>
                <w:tcPr>
                  <w:tcW w:w="94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240</w:t>
                  </w:r>
                </w:p>
              </w:tc>
              <w:tc>
                <w:tcPr>
                  <w:tcW w:w="82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270" w:hRule="atLeast"/>
                <w:jc w:val="center"/>
              </w:trPr>
              <w:tc>
                <w:tcPr>
                  <w:tcW w:w="1032"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附属结构</w:t>
                  </w:r>
                </w:p>
              </w:tc>
              <w:tc>
                <w:tcPr>
                  <w:tcW w:w="8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底涂层</w:t>
                  </w:r>
                </w:p>
              </w:tc>
              <w:tc>
                <w:tcPr>
                  <w:tcW w:w="13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环氧富锌底漆</w:t>
                  </w:r>
                </w:p>
              </w:tc>
              <w:tc>
                <w:tcPr>
                  <w:tcW w:w="94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1/60</w:t>
                  </w:r>
                </w:p>
              </w:tc>
              <w:tc>
                <w:tcPr>
                  <w:tcW w:w="825"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270" w:hRule="atLeast"/>
                <w:jc w:val="center"/>
              </w:trPr>
              <w:tc>
                <w:tcPr>
                  <w:tcW w:w="103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p>
              </w:tc>
              <w:tc>
                <w:tcPr>
                  <w:tcW w:w="8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中间涂层</w:t>
                  </w:r>
                </w:p>
              </w:tc>
              <w:tc>
                <w:tcPr>
                  <w:tcW w:w="13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灰环氧云铁中间漆</w:t>
                  </w:r>
                </w:p>
              </w:tc>
              <w:tc>
                <w:tcPr>
                  <w:tcW w:w="94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（1-2）/100</w:t>
                  </w:r>
                </w:p>
              </w:tc>
              <w:tc>
                <w:tcPr>
                  <w:tcW w:w="82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270" w:hRule="atLeast"/>
                <w:jc w:val="center"/>
              </w:trPr>
              <w:tc>
                <w:tcPr>
                  <w:tcW w:w="103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p>
              </w:tc>
              <w:tc>
                <w:tcPr>
                  <w:tcW w:w="8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面涂层</w:t>
                  </w:r>
                </w:p>
              </w:tc>
              <w:tc>
                <w:tcPr>
                  <w:tcW w:w="13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中黄氟碳面漆</w:t>
                  </w:r>
                </w:p>
              </w:tc>
              <w:tc>
                <w:tcPr>
                  <w:tcW w:w="94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2/80</w:t>
                  </w:r>
                </w:p>
              </w:tc>
              <w:tc>
                <w:tcPr>
                  <w:tcW w:w="82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270" w:hRule="atLeast"/>
                <w:jc w:val="center"/>
              </w:trPr>
              <w:tc>
                <w:tcPr>
                  <w:tcW w:w="103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p>
              </w:tc>
              <w:tc>
                <w:tcPr>
                  <w:tcW w:w="219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总干膜厚度</w:t>
                  </w:r>
                </w:p>
              </w:tc>
              <w:tc>
                <w:tcPr>
                  <w:tcW w:w="94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240</w:t>
                  </w:r>
                </w:p>
              </w:tc>
              <w:tc>
                <w:tcPr>
                  <w:tcW w:w="82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spacing w:line="360" w:lineRule="auto"/>
              <w:ind w:firstLine="480" w:firstLineChars="200"/>
              <w:jc w:val="both"/>
              <w:outlineLvl w:val="1"/>
              <w:rPr>
                <w:color w:val="auto"/>
                <w:sz w:val="24"/>
                <w:szCs w:val="24"/>
              </w:rPr>
            </w:pPr>
            <w:r>
              <w:rPr>
                <w:rFonts w:hint="eastAsia"/>
                <w:color w:val="auto"/>
                <w:sz w:val="24"/>
                <w:szCs w:val="24"/>
              </w:rPr>
              <w:t>经</w:t>
            </w:r>
            <w:r>
              <w:rPr>
                <w:rFonts w:hint="eastAsia"/>
                <w:color w:val="auto"/>
                <w:sz w:val="24"/>
                <w:szCs w:val="24"/>
                <w:lang w:eastAsia="zh-CN"/>
              </w:rPr>
              <w:t>业主</w:t>
            </w:r>
            <w:r>
              <w:rPr>
                <w:rFonts w:hint="eastAsia"/>
                <w:color w:val="auto"/>
                <w:sz w:val="24"/>
                <w:szCs w:val="24"/>
              </w:rPr>
              <w:t>统计</w:t>
            </w:r>
            <w:r>
              <w:rPr>
                <w:rFonts w:hint="eastAsia"/>
                <w:color w:val="auto"/>
                <w:sz w:val="24"/>
                <w:szCs w:val="24"/>
                <w:lang w:eastAsia="zh-CN"/>
              </w:rPr>
              <w:t>核实</w:t>
            </w:r>
            <w:r>
              <w:rPr>
                <w:rFonts w:hint="eastAsia"/>
                <w:color w:val="auto"/>
                <w:sz w:val="24"/>
                <w:szCs w:val="24"/>
              </w:rPr>
              <w:t>，年涂装面积约为2</w:t>
            </w:r>
            <w:r>
              <w:rPr>
                <w:rFonts w:hint="eastAsia"/>
                <w:color w:val="auto"/>
                <w:sz w:val="24"/>
                <w:szCs w:val="24"/>
                <w:lang w:val="en-US" w:eastAsia="zh-CN"/>
              </w:rPr>
              <w:t>5</w:t>
            </w:r>
            <w:r>
              <w:rPr>
                <w:rFonts w:hint="eastAsia"/>
                <w:color w:val="auto"/>
                <w:sz w:val="24"/>
                <w:szCs w:val="24"/>
              </w:rPr>
              <w:t>000</w:t>
            </w:r>
            <w:r>
              <w:rPr>
                <w:rFonts w:hint="eastAsia"/>
                <w:color w:val="auto"/>
                <w:sz w:val="24"/>
                <w:szCs w:val="24"/>
                <w:lang w:val="en-US" w:eastAsia="zh-CN"/>
              </w:rPr>
              <w:t>m</w:t>
            </w:r>
            <w:r>
              <w:rPr>
                <w:rFonts w:hint="eastAsia"/>
                <w:color w:val="auto"/>
                <w:sz w:val="24"/>
                <w:szCs w:val="24"/>
                <w:vertAlign w:val="superscript"/>
                <w:lang w:val="en-US" w:eastAsia="zh-CN"/>
              </w:rPr>
              <w:t>2</w:t>
            </w:r>
            <w:r>
              <w:rPr>
                <w:rFonts w:hint="eastAsia"/>
                <w:color w:val="auto"/>
                <w:sz w:val="24"/>
                <w:szCs w:val="24"/>
              </w:rPr>
              <w:t>，年生产量约3</w:t>
            </w:r>
            <w:r>
              <w:rPr>
                <w:rFonts w:hint="eastAsia"/>
                <w:color w:val="auto"/>
                <w:sz w:val="24"/>
                <w:szCs w:val="24"/>
                <w:lang w:val="en-US" w:eastAsia="zh-CN"/>
              </w:rPr>
              <w:t>6</w:t>
            </w:r>
            <w:r>
              <w:rPr>
                <w:rFonts w:hint="eastAsia"/>
                <w:color w:val="auto"/>
                <w:sz w:val="24"/>
                <w:szCs w:val="24"/>
              </w:rPr>
              <w:t>00吨；</w:t>
            </w:r>
            <w:r>
              <w:rPr>
                <w:rFonts w:hint="eastAsia"/>
                <w:color w:val="auto"/>
                <w:sz w:val="24"/>
                <w:szCs w:val="24"/>
                <w:lang w:eastAsia="zh-CN"/>
              </w:rPr>
              <w:t>油漆密度为</w:t>
            </w:r>
            <w:r>
              <w:rPr>
                <w:rFonts w:hint="eastAsia"/>
                <w:color w:val="auto"/>
                <w:sz w:val="24"/>
                <w:szCs w:val="24"/>
                <w:lang w:val="en-US" w:eastAsia="zh-CN"/>
              </w:rPr>
              <w:t>1.36g/cm</w:t>
            </w:r>
            <w:r>
              <w:rPr>
                <w:rFonts w:hint="eastAsia"/>
                <w:color w:val="auto"/>
                <w:sz w:val="24"/>
                <w:szCs w:val="24"/>
                <w:vertAlign w:val="superscript"/>
                <w:lang w:val="en-US" w:eastAsia="zh-CN"/>
              </w:rPr>
              <w:t>3</w:t>
            </w:r>
            <w:r>
              <w:rPr>
                <w:rFonts w:hint="eastAsia"/>
                <w:color w:val="auto"/>
                <w:sz w:val="24"/>
                <w:szCs w:val="24"/>
                <w:lang w:val="en-US" w:eastAsia="zh-CN"/>
              </w:rPr>
              <w:t>。</w:t>
            </w:r>
          </w:p>
          <w:p>
            <w:pPr>
              <w:spacing w:line="360" w:lineRule="auto"/>
              <w:ind w:firstLine="480" w:firstLineChars="200"/>
              <w:jc w:val="both"/>
              <w:outlineLvl w:val="1"/>
              <w:rPr>
                <w:color w:val="auto"/>
                <w:sz w:val="24"/>
                <w:szCs w:val="24"/>
              </w:rPr>
            </w:pPr>
            <w:r>
              <w:rPr>
                <w:rFonts w:hint="eastAsia"/>
                <w:color w:val="auto"/>
                <w:sz w:val="24"/>
                <w:szCs w:val="24"/>
              </w:rPr>
              <w:t>年油漆</w:t>
            </w:r>
            <w:r>
              <w:rPr>
                <w:rFonts w:hint="eastAsia"/>
                <w:color w:val="auto"/>
                <w:sz w:val="24"/>
                <w:szCs w:val="24"/>
                <w:lang w:eastAsia="zh-CN"/>
              </w:rPr>
              <w:t>用</w:t>
            </w:r>
            <w:r>
              <w:rPr>
                <w:rFonts w:hint="eastAsia"/>
                <w:color w:val="auto"/>
                <w:sz w:val="24"/>
                <w:szCs w:val="24"/>
              </w:rPr>
              <w:t>：</w:t>
            </w:r>
          </w:p>
          <w:p>
            <w:pPr>
              <w:spacing w:line="360" w:lineRule="auto"/>
              <w:ind w:firstLine="480" w:firstLineChars="200"/>
              <w:jc w:val="both"/>
              <w:outlineLvl w:val="1"/>
              <w:rPr>
                <w:color w:val="auto"/>
                <w:sz w:val="24"/>
                <w:szCs w:val="24"/>
              </w:rPr>
            </w:pPr>
            <w:r>
              <w:rPr>
                <w:rFonts w:hint="eastAsia"/>
                <w:color w:val="auto"/>
                <w:sz w:val="24"/>
                <w:szCs w:val="24"/>
                <w:lang w:eastAsia="zh-CN"/>
              </w:rPr>
              <w:t>（</w:t>
            </w:r>
            <w:r>
              <w:rPr>
                <w:rFonts w:hint="eastAsia"/>
                <w:color w:val="auto"/>
                <w:sz w:val="24"/>
                <w:szCs w:val="24"/>
                <w:lang w:val="en-US" w:eastAsia="zh-CN"/>
              </w:rPr>
              <w:t>1</w:t>
            </w:r>
            <w:r>
              <w:rPr>
                <w:rFonts w:hint="eastAsia"/>
                <w:color w:val="auto"/>
                <w:sz w:val="24"/>
                <w:szCs w:val="24"/>
                <w:lang w:eastAsia="zh-CN"/>
              </w:rPr>
              <w:t>）</w:t>
            </w:r>
            <w:r>
              <w:rPr>
                <w:rFonts w:hint="eastAsia"/>
                <w:color w:val="auto"/>
                <w:sz w:val="24"/>
                <w:szCs w:val="24"/>
              </w:rPr>
              <w:t>环氧富锌底漆用量：2</w:t>
            </w:r>
            <w:r>
              <w:rPr>
                <w:rFonts w:hint="eastAsia"/>
                <w:color w:val="auto"/>
                <w:sz w:val="24"/>
                <w:szCs w:val="24"/>
                <w:lang w:val="en-US" w:eastAsia="zh-CN"/>
              </w:rPr>
              <w:t>5</w:t>
            </w:r>
            <w:r>
              <w:rPr>
                <w:rFonts w:hint="eastAsia"/>
                <w:color w:val="auto"/>
                <w:sz w:val="24"/>
                <w:szCs w:val="24"/>
              </w:rPr>
              <w:t>000×60×10</w:t>
            </w:r>
            <w:r>
              <w:rPr>
                <w:rFonts w:hint="eastAsia"/>
                <w:color w:val="auto"/>
                <w:sz w:val="24"/>
                <w:szCs w:val="24"/>
                <w:vertAlign w:val="superscript"/>
              </w:rPr>
              <w:t>-6</w:t>
            </w:r>
            <w:r>
              <w:rPr>
                <w:rFonts w:hint="eastAsia"/>
                <w:color w:val="auto"/>
                <w:sz w:val="24"/>
                <w:szCs w:val="24"/>
              </w:rPr>
              <w:t>×1000=1</w:t>
            </w:r>
            <w:r>
              <w:rPr>
                <w:rFonts w:hint="eastAsia"/>
                <w:color w:val="auto"/>
                <w:sz w:val="24"/>
                <w:szCs w:val="24"/>
                <w:lang w:val="en-US" w:eastAsia="zh-CN"/>
              </w:rPr>
              <w:t>500</w:t>
            </w:r>
            <w:r>
              <w:rPr>
                <w:rFonts w:hint="eastAsia"/>
                <w:color w:val="auto"/>
                <w:sz w:val="24"/>
                <w:szCs w:val="24"/>
              </w:rPr>
              <w:t>升=2.</w:t>
            </w:r>
            <w:r>
              <w:rPr>
                <w:rFonts w:hint="eastAsia"/>
                <w:color w:val="auto"/>
                <w:sz w:val="24"/>
                <w:szCs w:val="24"/>
                <w:lang w:val="en-US" w:eastAsia="zh-CN"/>
              </w:rPr>
              <w:t>04</w:t>
            </w:r>
            <w:r>
              <w:rPr>
                <w:rFonts w:hint="eastAsia"/>
                <w:color w:val="auto"/>
                <w:sz w:val="24"/>
                <w:szCs w:val="24"/>
              </w:rPr>
              <w:t>吨</w:t>
            </w:r>
          </w:p>
          <w:p>
            <w:pPr>
              <w:spacing w:line="360" w:lineRule="auto"/>
              <w:ind w:firstLine="480" w:firstLineChars="200"/>
              <w:jc w:val="both"/>
              <w:outlineLvl w:val="1"/>
              <w:rPr>
                <w:color w:val="auto"/>
                <w:sz w:val="24"/>
                <w:szCs w:val="24"/>
              </w:rPr>
            </w:pPr>
            <w:r>
              <w:rPr>
                <w:rFonts w:hint="eastAsia"/>
                <w:color w:val="auto"/>
                <w:sz w:val="24"/>
                <w:szCs w:val="24"/>
                <w:lang w:eastAsia="zh-CN"/>
              </w:rPr>
              <w:t>（</w:t>
            </w:r>
            <w:r>
              <w:rPr>
                <w:rFonts w:hint="eastAsia"/>
                <w:color w:val="auto"/>
                <w:sz w:val="24"/>
                <w:szCs w:val="24"/>
                <w:lang w:val="en-US" w:eastAsia="zh-CN"/>
              </w:rPr>
              <w:t>2</w:t>
            </w:r>
            <w:r>
              <w:rPr>
                <w:rFonts w:hint="eastAsia"/>
                <w:color w:val="auto"/>
                <w:sz w:val="24"/>
                <w:szCs w:val="24"/>
                <w:lang w:eastAsia="zh-CN"/>
              </w:rPr>
              <w:t>）灰环氧云铁中间漆用量</w:t>
            </w:r>
            <w:r>
              <w:rPr>
                <w:rFonts w:hint="eastAsia"/>
                <w:color w:val="auto"/>
                <w:sz w:val="24"/>
                <w:szCs w:val="24"/>
              </w:rPr>
              <w:t>：2</w:t>
            </w:r>
            <w:r>
              <w:rPr>
                <w:rFonts w:hint="eastAsia"/>
                <w:color w:val="auto"/>
                <w:sz w:val="24"/>
                <w:szCs w:val="24"/>
                <w:lang w:val="en-US" w:eastAsia="zh-CN"/>
              </w:rPr>
              <w:t>5</w:t>
            </w:r>
            <w:r>
              <w:rPr>
                <w:rFonts w:hint="eastAsia"/>
                <w:color w:val="auto"/>
                <w:sz w:val="24"/>
                <w:szCs w:val="24"/>
              </w:rPr>
              <w:t>000×100×10</w:t>
            </w:r>
            <w:r>
              <w:rPr>
                <w:rFonts w:hint="eastAsia"/>
                <w:color w:val="auto"/>
                <w:sz w:val="24"/>
                <w:szCs w:val="24"/>
                <w:vertAlign w:val="superscript"/>
              </w:rPr>
              <w:t>-6</w:t>
            </w:r>
            <w:r>
              <w:rPr>
                <w:rFonts w:hint="eastAsia"/>
                <w:color w:val="auto"/>
                <w:sz w:val="24"/>
                <w:szCs w:val="24"/>
              </w:rPr>
              <w:t>×1000=</w:t>
            </w:r>
            <w:r>
              <w:rPr>
                <w:rFonts w:hint="eastAsia"/>
                <w:color w:val="auto"/>
                <w:sz w:val="24"/>
                <w:szCs w:val="24"/>
                <w:lang w:val="en-US" w:eastAsia="zh-CN"/>
              </w:rPr>
              <w:t>2500升=</w:t>
            </w:r>
            <w:r>
              <w:rPr>
                <w:rFonts w:hint="eastAsia"/>
                <w:color w:val="auto"/>
                <w:sz w:val="24"/>
                <w:szCs w:val="24"/>
              </w:rPr>
              <w:t>3.</w:t>
            </w:r>
            <w:r>
              <w:rPr>
                <w:rFonts w:hint="eastAsia"/>
                <w:color w:val="auto"/>
                <w:sz w:val="24"/>
                <w:szCs w:val="24"/>
                <w:lang w:val="en-US" w:eastAsia="zh-CN"/>
              </w:rPr>
              <w:t>4</w:t>
            </w:r>
            <w:r>
              <w:rPr>
                <w:rFonts w:hint="eastAsia"/>
                <w:color w:val="auto"/>
                <w:sz w:val="24"/>
                <w:szCs w:val="24"/>
              </w:rPr>
              <w:t>吨</w:t>
            </w:r>
          </w:p>
          <w:p>
            <w:pPr>
              <w:spacing w:line="360" w:lineRule="auto"/>
              <w:ind w:firstLine="480" w:firstLineChars="200"/>
              <w:jc w:val="both"/>
              <w:outlineLvl w:val="1"/>
              <w:rPr>
                <w:color w:val="auto"/>
                <w:sz w:val="24"/>
                <w:szCs w:val="24"/>
              </w:rPr>
            </w:pPr>
            <w:r>
              <w:rPr>
                <w:rFonts w:hint="eastAsia"/>
                <w:color w:val="auto"/>
                <w:sz w:val="24"/>
                <w:szCs w:val="24"/>
                <w:lang w:eastAsia="zh-CN"/>
              </w:rPr>
              <w:t>（</w:t>
            </w:r>
            <w:r>
              <w:rPr>
                <w:rFonts w:hint="eastAsia"/>
                <w:color w:val="auto"/>
                <w:sz w:val="24"/>
                <w:szCs w:val="24"/>
                <w:lang w:val="en-US" w:eastAsia="zh-CN"/>
              </w:rPr>
              <w:t>3</w:t>
            </w:r>
            <w:r>
              <w:rPr>
                <w:rFonts w:hint="eastAsia"/>
                <w:color w:val="auto"/>
                <w:sz w:val="24"/>
                <w:szCs w:val="24"/>
                <w:lang w:eastAsia="zh-CN"/>
              </w:rPr>
              <w:t>）中黄氟碳面漆</w:t>
            </w:r>
            <w:r>
              <w:rPr>
                <w:rFonts w:hint="eastAsia"/>
                <w:color w:val="auto"/>
                <w:sz w:val="24"/>
                <w:szCs w:val="24"/>
              </w:rPr>
              <w:t>用</w:t>
            </w:r>
            <w:r>
              <w:rPr>
                <w:rFonts w:hint="eastAsia"/>
                <w:color w:val="auto"/>
                <w:sz w:val="24"/>
                <w:szCs w:val="24"/>
                <w:lang w:eastAsia="zh-CN"/>
              </w:rPr>
              <w:t>量：</w:t>
            </w:r>
            <w:r>
              <w:rPr>
                <w:rFonts w:hint="eastAsia"/>
                <w:color w:val="auto"/>
                <w:sz w:val="24"/>
                <w:szCs w:val="24"/>
              </w:rPr>
              <w:t>2</w:t>
            </w:r>
            <w:r>
              <w:rPr>
                <w:rFonts w:hint="eastAsia"/>
                <w:color w:val="auto"/>
                <w:sz w:val="24"/>
                <w:szCs w:val="24"/>
                <w:lang w:val="en-US" w:eastAsia="zh-CN"/>
              </w:rPr>
              <w:t>5</w:t>
            </w:r>
            <w:r>
              <w:rPr>
                <w:rFonts w:hint="eastAsia"/>
                <w:color w:val="auto"/>
                <w:sz w:val="24"/>
                <w:szCs w:val="24"/>
              </w:rPr>
              <w:t>000×80×10</w:t>
            </w:r>
            <w:r>
              <w:rPr>
                <w:rFonts w:hint="eastAsia"/>
                <w:color w:val="auto"/>
                <w:sz w:val="24"/>
                <w:szCs w:val="24"/>
                <w:vertAlign w:val="superscript"/>
              </w:rPr>
              <w:t>-6</w:t>
            </w:r>
            <w:r>
              <w:rPr>
                <w:rFonts w:hint="eastAsia"/>
                <w:color w:val="auto"/>
                <w:sz w:val="24"/>
                <w:szCs w:val="24"/>
              </w:rPr>
              <w:t>×1000=</w:t>
            </w:r>
            <w:r>
              <w:rPr>
                <w:rFonts w:hint="eastAsia"/>
                <w:color w:val="auto"/>
                <w:sz w:val="24"/>
                <w:szCs w:val="24"/>
                <w:lang w:val="en-US" w:eastAsia="zh-CN"/>
              </w:rPr>
              <w:t>2000升=</w:t>
            </w:r>
            <w:r>
              <w:rPr>
                <w:rFonts w:hint="eastAsia"/>
                <w:color w:val="auto"/>
                <w:sz w:val="24"/>
                <w:szCs w:val="24"/>
              </w:rPr>
              <w:t>2</w:t>
            </w:r>
            <w:r>
              <w:rPr>
                <w:rFonts w:hint="eastAsia"/>
                <w:color w:val="auto"/>
                <w:sz w:val="24"/>
                <w:szCs w:val="24"/>
                <w:lang w:val="en-US" w:eastAsia="zh-CN"/>
              </w:rPr>
              <w:t>.72</w:t>
            </w:r>
            <w:r>
              <w:rPr>
                <w:rFonts w:hint="eastAsia"/>
                <w:color w:val="auto"/>
                <w:sz w:val="24"/>
                <w:szCs w:val="24"/>
              </w:rPr>
              <w:t>吨</w:t>
            </w:r>
          </w:p>
          <w:p>
            <w:pPr>
              <w:spacing w:line="360" w:lineRule="auto"/>
              <w:ind w:firstLine="480" w:firstLineChars="200"/>
              <w:jc w:val="both"/>
              <w:outlineLvl w:val="1"/>
              <w:rPr>
                <w:rFonts w:hint="eastAsia"/>
                <w:color w:val="auto"/>
                <w:sz w:val="24"/>
                <w:szCs w:val="24"/>
                <w:lang w:eastAsia="zh-CN"/>
              </w:rPr>
            </w:pPr>
            <w:r>
              <w:rPr>
                <w:rFonts w:hint="eastAsia"/>
                <w:color w:val="auto"/>
                <w:sz w:val="24"/>
                <w:szCs w:val="24"/>
              </w:rPr>
              <w:t>年油漆用量合计：</w:t>
            </w:r>
            <w:r>
              <w:rPr>
                <w:rFonts w:hint="eastAsia"/>
                <w:color w:val="auto"/>
                <w:sz w:val="24"/>
                <w:szCs w:val="24"/>
                <w:lang w:eastAsia="zh-CN"/>
              </w:rPr>
              <w:t>8.18</w:t>
            </w:r>
            <w:r>
              <w:rPr>
                <w:rFonts w:hint="eastAsia"/>
                <w:color w:val="auto"/>
                <w:sz w:val="24"/>
                <w:szCs w:val="24"/>
              </w:rPr>
              <w:t>吨</w:t>
            </w:r>
            <w:r>
              <w:rPr>
                <w:rFonts w:hint="eastAsia"/>
                <w:color w:val="auto"/>
                <w:sz w:val="24"/>
                <w:szCs w:val="24"/>
                <w:lang w:eastAsia="zh-CN"/>
              </w:rPr>
              <w:t>。</w:t>
            </w:r>
          </w:p>
          <w:p>
            <w:pPr>
              <w:pStyle w:val="18"/>
              <w:jc w:val="center"/>
              <w:outlineLvl w:val="1"/>
              <w:rPr>
                <w:rFonts w:hint="eastAsia"/>
                <w:lang w:eastAsia="zh-CN"/>
              </w:rPr>
            </w:pPr>
            <w:r>
              <w:rPr>
                <w:rFonts w:hint="eastAsia"/>
                <w:b/>
                <w:bCs/>
                <w:color w:val="auto"/>
                <w:sz w:val="21"/>
                <w:szCs w:val="21"/>
                <w:lang w:val="en-US" w:eastAsia="zh-CN"/>
              </w:rPr>
              <w:t>表1-8 项目油漆用量</w:t>
            </w:r>
          </w:p>
          <w:tbl>
            <w:tblPr>
              <w:tblStyle w:val="37"/>
              <w:tblW w:w="4998" w:type="pct"/>
              <w:tblInd w:w="0" w:type="dxa"/>
              <w:shd w:val="clear" w:color="auto" w:fill="auto"/>
              <w:tblLayout w:type="autofit"/>
              <w:tblCellMar>
                <w:top w:w="0" w:type="dxa"/>
                <w:left w:w="0" w:type="dxa"/>
                <w:bottom w:w="0" w:type="dxa"/>
                <w:right w:w="0" w:type="dxa"/>
              </w:tblCellMar>
            </w:tblPr>
            <w:tblGrid>
              <w:gridCol w:w="2285"/>
              <w:gridCol w:w="3619"/>
              <w:gridCol w:w="2286"/>
            </w:tblGrid>
            <w:tr>
              <w:tblPrEx>
                <w:shd w:val="clear" w:color="auto" w:fill="auto"/>
                <w:tblCellMar>
                  <w:top w:w="0" w:type="dxa"/>
                  <w:left w:w="0" w:type="dxa"/>
                  <w:bottom w:w="0" w:type="dxa"/>
                  <w:right w:w="0" w:type="dxa"/>
                </w:tblCellMar>
              </w:tblPrEx>
              <w:trPr>
                <w:trHeight w:val="270" w:hRule="atLeast"/>
              </w:trPr>
              <w:tc>
                <w:tcPr>
                  <w:tcW w:w="13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序号</w:t>
                  </w:r>
                </w:p>
              </w:tc>
              <w:tc>
                <w:tcPr>
                  <w:tcW w:w="220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涂料品种</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涂料用量</w:t>
                  </w:r>
                </w:p>
              </w:tc>
            </w:tr>
            <w:tr>
              <w:tblPrEx>
                <w:tblCellMar>
                  <w:top w:w="0" w:type="dxa"/>
                  <w:left w:w="0" w:type="dxa"/>
                  <w:bottom w:w="0" w:type="dxa"/>
                  <w:right w:w="0" w:type="dxa"/>
                </w:tblCellMar>
              </w:tblPrEx>
              <w:trPr>
                <w:trHeight w:val="270" w:hRule="atLeast"/>
              </w:trPr>
              <w:tc>
                <w:tcPr>
                  <w:tcW w:w="13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1</w:t>
                  </w:r>
                </w:p>
              </w:tc>
              <w:tc>
                <w:tcPr>
                  <w:tcW w:w="220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环氧富锌底漆</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eastAsia" w:cs="Times New Roman" w:eastAsiaTheme="minorEastAsia"/>
                      <w:b w:val="0"/>
                      <w:bCs w:val="0"/>
                      <w:color w:val="auto"/>
                      <w:sz w:val="21"/>
                      <w:szCs w:val="21"/>
                      <w:lang w:val="en-US" w:eastAsia="zh-CN"/>
                    </w:rPr>
                    <w:t>2.04t</w:t>
                  </w:r>
                </w:p>
              </w:tc>
            </w:tr>
            <w:tr>
              <w:tblPrEx>
                <w:tblCellMar>
                  <w:top w:w="0" w:type="dxa"/>
                  <w:left w:w="0" w:type="dxa"/>
                  <w:bottom w:w="0" w:type="dxa"/>
                  <w:right w:w="0" w:type="dxa"/>
                </w:tblCellMar>
              </w:tblPrEx>
              <w:trPr>
                <w:trHeight w:val="270" w:hRule="atLeast"/>
              </w:trPr>
              <w:tc>
                <w:tcPr>
                  <w:tcW w:w="13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2</w:t>
                  </w:r>
                </w:p>
              </w:tc>
              <w:tc>
                <w:tcPr>
                  <w:tcW w:w="220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灰环氧云铁中间漆</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eastAsia" w:cs="Times New Roman" w:eastAsiaTheme="minorEastAsia"/>
                      <w:b w:val="0"/>
                      <w:bCs w:val="0"/>
                      <w:color w:val="auto"/>
                      <w:sz w:val="21"/>
                      <w:szCs w:val="21"/>
                      <w:lang w:val="en-US" w:eastAsia="zh-CN"/>
                    </w:rPr>
                    <w:t>3.4t</w:t>
                  </w:r>
                </w:p>
              </w:tc>
            </w:tr>
            <w:tr>
              <w:tblPrEx>
                <w:tblCellMar>
                  <w:top w:w="0" w:type="dxa"/>
                  <w:left w:w="0" w:type="dxa"/>
                  <w:bottom w:w="0" w:type="dxa"/>
                  <w:right w:w="0" w:type="dxa"/>
                </w:tblCellMar>
              </w:tblPrEx>
              <w:trPr>
                <w:trHeight w:val="270" w:hRule="atLeast"/>
              </w:trPr>
              <w:tc>
                <w:tcPr>
                  <w:tcW w:w="13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3</w:t>
                  </w:r>
                </w:p>
              </w:tc>
              <w:tc>
                <w:tcPr>
                  <w:tcW w:w="220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中黄氟碳面漆</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eastAsia" w:cs="Times New Roman" w:eastAsiaTheme="minorEastAsia"/>
                      <w:b w:val="0"/>
                      <w:bCs w:val="0"/>
                      <w:color w:val="auto"/>
                      <w:sz w:val="21"/>
                      <w:szCs w:val="21"/>
                      <w:lang w:val="en-US" w:eastAsia="zh-CN"/>
                    </w:rPr>
                    <w:t>2.72t</w:t>
                  </w:r>
                </w:p>
              </w:tc>
            </w:tr>
          </w:tbl>
          <w:p>
            <w:pPr>
              <w:pStyle w:val="18"/>
              <w:numPr>
                <w:ilvl w:val="0"/>
                <w:numId w:val="0"/>
              </w:numPr>
              <w:ind w:firstLine="480" w:firstLineChars="200"/>
              <w:jc w:val="both"/>
              <w:outlineLvl w:val="1"/>
              <w:rPr>
                <w:rFonts w:hint="eastAsia"/>
                <w:lang w:val="en-US" w:eastAsia="zh-CN"/>
              </w:rPr>
            </w:pPr>
            <w:r>
              <w:rPr>
                <w:rFonts w:hint="eastAsia"/>
                <w:lang w:val="en-US" w:eastAsia="zh-CN"/>
              </w:rPr>
              <w:t>4、项目原辅料特性</w:t>
            </w:r>
          </w:p>
          <w:p>
            <w:pPr>
              <w:pStyle w:val="52"/>
              <w:bidi w:val="0"/>
              <w:spacing w:line="240" w:lineRule="auto"/>
              <w:outlineLvl w:val="1"/>
              <w:rPr>
                <w:rFonts w:hint="eastAsia"/>
                <w:lang w:val="en-US" w:eastAsia="zh-CN"/>
              </w:rPr>
            </w:pPr>
            <w:r>
              <w:rPr>
                <w:rFonts w:hint="eastAsia"/>
                <w:color w:val="auto"/>
                <w:lang w:eastAsia="zh-CN"/>
              </w:rPr>
              <w:t>表</w:t>
            </w:r>
            <w:r>
              <w:rPr>
                <w:rFonts w:hint="eastAsia"/>
                <w:color w:val="auto"/>
                <w:lang w:val="en-US" w:eastAsia="zh-CN"/>
              </w:rPr>
              <w:t>1-9项目主要原辅材料理化性质一览表</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5"/>
              <w:gridCol w:w="6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物料名称</w:t>
                  </w:r>
                </w:p>
              </w:tc>
              <w:tc>
                <w:tcPr>
                  <w:tcW w:w="6728"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理化性质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钢材</w:t>
                  </w:r>
                </w:p>
              </w:tc>
              <w:tc>
                <w:tcPr>
                  <w:tcW w:w="6728"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一般碳钢，主要成分为 Fe 以及 C、Si、Mn、P、S 等非金属杂质，不含 Cr、Mo、Ni 等重金属。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焊丝、焊条</w:t>
                  </w:r>
                </w:p>
              </w:tc>
              <w:tc>
                <w:tcPr>
                  <w:tcW w:w="6728"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焊条、焊丝是作为填充金属或同时作为导电用的金属丝焊接材料。用于焊接较重要的低碳钢结构和强度等级低的低合金钢，一般用于焊接钢结构和普通碳钢管道的焊接。具有优良的焊接工艺性能和力学性能，电弧稳定，飞溅少，脱渣容易，焊缝成型美观。其主要成分为 Fe96%、C0.2%、Mnl.2%、Sil%、P0.04%、S0.035%、Ni0.3%、Ci0.2%、Mo0.3%、V0.08%。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环氧富锌底漆</w:t>
                  </w:r>
                </w:p>
              </w:tc>
              <w:tc>
                <w:tcPr>
                  <w:tcW w:w="6728"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本项目</w:t>
                  </w:r>
                  <w:r>
                    <w:rPr>
                      <w:rFonts w:hint="eastAsia" w:cs="Times New Roman" w:eastAsiaTheme="minorEastAsia"/>
                      <w:b w:val="0"/>
                      <w:bCs w:val="0"/>
                      <w:color w:val="auto"/>
                      <w:sz w:val="21"/>
                      <w:szCs w:val="21"/>
                      <w:lang w:val="en-US" w:eastAsia="zh-CN"/>
                    </w:rPr>
                    <w:t>底漆</w:t>
                  </w:r>
                  <w:r>
                    <w:rPr>
                      <w:rFonts w:hint="default" w:ascii="Times New Roman" w:hAnsi="Times New Roman" w:cs="Times New Roman" w:eastAsiaTheme="minorEastAsia"/>
                      <w:b w:val="0"/>
                      <w:bCs w:val="0"/>
                      <w:color w:val="auto"/>
                      <w:sz w:val="21"/>
                      <w:szCs w:val="21"/>
                      <w:lang w:val="en-US" w:eastAsia="zh-CN"/>
                    </w:rPr>
                    <w:t>使用</w:t>
                  </w:r>
                  <w:r>
                    <w:rPr>
                      <w:rFonts w:hint="eastAsia" w:ascii="Times New Roman" w:hAnsi="Times New Roman" w:cs="Times New Roman" w:eastAsiaTheme="minorEastAsia"/>
                      <w:b w:val="0"/>
                      <w:bCs w:val="0"/>
                      <w:color w:val="auto"/>
                      <w:sz w:val="21"/>
                      <w:szCs w:val="21"/>
                      <w:lang w:val="en-US" w:eastAsia="zh-CN"/>
                    </w:rPr>
                    <w:t>环氧富锌底漆</w:t>
                  </w:r>
                  <w:r>
                    <w:rPr>
                      <w:rFonts w:hint="default" w:ascii="Times New Roman" w:hAnsi="Times New Roman" w:cs="Times New Roman" w:eastAsiaTheme="minorEastAsia"/>
                      <w:b w:val="0"/>
                      <w:bCs w:val="0"/>
                      <w:color w:val="auto"/>
                      <w:sz w:val="21"/>
                      <w:szCs w:val="21"/>
                      <w:lang w:val="en-US" w:eastAsia="zh-CN"/>
                    </w:rPr>
                    <w:t>，环氧富锌底漆是以环氧树脂、锌粉为主要原料，</w:t>
                  </w:r>
                  <w:r>
                    <w:rPr>
                      <w:rFonts w:hint="default" w:ascii="Times New Roman" w:hAnsi="Times New Roman" w:cs="Times New Roman" w:eastAsiaTheme="minorEastAsia"/>
                      <w:b w:val="0"/>
                      <w:bCs w:val="0"/>
                      <w:color w:val="auto"/>
                      <w:sz w:val="21"/>
                      <w:szCs w:val="21"/>
                      <w:lang w:val="en-US" w:eastAsia="zh-CN"/>
                    </w:rPr>
                    <w:fldChar w:fldCharType="begin"/>
                  </w:r>
                  <w:r>
                    <w:rPr>
                      <w:rFonts w:hint="default" w:ascii="Times New Roman" w:hAnsi="Times New Roman" w:cs="Times New Roman" w:eastAsiaTheme="minorEastAsia"/>
                      <w:b w:val="0"/>
                      <w:bCs w:val="0"/>
                      <w:color w:val="auto"/>
                      <w:sz w:val="21"/>
                      <w:szCs w:val="21"/>
                      <w:lang w:val="en-US" w:eastAsia="zh-CN"/>
                    </w:rPr>
                    <w:instrText xml:space="preserve"> HYPERLINK "https://baike.sogou.com/lemma/ShowInnerLink.htm?lemmaId=129733&amp;ss_c=ssc.citiao.link" \t "https://baike.sogou.com/_blank" </w:instrText>
                  </w:r>
                  <w:r>
                    <w:rPr>
                      <w:rFonts w:hint="default" w:ascii="Times New Roman" w:hAnsi="Times New Roman" w:cs="Times New Roman" w:eastAsiaTheme="minorEastAsia"/>
                      <w:b w:val="0"/>
                      <w:bCs w:val="0"/>
                      <w:color w:val="auto"/>
                      <w:sz w:val="21"/>
                      <w:szCs w:val="21"/>
                      <w:lang w:val="en-US" w:eastAsia="zh-CN"/>
                    </w:rPr>
                    <w:fldChar w:fldCharType="separate"/>
                  </w:r>
                  <w:r>
                    <w:rPr>
                      <w:rFonts w:hint="default" w:ascii="Times New Roman" w:hAnsi="Times New Roman" w:cs="Times New Roman" w:eastAsiaTheme="minorEastAsia"/>
                      <w:b w:val="0"/>
                      <w:bCs w:val="0"/>
                      <w:color w:val="auto"/>
                      <w:sz w:val="21"/>
                      <w:szCs w:val="21"/>
                      <w:lang w:val="en-US" w:eastAsia="zh-CN"/>
                    </w:rPr>
                    <w:t>增稠剂</w:t>
                  </w:r>
                  <w:r>
                    <w:rPr>
                      <w:rFonts w:hint="default" w:ascii="Times New Roman" w:hAnsi="Times New Roman" w:cs="Times New Roman" w:eastAsiaTheme="minorEastAsia"/>
                      <w:b w:val="0"/>
                      <w:bCs w:val="0"/>
                      <w:color w:val="auto"/>
                      <w:sz w:val="21"/>
                      <w:szCs w:val="21"/>
                      <w:lang w:val="en-US" w:eastAsia="zh-CN"/>
                    </w:rPr>
                    <w:fldChar w:fldCharType="end"/>
                  </w:r>
                  <w:r>
                    <w:rPr>
                      <w:rFonts w:hint="default" w:ascii="Times New Roman" w:hAnsi="Times New Roman" w:cs="Times New Roman" w:eastAsiaTheme="minorEastAsia"/>
                      <w:b w:val="0"/>
                      <w:bCs w:val="0"/>
                      <w:color w:val="auto"/>
                      <w:sz w:val="21"/>
                      <w:szCs w:val="21"/>
                      <w:lang w:val="en-US" w:eastAsia="zh-CN"/>
                    </w:rPr>
                    <w:t>、填料、助剂、溶剂等组成的</w:t>
                  </w:r>
                  <w:r>
                    <w:rPr>
                      <w:rFonts w:hint="default" w:ascii="Times New Roman" w:hAnsi="Times New Roman" w:cs="Times New Roman" w:eastAsiaTheme="minorEastAsia"/>
                      <w:b w:val="0"/>
                      <w:bCs w:val="0"/>
                      <w:color w:val="auto"/>
                      <w:sz w:val="21"/>
                      <w:szCs w:val="21"/>
                      <w:lang w:val="en-US" w:eastAsia="zh-CN"/>
                    </w:rPr>
                    <w:fldChar w:fldCharType="begin"/>
                  </w:r>
                  <w:r>
                    <w:rPr>
                      <w:rFonts w:hint="default" w:ascii="Times New Roman" w:hAnsi="Times New Roman" w:cs="Times New Roman" w:eastAsiaTheme="minorEastAsia"/>
                      <w:b w:val="0"/>
                      <w:bCs w:val="0"/>
                      <w:color w:val="auto"/>
                      <w:sz w:val="21"/>
                      <w:szCs w:val="21"/>
                      <w:lang w:val="en-US" w:eastAsia="zh-CN"/>
                    </w:rPr>
                    <w:instrText xml:space="preserve"> HYPERLINK "https://baike.sogou.com/lemma/ShowInnerLink.htm?lemmaId=56932413&amp;ss_c=ssc.citiao.link" \t "https://baike.sogou.com/_blank" </w:instrText>
                  </w:r>
                  <w:r>
                    <w:rPr>
                      <w:rFonts w:hint="default" w:ascii="Times New Roman" w:hAnsi="Times New Roman" w:cs="Times New Roman" w:eastAsiaTheme="minorEastAsia"/>
                      <w:b w:val="0"/>
                      <w:bCs w:val="0"/>
                      <w:color w:val="auto"/>
                      <w:sz w:val="21"/>
                      <w:szCs w:val="21"/>
                      <w:lang w:val="en-US" w:eastAsia="zh-CN"/>
                    </w:rPr>
                    <w:fldChar w:fldCharType="separate"/>
                  </w:r>
                  <w:r>
                    <w:rPr>
                      <w:rFonts w:hint="default" w:ascii="Times New Roman" w:hAnsi="Times New Roman" w:cs="Times New Roman" w:eastAsiaTheme="minorEastAsia"/>
                      <w:b w:val="0"/>
                      <w:bCs w:val="0"/>
                      <w:color w:val="auto"/>
                      <w:sz w:val="21"/>
                      <w:szCs w:val="21"/>
                      <w:lang w:val="en-US" w:eastAsia="zh-CN"/>
                    </w:rPr>
                    <w:t>特种涂料</w:t>
                  </w:r>
                  <w:r>
                    <w:rPr>
                      <w:rFonts w:hint="default" w:ascii="Times New Roman" w:hAnsi="Times New Roman" w:cs="Times New Roman" w:eastAsiaTheme="minorEastAsia"/>
                      <w:b w:val="0"/>
                      <w:bCs w:val="0"/>
                      <w:color w:val="auto"/>
                      <w:sz w:val="21"/>
                      <w:szCs w:val="21"/>
                      <w:lang w:val="en-US" w:eastAsia="zh-CN"/>
                    </w:rPr>
                    <w:fldChar w:fldCharType="end"/>
                  </w:r>
                  <w:r>
                    <w:rPr>
                      <w:rFonts w:hint="default" w:ascii="Times New Roman" w:hAnsi="Times New Roman" w:cs="Times New Roman" w:eastAsiaTheme="minorEastAsia"/>
                      <w:b w:val="0"/>
                      <w:bCs w:val="0"/>
                      <w:color w:val="auto"/>
                      <w:sz w:val="21"/>
                      <w:szCs w:val="21"/>
                      <w:lang w:val="en-US" w:eastAsia="zh-CN"/>
                    </w:rPr>
                    <w:t>。主要用于钢管、储罐、钢结构、集装箱等。含锌量</w:t>
                  </w:r>
                  <w:r>
                    <w:rPr>
                      <w:rFonts w:hint="eastAsia" w:cs="Times New Roman" w:eastAsiaTheme="minorEastAsia"/>
                      <w:b w:val="0"/>
                      <w:bCs w:val="0"/>
                      <w:color w:val="auto"/>
                      <w:sz w:val="21"/>
                      <w:szCs w:val="21"/>
                      <w:lang w:val="en-US" w:eastAsia="zh-CN"/>
                    </w:rPr>
                    <w:t>为</w:t>
                  </w:r>
                  <w:r>
                    <w:rPr>
                      <w:rFonts w:hint="default" w:ascii="Times New Roman" w:hAnsi="Times New Roman" w:cs="Times New Roman" w:eastAsiaTheme="minorEastAsia"/>
                      <w:b w:val="0"/>
                      <w:bCs w:val="0"/>
                      <w:color w:val="auto"/>
                      <w:sz w:val="21"/>
                      <w:szCs w:val="21"/>
                      <w:lang w:val="en-US" w:eastAsia="zh-CN"/>
                    </w:rPr>
                    <w:t>30%</w:t>
                  </w:r>
                  <w:r>
                    <w:rPr>
                      <w:rFonts w:hint="eastAsia" w:cs="Times New Roman" w:eastAsiaTheme="minorEastAsia"/>
                      <w:b w:val="0"/>
                      <w:bCs w:val="0"/>
                      <w:color w:val="auto"/>
                      <w:sz w:val="21"/>
                      <w:szCs w:val="21"/>
                      <w:lang w:val="en-US" w:eastAsia="zh-CN"/>
                    </w:rPr>
                    <w:t>，</w:t>
                  </w:r>
                  <w:r>
                    <w:rPr>
                      <w:rFonts w:hint="default" w:ascii="Times New Roman" w:hAnsi="Times New Roman" w:cs="Times New Roman" w:eastAsiaTheme="minorEastAsia"/>
                      <w:b w:val="0"/>
                      <w:bCs w:val="0"/>
                      <w:color w:val="auto"/>
                      <w:sz w:val="21"/>
                      <w:szCs w:val="21"/>
                      <w:lang w:val="en-US" w:eastAsia="zh-CN"/>
                    </w:rPr>
                    <w:t>密度约1.3</w:t>
                  </w:r>
                  <w:r>
                    <w:rPr>
                      <w:rFonts w:hint="eastAsia" w:cs="Times New Roman" w:eastAsiaTheme="minorEastAsia"/>
                      <w:b w:val="0"/>
                      <w:bCs w:val="0"/>
                      <w:color w:val="auto"/>
                      <w:sz w:val="21"/>
                      <w:szCs w:val="21"/>
                      <w:lang w:val="en-US" w:eastAsia="zh-CN"/>
                    </w:rPr>
                    <w:t>6</w:t>
                  </w:r>
                  <w:r>
                    <w:rPr>
                      <w:rFonts w:hint="default" w:ascii="Times New Roman" w:hAnsi="Times New Roman" w:cs="Times New Roman" w:eastAsiaTheme="minorEastAsia"/>
                      <w:b w:val="0"/>
                      <w:bCs w:val="0"/>
                      <w:color w:val="auto"/>
                      <w:sz w:val="21"/>
                      <w:szCs w:val="21"/>
                      <w:lang w:val="en-US" w:eastAsia="zh-CN"/>
                    </w:rPr>
                    <w:t>/cm</w:t>
                  </w:r>
                  <w:r>
                    <w:rPr>
                      <w:rFonts w:hint="default" w:ascii="Times New Roman" w:hAnsi="Times New Roman" w:cs="Times New Roman" w:eastAsiaTheme="minorEastAsia"/>
                      <w:b w:val="0"/>
                      <w:bCs w:val="0"/>
                      <w:color w:val="auto"/>
                      <w:sz w:val="21"/>
                      <w:szCs w:val="21"/>
                      <w:vertAlign w:val="superscript"/>
                      <w:lang w:val="en-US" w:eastAsia="zh-CN"/>
                    </w:rPr>
                    <w:t>3</w:t>
                  </w:r>
                  <w:r>
                    <w:rPr>
                      <w:rFonts w:hint="default" w:ascii="Times New Roman" w:hAnsi="Times New Roman" w:cs="Times New Roman" w:eastAsiaTheme="minorEastAsia"/>
                      <w:b w:val="0"/>
                      <w:bCs w:val="0"/>
                      <w:color w:val="auto"/>
                      <w:sz w:val="21"/>
                      <w:szCs w:val="21"/>
                      <w:lang w:val="en-US" w:eastAsia="zh-CN"/>
                    </w:rPr>
                    <w:t>，沸点：126℃。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noWrap w:val="0"/>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灰环氧云铁中间漆</w:t>
                  </w:r>
                </w:p>
              </w:tc>
              <w:tc>
                <w:tcPr>
                  <w:tcW w:w="6728"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lang w:val="en-US" w:eastAsia="zh-CN"/>
                    </w:rPr>
                    <w:t>本项目</w:t>
                  </w:r>
                  <w:r>
                    <w:rPr>
                      <w:rFonts w:hint="eastAsia" w:ascii="Times New Roman" w:hAnsi="Times New Roman" w:cs="Times New Roman" w:eastAsiaTheme="minorEastAsia"/>
                      <w:b w:val="0"/>
                      <w:bCs w:val="0"/>
                      <w:color w:val="auto"/>
                      <w:sz w:val="21"/>
                      <w:szCs w:val="21"/>
                      <w:lang w:val="en-US" w:eastAsia="zh-CN"/>
                    </w:rPr>
                    <w:t>中间漆</w:t>
                  </w:r>
                  <w:r>
                    <w:rPr>
                      <w:rFonts w:hint="default" w:ascii="Times New Roman" w:hAnsi="Times New Roman" w:cs="Times New Roman" w:eastAsiaTheme="minorEastAsia"/>
                      <w:b w:val="0"/>
                      <w:bCs w:val="0"/>
                      <w:color w:val="auto"/>
                      <w:sz w:val="21"/>
                      <w:szCs w:val="21"/>
                      <w:lang w:val="en-US" w:eastAsia="zh-CN"/>
                    </w:rPr>
                    <w:t>使用</w:t>
                  </w:r>
                  <w:r>
                    <w:rPr>
                      <w:rFonts w:hint="eastAsia" w:ascii="Times New Roman" w:hAnsi="Times New Roman" w:cs="Times New Roman" w:eastAsiaTheme="minorEastAsia"/>
                      <w:b w:val="0"/>
                      <w:bCs w:val="0"/>
                      <w:color w:val="auto"/>
                      <w:sz w:val="21"/>
                      <w:szCs w:val="21"/>
                      <w:lang w:val="en-US" w:eastAsia="zh-CN"/>
                    </w:rPr>
                    <w:t>灰环氧云铁中间漆，</w:t>
                  </w:r>
                  <w:r>
                    <w:rPr>
                      <w:rFonts w:hint="default" w:ascii="Times New Roman" w:hAnsi="Times New Roman" w:cs="Times New Roman" w:eastAsiaTheme="minorEastAsia"/>
                      <w:b w:val="0"/>
                      <w:bCs w:val="0"/>
                      <w:color w:val="auto"/>
                      <w:sz w:val="21"/>
                      <w:szCs w:val="21"/>
                      <w:lang w:val="en-US" w:eastAsia="zh-CN"/>
                    </w:rPr>
                    <w:t>环氧云铁中间漆为双组份。成份一由环氧树脂， </w:t>
                  </w:r>
                  <w:r>
                    <w:rPr>
                      <w:rFonts w:hint="default" w:ascii="Times New Roman" w:hAnsi="Times New Roman" w:cs="Times New Roman" w:eastAsiaTheme="minorEastAsia"/>
                      <w:b w:val="0"/>
                      <w:bCs w:val="0"/>
                      <w:color w:val="auto"/>
                      <w:sz w:val="21"/>
                      <w:szCs w:val="21"/>
                      <w:lang w:val="en-US" w:eastAsia="zh-CN"/>
                    </w:rPr>
                    <w:fldChar w:fldCharType="begin"/>
                  </w:r>
                  <w:r>
                    <w:rPr>
                      <w:rFonts w:hint="default" w:ascii="Times New Roman" w:hAnsi="Times New Roman" w:cs="Times New Roman" w:eastAsiaTheme="minorEastAsia"/>
                      <w:b w:val="0"/>
                      <w:bCs w:val="0"/>
                      <w:color w:val="auto"/>
                      <w:sz w:val="21"/>
                      <w:szCs w:val="21"/>
                      <w:lang w:val="en-US" w:eastAsia="zh-CN"/>
                    </w:rPr>
                    <w:instrText xml:space="preserve"> HYPERLINK "https://baike.sogou.com/lemma/ShowInnerLink.htm?lemmaId=8493702" \t "https://baike.sogou.com/_blank" </w:instrText>
                  </w:r>
                  <w:r>
                    <w:rPr>
                      <w:rFonts w:hint="default" w:ascii="Times New Roman" w:hAnsi="Times New Roman" w:cs="Times New Roman" w:eastAsiaTheme="minorEastAsia"/>
                      <w:b w:val="0"/>
                      <w:bCs w:val="0"/>
                      <w:color w:val="auto"/>
                      <w:sz w:val="21"/>
                      <w:szCs w:val="21"/>
                      <w:lang w:val="en-US" w:eastAsia="zh-CN"/>
                    </w:rPr>
                    <w:fldChar w:fldCharType="separate"/>
                  </w:r>
                  <w:r>
                    <w:rPr>
                      <w:rFonts w:hint="default" w:ascii="Times New Roman" w:hAnsi="Times New Roman" w:cs="Times New Roman" w:eastAsiaTheme="minorEastAsia"/>
                      <w:b w:val="0"/>
                      <w:bCs w:val="0"/>
                      <w:color w:val="auto"/>
                      <w:sz w:val="21"/>
                      <w:szCs w:val="21"/>
                      <w:lang w:val="en-US" w:eastAsia="zh-CN"/>
                    </w:rPr>
                    <w:t>云母氧化铁</w:t>
                  </w:r>
                  <w:r>
                    <w:rPr>
                      <w:rFonts w:hint="default" w:ascii="Times New Roman" w:hAnsi="Times New Roman" w:cs="Times New Roman" w:eastAsiaTheme="minorEastAsia"/>
                      <w:b w:val="0"/>
                      <w:bCs w:val="0"/>
                      <w:color w:val="auto"/>
                      <w:sz w:val="21"/>
                      <w:szCs w:val="21"/>
                      <w:lang w:val="en-US" w:eastAsia="zh-CN"/>
                    </w:rPr>
                    <w:fldChar w:fldCharType="end"/>
                  </w:r>
                  <w:r>
                    <w:rPr>
                      <w:rFonts w:hint="default" w:ascii="Times New Roman" w:hAnsi="Times New Roman" w:cs="Times New Roman" w:eastAsiaTheme="minorEastAsia"/>
                      <w:b w:val="0"/>
                      <w:bCs w:val="0"/>
                      <w:color w:val="auto"/>
                      <w:sz w:val="21"/>
                      <w:szCs w:val="21"/>
                      <w:lang w:val="en-US" w:eastAsia="zh-CN"/>
                    </w:rPr>
                    <w:t>、 </w:t>
                  </w:r>
                  <w:r>
                    <w:rPr>
                      <w:rFonts w:hint="default" w:ascii="Times New Roman" w:hAnsi="Times New Roman" w:cs="Times New Roman" w:eastAsiaTheme="minorEastAsia"/>
                      <w:b w:val="0"/>
                      <w:bCs w:val="0"/>
                      <w:color w:val="auto"/>
                      <w:sz w:val="21"/>
                      <w:szCs w:val="21"/>
                      <w:lang w:val="en-US" w:eastAsia="zh-CN"/>
                    </w:rPr>
                    <w:fldChar w:fldCharType="begin"/>
                  </w:r>
                  <w:r>
                    <w:rPr>
                      <w:rFonts w:hint="default" w:ascii="Times New Roman" w:hAnsi="Times New Roman" w:cs="Times New Roman" w:eastAsiaTheme="minorEastAsia"/>
                      <w:b w:val="0"/>
                      <w:bCs w:val="0"/>
                      <w:color w:val="auto"/>
                      <w:sz w:val="21"/>
                      <w:szCs w:val="21"/>
                      <w:lang w:val="en-US" w:eastAsia="zh-CN"/>
                    </w:rPr>
                    <w:instrText xml:space="preserve"> HYPERLINK "https://baike.sogou.com/lemma/ShowInnerLink.htm?lemmaId=8853602" \t "https://baike.sogou.com/_blank" </w:instrText>
                  </w:r>
                  <w:r>
                    <w:rPr>
                      <w:rFonts w:hint="default" w:ascii="Times New Roman" w:hAnsi="Times New Roman" w:cs="Times New Roman" w:eastAsiaTheme="minorEastAsia"/>
                      <w:b w:val="0"/>
                      <w:bCs w:val="0"/>
                      <w:color w:val="auto"/>
                      <w:sz w:val="21"/>
                      <w:szCs w:val="21"/>
                      <w:lang w:val="en-US" w:eastAsia="zh-CN"/>
                    </w:rPr>
                    <w:fldChar w:fldCharType="separate"/>
                  </w:r>
                  <w:r>
                    <w:rPr>
                      <w:rFonts w:hint="default" w:ascii="Times New Roman" w:hAnsi="Times New Roman" w:cs="Times New Roman" w:eastAsiaTheme="minorEastAsia"/>
                      <w:b w:val="0"/>
                      <w:bCs w:val="0"/>
                      <w:color w:val="auto"/>
                      <w:sz w:val="21"/>
                      <w:szCs w:val="21"/>
                      <w:lang w:val="en-US" w:eastAsia="zh-CN"/>
                    </w:rPr>
                    <w:t>防锈颜料</w:t>
                  </w:r>
                  <w:r>
                    <w:rPr>
                      <w:rFonts w:hint="default" w:ascii="Times New Roman" w:hAnsi="Times New Roman" w:cs="Times New Roman" w:eastAsiaTheme="minorEastAsia"/>
                      <w:b w:val="0"/>
                      <w:bCs w:val="0"/>
                      <w:color w:val="auto"/>
                      <w:sz w:val="21"/>
                      <w:szCs w:val="21"/>
                      <w:lang w:val="en-US" w:eastAsia="zh-CN"/>
                    </w:rPr>
                    <w:fldChar w:fldCharType="end"/>
                  </w:r>
                  <w:r>
                    <w:rPr>
                      <w:rFonts w:hint="default" w:ascii="Times New Roman" w:hAnsi="Times New Roman" w:cs="Times New Roman" w:eastAsiaTheme="minorEastAsia"/>
                      <w:b w:val="0"/>
                      <w:bCs w:val="0"/>
                      <w:color w:val="auto"/>
                      <w:sz w:val="21"/>
                      <w:szCs w:val="21"/>
                      <w:lang w:val="en-US" w:eastAsia="zh-CN"/>
                    </w:rPr>
                    <w:t>、有机溶剂配制而成；成份二为</w:t>
                  </w:r>
                  <w:r>
                    <w:rPr>
                      <w:rFonts w:hint="default" w:ascii="Times New Roman" w:hAnsi="Times New Roman" w:cs="Times New Roman" w:eastAsiaTheme="minorEastAsia"/>
                      <w:b w:val="0"/>
                      <w:bCs w:val="0"/>
                      <w:color w:val="auto"/>
                      <w:sz w:val="21"/>
                      <w:szCs w:val="21"/>
                      <w:lang w:val="en-US" w:eastAsia="zh-CN"/>
                    </w:rPr>
                    <w:fldChar w:fldCharType="begin"/>
                  </w:r>
                  <w:r>
                    <w:rPr>
                      <w:rFonts w:hint="default" w:ascii="Times New Roman" w:hAnsi="Times New Roman" w:cs="Times New Roman" w:eastAsiaTheme="minorEastAsia"/>
                      <w:b w:val="0"/>
                      <w:bCs w:val="0"/>
                      <w:color w:val="auto"/>
                      <w:sz w:val="21"/>
                      <w:szCs w:val="21"/>
                      <w:lang w:val="en-US" w:eastAsia="zh-CN"/>
                    </w:rPr>
                    <w:instrText xml:space="preserve"> HYPERLINK "https://baike.sogou.com/lemma/ShowInnerLink.htm?lemmaId=2019805&amp;ss_c=ssc.citiao.link" \t "https://baike.sogou.com/_blank" </w:instrText>
                  </w:r>
                  <w:r>
                    <w:rPr>
                      <w:rFonts w:hint="default" w:ascii="Times New Roman" w:hAnsi="Times New Roman" w:cs="Times New Roman" w:eastAsiaTheme="minorEastAsia"/>
                      <w:b w:val="0"/>
                      <w:bCs w:val="0"/>
                      <w:color w:val="auto"/>
                      <w:sz w:val="21"/>
                      <w:szCs w:val="21"/>
                      <w:lang w:val="en-US" w:eastAsia="zh-CN"/>
                    </w:rPr>
                    <w:fldChar w:fldCharType="separate"/>
                  </w:r>
                  <w:r>
                    <w:rPr>
                      <w:rFonts w:hint="default" w:ascii="Times New Roman" w:hAnsi="Times New Roman" w:cs="Times New Roman" w:eastAsiaTheme="minorEastAsia"/>
                      <w:b w:val="0"/>
                      <w:bCs w:val="0"/>
                      <w:color w:val="auto"/>
                      <w:sz w:val="21"/>
                      <w:szCs w:val="21"/>
                      <w:lang w:val="en-US" w:eastAsia="zh-CN"/>
                    </w:rPr>
                    <w:t>固化剂</w:t>
                  </w:r>
                  <w:r>
                    <w:rPr>
                      <w:rFonts w:hint="default" w:ascii="Times New Roman" w:hAnsi="Times New Roman" w:cs="Times New Roman" w:eastAsiaTheme="minorEastAsia"/>
                      <w:b w:val="0"/>
                      <w:bCs w:val="0"/>
                      <w:color w:val="auto"/>
                      <w:sz w:val="21"/>
                      <w:szCs w:val="21"/>
                      <w:lang w:val="en-US" w:eastAsia="zh-CN"/>
                    </w:rPr>
                    <w:fldChar w:fldCharType="end"/>
                  </w:r>
                  <w:r>
                    <w:rPr>
                      <w:rFonts w:hint="default" w:ascii="Times New Roman" w:hAnsi="Times New Roman" w:cs="Times New Roman" w:eastAsiaTheme="minorEastAsia"/>
                      <w:b w:val="0"/>
                      <w:bCs w:val="0"/>
                      <w:color w:val="auto"/>
                      <w:sz w:val="21"/>
                      <w:szCs w:val="21"/>
                      <w:lang w:val="en-US" w:eastAsia="zh-CN"/>
                    </w:rPr>
                    <w:t>。成份一:成份二=100:10（重量比</w:t>
                  </w:r>
                  <w:r>
                    <w:rPr>
                      <w:rFonts w:hint="eastAsia" w:ascii="Times New Roman" w:hAnsi="Times New Roman" w:cs="Times New Roman" w:eastAsiaTheme="minorEastAsia"/>
                      <w:b w:val="0"/>
                      <w:bCs w:val="0"/>
                      <w:color w:val="auto"/>
                      <w:sz w:val="21"/>
                      <w:szCs w:val="21"/>
                      <w:lang w:val="en-US" w:eastAsia="zh-CN"/>
                    </w:rPr>
                    <w:t>）。密度</w:t>
                  </w:r>
                  <w:r>
                    <w:rPr>
                      <w:rFonts w:hint="default" w:ascii="Times New Roman" w:hAnsi="Times New Roman" w:cs="Times New Roman" w:eastAsiaTheme="minorEastAsia"/>
                      <w:b w:val="0"/>
                      <w:bCs w:val="0"/>
                      <w:color w:val="auto"/>
                      <w:sz w:val="21"/>
                      <w:szCs w:val="21"/>
                      <w:lang w:val="en-US" w:eastAsia="zh-CN"/>
                    </w:rPr>
                    <w:t>1.3</w:t>
                  </w:r>
                  <w:r>
                    <w:rPr>
                      <w:rFonts w:hint="eastAsia" w:ascii="Times New Roman" w:hAnsi="Times New Roman" w:cs="Times New Roman" w:eastAsiaTheme="minorEastAsia"/>
                      <w:b w:val="0"/>
                      <w:bCs w:val="0"/>
                      <w:color w:val="auto"/>
                      <w:sz w:val="21"/>
                      <w:szCs w:val="21"/>
                      <w:lang w:val="en-US" w:eastAsia="zh-CN"/>
                    </w:rPr>
                    <w:t>6</w:t>
                  </w:r>
                  <w:r>
                    <w:rPr>
                      <w:rFonts w:hint="default" w:ascii="Times New Roman" w:hAnsi="Times New Roman" w:cs="Times New Roman" w:eastAsiaTheme="minorEastAsia"/>
                      <w:b w:val="0"/>
                      <w:bCs w:val="0"/>
                      <w:color w:val="auto"/>
                      <w:sz w:val="21"/>
                      <w:szCs w:val="21"/>
                      <w:lang w:val="en-US" w:eastAsia="zh-CN"/>
                    </w:rPr>
                    <w:t>g/cm</w:t>
                  </w:r>
                  <w:r>
                    <w:rPr>
                      <w:rFonts w:hint="default" w:ascii="Times New Roman" w:hAnsi="Times New Roman" w:cs="Times New Roman" w:eastAsiaTheme="minorEastAsia"/>
                      <w:b w:val="0"/>
                      <w:bCs w:val="0"/>
                      <w:color w:val="auto"/>
                      <w:sz w:val="21"/>
                      <w:szCs w:val="21"/>
                      <w:vertAlign w:val="superscript"/>
                      <w:lang w:val="en-US" w:eastAsia="zh-CN"/>
                    </w:rPr>
                    <w:t>3</w:t>
                  </w:r>
                  <w:r>
                    <w:rPr>
                      <w:rFonts w:hint="eastAsia" w:ascii="Times New Roman" w:hAnsi="Times New Roman" w:cs="Times New Roman" w:eastAsiaTheme="minorEastAsia"/>
                      <w:b w:val="0"/>
                      <w:bCs w:val="0"/>
                      <w:color w:val="auto"/>
                      <w:sz w:val="21"/>
                      <w:szCs w:val="21"/>
                      <w:lang w:val="en-US" w:eastAsia="zh-CN"/>
                    </w:rPr>
                    <w:t>，闪电20℃，干燥时间25℃时，表干</w:t>
                  </w:r>
                  <w:r>
                    <w:rPr>
                      <w:rFonts w:hint="default" w:ascii="Times New Roman" w:hAnsi="Times New Roman" w:cs="Times New Roman" w:eastAsiaTheme="minorEastAsia"/>
                      <w:b w:val="0"/>
                      <w:bCs w:val="0"/>
                      <w:color w:val="auto"/>
                      <w:sz w:val="21"/>
                      <w:szCs w:val="21"/>
                      <w:lang w:val="en-US" w:eastAsia="zh-CN"/>
                    </w:rPr>
                    <w:t>≤</w:t>
                  </w:r>
                  <w:r>
                    <w:rPr>
                      <w:rFonts w:hint="eastAsia" w:ascii="Times New Roman" w:hAnsi="Times New Roman" w:cs="Times New Roman" w:eastAsiaTheme="minorEastAsia"/>
                      <w:b w:val="0"/>
                      <w:bCs w:val="0"/>
                      <w:color w:val="auto"/>
                      <w:sz w:val="21"/>
                      <w:szCs w:val="21"/>
                      <w:lang w:val="en-US" w:eastAsia="zh-CN"/>
                    </w:rPr>
                    <w:t>4小时。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455" w:type="dxa"/>
                  <w:noWrap w:val="0"/>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中黄氟碳面漆</w:t>
                  </w:r>
                </w:p>
              </w:tc>
              <w:tc>
                <w:tcPr>
                  <w:tcW w:w="6728"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本项目</w:t>
                  </w:r>
                  <w:r>
                    <w:rPr>
                      <w:rFonts w:hint="eastAsia" w:ascii="Times New Roman" w:hAnsi="Times New Roman" w:cs="Times New Roman" w:eastAsiaTheme="minorEastAsia"/>
                      <w:b w:val="0"/>
                      <w:bCs w:val="0"/>
                      <w:color w:val="auto"/>
                      <w:sz w:val="21"/>
                      <w:szCs w:val="21"/>
                      <w:lang w:val="en-US" w:eastAsia="zh-CN"/>
                    </w:rPr>
                    <w:t>中间漆</w:t>
                  </w:r>
                  <w:r>
                    <w:rPr>
                      <w:rFonts w:hint="default" w:ascii="Times New Roman" w:hAnsi="Times New Roman" w:cs="Times New Roman" w:eastAsiaTheme="minorEastAsia"/>
                      <w:b w:val="0"/>
                      <w:bCs w:val="0"/>
                      <w:color w:val="auto"/>
                      <w:sz w:val="21"/>
                      <w:szCs w:val="21"/>
                      <w:lang w:val="en-US" w:eastAsia="zh-CN"/>
                    </w:rPr>
                    <w:t>使用</w:t>
                  </w:r>
                  <w:r>
                    <w:rPr>
                      <w:rFonts w:hint="eastAsia" w:ascii="Times New Roman" w:hAnsi="Times New Roman" w:cs="Times New Roman" w:eastAsiaTheme="minorEastAsia"/>
                      <w:b w:val="0"/>
                      <w:bCs w:val="0"/>
                      <w:color w:val="auto"/>
                      <w:sz w:val="21"/>
                      <w:szCs w:val="21"/>
                      <w:lang w:val="en-US" w:eastAsia="zh-CN"/>
                    </w:rPr>
                    <w:t>中黄氟碳面漆，氟碳清漆是以</w:t>
                  </w:r>
                  <w:r>
                    <w:rPr>
                      <w:rFonts w:hint="eastAsia" w:ascii="Times New Roman" w:hAnsi="Times New Roman" w:cs="Times New Roman" w:eastAsiaTheme="minorEastAsia"/>
                      <w:b w:val="0"/>
                      <w:bCs w:val="0"/>
                      <w:color w:val="auto"/>
                      <w:sz w:val="21"/>
                      <w:szCs w:val="21"/>
                      <w:lang w:val="en-US" w:eastAsia="zh-CN"/>
                    </w:rPr>
                    <w:fldChar w:fldCharType="begin"/>
                  </w:r>
                  <w:r>
                    <w:rPr>
                      <w:rFonts w:hint="eastAsia" w:ascii="Times New Roman" w:hAnsi="Times New Roman" w:cs="Times New Roman" w:eastAsiaTheme="minorEastAsia"/>
                      <w:b w:val="0"/>
                      <w:bCs w:val="0"/>
                      <w:color w:val="auto"/>
                      <w:sz w:val="21"/>
                      <w:szCs w:val="21"/>
                      <w:lang w:val="en-US" w:eastAsia="zh-CN"/>
                    </w:rPr>
                    <w:instrText xml:space="preserve"> HYPERLINK "https://baike.sogou.com/lemma/ShowInnerLink.htm?lemmaId=8652382&amp;ss_c=ssc.citiao.link" \t "https://baike.sogou.com/_blank" </w:instrText>
                  </w:r>
                  <w:r>
                    <w:rPr>
                      <w:rFonts w:hint="eastAsia" w:ascii="Times New Roman" w:hAnsi="Times New Roman" w:cs="Times New Roman" w:eastAsiaTheme="minorEastAsia"/>
                      <w:b w:val="0"/>
                      <w:bCs w:val="0"/>
                      <w:color w:val="auto"/>
                      <w:sz w:val="21"/>
                      <w:szCs w:val="21"/>
                      <w:lang w:val="en-US" w:eastAsia="zh-CN"/>
                    </w:rPr>
                    <w:fldChar w:fldCharType="separate"/>
                  </w:r>
                  <w:r>
                    <w:rPr>
                      <w:rFonts w:hint="eastAsia" w:ascii="Times New Roman" w:hAnsi="Times New Roman" w:cs="Times New Roman" w:eastAsiaTheme="minorEastAsia"/>
                      <w:b w:val="0"/>
                      <w:bCs w:val="0"/>
                      <w:color w:val="auto"/>
                      <w:sz w:val="21"/>
                      <w:szCs w:val="21"/>
                      <w:lang w:val="en-US" w:eastAsia="zh-CN"/>
                    </w:rPr>
                    <w:t>氟树脂</w:t>
                  </w:r>
                  <w:r>
                    <w:rPr>
                      <w:rFonts w:hint="eastAsia" w:ascii="Times New Roman" w:hAnsi="Times New Roman" w:cs="Times New Roman" w:eastAsiaTheme="minorEastAsia"/>
                      <w:b w:val="0"/>
                      <w:bCs w:val="0"/>
                      <w:color w:val="auto"/>
                      <w:sz w:val="21"/>
                      <w:szCs w:val="21"/>
                      <w:lang w:val="en-US" w:eastAsia="zh-CN"/>
                    </w:rPr>
                    <w:fldChar w:fldCharType="end"/>
                  </w:r>
                  <w:r>
                    <w:rPr>
                      <w:rFonts w:hint="eastAsia" w:ascii="Times New Roman" w:hAnsi="Times New Roman" w:cs="Times New Roman" w:eastAsiaTheme="minorEastAsia"/>
                      <w:b w:val="0"/>
                      <w:bCs w:val="0"/>
                      <w:color w:val="auto"/>
                      <w:sz w:val="21"/>
                      <w:szCs w:val="21"/>
                      <w:lang w:val="en-US" w:eastAsia="zh-CN"/>
                    </w:rPr>
                    <w:t>为主要成份的常温固化型双组份氟碳清漆，具有超</w:t>
                  </w:r>
                  <w:r>
                    <w:rPr>
                      <w:rFonts w:hint="eastAsia" w:ascii="Times New Roman" w:hAnsi="Times New Roman" w:cs="Times New Roman" w:eastAsiaTheme="minorEastAsia"/>
                      <w:b w:val="0"/>
                      <w:bCs w:val="0"/>
                      <w:color w:val="auto"/>
                      <w:sz w:val="21"/>
                      <w:szCs w:val="21"/>
                      <w:lang w:val="en-US" w:eastAsia="zh-CN"/>
                    </w:rPr>
                    <w:fldChar w:fldCharType="begin"/>
                  </w:r>
                  <w:r>
                    <w:rPr>
                      <w:rFonts w:hint="eastAsia" w:ascii="Times New Roman" w:hAnsi="Times New Roman" w:cs="Times New Roman" w:eastAsiaTheme="minorEastAsia"/>
                      <w:b w:val="0"/>
                      <w:bCs w:val="0"/>
                      <w:color w:val="auto"/>
                      <w:sz w:val="21"/>
                      <w:szCs w:val="21"/>
                      <w:lang w:val="en-US" w:eastAsia="zh-CN"/>
                    </w:rPr>
                    <w:instrText xml:space="preserve"> HYPERLINK "https://baike.sogou.com/lemma/ShowInnerLink.htm?lemmaId=212471&amp;ss_c=ssc.citiao.link" \t "https://baike.sogou.com/_blank" </w:instrText>
                  </w:r>
                  <w:r>
                    <w:rPr>
                      <w:rFonts w:hint="eastAsia" w:ascii="Times New Roman" w:hAnsi="Times New Roman" w:cs="Times New Roman" w:eastAsiaTheme="minorEastAsia"/>
                      <w:b w:val="0"/>
                      <w:bCs w:val="0"/>
                      <w:color w:val="auto"/>
                      <w:sz w:val="21"/>
                      <w:szCs w:val="21"/>
                      <w:lang w:val="en-US" w:eastAsia="zh-CN"/>
                    </w:rPr>
                    <w:fldChar w:fldCharType="separate"/>
                  </w:r>
                  <w:r>
                    <w:rPr>
                      <w:rFonts w:hint="eastAsia" w:ascii="Times New Roman" w:hAnsi="Times New Roman" w:cs="Times New Roman" w:eastAsiaTheme="minorEastAsia"/>
                      <w:b w:val="0"/>
                      <w:bCs w:val="0"/>
                      <w:color w:val="auto"/>
                      <w:sz w:val="21"/>
                      <w:szCs w:val="21"/>
                      <w:lang w:val="en-US" w:eastAsia="zh-CN"/>
                    </w:rPr>
                    <w:t>耐候性</w:t>
                  </w:r>
                  <w:r>
                    <w:rPr>
                      <w:rFonts w:hint="eastAsia" w:ascii="Times New Roman" w:hAnsi="Times New Roman" w:cs="Times New Roman" w:eastAsiaTheme="minorEastAsia"/>
                      <w:b w:val="0"/>
                      <w:bCs w:val="0"/>
                      <w:color w:val="auto"/>
                      <w:sz w:val="21"/>
                      <w:szCs w:val="21"/>
                      <w:lang w:val="en-US" w:eastAsia="zh-CN"/>
                    </w:rPr>
                    <w:fldChar w:fldCharType="end"/>
                  </w:r>
                  <w:r>
                    <w:rPr>
                      <w:rFonts w:hint="eastAsia" w:ascii="Times New Roman" w:hAnsi="Times New Roman" w:cs="Times New Roman" w:eastAsiaTheme="minorEastAsia"/>
                      <w:b w:val="0"/>
                      <w:bCs w:val="0"/>
                      <w:color w:val="auto"/>
                      <w:sz w:val="21"/>
                      <w:szCs w:val="21"/>
                      <w:lang w:val="en-US" w:eastAsia="zh-CN"/>
                    </w:rPr>
                    <w:t>和耐持久性寿命等优异性能，可用于多种涂层和基材的罩面保护。基料为氟碳树脂，密度</w:t>
                  </w:r>
                  <w:r>
                    <w:rPr>
                      <w:rFonts w:hint="default" w:ascii="Times New Roman" w:hAnsi="Times New Roman" w:cs="Times New Roman" w:eastAsiaTheme="minorEastAsia"/>
                      <w:b w:val="0"/>
                      <w:bCs w:val="0"/>
                      <w:color w:val="auto"/>
                      <w:sz w:val="21"/>
                      <w:szCs w:val="21"/>
                      <w:lang w:val="en-US" w:eastAsia="zh-CN"/>
                    </w:rPr>
                    <w:t>1.3</w:t>
                  </w:r>
                  <w:r>
                    <w:rPr>
                      <w:rFonts w:hint="eastAsia" w:ascii="Times New Roman" w:hAnsi="Times New Roman" w:cs="Times New Roman" w:eastAsiaTheme="minorEastAsia"/>
                      <w:b w:val="0"/>
                      <w:bCs w:val="0"/>
                      <w:color w:val="auto"/>
                      <w:sz w:val="21"/>
                      <w:szCs w:val="21"/>
                      <w:lang w:val="en-US" w:eastAsia="zh-CN"/>
                    </w:rPr>
                    <w:t>6</w:t>
                  </w:r>
                  <w:r>
                    <w:rPr>
                      <w:rFonts w:hint="default" w:ascii="Times New Roman" w:hAnsi="Times New Roman" w:cs="Times New Roman" w:eastAsiaTheme="minorEastAsia"/>
                      <w:b w:val="0"/>
                      <w:bCs w:val="0"/>
                      <w:color w:val="auto"/>
                      <w:sz w:val="21"/>
                      <w:szCs w:val="21"/>
                      <w:lang w:val="en-US" w:eastAsia="zh-CN"/>
                    </w:rPr>
                    <w:t>g/cm</w:t>
                  </w:r>
                  <w:r>
                    <w:rPr>
                      <w:rFonts w:hint="default" w:ascii="Times New Roman" w:hAnsi="Times New Roman" w:cs="Times New Roman" w:eastAsiaTheme="minorEastAsia"/>
                      <w:b w:val="0"/>
                      <w:bCs w:val="0"/>
                      <w:color w:val="auto"/>
                      <w:sz w:val="21"/>
                      <w:szCs w:val="21"/>
                      <w:vertAlign w:val="superscript"/>
                      <w:lang w:val="en-US" w:eastAsia="zh-CN"/>
                    </w:rPr>
                    <w:t>3</w:t>
                  </w:r>
                  <w:r>
                    <w:rPr>
                      <w:rFonts w:hint="eastAsia" w:ascii="Times New Roman" w:hAnsi="Times New Roman" w:cs="Times New Roman" w:eastAsiaTheme="minorEastAsia"/>
                      <w:b w:val="0"/>
                      <w:bCs w:val="0"/>
                      <w:color w:val="auto"/>
                      <w:sz w:val="21"/>
                      <w:szCs w:val="21"/>
                      <w:vertAlign w:val="baseline"/>
                      <w:lang w:val="en-US" w:eastAsia="zh-CN"/>
                    </w:rPr>
                    <w:t>，</w:t>
                  </w:r>
                  <w:r>
                    <w:rPr>
                      <w:rFonts w:hint="eastAsia" w:ascii="Times New Roman" w:hAnsi="Times New Roman" w:cs="Times New Roman" w:eastAsiaTheme="minorEastAsia"/>
                      <w:b w:val="0"/>
                      <w:bCs w:val="0"/>
                      <w:color w:val="auto"/>
                      <w:sz w:val="21"/>
                      <w:szCs w:val="21"/>
                      <w:lang w:val="en-US" w:eastAsia="zh-CN"/>
                    </w:rPr>
                    <w:t>闪电32</w:t>
                  </w:r>
                  <w:r>
                    <w:rPr>
                      <w:rFonts w:hint="eastAsia" w:ascii="宋体" w:hAnsi="宋体" w:eastAsia="宋体" w:cs="宋体"/>
                      <w:b w:val="0"/>
                      <w:bCs w:val="0"/>
                      <w:color w:val="auto"/>
                      <w:sz w:val="21"/>
                      <w:szCs w:val="21"/>
                      <w:lang w:val="en-US" w:eastAsia="zh-CN"/>
                    </w:rPr>
                    <w:t>℃</w:t>
                  </w:r>
                  <w:r>
                    <w:rPr>
                      <w:rFonts w:hint="eastAsia" w:ascii="Times New Roman" w:hAnsi="Times New Roman" w:cs="Times New Roman" w:eastAsiaTheme="minorEastAsia"/>
                      <w:b w:val="0"/>
                      <w:bCs w:val="0"/>
                      <w:color w:val="auto"/>
                      <w:sz w:val="21"/>
                      <w:szCs w:val="21"/>
                      <w:lang w:val="en-US" w:eastAsia="zh-CN"/>
                    </w:rPr>
                    <w:t>，干燥时间：表干30分钟，硬干24小时（温度25℃，湿度75%），重涂时间为最少4小时，最多48小时。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noWrap w:val="0"/>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cs="Times New Roman" w:eastAsiaTheme="minorEastAsia"/>
                      <w:b w:val="0"/>
                      <w:bCs w:val="0"/>
                      <w:color w:val="auto"/>
                      <w:sz w:val="21"/>
                      <w:szCs w:val="21"/>
                      <w:lang w:val="en-US" w:eastAsia="zh-CN"/>
                    </w:rPr>
                    <w:t>乙炔</w:t>
                  </w:r>
                </w:p>
              </w:tc>
              <w:tc>
                <w:tcPr>
                  <w:tcW w:w="6728"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俗称风煤、电石气,是炔烃化合物系列中体积最小的一员,主要作工业用途,特别是烧焊金属方面</w:t>
                  </w:r>
                  <w:r>
                    <w:rPr>
                      <w:rFonts w:hint="eastAsia" w:cs="Times New Roman" w:eastAsiaTheme="minorEastAsia"/>
                      <w:b w:val="0"/>
                      <w:bCs w:val="0"/>
                      <w:color w:val="auto"/>
                      <w:sz w:val="21"/>
                      <w:szCs w:val="21"/>
                      <w:lang w:val="en-US" w:eastAsia="zh-CN"/>
                    </w:rPr>
                    <w:t>。</w:t>
                  </w:r>
                  <w:r>
                    <w:rPr>
                      <w:rFonts w:hint="default" w:ascii="Times New Roman" w:hAnsi="Times New Roman" w:cs="Times New Roman" w:eastAsiaTheme="minorEastAsia"/>
                      <w:b w:val="0"/>
                      <w:bCs w:val="0"/>
                      <w:color w:val="auto"/>
                      <w:sz w:val="21"/>
                      <w:szCs w:val="21"/>
                      <w:lang w:val="en-US" w:eastAsia="zh-CN"/>
                    </w:rPr>
                    <w:t>乙炔在室温下是一种无色、极易燃的气体</w:t>
                  </w:r>
                  <w:r>
                    <w:rPr>
                      <w:rFonts w:hint="eastAsia" w:cs="Times New Roman" w:eastAsiaTheme="minorEastAsia"/>
                      <w:b w:val="0"/>
                      <w:bCs w:val="0"/>
                      <w:color w:val="auto"/>
                      <w:sz w:val="21"/>
                      <w:szCs w:val="21"/>
                      <w:lang w:val="en-US" w:eastAsia="zh-CN"/>
                    </w:rPr>
                    <w:t>。纯乙炔为无色无味的易燃、有毒气体。熔点（118.656kPa）-84℃，沸点-80.8℃，相对密度0.6208(-82/4℃)，折射率1.00051，折光率1.0005（0℃）,闪点（开杯）-17.78℃，自燃点305℃。在空气中爆炸极限2.3%-72.3%（vol）。分子式CH≡CH,化学式C</w:t>
                  </w:r>
                  <w:r>
                    <w:rPr>
                      <w:rFonts w:hint="eastAsia" w:cs="Times New Roman" w:eastAsiaTheme="minorEastAsia"/>
                      <w:b w:val="0"/>
                      <w:bCs w:val="0"/>
                      <w:color w:val="auto"/>
                      <w:sz w:val="21"/>
                      <w:szCs w:val="21"/>
                      <w:vertAlign w:val="subscript"/>
                      <w:lang w:val="en-US" w:eastAsia="zh-CN"/>
                    </w:rPr>
                    <w:t>2</w:t>
                  </w:r>
                  <w:r>
                    <w:rPr>
                      <w:rFonts w:hint="eastAsia" w:cs="Times New Roman" w:eastAsiaTheme="minorEastAsia"/>
                      <w:b w:val="0"/>
                      <w:bCs w:val="0"/>
                      <w:color w:val="auto"/>
                      <w:sz w:val="21"/>
                      <w:szCs w:val="21"/>
                      <w:lang w:val="en-US" w:eastAsia="zh-CN"/>
                    </w:rPr>
                    <w:t>H</w:t>
                  </w:r>
                  <w:r>
                    <w:rPr>
                      <w:rFonts w:hint="eastAsia" w:cs="Times New Roman" w:eastAsiaTheme="minorEastAsia"/>
                      <w:b w:val="0"/>
                      <w:bCs w:val="0"/>
                      <w:color w:val="auto"/>
                      <w:sz w:val="21"/>
                      <w:szCs w:val="21"/>
                      <w:vertAlign w:val="subscript"/>
                      <w:lang w:val="en-US" w:eastAsia="zh-CN"/>
                    </w:rPr>
                    <w:t>2</w:t>
                  </w:r>
                  <w:r>
                    <w:rPr>
                      <w:rFonts w:hint="eastAsia" w:cs="Times New Roman" w:eastAsiaTheme="minorEastAsia"/>
                      <w:b w:val="0"/>
                      <w:bCs w:val="0"/>
                      <w:color w:val="auto"/>
                      <w:sz w:val="21"/>
                      <w:szCs w:val="21"/>
                      <w:lang w:val="en-US" w:eastAsia="zh-CN"/>
                    </w:rPr>
                    <w:t>。乙炔分子量 26．4 ,气体比重0．91（ Kg/m</w:t>
                  </w:r>
                  <w:r>
                    <w:rPr>
                      <w:rFonts w:hint="eastAsia" w:cs="Times New Roman" w:eastAsiaTheme="minorEastAsia"/>
                      <w:b w:val="0"/>
                      <w:bCs w:val="0"/>
                      <w:color w:val="auto"/>
                      <w:sz w:val="21"/>
                      <w:szCs w:val="21"/>
                      <w:vertAlign w:val="superscript"/>
                      <w:lang w:val="en-US" w:eastAsia="zh-CN"/>
                    </w:rPr>
                    <w:t>3</w:t>
                  </w:r>
                  <w:r>
                    <w:rPr>
                      <w:rFonts w:hint="eastAsia" w:cs="Times New Roman" w:eastAsiaTheme="minorEastAsia"/>
                      <w:b w:val="0"/>
                      <w:bCs w:val="0"/>
                      <w:color w:val="auto"/>
                      <w:sz w:val="21"/>
                      <w:szCs w:val="21"/>
                      <w:lang w:val="en-US" w:eastAsia="zh-CN"/>
                    </w:rPr>
                    <w:t>）,火焰温度3150 ℃,热值12800（千卡/m</w:t>
                  </w:r>
                  <w:r>
                    <w:rPr>
                      <w:rFonts w:hint="eastAsia" w:cs="Times New Roman" w:eastAsiaTheme="minorEastAsia"/>
                      <w:b w:val="0"/>
                      <w:bCs w:val="0"/>
                      <w:color w:val="auto"/>
                      <w:sz w:val="21"/>
                      <w:szCs w:val="21"/>
                      <w:vertAlign w:val="superscript"/>
                      <w:lang w:val="en-US" w:eastAsia="zh-CN"/>
                    </w:rPr>
                    <w:t>3</w:t>
                  </w:r>
                  <w:r>
                    <w:rPr>
                      <w:rFonts w:hint="eastAsia" w:cs="Times New Roman" w:eastAsiaTheme="minorEastAsia"/>
                      <w:b w:val="0"/>
                      <w:bCs w:val="0"/>
                      <w:color w:val="auto"/>
                      <w:sz w:val="21"/>
                      <w:szCs w:val="21"/>
                      <w:lang w:val="en-US" w:eastAsia="zh-CN"/>
                    </w:rPr>
                    <w:t>） 在氧气中燃烧速度7．5 ，纯乙炔在空气中燃烧2100度左右，在氧气中燃烧可达3600度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氧气</w:t>
                  </w:r>
                </w:p>
              </w:tc>
              <w:tc>
                <w:tcPr>
                  <w:tcW w:w="6728"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氧含量为99.2%，含有一氧化碳、二氧化碳、乙炔等对人体有害的杂质。化学式O</w:t>
                  </w:r>
                  <w:r>
                    <w:rPr>
                      <w:rFonts w:hint="default" w:ascii="Times New Roman" w:hAnsi="Times New Roman" w:cs="Times New Roman" w:eastAsiaTheme="minorEastAsia"/>
                      <w:b w:val="0"/>
                      <w:bCs w:val="0"/>
                      <w:color w:val="auto"/>
                      <w:sz w:val="21"/>
                      <w:szCs w:val="21"/>
                      <w:vertAlign w:val="subscript"/>
                      <w:lang w:val="en-US" w:eastAsia="zh-CN"/>
                    </w:rPr>
                    <w:t>2</w:t>
                  </w:r>
                  <w:r>
                    <w:rPr>
                      <w:rFonts w:hint="default" w:ascii="Times New Roman" w:hAnsi="Times New Roman" w:cs="Times New Roman" w:eastAsiaTheme="minorEastAsia"/>
                      <w:b w:val="0"/>
                      <w:bCs w:val="0"/>
                      <w:color w:val="auto"/>
                      <w:sz w:val="21"/>
                      <w:szCs w:val="21"/>
                      <w:lang w:val="en-US" w:eastAsia="zh-CN"/>
                    </w:rPr>
                    <w:t>，式量32.00，无色无味气体，氧元素最常见的单质形态。熔点-218.4℃，沸点-183℃，密度 1.141x103kg/m</w:t>
                  </w:r>
                  <w:r>
                    <w:rPr>
                      <w:rFonts w:hint="default" w:ascii="Times New Roman" w:hAnsi="Times New Roman" w:cs="Times New Roman" w:eastAsiaTheme="minorEastAsia"/>
                      <w:b w:val="0"/>
                      <w:bCs w:val="0"/>
                      <w:color w:val="auto"/>
                      <w:sz w:val="21"/>
                      <w:szCs w:val="21"/>
                      <w:vertAlign w:val="superscript"/>
                      <w:lang w:val="en-US" w:eastAsia="zh-CN"/>
                    </w:rPr>
                    <w:t>3</w:t>
                  </w:r>
                  <w:r>
                    <w:rPr>
                      <w:rFonts w:hint="default" w:ascii="Times New Roman" w:hAnsi="Times New Roman" w:cs="Times New Roman" w:eastAsiaTheme="minorEastAsia"/>
                      <w:b w:val="0"/>
                      <w:bCs w:val="0"/>
                      <w:color w:val="auto"/>
                      <w:sz w:val="21"/>
                      <w:szCs w:val="21"/>
                      <w:lang w:val="en-US" w:eastAsia="zh-CN"/>
                    </w:rPr>
                    <w:t>。它本身作为助燃剂与丙烷等高燃气体配合使用，达到焊割金属的作用，各行各业中，特别是机械企业里用途很广，作为切割之用也很方便，是首选的一种切割方法。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二氧化碳</w:t>
                  </w:r>
                </w:p>
              </w:tc>
              <w:tc>
                <w:tcPr>
                  <w:tcW w:w="6728" w:type="dxa"/>
                  <w:noWrap w:val="0"/>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二氧化碳（化学式：CO</w:t>
                  </w:r>
                  <w:r>
                    <w:rPr>
                      <w:rFonts w:hint="default" w:ascii="Times New Roman" w:hAnsi="Times New Roman" w:cs="Times New Roman" w:eastAsiaTheme="minorEastAsia"/>
                      <w:b w:val="0"/>
                      <w:bCs w:val="0"/>
                      <w:color w:val="auto"/>
                      <w:sz w:val="21"/>
                      <w:szCs w:val="21"/>
                      <w:vertAlign w:val="subscript"/>
                      <w:lang w:val="en-US" w:eastAsia="zh-CN"/>
                    </w:rPr>
                    <w:t>2</w:t>
                  </w:r>
                  <w:r>
                    <w:rPr>
                      <w:rFonts w:hint="default" w:ascii="Times New Roman" w:hAnsi="Times New Roman" w:cs="Times New Roman" w:eastAsiaTheme="minorEastAsia"/>
                      <w:b w:val="0"/>
                      <w:bCs w:val="0"/>
                      <w:color w:val="auto"/>
                      <w:sz w:val="21"/>
                      <w:szCs w:val="21"/>
                      <w:lang w:val="en-US" w:eastAsia="zh-CN"/>
                    </w:rPr>
                    <w:t>）是空气中常见的温室气体，是一种气态化合物，碳与氧反应生成其化学式为CO</w:t>
                  </w:r>
                  <w:r>
                    <w:rPr>
                      <w:rFonts w:hint="default" w:ascii="Times New Roman" w:hAnsi="Times New Roman" w:cs="Times New Roman" w:eastAsiaTheme="minorEastAsia"/>
                      <w:b w:val="0"/>
                      <w:bCs w:val="0"/>
                      <w:color w:val="auto"/>
                      <w:sz w:val="21"/>
                      <w:szCs w:val="21"/>
                      <w:vertAlign w:val="subscript"/>
                      <w:lang w:val="en-US" w:eastAsia="zh-CN"/>
                    </w:rPr>
                    <w:t>2</w:t>
                  </w:r>
                  <w:r>
                    <w:rPr>
                      <w:rFonts w:hint="default" w:ascii="Times New Roman" w:hAnsi="Times New Roman" w:cs="Times New Roman" w:eastAsiaTheme="minorEastAsia"/>
                      <w:b w:val="0"/>
                      <w:bCs w:val="0"/>
                      <w:color w:val="auto"/>
                      <w:sz w:val="21"/>
                      <w:szCs w:val="21"/>
                      <w:lang w:val="en-US" w:eastAsia="zh-CN"/>
                    </w:rPr>
                    <w:t>，一个二氧化碳分子由两个氧原子与一个碳原子通过共价键构成。二氧化碳常温下是一种无色无味、不可燃的气体，密度比空气大，略溶于水，与水反应生成碳酸。</w:t>
                  </w:r>
                </w:p>
              </w:tc>
            </w:tr>
          </w:tbl>
          <w:p>
            <w:pPr>
              <w:spacing w:line="360" w:lineRule="auto"/>
              <w:ind w:firstLine="482" w:firstLineChars="200"/>
              <w:jc w:val="both"/>
              <w:outlineLvl w:val="1"/>
              <w:rPr>
                <w:b/>
                <w:bCs/>
                <w:sz w:val="24"/>
                <w:szCs w:val="24"/>
              </w:rPr>
            </w:pPr>
            <w:r>
              <w:rPr>
                <w:rFonts w:hint="eastAsia"/>
                <w:b/>
                <w:bCs/>
                <w:sz w:val="24"/>
                <w:szCs w:val="24"/>
                <w:lang w:eastAsia="zh-CN"/>
              </w:rPr>
              <w:t>五</w:t>
            </w:r>
            <w:r>
              <w:rPr>
                <w:b/>
                <w:bCs/>
                <w:sz w:val="24"/>
                <w:szCs w:val="24"/>
              </w:rPr>
              <w:t>、劳动定员及工作制度</w:t>
            </w:r>
          </w:p>
          <w:p>
            <w:pPr>
              <w:pStyle w:val="18"/>
              <w:spacing w:line="360" w:lineRule="auto"/>
              <w:ind w:firstLine="480" w:firstLineChars="200"/>
              <w:jc w:val="both"/>
              <w:outlineLvl w:val="1"/>
              <w:rPr>
                <w:rFonts w:hint="eastAsia"/>
                <w:sz w:val="24"/>
                <w:szCs w:val="24"/>
                <w:lang w:eastAsia="zh-CN"/>
              </w:rPr>
            </w:pPr>
            <w:r>
              <w:rPr>
                <w:rFonts w:hint="eastAsia"/>
                <w:sz w:val="24"/>
                <w:szCs w:val="24"/>
                <w:lang w:eastAsia="zh-CN"/>
              </w:rPr>
              <w:t>劳动定员：本项目营运期间共有职工</w:t>
            </w:r>
            <w:r>
              <w:rPr>
                <w:rFonts w:hint="eastAsia"/>
                <w:sz w:val="24"/>
                <w:szCs w:val="24"/>
                <w:lang w:val="en-US" w:eastAsia="zh-CN"/>
              </w:rPr>
              <w:t>20人</w:t>
            </w:r>
            <w:r>
              <w:rPr>
                <w:sz w:val="24"/>
                <w:szCs w:val="24"/>
              </w:rPr>
              <w:t>，</w:t>
            </w:r>
            <w:r>
              <w:rPr>
                <w:rFonts w:hint="eastAsia"/>
                <w:sz w:val="24"/>
                <w:szCs w:val="24"/>
                <w:lang w:eastAsia="zh-CN"/>
              </w:rPr>
              <w:t>项目内提供食宿；</w:t>
            </w:r>
          </w:p>
          <w:p>
            <w:pPr>
              <w:pStyle w:val="18"/>
              <w:spacing w:line="360" w:lineRule="auto"/>
              <w:ind w:firstLine="480" w:firstLineChars="200"/>
              <w:jc w:val="both"/>
              <w:outlineLvl w:val="1"/>
              <w:rPr>
                <w:rFonts w:hint="eastAsia"/>
                <w:sz w:val="24"/>
                <w:szCs w:val="24"/>
                <w:lang w:eastAsia="zh-CN"/>
              </w:rPr>
            </w:pPr>
            <w:r>
              <w:rPr>
                <w:rFonts w:hint="eastAsia"/>
                <w:sz w:val="24"/>
                <w:szCs w:val="24"/>
                <w:lang w:eastAsia="zh-CN"/>
              </w:rPr>
              <w:t>工作制度：</w:t>
            </w:r>
            <w:r>
              <w:rPr>
                <w:sz w:val="24"/>
                <w:szCs w:val="24"/>
              </w:rPr>
              <w:t>年工作</w:t>
            </w:r>
            <w:r>
              <w:rPr>
                <w:rFonts w:hint="eastAsia"/>
                <w:sz w:val="24"/>
                <w:szCs w:val="24"/>
                <w:lang w:val="en-US" w:eastAsia="zh-CN"/>
              </w:rPr>
              <w:t>300</w:t>
            </w:r>
            <w:r>
              <w:rPr>
                <w:sz w:val="24"/>
                <w:szCs w:val="24"/>
              </w:rPr>
              <w:t>天，</w:t>
            </w:r>
            <w:r>
              <w:rPr>
                <w:rFonts w:hint="eastAsia"/>
                <w:sz w:val="24"/>
                <w:szCs w:val="24"/>
                <w:lang w:eastAsia="zh-CN"/>
              </w:rPr>
              <w:t>每天</w:t>
            </w:r>
            <w:r>
              <w:rPr>
                <w:sz w:val="24"/>
                <w:szCs w:val="24"/>
              </w:rPr>
              <w:t>工作8小时</w:t>
            </w:r>
            <w:r>
              <w:rPr>
                <w:rFonts w:hint="eastAsia"/>
                <w:sz w:val="24"/>
                <w:szCs w:val="24"/>
                <w:lang w:eastAsia="zh-CN"/>
              </w:rPr>
              <w:t>，均在昼间工作。</w:t>
            </w:r>
          </w:p>
          <w:p>
            <w:pPr>
              <w:pStyle w:val="18"/>
              <w:numPr>
                <w:ilvl w:val="0"/>
                <w:numId w:val="0"/>
              </w:numPr>
              <w:tabs>
                <w:tab w:val="left" w:pos="520"/>
              </w:tabs>
              <w:spacing w:line="360" w:lineRule="auto"/>
              <w:ind w:firstLine="482" w:firstLineChars="200"/>
              <w:jc w:val="both"/>
              <w:outlineLvl w:val="1"/>
              <w:rPr>
                <w:rFonts w:hint="eastAsia"/>
                <w:sz w:val="24"/>
                <w:szCs w:val="24"/>
                <w:lang w:val="en-US" w:eastAsia="zh-CN"/>
              </w:rPr>
            </w:pPr>
            <w:r>
              <w:rPr>
                <w:rFonts w:hint="eastAsia"/>
                <w:b/>
                <w:bCs/>
                <w:sz w:val="24"/>
                <w:szCs w:val="24"/>
                <w:lang w:val="en-US" w:eastAsia="zh-CN"/>
              </w:rPr>
              <w:t>六、公用工程</w:t>
            </w:r>
          </w:p>
          <w:p>
            <w:pPr>
              <w:pStyle w:val="18"/>
              <w:numPr>
                <w:ilvl w:val="0"/>
                <w:numId w:val="0"/>
              </w:numPr>
              <w:spacing w:line="360" w:lineRule="auto"/>
              <w:ind w:firstLine="480" w:firstLineChars="200"/>
              <w:jc w:val="both"/>
              <w:outlineLvl w:val="1"/>
              <w:rPr>
                <w:rFonts w:hint="eastAsia"/>
                <w:sz w:val="24"/>
                <w:szCs w:val="24"/>
                <w:lang w:val="en-US" w:eastAsia="zh-CN"/>
              </w:rPr>
            </w:pPr>
            <w:r>
              <w:rPr>
                <w:rFonts w:hint="eastAsia"/>
                <w:sz w:val="24"/>
                <w:szCs w:val="24"/>
              </w:rPr>
              <w:t>给水：由为富民工业园区供水管网供给。</w:t>
            </w:r>
          </w:p>
          <w:p>
            <w:pPr>
              <w:pStyle w:val="104"/>
              <w:kinsoku w:val="0"/>
              <w:overflowPunct w:val="0"/>
              <w:spacing w:before="39" w:beforeLines="0" w:afterLines="0"/>
              <w:ind w:firstLine="480" w:firstLineChars="200"/>
              <w:outlineLvl w:val="1"/>
              <w:rPr>
                <w:rFonts w:hint="eastAsia"/>
                <w:sz w:val="24"/>
                <w:szCs w:val="24"/>
              </w:rPr>
            </w:pPr>
            <w:r>
              <w:rPr>
                <w:rFonts w:hint="eastAsia"/>
                <w:sz w:val="24"/>
                <w:szCs w:val="24"/>
              </w:rPr>
              <w:t>供电：</w:t>
            </w:r>
            <w:r>
              <w:rPr>
                <w:rFonts w:hint="eastAsia"/>
                <w:sz w:val="24"/>
                <w:szCs w:val="24"/>
                <w:lang w:eastAsia="zh-CN"/>
              </w:rPr>
              <w:t>项目用电由城市供电网</w:t>
            </w:r>
            <w:r>
              <w:rPr>
                <w:rFonts w:hint="eastAsia"/>
                <w:sz w:val="24"/>
                <w:szCs w:val="24"/>
              </w:rPr>
              <w:t>提供。</w:t>
            </w:r>
          </w:p>
          <w:p>
            <w:pPr>
              <w:pStyle w:val="104"/>
              <w:kinsoku w:val="0"/>
              <w:overflowPunct w:val="0"/>
              <w:spacing w:before="39" w:beforeLines="0" w:afterLines="0" w:line="360" w:lineRule="auto"/>
              <w:ind w:firstLine="480" w:firstLineChars="200"/>
              <w:outlineLvl w:val="1"/>
              <w:rPr>
                <w:rFonts w:hint="eastAsia" w:eastAsia="宋体"/>
                <w:sz w:val="24"/>
                <w:szCs w:val="24"/>
                <w:lang w:eastAsia="zh-CN"/>
              </w:rPr>
            </w:pPr>
            <w:r>
              <w:rPr>
                <w:rFonts w:hint="eastAsia"/>
                <w:sz w:val="24"/>
                <w:szCs w:val="24"/>
                <w:lang w:eastAsia="zh-CN"/>
              </w:rPr>
              <w:t>排水：本项目无生产废水产生，员工在项目区食宿，员工产生的生活污水进入化粪池处理后排入园区污水管网。</w:t>
            </w:r>
          </w:p>
          <w:p>
            <w:pPr>
              <w:spacing w:line="360" w:lineRule="auto"/>
              <w:ind w:firstLine="482" w:firstLineChars="200"/>
              <w:jc w:val="both"/>
              <w:outlineLvl w:val="1"/>
              <w:rPr>
                <w:b/>
                <w:bCs/>
                <w:sz w:val="24"/>
                <w:szCs w:val="24"/>
              </w:rPr>
            </w:pPr>
            <w:bookmarkStart w:id="32" w:name="_Toc23748"/>
            <w:bookmarkStart w:id="33" w:name="_Toc32510"/>
            <w:r>
              <w:rPr>
                <w:rFonts w:hint="eastAsia"/>
                <w:b/>
                <w:bCs/>
                <w:sz w:val="24"/>
                <w:szCs w:val="24"/>
                <w:lang w:val="en-US" w:eastAsia="zh-CN"/>
              </w:rPr>
              <w:t>七</w:t>
            </w:r>
            <w:r>
              <w:rPr>
                <w:b/>
                <w:bCs/>
                <w:sz w:val="24"/>
                <w:szCs w:val="24"/>
              </w:rPr>
              <w:t>、环保投资估算</w:t>
            </w:r>
            <w:bookmarkEnd w:id="32"/>
            <w:bookmarkEnd w:id="33"/>
          </w:p>
          <w:p>
            <w:pPr>
              <w:spacing w:line="360" w:lineRule="auto"/>
              <w:ind w:firstLine="480" w:firstLineChars="200"/>
              <w:jc w:val="both"/>
              <w:outlineLvl w:val="1"/>
              <w:rPr>
                <w:b/>
                <w:bCs/>
              </w:rPr>
            </w:pPr>
            <w:bookmarkStart w:id="34" w:name="_Toc16410"/>
            <w:bookmarkStart w:id="35" w:name="_Toc22334"/>
            <w:r>
              <w:rPr>
                <w:color w:val="auto"/>
                <w:sz w:val="24"/>
                <w:szCs w:val="24"/>
              </w:rPr>
              <w:t>项目</w:t>
            </w:r>
            <w:r>
              <w:rPr>
                <w:rFonts w:hint="eastAsia"/>
                <w:color w:val="auto"/>
                <w:sz w:val="24"/>
                <w:szCs w:val="24"/>
                <w:lang w:val="en-US" w:eastAsia="zh-CN"/>
              </w:rPr>
              <w:t>使用已建好的厂房、车间、办公室及附属设施</w:t>
            </w:r>
            <w:r>
              <w:rPr>
                <w:color w:val="auto"/>
                <w:sz w:val="24"/>
                <w:szCs w:val="24"/>
              </w:rPr>
              <w:t>，其施工期进行生产设备安装、配套环保设施设置，不涉及土建施工。</w:t>
            </w:r>
            <w:r>
              <w:rPr>
                <w:rFonts w:hint="eastAsia"/>
                <w:color w:val="auto"/>
                <w:sz w:val="24"/>
                <w:szCs w:val="24"/>
                <w:lang w:eastAsia="zh-CN"/>
              </w:rPr>
              <w:t>随着施工期的结束，环境影响随之消失，对施工期的环保投资不再作估算，因此项目环保投资仅对营运期进行估算。</w:t>
            </w:r>
            <w:r>
              <w:rPr>
                <w:color w:val="auto"/>
                <w:sz w:val="24"/>
                <w:szCs w:val="24"/>
              </w:rPr>
              <w:t>本项目总投资</w:t>
            </w:r>
            <w:r>
              <w:rPr>
                <w:rFonts w:hint="eastAsia"/>
                <w:color w:val="auto"/>
                <w:sz w:val="24"/>
                <w:szCs w:val="24"/>
                <w:lang w:val="en-US" w:eastAsia="zh-CN"/>
              </w:rPr>
              <w:t>123</w:t>
            </w:r>
            <w:r>
              <w:rPr>
                <w:rFonts w:hint="eastAsia"/>
                <w:sz w:val="24"/>
                <w:szCs w:val="24"/>
                <w:lang w:val="en-US" w:eastAsia="zh-CN"/>
              </w:rPr>
              <w:t>0</w:t>
            </w:r>
            <w:r>
              <w:rPr>
                <w:sz w:val="24"/>
                <w:szCs w:val="24"/>
              </w:rPr>
              <w:t>万元，其中环保投资</w:t>
            </w:r>
            <w:r>
              <w:rPr>
                <w:rFonts w:hint="eastAsia"/>
                <w:sz w:val="24"/>
                <w:szCs w:val="24"/>
                <w:lang w:val="en-US" w:eastAsia="zh-CN"/>
              </w:rPr>
              <w:t>24</w:t>
            </w:r>
            <w:r>
              <w:rPr>
                <w:sz w:val="24"/>
                <w:szCs w:val="24"/>
              </w:rPr>
              <w:t>万元，占总投资</w:t>
            </w:r>
            <w:r>
              <w:rPr>
                <w:rFonts w:hint="eastAsia"/>
                <w:sz w:val="24"/>
                <w:szCs w:val="24"/>
                <w:lang w:val="en-US" w:eastAsia="zh-CN"/>
              </w:rPr>
              <w:t>的1.95%</w:t>
            </w:r>
            <w:r>
              <w:rPr>
                <w:sz w:val="24"/>
                <w:szCs w:val="24"/>
              </w:rPr>
              <w:t>，环保投资估算见表1-</w:t>
            </w:r>
            <w:r>
              <w:rPr>
                <w:rFonts w:hint="eastAsia"/>
                <w:sz w:val="24"/>
                <w:szCs w:val="24"/>
                <w:lang w:val="en-US" w:eastAsia="zh-CN"/>
              </w:rPr>
              <w:t>10</w:t>
            </w:r>
            <w:r>
              <w:rPr>
                <w:sz w:val="24"/>
                <w:szCs w:val="24"/>
              </w:rPr>
              <w:t>。</w:t>
            </w:r>
            <w:bookmarkEnd w:id="34"/>
            <w:bookmarkEnd w:id="35"/>
          </w:p>
          <w:p>
            <w:pPr>
              <w:spacing w:line="240" w:lineRule="auto"/>
              <w:jc w:val="center"/>
              <w:outlineLvl w:val="1"/>
              <w:rPr>
                <w:b/>
                <w:bCs/>
              </w:rPr>
            </w:pPr>
            <w:bookmarkStart w:id="36" w:name="_Toc14431"/>
            <w:bookmarkStart w:id="37" w:name="_Toc19451"/>
            <w:r>
              <w:rPr>
                <w:b/>
                <w:bCs/>
              </w:rPr>
              <w:t>表1-</w:t>
            </w:r>
            <w:r>
              <w:rPr>
                <w:rFonts w:hint="eastAsia"/>
                <w:b/>
                <w:bCs/>
                <w:lang w:val="en-US" w:eastAsia="zh-CN"/>
              </w:rPr>
              <w:t>10</w:t>
            </w:r>
            <w:r>
              <w:rPr>
                <w:b/>
                <w:bCs/>
              </w:rPr>
              <w:t xml:space="preserve"> 项目环保投资</w:t>
            </w:r>
            <w:r>
              <w:rPr>
                <w:rFonts w:hint="eastAsia"/>
                <w:b/>
                <w:bCs/>
                <w:lang w:eastAsia="zh-CN"/>
              </w:rPr>
              <w:t>估算</w:t>
            </w:r>
            <w:r>
              <w:rPr>
                <w:b/>
                <w:bCs/>
              </w:rPr>
              <w:t>表</w:t>
            </w:r>
            <w:bookmarkEnd w:id="36"/>
            <w:bookmarkEnd w:id="37"/>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8"/>
              <w:gridCol w:w="2738"/>
              <w:gridCol w:w="1991"/>
              <w:gridCol w:w="1165"/>
              <w:gridCol w:w="1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8" w:type="dxa"/>
                  <w:noWrap w:val="0"/>
                  <w:vAlign w:val="center"/>
                </w:tcPr>
                <w:p>
                  <w:pPr>
                    <w:pStyle w:val="53"/>
                    <w:bidi w:val="0"/>
                    <w:spacing w:line="240" w:lineRule="auto"/>
                    <w:outlineLvl w:val="1"/>
                    <w:rPr>
                      <w:b w:val="0"/>
                      <w:bCs w:val="0"/>
                      <w:sz w:val="21"/>
                      <w:szCs w:val="21"/>
                    </w:rPr>
                  </w:pPr>
                  <w:r>
                    <w:rPr>
                      <w:b w:val="0"/>
                      <w:bCs w:val="0"/>
                      <w:sz w:val="21"/>
                      <w:szCs w:val="21"/>
                    </w:rPr>
                    <w:t>项目</w:t>
                  </w:r>
                </w:p>
              </w:tc>
              <w:tc>
                <w:tcPr>
                  <w:tcW w:w="2738" w:type="dxa"/>
                  <w:noWrap w:val="0"/>
                  <w:vAlign w:val="center"/>
                </w:tcPr>
                <w:p>
                  <w:pPr>
                    <w:pStyle w:val="53"/>
                    <w:bidi w:val="0"/>
                    <w:spacing w:line="240" w:lineRule="auto"/>
                    <w:outlineLvl w:val="1"/>
                    <w:rPr>
                      <w:b w:val="0"/>
                      <w:bCs w:val="0"/>
                      <w:sz w:val="21"/>
                      <w:szCs w:val="21"/>
                    </w:rPr>
                  </w:pPr>
                  <w:r>
                    <w:rPr>
                      <w:b w:val="0"/>
                      <w:bCs w:val="0"/>
                      <w:sz w:val="21"/>
                      <w:szCs w:val="21"/>
                    </w:rPr>
                    <w:t>环保措施</w:t>
                  </w:r>
                </w:p>
              </w:tc>
              <w:tc>
                <w:tcPr>
                  <w:tcW w:w="1991" w:type="dxa"/>
                  <w:noWrap w:val="0"/>
                  <w:vAlign w:val="center"/>
                </w:tcPr>
                <w:p>
                  <w:pPr>
                    <w:pStyle w:val="53"/>
                    <w:bidi w:val="0"/>
                    <w:spacing w:line="240" w:lineRule="auto"/>
                    <w:outlineLvl w:val="1"/>
                    <w:rPr>
                      <w:b w:val="0"/>
                      <w:bCs w:val="0"/>
                      <w:sz w:val="21"/>
                      <w:szCs w:val="21"/>
                    </w:rPr>
                  </w:pPr>
                  <w:r>
                    <w:rPr>
                      <w:b w:val="0"/>
                      <w:bCs w:val="0"/>
                      <w:sz w:val="21"/>
                      <w:szCs w:val="21"/>
                    </w:rPr>
                    <w:t>处理对象</w:t>
                  </w:r>
                </w:p>
              </w:tc>
              <w:tc>
                <w:tcPr>
                  <w:tcW w:w="1165" w:type="dxa"/>
                  <w:noWrap w:val="0"/>
                  <w:vAlign w:val="center"/>
                </w:tcPr>
                <w:p>
                  <w:pPr>
                    <w:pStyle w:val="53"/>
                    <w:bidi w:val="0"/>
                    <w:spacing w:line="240" w:lineRule="auto"/>
                    <w:outlineLvl w:val="1"/>
                    <w:rPr>
                      <w:b w:val="0"/>
                      <w:bCs w:val="0"/>
                      <w:sz w:val="21"/>
                      <w:szCs w:val="21"/>
                    </w:rPr>
                  </w:pPr>
                  <w:r>
                    <w:rPr>
                      <w:b w:val="0"/>
                      <w:bCs w:val="0"/>
                      <w:sz w:val="21"/>
                      <w:szCs w:val="21"/>
                    </w:rPr>
                    <w:t>投资金额</w:t>
                  </w:r>
                </w:p>
              </w:tc>
              <w:tc>
                <w:tcPr>
                  <w:tcW w:w="1391" w:type="dxa"/>
                  <w:noWrap w:val="0"/>
                  <w:vAlign w:val="center"/>
                </w:tcPr>
                <w:p>
                  <w:pPr>
                    <w:pStyle w:val="53"/>
                    <w:bidi w:val="0"/>
                    <w:spacing w:line="240" w:lineRule="auto"/>
                    <w:outlineLvl w:val="1"/>
                    <w:rPr>
                      <w:b w:val="0"/>
                      <w:bCs w:val="0"/>
                      <w:sz w:val="21"/>
                      <w:szCs w:val="21"/>
                    </w:rPr>
                  </w:pPr>
                  <w:r>
                    <w:rPr>
                      <w:b w:val="0"/>
                      <w:bCs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8" w:type="dxa"/>
                  <w:vMerge w:val="restart"/>
                  <w:noWrap w:val="0"/>
                  <w:vAlign w:val="center"/>
                </w:tcPr>
                <w:p>
                  <w:pPr>
                    <w:pStyle w:val="53"/>
                    <w:bidi w:val="0"/>
                    <w:spacing w:line="240" w:lineRule="auto"/>
                    <w:outlineLvl w:val="1"/>
                    <w:rPr>
                      <w:b w:val="0"/>
                      <w:bCs w:val="0"/>
                      <w:sz w:val="21"/>
                      <w:szCs w:val="21"/>
                    </w:rPr>
                  </w:pPr>
                  <w:r>
                    <w:rPr>
                      <w:b w:val="0"/>
                      <w:bCs w:val="0"/>
                      <w:sz w:val="21"/>
                      <w:szCs w:val="21"/>
                    </w:rPr>
                    <w:t>废气治理</w:t>
                  </w:r>
                </w:p>
              </w:tc>
              <w:tc>
                <w:tcPr>
                  <w:tcW w:w="2738" w:type="dxa"/>
                  <w:noWrap w:val="0"/>
                  <w:vAlign w:val="center"/>
                </w:tcPr>
                <w:p>
                  <w:pPr>
                    <w:pStyle w:val="53"/>
                    <w:bidi w:val="0"/>
                    <w:spacing w:line="240" w:lineRule="auto"/>
                    <w:outlineLvl w:val="1"/>
                    <w:rPr>
                      <w:b w:val="0"/>
                      <w:bCs w:val="0"/>
                      <w:sz w:val="21"/>
                      <w:szCs w:val="21"/>
                    </w:rPr>
                  </w:pPr>
                  <w:r>
                    <w:rPr>
                      <w:b w:val="0"/>
                      <w:bCs w:val="0"/>
                      <w:sz w:val="21"/>
                      <w:szCs w:val="21"/>
                    </w:rPr>
                    <w:t>集气罩+</w:t>
                  </w:r>
                  <w:r>
                    <w:rPr>
                      <w:rFonts w:hint="eastAsia"/>
                      <w:b w:val="0"/>
                      <w:bCs w:val="0"/>
                      <w:sz w:val="21"/>
                      <w:szCs w:val="21"/>
                      <w:lang w:eastAsia="zh-CN"/>
                    </w:rPr>
                    <w:t>过滤棉+活性炭</w:t>
                  </w:r>
                  <w:r>
                    <w:rPr>
                      <w:b w:val="0"/>
                      <w:bCs w:val="0"/>
                      <w:sz w:val="21"/>
                      <w:szCs w:val="21"/>
                    </w:rPr>
                    <w:t>吸附装置</w:t>
                  </w:r>
                </w:p>
              </w:tc>
              <w:tc>
                <w:tcPr>
                  <w:tcW w:w="1991" w:type="dxa"/>
                  <w:noWrap w:val="0"/>
                  <w:vAlign w:val="center"/>
                </w:tcPr>
                <w:p>
                  <w:pPr>
                    <w:pStyle w:val="53"/>
                    <w:bidi w:val="0"/>
                    <w:spacing w:line="240" w:lineRule="auto"/>
                    <w:outlineLvl w:val="1"/>
                    <w:rPr>
                      <w:rFonts w:hint="eastAsia"/>
                      <w:b w:val="0"/>
                      <w:bCs w:val="0"/>
                      <w:sz w:val="21"/>
                      <w:szCs w:val="21"/>
                      <w:lang w:eastAsia="zh-CN"/>
                    </w:rPr>
                  </w:pPr>
                  <w:r>
                    <w:rPr>
                      <w:rFonts w:hint="eastAsia"/>
                      <w:b w:val="0"/>
                      <w:bCs w:val="0"/>
                      <w:sz w:val="21"/>
                      <w:szCs w:val="21"/>
                      <w:lang w:eastAsia="zh-CN"/>
                    </w:rPr>
                    <w:t>喷漆车间</w:t>
                  </w:r>
                </w:p>
              </w:tc>
              <w:tc>
                <w:tcPr>
                  <w:tcW w:w="1165" w:type="dxa"/>
                  <w:noWrap w:val="0"/>
                  <w:vAlign w:val="center"/>
                </w:tcPr>
                <w:p>
                  <w:pPr>
                    <w:pStyle w:val="53"/>
                    <w:bidi w:val="0"/>
                    <w:spacing w:line="240" w:lineRule="auto"/>
                    <w:outlineLvl w:val="1"/>
                    <w:rPr>
                      <w:rFonts w:hint="default"/>
                      <w:b w:val="0"/>
                      <w:bCs w:val="0"/>
                      <w:sz w:val="21"/>
                      <w:szCs w:val="21"/>
                      <w:lang w:val="en-US" w:eastAsia="zh-CN"/>
                    </w:rPr>
                  </w:pPr>
                  <w:r>
                    <w:rPr>
                      <w:rFonts w:hint="eastAsia"/>
                      <w:b w:val="0"/>
                      <w:bCs w:val="0"/>
                      <w:sz w:val="21"/>
                      <w:szCs w:val="21"/>
                      <w:lang w:val="en-US" w:eastAsia="zh-CN"/>
                    </w:rPr>
                    <w:t>12</w:t>
                  </w:r>
                </w:p>
              </w:tc>
              <w:tc>
                <w:tcPr>
                  <w:tcW w:w="1391" w:type="dxa"/>
                  <w:vMerge w:val="restart"/>
                  <w:noWrap w:val="0"/>
                  <w:vAlign w:val="center"/>
                </w:tcPr>
                <w:p>
                  <w:pPr>
                    <w:pStyle w:val="53"/>
                    <w:bidi w:val="0"/>
                    <w:spacing w:line="240" w:lineRule="auto"/>
                    <w:outlineLvl w:val="1"/>
                    <w:rPr>
                      <w:rFonts w:hint="eastAsia" w:eastAsia="宋体"/>
                      <w:b w:val="0"/>
                      <w:bCs w:val="0"/>
                      <w:sz w:val="21"/>
                      <w:szCs w:val="21"/>
                      <w:lang w:eastAsia="zh-CN"/>
                    </w:rPr>
                  </w:pPr>
                  <w:r>
                    <w:rPr>
                      <w:rFonts w:hint="eastAsia"/>
                      <w:b w:val="0"/>
                      <w:bCs w:val="0"/>
                      <w:sz w:val="21"/>
                      <w:szCs w:val="21"/>
                    </w:rPr>
                    <w:t>环评</w:t>
                  </w:r>
                  <w:r>
                    <w:rPr>
                      <w:rFonts w:hint="eastAsia"/>
                      <w:b w:val="0"/>
                      <w:bCs w:val="0"/>
                      <w:sz w:val="21"/>
                      <w:szCs w:val="21"/>
                      <w:lang w:eastAsia="zh-CN"/>
                    </w:rPr>
                    <w:t>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8" w:type="dxa"/>
                  <w:vMerge w:val="continue"/>
                  <w:noWrap w:val="0"/>
                  <w:vAlign w:val="center"/>
                </w:tcPr>
                <w:p>
                  <w:pPr>
                    <w:pStyle w:val="53"/>
                    <w:bidi w:val="0"/>
                    <w:spacing w:line="240" w:lineRule="auto"/>
                    <w:outlineLvl w:val="1"/>
                    <w:rPr>
                      <w:b w:val="0"/>
                      <w:bCs w:val="0"/>
                      <w:sz w:val="21"/>
                      <w:szCs w:val="21"/>
                    </w:rPr>
                  </w:pPr>
                </w:p>
              </w:tc>
              <w:tc>
                <w:tcPr>
                  <w:tcW w:w="2738" w:type="dxa"/>
                  <w:noWrap w:val="0"/>
                  <w:vAlign w:val="center"/>
                </w:tcPr>
                <w:p>
                  <w:pPr>
                    <w:pStyle w:val="53"/>
                    <w:bidi w:val="0"/>
                    <w:spacing w:line="240" w:lineRule="auto"/>
                    <w:outlineLvl w:val="1"/>
                    <w:rPr>
                      <w:b w:val="0"/>
                      <w:bCs w:val="0"/>
                      <w:sz w:val="21"/>
                      <w:szCs w:val="21"/>
                    </w:rPr>
                  </w:pPr>
                  <w:r>
                    <w:rPr>
                      <w:b w:val="0"/>
                      <w:bCs w:val="0"/>
                      <w:sz w:val="21"/>
                      <w:szCs w:val="21"/>
                    </w:rPr>
                    <w:t>15m排气筒</w:t>
                  </w:r>
                </w:p>
              </w:tc>
              <w:tc>
                <w:tcPr>
                  <w:tcW w:w="1991" w:type="dxa"/>
                  <w:noWrap w:val="0"/>
                  <w:vAlign w:val="center"/>
                </w:tcPr>
                <w:p>
                  <w:pPr>
                    <w:pStyle w:val="53"/>
                    <w:bidi w:val="0"/>
                    <w:spacing w:line="240" w:lineRule="auto"/>
                    <w:outlineLvl w:val="1"/>
                    <w:rPr>
                      <w:rFonts w:hint="eastAsia"/>
                      <w:b w:val="0"/>
                      <w:bCs w:val="0"/>
                      <w:sz w:val="21"/>
                      <w:szCs w:val="21"/>
                      <w:lang w:eastAsia="zh-CN"/>
                    </w:rPr>
                  </w:pPr>
                  <w:r>
                    <w:rPr>
                      <w:rFonts w:hint="eastAsia"/>
                      <w:b w:val="0"/>
                      <w:bCs w:val="0"/>
                      <w:sz w:val="21"/>
                      <w:szCs w:val="21"/>
                      <w:lang w:eastAsia="zh-CN"/>
                    </w:rPr>
                    <w:t>喷漆车间</w:t>
                  </w:r>
                </w:p>
              </w:tc>
              <w:tc>
                <w:tcPr>
                  <w:tcW w:w="1165" w:type="dxa"/>
                  <w:noWrap w:val="0"/>
                  <w:vAlign w:val="center"/>
                </w:tcPr>
                <w:p>
                  <w:pPr>
                    <w:pStyle w:val="53"/>
                    <w:bidi w:val="0"/>
                    <w:spacing w:line="240" w:lineRule="auto"/>
                    <w:outlineLvl w:val="1"/>
                    <w:rPr>
                      <w:rFonts w:hint="eastAsia"/>
                      <w:b w:val="0"/>
                      <w:bCs w:val="0"/>
                      <w:sz w:val="21"/>
                      <w:szCs w:val="21"/>
                      <w:lang w:eastAsia="zh-CN"/>
                    </w:rPr>
                  </w:pPr>
                  <w:r>
                    <w:rPr>
                      <w:rFonts w:hint="eastAsia"/>
                      <w:b w:val="0"/>
                      <w:bCs w:val="0"/>
                      <w:sz w:val="21"/>
                      <w:szCs w:val="21"/>
                      <w:lang w:val="en-US" w:eastAsia="zh-CN"/>
                    </w:rPr>
                    <w:t>3</w:t>
                  </w:r>
                </w:p>
              </w:tc>
              <w:tc>
                <w:tcPr>
                  <w:tcW w:w="1391" w:type="dxa"/>
                  <w:vMerge w:val="continue"/>
                  <w:noWrap w:val="0"/>
                  <w:vAlign w:val="center"/>
                </w:tcPr>
                <w:p>
                  <w:pPr>
                    <w:pStyle w:val="53"/>
                    <w:bidi w:val="0"/>
                    <w:spacing w:line="240" w:lineRule="auto"/>
                    <w:outlineLvl w:val="1"/>
                    <w:rPr>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8" w:type="dxa"/>
                  <w:vMerge w:val="continue"/>
                  <w:noWrap w:val="0"/>
                  <w:vAlign w:val="center"/>
                </w:tcPr>
                <w:p>
                  <w:pPr>
                    <w:pStyle w:val="53"/>
                    <w:bidi w:val="0"/>
                    <w:spacing w:line="240" w:lineRule="auto"/>
                    <w:outlineLvl w:val="1"/>
                    <w:rPr>
                      <w:b w:val="0"/>
                      <w:bCs w:val="0"/>
                      <w:sz w:val="21"/>
                      <w:szCs w:val="21"/>
                    </w:rPr>
                  </w:pPr>
                </w:p>
              </w:tc>
              <w:tc>
                <w:tcPr>
                  <w:tcW w:w="2738" w:type="dxa"/>
                  <w:noWrap w:val="0"/>
                  <w:vAlign w:val="center"/>
                </w:tcPr>
                <w:p>
                  <w:pPr>
                    <w:pStyle w:val="53"/>
                    <w:bidi w:val="0"/>
                    <w:spacing w:line="240" w:lineRule="auto"/>
                    <w:outlineLvl w:val="1"/>
                    <w:rPr>
                      <w:rFonts w:hint="eastAsia"/>
                      <w:b w:val="0"/>
                      <w:bCs w:val="0"/>
                      <w:sz w:val="21"/>
                      <w:szCs w:val="21"/>
                      <w:lang w:eastAsia="zh-CN"/>
                    </w:rPr>
                  </w:pPr>
                  <w:r>
                    <w:rPr>
                      <w:rFonts w:hint="eastAsia"/>
                      <w:b w:val="0"/>
                      <w:bCs w:val="0"/>
                      <w:sz w:val="21"/>
                      <w:szCs w:val="21"/>
                      <w:lang w:eastAsia="zh-CN"/>
                    </w:rPr>
                    <w:t>移动式烟尘净化器</w:t>
                  </w:r>
                </w:p>
              </w:tc>
              <w:tc>
                <w:tcPr>
                  <w:tcW w:w="1991" w:type="dxa"/>
                  <w:noWrap w:val="0"/>
                  <w:vAlign w:val="center"/>
                </w:tcPr>
                <w:p>
                  <w:pPr>
                    <w:pStyle w:val="53"/>
                    <w:bidi w:val="0"/>
                    <w:spacing w:line="240" w:lineRule="auto"/>
                    <w:outlineLvl w:val="1"/>
                    <w:rPr>
                      <w:rFonts w:hint="eastAsia"/>
                      <w:b w:val="0"/>
                      <w:bCs w:val="0"/>
                      <w:sz w:val="21"/>
                      <w:szCs w:val="21"/>
                      <w:lang w:eastAsia="zh-CN"/>
                    </w:rPr>
                  </w:pPr>
                  <w:r>
                    <w:rPr>
                      <w:rFonts w:hint="eastAsia"/>
                      <w:b w:val="0"/>
                      <w:bCs w:val="0"/>
                      <w:sz w:val="21"/>
                      <w:szCs w:val="21"/>
                      <w:lang w:eastAsia="zh-CN"/>
                    </w:rPr>
                    <w:t>焊接烟尘、切</w:t>
                  </w:r>
                </w:p>
              </w:tc>
              <w:tc>
                <w:tcPr>
                  <w:tcW w:w="1165" w:type="dxa"/>
                  <w:noWrap w:val="0"/>
                  <w:vAlign w:val="center"/>
                </w:tcPr>
                <w:p>
                  <w:pPr>
                    <w:pStyle w:val="53"/>
                    <w:bidi w:val="0"/>
                    <w:spacing w:line="240" w:lineRule="auto"/>
                    <w:outlineLvl w:val="1"/>
                    <w:rPr>
                      <w:rFonts w:hint="default"/>
                      <w:b w:val="0"/>
                      <w:bCs w:val="0"/>
                      <w:sz w:val="21"/>
                      <w:szCs w:val="21"/>
                      <w:lang w:val="en-US" w:eastAsia="zh-CN"/>
                    </w:rPr>
                  </w:pPr>
                  <w:r>
                    <w:rPr>
                      <w:rFonts w:hint="eastAsia"/>
                      <w:b w:val="0"/>
                      <w:bCs w:val="0"/>
                      <w:sz w:val="21"/>
                      <w:szCs w:val="21"/>
                      <w:lang w:val="en-US" w:eastAsia="zh-CN"/>
                    </w:rPr>
                    <w:t>1</w:t>
                  </w:r>
                </w:p>
              </w:tc>
              <w:tc>
                <w:tcPr>
                  <w:tcW w:w="1391" w:type="dxa"/>
                  <w:vMerge w:val="continue"/>
                  <w:noWrap w:val="0"/>
                  <w:vAlign w:val="center"/>
                </w:tcPr>
                <w:p>
                  <w:pPr>
                    <w:pStyle w:val="53"/>
                    <w:bidi w:val="0"/>
                    <w:spacing w:line="240" w:lineRule="auto"/>
                    <w:outlineLvl w:val="1"/>
                    <w:rPr>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8" w:type="dxa"/>
                  <w:vMerge w:val="continue"/>
                  <w:noWrap w:val="0"/>
                  <w:vAlign w:val="center"/>
                </w:tcPr>
                <w:p>
                  <w:pPr>
                    <w:pStyle w:val="53"/>
                    <w:bidi w:val="0"/>
                    <w:spacing w:line="240" w:lineRule="auto"/>
                    <w:outlineLvl w:val="1"/>
                    <w:rPr>
                      <w:b w:val="0"/>
                      <w:bCs w:val="0"/>
                      <w:sz w:val="21"/>
                      <w:szCs w:val="21"/>
                    </w:rPr>
                  </w:pPr>
                </w:p>
              </w:tc>
              <w:tc>
                <w:tcPr>
                  <w:tcW w:w="2738" w:type="dxa"/>
                  <w:noWrap w:val="0"/>
                  <w:vAlign w:val="center"/>
                </w:tcPr>
                <w:p>
                  <w:pPr>
                    <w:pStyle w:val="53"/>
                    <w:bidi w:val="0"/>
                    <w:spacing w:line="240" w:lineRule="auto"/>
                    <w:outlineLvl w:val="1"/>
                    <w:rPr>
                      <w:rFonts w:hint="eastAsia"/>
                      <w:b w:val="0"/>
                      <w:bCs w:val="0"/>
                      <w:sz w:val="21"/>
                      <w:szCs w:val="21"/>
                      <w:lang w:eastAsia="zh-CN"/>
                    </w:rPr>
                  </w:pPr>
                  <w:r>
                    <w:rPr>
                      <w:rFonts w:hint="eastAsia"/>
                      <w:b w:val="0"/>
                      <w:bCs w:val="0"/>
                      <w:sz w:val="21"/>
                      <w:szCs w:val="21"/>
                      <w:lang w:eastAsia="zh-CN"/>
                    </w:rPr>
                    <w:t>布袋除尘器</w:t>
                  </w:r>
                </w:p>
              </w:tc>
              <w:tc>
                <w:tcPr>
                  <w:tcW w:w="1991" w:type="dxa"/>
                  <w:noWrap w:val="0"/>
                  <w:vAlign w:val="center"/>
                </w:tcPr>
                <w:p>
                  <w:pPr>
                    <w:pStyle w:val="53"/>
                    <w:bidi w:val="0"/>
                    <w:spacing w:line="240" w:lineRule="auto"/>
                    <w:outlineLvl w:val="1"/>
                    <w:rPr>
                      <w:rFonts w:hint="eastAsia"/>
                      <w:b w:val="0"/>
                      <w:bCs w:val="0"/>
                      <w:sz w:val="21"/>
                      <w:szCs w:val="21"/>
                      <w:lang w:eastAsia="zh-CN"/>
                    </w:rPr>
                  </w:pPr>
                  <w:r>
                    <w:rPr>
                      <w:rFonts w:hint="eastAsia"/>
                      <w:b w:val="0"/>
                      <w:bCs w:val="0"/>
                      <w:sz w:val="21"/>
                      <w:szCs w:val="21"/>
                      <w:lang w:eastAsia="zh-CN"/>
                    </w:rPr>
                    <w:t>喷砂打磨</w:t>
                  </w:r>
                </w:p>
              </w:tc>
              <w:tc>
                <w:tcPr>
                  <w:tcW w:w="1165" w:type="dxa"/>
                  <w:noWrap w:val="0"/>
                  <w:vAlign w:val="center"/>
                </w:tcPr>
                <w:p>
                  <w:pPr>
                    <w:pStyle w:val="53"/>
                    <w:bidi w:val="0"/>
                    <w:spacing w:line="240" w:lineRule="auto"/>
                    <w:outlineLvl w:val="1"/>
                    <w:rPr>
                      <w:rFonts w:hint="default"/>
                      <w:b w:val="0"/>
                      <w:bCs w:val="0"/>
                      <w:sz w:val="21"/>
                      <w:szCs w:val="21"/>
                      <w:lang w:val="en-US" w:eastAsia="zh-CN"/>
                    </w:rPr>
                  </w:pPr>
                  <w:r>
                    <w:rPr>
                      <w:rFonts w:hint="eastAsia"/>
                      <w:b w:val="0"/>
                      <w:bCs w:val="0"/>
                      <w:sz w:val="21"/>
                      <w:szCs w:val="21"/>
                      <w:lang w:val="en-US" w:eastAsia="zh-CN"/>
                    </w:rPr>
                    <w:t>1</w:t>
                  </w:r>
                </w:p>
              </w:tc>
              <w:tc>
                <w:tcPr>
                  <w:tcW w:w="1391" w:type="dxa"/>
                  <w:vMerge w:val="continue"/>
                  <w:noWrap w:val="0"/>
                  <w:vAlign w:val="center"/>
                </w:tcPr>
                <w:p>
                  <w:pPr>
                    <w:pStyle w:val="53"/>
                    <w:bidi w:val="0"/>
                    <w:spacing w:line="240" w:lineRule="auto"/>
                    <w:outlineLvl w:val="1"/>
                    <w:rPr>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8" w:type="dxa"/>
                  <w:vMerge w:val="continue"/>
                  <w:noWrap w:val="0"/>
                  <w:vAlign w:val="center"/>
                </w:tcPr>
                <w:p>
                  <w:pPr>
                    <w:pStyle w:val="53"/>
                    <w:bidi w:val="0"/>
                    <w:spacing w:line="240" w:lineRule="auto"/>
                    <w:outlineLvl w:val="1"/>
                    <w:rPr>
                      <w:b w:val="0"/>
                      <w:bCs w:val="0"/>
                      <w:sz w:val="21"/>
                      <w:szCs w:val="21"/>
                    </w:rPr>
                  </w:pPr>
                </w:p>
              </w:tc>
              <w:tc>
                <w:tcPr>
                  <w:tcW w:w="2738" w:type="dxa"/>
                  <w:noWrap w:val="0"/>
                  <w:vAlign w:val="center"/>
                </w:tcPr>
                <w:p>
                  <w:pPr>
                    <w:pStyle w:val="53"/>
                    <w:bidi w:val="0"/>
                    <w:spacing w:line="240" w:lineRule="auto"/>
                    <w:outlineLvl w:val="1"/>
                    <w:rPr>
                      <w:rFonts w:hint="eastAsia"/>
                      <w:b w:val="0"/>
                      <w:bCs w:val="0"/>
                      <w:sz w:val="21"/>
                      <w:szCs w:val="21"/>
                      <w:lang w:eastAsia="zh-CN"/>
                    </w:rPr>
                  </w:pPr>
                  <w:r>
                    <w:rPr>
                      <w:rFonts w:hint="eastAsia"/>
                      <w:b w:val="0"/>
                      <w:bCs w:val="0"/>
                      <w:sz w:val="21"/>
                      <w:szCs w:val="21"/>
                      <w:lang w:eastAsia="zh-CN"/>
                    </w:rPr>
                    <w:t>食堂油烟配套“集气罩+油烟净化器+高于房顶1.5m高排气筒”</w:t>
                  </w:r>
                </w:p>
              </w:tc>
              <w:tc>
                <w:tcPr>
                  <w:tcW w:w="1991" w:type="dxa"/>
                  <w:noWrap w:val="0"/>
                  <w:vAlign w:val="center"/>
                </w:tcPr>
                <w:p>
                  <w:pPr>
                    <w:pStyle w:val="53"/>
                    <w:bidi w:val="0"/>
                    <w:spacing w:line="240" w:lineRule="auto"/>
                    <w:outlineLvl w:val="1"/>
                    <w:rPr>
                      <w:rFonts w:hint="eastAsia"/>
                      <w:b w:val="0"/>
                      <w:bCs w:val="0"/>
                      <w:sz w:val="21"/>
                      <w:szCs w:val="21"/>
                      <w:lang w:eastAsia="zh-CN"/>
                    </w:rPr>
                  </w:pPr>
                  <w:r>
                    <w:rPr>
                      <w:rFonts w:hint="eastAsia"/>
                      <w:b w:val="0"/>
                      <w:bCs w:val="0"/>
                      <w:sz w:val="21"/>
                      <w:szCs w:val="21"/>
                      <w:lang w:eastAsia="zh-CN"/>
                    </w:rPr>
                    <w:t>食堂油烟</w:t>
                  </w:r>
                </w:p>
              </w:tc>
              <w:tc>
                <w:tcPr>
                  <w:tcW w:w="1165" w:type="dxa"/>
                  <w:noWrap w:val="0"/>
                  <w:vAlign w:val="center"/>
                </w:tcPr>
                <w:p>
                  <w:pPr>
                    <w:pStyle w:val="53"/>
                    <w:bidi w:val="0"/>
                    <w:spacing w:line="240" w:lineRule="auto"/>
                    <w:outlineLvl w:val="1"/>
                    <w:rPr>
                      <w:rFonts w:hint="default"/>
                      <w:b w:val="0"/>
                      <w:bCs w:val="0"/>
                      <w:sz w:val="21"/>
                      <w:szCs w:val="21"/>
                      <w:lang w:val="en-US" w:eastAsia="zh-CN"/>
                    </w:rPr>
                  </w:pPr>
                  <w:r>
                    <w:rPr>
                      <w:rFonts w:hint="eastAsia"/>
                      <w:b w:val="0"/>
                      <w:bCs w:val="0"/>
                      <w:sz w:val="21"/>
                      <w:szCs w:val="21"/>
                      <w:lang w:val="en-US" w:eastAsia="zh-CN"/>
                    </w:rPr>
                    <w:t>/</w:t>
                  </w:r>
                </w:p>
              </w:tc>
              <w:tc>
                <w:tcPr>
                  <w:tcW w:w="1391" w:type="dxa"/>
                  <w:noWrap w:val="0"/>
                  <w:vAlign w:val="center"/>
                </w:tcPr>
                <w:p>
                  <w:pPr>
                    <w:pStyle w:val="53"/>
                    <w:bidi w:val="0"/>
                    <w:spacing w:line="240" w:lineRule="auto"/>
                    <w:outlineLvl w:val="1"/>
                    <w:rPr>
                      <w:b w:val="0"/>
                      <w:bCs w:val="0"/>
                      <w:sz w:val="21"/>
                      <w:szCs w:val="21"/>
                    </w:rPr>
                  </w:pPr>
                  <w:r>
                    <w:rPr>
                      <w:rFonts w:hint="eastAsia"/>
                      <w:b w:val="0"/>
                      <w:bCs w:val="0"/>
                      <w:sz w:val="21"/>
                      <w:szCs w:val="21"/>
                      <w:lang w:eastAsia="zh-CN"/>
                    </w:rPr>
                    <w:t>租赁企业已建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8" w:type="dxa"/>
                  <w:noWrap w:val="0"/>
                  <w:vAlign w:val="center"/>
                </w:tcPr>
                <w:p>
                  <w:pPr>
                    <w:pStyle w:val="53"/>
                    <w:bidi w:val="0"/>
                    <w:spacing w:line="240" w:lineRule="auto"/>
                    <w:outlineLvl w:val="1"/>
                    <w:rPr>
                      <w:b w:val="0"/>
                      <w:bCs w:val="0"/>
                      <w:sz w:val="21"/>
                      <w:szCs w:val="21"/>
                    </w:rPr>
                  </w:pPr>
                  <w:r>
                    <w:rPr>
                      <w:b w:val="0"/>
                      <w:bCs w:val="0"/>
                      <w:sz w:val="21"/>
                      <w:szCs w:val="21"/>
                    </w:rPr>
                    <w:t>噪声治理</w:t>
                  </w:r>
                </w:p>
              </w:tc>
              <w:tc>
                <w:tcPr>
                  <w:tcW w:w="2738" w:type="dxa"/>
                  <w:noWrap w:val="0"/>
                  <w:vAlign w:val="center"/>
                </w:tcPr>
                <w:p>
                  <w:pPr>
                    <w:pStyle w:val="53"/>
                    <w:bidi w:val="0"/>
                    <w:spacing w:line="240" w:lineRule="auto"/>
                    <w:outlineLvl w:val="1"/>
                    <w:rPr>
                      <w:b w:val="0"/>
                      <w:bCs w:val="0"/>
                      <w:sz w:val="21"/>
                      <w:szCs w:val="21"/>
                    </w:rPr>
                  </w:pPr>
                  <w:r>
                    <w:rPr>
                      <w:b w:val="0"/>
                      <w:bCs w:val="0"/>
                      <w:sz w:val="21"/>
                      <w:szCs w:val="21"/>
                    </w:rPr>
                    <w:t>选用低噪设备，减震、消声、隔音</w:t>
                  </w:r>
                </w:p>
              </w:tc>
              <w:tc>
                <w:tcPr>
                  <w:tcW w:w="1991" w:type="dxa"/>
                  <w:noWrap w:val="0"/>
                  <w:vAlign w:val="center"/>
                </w:tcPr>
                <w:p>
                  <w:pPr>
                    <w:pStyle w:val="53"/>
                    <w:bidi w:val="0"/>
                    <w:spacing w:line="240" w:lineRule="auto"/>
                    <w:outlineLvl w:val="1"/>
                    <w:rPr>
                      <w:b w:val="0"/>
                      <w:bCs w:val="0"/>
                      <w:sz w:val="21"/>
                      <w:szCs w:val="21"/>
                    </w:rPr>
                  </w:pPr>
                  <w:r>
                    <w:rPr>
                      <w:b w:val="0"/>
                      <w:bCs w:val="0"/>
                      <w:sz w:val="21"/>
                      <w:szCs w:val="21"/>
                    </w:rPr>
                    <w:t>噪声较大生产线</w:t>
                  </w:r>
                </w:p>
              </w:tc>
              <w:tc>
                <w:tcPr>
                  <w:tcW w:w="1165" w:type="dxa"/>
                  <w:noWrap w:val="0"/>
                  <w:vAlign w:val="center"/>
                </w:tcPr>
                <w:p>
                  <w:pPr>
                    <w:pStyle w:val="53"/>
                    <w:bidi w:val="0"/>
                    <w:spacing w:line="240" w:lineRule="auto"/>
                    <w:outlineLvl w:val="1"/>
                    <w:rPr>
                      <w:rFonts w:hint="eastAsia" w:eastAsia="宋体"/>
                      <w:b w:val="0"/>
                      <w:bCs w:val="0"/>
                      <w:sz w:val="21"/>
                      <w:szCs w:val="21"/>
                      <w:lang w:eastAsia="zh-CN"/>
                    </w:rPr>
                  </w:pPr>
                  <w:r>
                    <w:rPr>
                      <w:rFonts w:hint="eastAsia"/>
                      <w:b w:val="0"/>
                      <w:bCs w:val="0"/>
                      <w:sz w:val="21"/>
                      <w:szCs w:val="21"/>
                      <w:lang w:val="en-US" w:eastAsia="zh-CN"/>
                    </w:rPr>
                    <w:t>/</w:t>
                  </w:r>
                </w:p>
              </w:tc>
              <w:tc>
                <w:tcPr>
                  <w:tcW w:w="1391" w:type="dxa"/>
                  <w:noWrap w:val="0"/>
                  <w:vAlign w:val="center"/>
                </w:tcPr>
                <w:p>
                  <w:pPr>
                    <w:pStyle w:val="53"/>
                    <w:bidi w:val="0"/>
                    <w:spacing w:line="240" w:lineRule="auto"/>
                    <w:outlineLvl w:val="1"/>
                    <w:rPr>
                      <w:b w:val="0"/>
                      <w:bCs w:val="0"/>
                      <w:sz w:val="21"/>
                      <w:szCs w:val="21"/>
                    </w:rPr>
                  </w:pPr>
                  <w:r>
                    <w:rPr>
                      <w:b w:val="0"/>
                      <w:bCs w:val="0"/>
                      <w:sz w:val="21"/>
                      <w:szCs w:val="21"/>
                    </w:rPr>
                    <w:t>计入工程总投资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898" w:type="dxa"/>
                  <w:vMerge w:val="restart"/>
                  <w:noWrap w:val="0"/>
                  <w:vAlign w:val="center"/>
                </w:tcPr>
                <w:p>
                  <w:pPr>
                    <w:pStyle w:val="53"/>
                    <w:bidi w:val="0"/>
                    <w:spacing w:line="240" w:lineRule="auto"/>
                    <w:outlineLvl w:val="1"/>
                    <w:rPr>
                      <w:rFonts w:hint="eastAsia" w:eastAsia="宋体"/>
                      <w:b w:val="0"/>
                      <w:bCs w:val="0"/>
                      <w:sz w:val="21"/>
                      <w:szCs w:val="21"/>
                      <w:lang w:eastAsia="zh-CN"/>
                    </w:rPr>
                  </w:pPr>
                  <w:r>
                    <w:rPr>
                      <w:rFonts w:hint="eastAsia"/>
                      <w:b w:val="0"/>
                      <w:bCs w:val="0"/>
                      <w:sz w:val="21"/>
                      <w:szCs w:val="21"/>
                      <w:lang w:eastAsia="zh-CN"/>
                    </w:rPr>
                    <w:t>废水治理</w:t>
                  </w:r>
                </w:p>
              </w:tc>
              <w:tc>
                <w:tcPr>
                  <w:tcW w:w="2738" w:type="dxa"/>
                  <w:noWrap w:val="0"/>
                  <w:vAlign w:val="center"/>
                </w:tcPr>
                <w:p>
                  <w:pPr>
                    <w:pStyle w:val="53"/>
                    <w:bidi w:val="0"/>
                    <w:spacing w:line="240" w:lineRule="auto"/>
                    <w:outlineLvl w:val="1"/>
                    <w:rPr>
                      <w:rFonts w:hint="eastAsia" w:eastAsia="宋体"/>
                      <w:b w:val="0"/>
                      <w:bCs w:val="0"/>
                      <w:sz w:val="21"/>
                      <w:szCs w:val="21"/>
                      <w:lang w:eastAsia="zh-CN"/>
                    </w:rPr>
                  </w:pPr>
                  <w:r>
                    <w:rPr>
                      <w:rFonts w:hint="eastAsia"/>
                      <w:b w:val="0"/>
                      <w:bCs w:val="0"/>
                      <w:sz w:val="21"/>
                      <w:szCs w:val="21"/>
                      <w:lang w:val="en-US" w:eastAsia="zh-CN"/>
                    </w:rPr>
                    <w:t>6m</w:t>
                  </w:r>
                  <w:r>
                    <w:rPr>
                      <w:rFonts w:hint="eastAsia"/>
                      <w:b w:val="0"/>
                      <w:bCs w:val="0"/>
                      <w:sz w:val="21"/>
                      <w:szCs w:val="21"/>
                      <w:vertAlign w:val="superscript"/>
                      <w:lang w:val="en-US" w:eastAsia="zh-CN"/>
                    </w:rPr>
                    <w:t>3</w:t>
                  </w:r>
                  <w:r>
                    <w:rPr>
                      <w:rFonts w:hint="eastAsia"/>
                      <w:b w:val="0"/>
                      <w:bCs w:val="0"/>
                      <w:sz w:val="21"/>
                      <w:szCs w:val="21"/>
                      <w:lang w:eastAsia="zh-CN"/>
                    </w:rPr>
                    <w:t>化粪池</w:t>
                  </w:r>
                </w:p>
              </w:tc>
              <w:tc>
                <w:tcPr>
                  <w:tcW w:w="1991" w:type="dxa"/>
                  <w:noWrap w:val="0"/>
                  <w:vAlign w:val="center"/>
                </w:tcPr>
                <w:p>
                  <w:pPr>
                    <w:pStyle w:val="53"/>
                    <w:bidi w:val="0"/>
                    <w:spacing w:line="240" w:lineRule="auto"/>
                    <w:outlineLvl w:val="1"/>
                    <w:rPr>
                      <w:rFonts w:hint="eastAsia" w:eastAsia="宋体"/>
                      <w:b w:val="0"/>
                      <w:bCs w:val="0"/>
                      <w:sz w:val="21"/>
                      <w:szCs w:val="21"/>
                      <w:lang w:eastAsia="zh-CN"/>
                    </w:rPr>
                  </w:pPr>
                  <w:r>
                    <w:rPr>
                      <w:rFonts w:hint="eastAsia"/>
                      <w:b w:val="0"/>
                      <w:bCs w:val="0"/>
                      <w:sz w:val="21"/>
                      <w:szCs w:val="21"/>
                      <w:lang w:eastAsia="zh-CN"/>
                    </w:rPr>
                    <w:t>生活污水</w:t>
                  </w:r>
                </w:p>
              </w:tc>
              <w:tc>
                <w:tcPr>
                  <w:tcW w:w="1165" w:type="dxa"/>
                  <w:noWrap w:val="0"/>
                  <w:vAlign w:val="center"/>
                </w:tcPr>
                <w:p>
                  <w:pPr>
                    <w:pStyle w:val="53"/>
                    <w:bidi w:val="0"/>
                    <w:spacing w:line="240" w:lineRule="auto"/>
                    <w:outlineLvl w:val="1"/>
                    <w:rPr>
                      <w:rFonts w:hint="eastAsia" w:eastAsia="宋体"/>
                      <w:b w:val="0"/>
                      <w:bCs w:val="0"/>
                      <w:sz w:val="21"/>
                      <w:szCs w:val="21"/>
                      <w:lang w:val="en-US" w:eastAsia="zh-CN"/>
                    </w:rPr>
                  </w:pPr>
                  <w:r>
                    <w:rPr>
                      <w:rFonts w:hint="eastAsia"/>
                      <w:b w:val="0"/>
                      <w:bCs w:val="0"/>
                      <w:sz w:val="21"/>
                      <w:szCs w:val="21"/>
                      <w:lang w:val="en-US" w:eastAsia="zh-CN"/>
                    </w:rPr>
                    <w:t>/</w:t>
                  </w:r>
                </w:p>
              </w:tc>
              <w:tc>
                <w:tcPr>
                  <w:tcW w:w="1391" w:type="dxa"/>
                  <w:vMerge w:val="restart"/>
                  <w:noWrap w:val="0"/>
                  <w:vAlign w:val="center"/>
                </w:tcPr>
                <w:p>
                  <w:pPr>
                    <w:pStyle w:val="53"/>
                    <w:bidi w:val="0"/>
                    <w:spacing w:line="240" w:lineRule="auto"/>
                    <w:outlineLvl w:val="1"/>
                    <w:rPr>
                      <w:rFonts w:hint="eastAsia" w:eastAsia="宋体"/>
                      <w:b w:val="0"/>
                      <w:bCs w:val="0"/>
                      <w:sz w:val="21"/>
                      <w:szCs w:val="21"/>
                      <w:lang w:eastAsia="zh-CN"/>
                    </w:rPr>
                  </w:pPr>
                  <w:r>
                    <w:rPr>
                      <w:rFonts w:hint="eastAsia"/>
                      <w:b w:val="0"/>
                      <w:bCs w:val="0"/>
                      <w:sz w:val="21"/>
                      <w:szCs w:val="21"/>
                      <w:lang w:eastAsia="zh-CN"/>
                    </w:rPr>
                    <w:t>沿用租赁企业配套设备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898" w:type="dxa"/>
                  <w:vMerge w:val="continue"/>
                  <w:noWrap w:val="0"/>
                  <w:vAlign w:val="center"/>
                </w:tcPr>
                <w:p>
                  <w:pPr>
                    <w:pStyle w:val="53"/>
                    <w:bidi w:val="0"/>
                    <w:spacing w:line="240" w:lineRule="auto"/>
                    <w:outlineLvl w:val="1"/>
                  </w:pPr>
                </w:p>
              </w:tc>
              <w:tc>
                <w:tcPr>
                  <w:tcW w:w="2738" w:type="dxa"/>
                  <w:noWrap w:val="0"/>
                  <w:vAlign w:val="center"/>
                </w:tcPr>
                <w:p>
                  <w:pPr>
                    <w:pStyle w:val="53"/>
                    <w:bidi w:val="0"/>
                    <w:spacing w:line="240" w:lineRule="auto"/>
                    <w:outlineLvl w:val="1"/>
                    <w:rPr>
                      <w:rFonts w:hint="eastAsia"/>
                      <w:b w:val="0"/>
                      <w:bCs w:val="0"/>
                      <w:sz w:val="21"/>
                      <w:szCs w:val="21"/>
                      <w:lang w:eastAsia="zh-CN"/>
                    </w:rPr>
                  </w:pPr>
                  <w:r>
                    <w:rPr>
                      <w:rFonts w:hint="eastAsia"/>
                      <w:b w:val="0"/>
                      <w:bCs w:val="0"/>
                      <w:sz w:val="21"/>
                      <w:szCs w:val="21"/>
                      <w:lang w:eastAsia="zh-CN"/>
                    </w:rPr>
                    <w:t>雨污分流管道</w:t>
                  </w:r>
                </w:p>
              </w:tc>
              <w:tc>
                <w:tcPr>
                  <w:tcW w:w="1991" w:type="dxa"/>
                  <w:noWrap w:val="0"/>
                  <w:vAlign w:val="center"/>
                </w:tcPr>
                <w:p>
                  <w:pPr>
                    <w:pStyle w:val="53"/>
                    <w:bidi w:val="0"/>
                    <w:spacing w:line="240" w:lineRule="auto"/>
                    <w:outlineLvl w:val="1"/>
                    <w:rPr>
                      <w:rFonts w:hint="eastAsia"/>
                      <w:b w:val="0"/>
                      <w:bCs w:val="0"/>
                      <w:sz w:val="21"/>
                      <w:szCs w:val="21"/>
                      <w:lang w:eastAsia="zh-CN"/>
                    </w:rPr>
                  </w:pPr>
                  <w:r>
                    <w:rPr>
                      <w:rFonts w:hint="eastAsia"/>
                      <w:b w:val="0"/>
                      <w:bCs w:val="0"/>
                      <w:sz w:val="21"/>
                      <w:szCs w:val="21"/>
                      <w:lang w:eastAsia="zh-CN"/>
                    </w:rPr>
                    <w:t>雨水</w:t>
                  </w:r>
                </w:p>
              </w:tc>
              <w:tc>
                <w:tcPr>
                  <w:tcW w:w="1165" w:type="dxa"/>
                  <w:noWrap w:val="0"/>
                  <w:vAlign w:val="center"/>
                </w:tcPr>
                <w:p>
                  <w:pPr>
                    <w:pStyle w:val="53"/>
                    <w:bidi w:val="0"/>
                    <w:spacing w:line="240" w:lineRule="auto"/>
                    <w:outlineLvl w:val="1"/>
                    <w:rPr>
                      <w:rFonts w:hint="default"/>
                      <w:b w:val="0"/>
                      <w:bCs w:val="0"/>
                      <w:sz w:val="21"/>
                      <w:szCs w:val="21"/>
                      <w:lang w:val="en-US" w:eastAsia="zh-CN"/>
                    </w:rPr>
                  </w:pPr>
                  <w:r>
                    <w:rPr>
                      <w:rFonts w:hint="eastAsia"/>
                      <w:b w:val="0"/>
                      <w:bCs w:val="0"/>
                      <w:sz w:val="21"/>
                      <w:szCs w:val="21"/>
                      <w:lang w:val="en-US" w:eastAsia="zh-CN"/>
                    </w:rPr>
                    <w:t>/</w:t>
                  </w:r>
                </w:p>
              </w:tc>
              <w:tc>
                <w:tcPr>
                  <w:tcW w:w="1391" w:type="dxa"/>
                  <w:vMerge w:val="continue"/>
                  <w:noWrap w:val="0"/>
                  <w:vAlign w:val="center"/>
                </w:tcPr>
                <w:p>
                  <w:pPr>
                    <w:pStyle w:val="53"/>
                    <w:bidi w:val="0"/>
                    <w:spacing w:line="240" w:lineRule="auto"/>
                    <w:outlineLvl w:val="1"/>
                    <w:rPr>
                      <w:rFonts w:hint="eastAsia"/>
                      <w:b w:val="0"/>
                      <w:bCs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8" w:type="dxa"/>
                  <w:vMerge w:val="restart"/>
                  <w:noWrap w:val="0"/>
                  <w:vAlign w:val="center"/>
                </w:tcPr>
                <w:p>
                  <w:pPr>
                    <w:pStyle w:val="53"/>
                    <w:bidi w:val="0"/>
                    <w:spacing w:line="240" w:lineRule="auto"/>
                    <w:outlineLvl w:val="1"/>
                    <w:rPr>
                      <w:b w:val="0"/>
                      <w:bCs w:val="0"/>
                      <w:sz w:val="21"/>
                      <w:szCs w:val="21"/>
                    </w:rPr>
                  </w:pPr>
                  <w:r>
                    <w:rPr>
                      <w:b w:val="0"/>
                      <w:bCs w:val="0"/>
                      <w:sz w:val="21"/>
                      <w:szCs w:val="21"/>
                    </w:rPr>
                    <w:t>固体废弃物处置</w:t>
                  </w:r>
                </w:p>
              </w:tc>
              <w:tc>
                <w:tcPr>
                  <w:tcW w:w="2738" w:type="dxa"/>
                  <w:noWrap w:val="0"/>
                  <w:vAlign w:val="center"/>
                </w:tcPr>
                <w:p>
                  <w:pPr>
                    <w:pStyle w:val="53"/>
                    <w:bidi w:val="0"/>
                    <w:spacing w:line="240" w:lineRule="auto"/>
                    <w:outlineLvl w:val="1"/>
                    <w:rPr>
                      <w:b w:val="0"/>
                      <w:bCs w:val="0"/>
                      <w:sz w:val="21"/>
                      <w:szCs w:val="21"/>
                    </w:rPr>
                  </w:pPr>
                  <w:r>
                    <w:rPr>
                      <w:rFonts w:hint="eastAsia"/>
                      <w:b w:val="0"/>
                      <w:bCs w:val="0"/>
                      <w:sz w:val="21"/>
                      <w:szCs w:val="21"/>
                      <w:lang w:val="en-US" w:eastAsia="zh-CN"/>
                    </w:rPr>
                    <w:t>8m</w:t>
                  </w:r>
                  <w:r>
                    <w:rPr>
                      <w:rFonts w:hint="eastAsia"/>
                      <w:b w:val="0"/>
                      <w:bCs w:val="0"/>
                      <w:sz w:val="21"/>
                      <w:szCs w:val="21"/>
                      <w:vertAlign w:val="superscript"/>
                      <w:lang w:val="en-US" w:eastAsia="zh-CN"/>
                    </w:rPr>
                    <w:t>2</w:t>
                  </w:r>
                  <w:r>
                    <w:rPr>
                      <w:b w:val="0"/>
                      <w:bCs w:val="0"/>
                      <w:sz w:val="21"/>
                      <w:szCs w:val="21"/>
                    </w:rPr>
                    <w:t>危险废物暂存间</w:t>
                  </w:r>
                </w:p>
              </w:tc>
              <w:tc>
                <w:tcPr>
                  <w:tcW w:w="1991" w:type="dxa"/>
                  <w:noWrap w:val="0"/>
                  <w:vAlign w:val="center"/>
                </w:tcPr>
                <w:p>
                  <w:pPr>
                    <w:pStyle w:val="53"/>
                    <w:bidi w:val="0"/>
                    <w:spacing w:line="240" w:lineRule="auto"/>
                    <w:outlineLvl w:val="1"/>
                    <w:rPr>
                      <w:rFonts w:hint="eastAsia"/>
                      <w:b w:val="0"/>
                      <w:bCs w:val="0"/>
                      <w:sz w:val="21"/>
                      <w:szCs w:val="21"/>
                      <w:lang w:eastAsia="zh-CN"/>
                    </w:rPr>
                  </w:pPr>
                  <w:r>
                    <w:rPr>
                      <w:b w:val="0"/>
                      <w:bCs w:val="0"/>
                      <w:sz w:val="21"/>
                      <w:szCs w:val="21"/>
                    </w:rPr>
                    <w:t>包装桶、废</w:t>
                  </w:r>
                  <w:r>
                    <w:rPr>
                      <w:rFonts w:hint="eastAsia"/>
                      <w:b w:val="0"/>
                      <w:bCs w:val="0"/>
                      <w:sz w:val="21"/>
                      <w:szCs w:val="21"/>
                      <w:lang w:eastAsia="zh-CN"/>
                    </w:rPr>
                    <w:t>过滤棉、活性炭、废机油</w:t>
                  </w:r>
                </w:p>
              </w:tc>
              <w:tc>
                <w:tcPr>
                  <w:tcW w:w="1165" w:type="dxa"/>
                  <w:noWrap w:val="0"/>
                  <w:vAlign w:val="center"/>
                </w:tcPr>
                <w:p>
                  <w:pPr>
                    <w:pStyle w:val="53"/>
                    <w:bidi w:val="0"/>
                    <w:spacing w:line="240" w:lineRule="auto"/>
                    <w:outlineLvl w:val="1"/>
                    <w:rPr>
                      <w:rFonts w:hint="default"/>
                      <w:b w:val="0"/>
                      <w:bCs w:val="0"/>
                      <w:sz w:val="21"/>
                      <w:szCs w:val="21"/>
                      <w:lang w:val="en-US" w:eastAsia="zh-CN"/>
                    </w:rPr>
                  </w:pPr>
                  <w:r>
                    <w:rPr>
                      <w:rFonts w:hint="eastAsia"/>
                      <w:b w:val="0"/>
                      <w:bCs w:val="0"/>
                      <w:sz w:val="21"/>
                      <w:szCs w:val="21"/>
                      <w:lang w:val="en-US" w:eastAsia="zh-CN"/>
                    </w:rPr>
                    <w:t>1.5</w:t>
                  </w:r>
                </w:p>
              </w:tc>
              <w:tc>
                <w:tcPr>
                  <w:tcW w:w="1391" w:type="dxa"/>
                  <w:noWrap w:val="0"/>
                  <w:vAlign w:val="center"/>
                </w:tcPr>
                <w:p>
                  <w:pPr>
                    <w:pStyle w:val="53"/>
                    <w:bidi w:val="0"/>
                    <w:spacing w:line="240" w:lineRule="auto"/>
                    <w:outlineLvl w:val="1"/>
                    <w:rPr>
                      <w:rFonts w:hint="eastAsia"/>
                      <w:b w:val="0"/>
                      <w:bCs w:val="0"/>
                      <w:sz w:val="21"/>
                      <w:szCs w:val="21"/>
                      <w:lang w:eastAsia="zh-CN"/>
                    </w:rPr>
                  </w:pPr>
                  <w:r>
                    <w:rPr>
                      <w:rFonts w:hint="eastAsia"/>
                      <w:b w:val="0"/>
                      <w:bCs w:val="0"/>
                      <w:sz w:val="21"/>
                      <w:szCs w:val="21"/>
                    </w:rPr>
                    <w:t>环评</w:t>
                  </w:r>
                  <w:r>
                    <w:rPr>
                      <w:rFonts w:hint="eastAsia"/>
                      <w:b w:val="0"/>
                      <w:bCs w:val="0"/>
                      <w:sz w:val="21"/>
                      <w:szCs w:val="21"/>
                      <w:lang w:eastAsia="zh-CN"/>
                    </w:rPr>
                    <w:t>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8" w:type="dxa"/>
                  <w:vMerge w:val="continue"/>
                  <w:noWrap w:val="0"/>
                  <w:vAlign w:val="center"/>
                </w:tcPr>
                <w:p>
                  <w:pPr>
                    <w:pStyle w:val="53"/>
                    <w:bidi w:val="0"/>
                    <w:spacing w:line="240" w:lineRule="auto"/>
                    <w:outlineLvl w:val="1"/>
                    <w:rPr>
                      <w:b w:val="0"/>
                      <w:bCs w:val="0"/>
                      <w:sz w:val="21"/>
                      <w:szCs w:val="21"/>
                    </w:rPr>
                  </w:pPr>
                </w:p>
              </w:tc>
              <w:tc>
                <w:tcPr>
                  <w:tcW w:w="2738" w:type="dxa"/>
                  <w:noWrap w:val="0"/>
                  <w:vAlign w:val="center"/>
                </w:tcPr>
                <w:p>
                  <w:pPr>
                    <w:pStyle w:val="53"/>
                    <w:bidi w:val="0"/>
                    <w:spacing w:line="240" w:lineRule="auto"/>
                    <w:outlineLvl w:val="1"/>
                    <w:rPr>
                      <w:b w:val="0"/>
                      <w:bCs w:val="0"/>
                      <w:sz w:val="21"/>
                      <w:szCs w:val="21"/>
                    </w:rPr>
                  </w:pPr>
                  <w:r>
                    <w:rPr>
                      <w:b w:val="0"/>
                      <w:bCs w:val="0"/>
                      <w:sz w:val="21"/>
                      <w:szCs w:val="21"/>
                    </w:rPr>
                    <w:t>垃圾清运、垃圾桶设置</w:t>
                  </w:r>
                </w:p>
              </w:tc>
              <w:tc>
                <w:tcPr>
                  <w:tcW w:w="1991" w:type="dxa"/>
                  <w:noWrap w:val="0"/>
                  <w:vAlign w:val="center"/>
                </w:tcPr>
                <w:p>
                  <w:pPr>
                    <w:pStyle w:val="53"/>
                    <w:bidi w:val="0"/>
                    <w:spacing w:line="240" w:lineRule="auto"/>
                    <w:outlineLvl w:val="1"/>
                    <w:rPr>
                      <w:b w:val="0"/>
                      <w:bCs w:val="0"/>
                      <w:sz w:val="21"/>
                      <w:szCs w:val="21"/>
                    </w:rPr>
                  </w:pPr>
                  <w:r>
                    <w:rPr>
                      <w:b w:val="0"/>
                      <w:bCs w:val="0"/>
                      <w:sz w:val="21"/>
                      <w:szCs w:val="21"/>
                    </w:rPr>
                    <w:t>生活垃圾</w:t>
                  </w:r>
                </w:p>
              </w:tc>
              <w:tc>
                <w:tcPr>
                  <w:tcW w:w="1165" w:type="dxa"/>
                  <w:noWrap w:val="0"/>
                  <w:vAlign w:val="center"/>
                </w:tcPr>
                <w:p>
                  <w:pPr>
                    <w:pStyle w:val="53"/>
                    <w:bidi w:val="0"/>
                    <w:spacing w:line="240" w:lineRule="auto"/>
                    <w:outlineLvl w:val="1"/>
                    <w:rPr>
                      <w:rFonts w:hint="default" w:eastAsia="宋体"/>
                      <w:b w:val="0"/>
                      <w:bCs w:val="0"/>
                      <w:sz w:val="21"/>
                      <w:szCs w:val="21"/>
                      <w:lang w:val="en-US" w:eastAsia="zh-CN"/>
                    </w:rPr>
                  </w:pPr>
                  <w:r>
                    <w:rPr>
                      <w:rFonts w:hint="eastAsia"/>
                      <w:b w:val="0"/>
                      <w:bCs w:val="0"/>
                      <w:sz w:val="21"/>
                      <w:szCs w:val="21"/>
                      <w:lang w:val="en-US" w:eastAsia="zh-CN"/>
                    </w:rPr>
                    <w:t>0.5</w:t>
                  </w:r>
                </w:p>
              </w:tc>
              <w:tc>
                <w:tcPr>
                  <w:tcW w:w="1391" w:type="dxa"/>
                  <w:noWrap w:val="0"/>
                  <w:vAlign w:val="center"/>
                </w:tcPr>
                <w:p>
                  <w:pPr>
                    <w:pStyle w:val="53"/>
                    <w:bidi w:val="0"/>
                    <w:spacing w:line="240" w:lineRule="auto"/>
                    <w:outlineLvl w:val="1"/>
                    <w:rPr>
                      <w:b w:val="0"/>
                      <w:bCs w:val="0"/>
                      <w:sz w:val="21"/>
                      <w:szCs w:val="21"/>
                    </w:rPr>
                  </w:pPr>
                  <w:r>
                    <w:rPr>
                      <w:rFonts w:hint="eastAsia"/>
                      <w:b w:val="0"/>
                      <w:bCs w:val="0"/>
                      <w:sz w:val="21"/>
                      <w:szCs w:val="21"/>
                      <w:lang w:eastAsia="zh-CN"/>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8" w:type="dxa"/>
                  <w:vMerge w:val="continue"/>
                  <w:noWrap w:val="0"/>
                  <w:vAlign w:val="center"/>
                </w:tcPr>
                <w:p>
                  <w:pPr>
                    <w:pStyle w:val="53"/>
                    <w:bidi w:val="0"/>
                    <w:spacing w:line="240" w:lineRule="auto"/>
                    <w:outlineLvl w:val="1"/>
                    <w:rPr>
                      <w:b w:val="0"/>
                      <w:bCs w:val="0"/>
                      <w:sz w:val="21"/>
                      <w:szCs w:val="21"/>
                    </w:rPr>
                  </w:pPr>
                </w:p>
              </w:tc>
              <w:tc>
                <w:tcPr>
                  <w:tcW w:w="2738" w:type="dxa"/>
                  <w:noWrap w:val="0"/>
                  <w:vAlign w:val="center"/>
                </w:tcPr>
                <w:p>
                  <w:pPr>
                    <w:pStyle w:val="53"/>
                    <w:bidi w:val="0"/>
                    <w:spacing w:line="240" w:lineRule="auto"/>
                    <w:outlineLvl w:val="1"/>
                    <w:rPr>
                      <w:rFonts w:hint="eastAsia" w:eastAsia="宋体"/>
                      <w:b w:val="0"/>
                      <w:bCs w:val="0"/>
                      <w:sz w:val="21"/>
                      <w:szCs w:val="21"/>
                      <w:lang w:eastAsia="zh-CN"/>
                    </w:rPr>
                  </w:pPr>
                  <w:r>
                    <w:rPr>
                      <w:rFonts w:hint="eastAsia"/>
                      <w:b w:val="0"/>
                      <w:bCs w:val="0"/>
                      <w:sz w:val="21"/>
                      <w:szCs w:val="21"/>
                      <w:lang w:val="en-US" w:eastAsia="zh-CN"/>
                    </w:rPr>
                    <w:t>30m</w:t>
                  </w:r>
                  <w:r>
                    <w:rPr>
                      <w:rFonts w:hint="eastAsia"/>
                      <w:b w:val="0"/>
                      <w:bCs w:val="0"/>
                      <w:sz w:val="21"/>
                      <w:szCs w:val="21"/>
                      <w:vertAlign w:val="superscript"/>
                      <w:lang w:val="en-US" w:eastAsia="zh-CN"/>
                    </w:rPr>
                    <w:t>2</w:t>
                  </w:r>
                  <w:r>
                    <w:rPr>
                      <w:rFonts w:hint="eastAsia"/>
                      <w:b w:val="0"/>
                      <w:bCs w:val="0"/>
                      <w:sz w:val="21"/>
                      <w:szCs w:val="21"/>
                      <w:lang w:eastAsia="zh-CN"/>
                    </w:rPr>
                    <w:t>一般固废暂存间</w:t>
                  </w:r>
                </w:p>
              </w:tc>
              <w:tc>
                <w:tcPr>
                  <w:tcW w:w="1991" w:type="dxa"/>
                  <w:noWrap w:val="0"/>
                  <w:vAlign w:val="center"/>
                </w:tcPr>
                <w:p>
                  <w:pPr>
                    <w:pStyle w:val="53"/>
                    <w:bidi w:val="0"/>
                    <w:spacing w:line="240" w:lineRule="auto"/>
                    <w:outlineLvl w:val="1"/>
                    <w:rPr>
                      <w:rFonts w:hint="eastAsia"/>
                      <w:b w:val="0"/>
                      <w:bCs w:val="0"/>
                      <w:sz w:val="21"/>
                      <w:szCs w:val="21"/>
                      <w:lang w:eastAsia="zh-CN"/>
                    </w:rPr>
                  </w:pPr>
                  <w:r>
                    <w:rPr>
                      <w:rFonts w:hint="eastAsia"/>
                      <w:b w:val="0"/>
                      <w:bCs w:val="0"/>
                      <w:sz w:val="21"/>
                      <w:szCs w:val="21"/>
                      <w:lang w:val="en-US" w:eastAsia="zh-CN"/>
                    </w:rPr>
                    <w:t>收集暂存边角废料、收集的打磨粉尘、焊接烟尘、焊渣集中、废包装材料等一般固体废物</w:t>
                  </w:r>
                </w:p>
              </w:tc>
              <w:tc>
                <w:tcPr>
                  <w:tcW w:w="1165" w:type="dxa"/>
                  <w:noWrap w:val="0"/>
                  <w:vAlign w:val="center"/>
                </w:tcPr>
                <w:p>
                  <w:pPr>
                    <w:pStyle w:val="53"/>
                    <w:bidi w:val="0"/>
                    <w:spacing w:line="240" w:lineRule="auto"/>
                    <w:outlineLvl w:val="1"/>
                    <w:rPr>
                      <w:rFonts w:hint="eastAsia" w:eastAsia="宋体"/>
                      <w:b w:val="0"/>
                      <w:bCs w:val="0"/>
                      <w:sz w:val="21"/>
                      <w:szCs w:val="21"/>
                      <w:lang w:eastAsia="zh-CN"/>
                    </w:rPr>
                  </w:pPr>
                  <w:r>
                    <w:rPr>
                      <w:rFonts w:hint="eastAsia"/>
                      <w:b w:val="0"/>
                      <w:bCs w:val="0"/>
                      <w:sz w:val="21"/>
                      <w:szCs w:val="21"/>
                      <w:lang w:val="en-US" w:eastAsia="zh-CN"/>
                    </w:rPr>
                    <w:t>5</w:t>
                  </w:r>
                </w:p>
              </w:tc>
              <w:tc>
                <w:tcPr>
                  <w:tcW w:w="1391" w:type="dxa"/>
                  <w:noWrap w:val="0"/>
                  <w:vAlign w:val="center"/>
                </w:tcPr>
                <w:p>
                  <w:pPr>
                    <w:pStyle w:val="53"/>
                    <w:bidi w:val="0"/>
                    <w:spacing w:line="240" w:lineRule="auto"/>
                    <w:outlineLvl w:val="1"/>
                    <w:rPr>
                      <w:rFonts w:hint="eastAsia" w:eastAsia="宋体"/>
                      <w:b w:val="0"/>
                      <w:bCs w:val="0"/>
                      <w:sz w:val="21"/>
                      <w:szCs w:val="21"/>
                      <w:lang w:eastAsia="zh-CN"/>
                    </w:rPr>
                  </w:pPr>
                  <w:r>
                    <w:rPr>
                      <w:rFonts w:hint="eastAsia"/>
                      <w:b w:val="0"/>
                      <w:bCs w:val="0"/>
                      <w:sz w:val="21"/>
                      <w:szCs w:val="21"/>
                      <w:lang w:eastAsia="zh-CN"/>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8" w:type="dxa"/>
                  <w:noWrap w:val="0"/>
                  <w:vAlign w:val="center"/>
                </w:tcPr>
                <w:p>
                  <w:pPr>
                    <w:pStyle w:val="53"/>
                    <w:bidi w:val="0"/>
                    <w:spacing w:line="240" w:lineRule="auto"/>
                    <w:outlineLvl w:val="1"/>
                    <w:rPr>
                      <w:b w:val="0"/>
                      <w:bCs w:val="0"/>
                      <w:sz w:val="21"/>
                      <w:szCs w:val="21"/>
                    </w:rPr>
                  </w:pPr>
                </w:p>
              </w:tc>
              <w:tc>
                <w:tcPr>
                  <w:tcW w:w="4729" w:type="dxa"/>
                  <w:gridSpan w:val="2"/>
                  <w:noWrap w:val="0"/>
                  <w:vAlign w:val="center"/>
                </w:tcPr>
                <w:p>
                  <w:pPr>
                    <w:pStyle w:val="53"/>
                    <w:bidi w:val="0"/>
                    <w:spacing w:line="240" w:lineRule="auto"/>
                    <w:outlineLvl w:val="1"/>
                    <w:rPr>
                      <w:b w:val="0"/>
                      <w:bCs w:val="0"/>
                      <w:sz w:val="21"/>
                      <w:szCs w:val="21"/>
                    </w:rPr>
                  </w:pPr>
                  <w:r>
                    <w:rPr>
                      <w:b w:val="0"/>
                      <w:bCs w:val="0"/>
                      <w:sz w:val="21"/>
                      <w:szCs w:val="21"/>
                    </w:rPr>
                    <w:t>合    计</w:t>
                  </w:r>
                </w:p>
              </w:tc>
              <w:tc>
                <w:tcPr>
                  <w:tcW w:w="1165" w:type="dxa"/>
                  <w:noWrap w:val="0"/>
                  <w:vAlign w:val="center"/>
                </w:tcPr>
                <w:p>
                  <w:pPr>
                    <w:pStyle w:val="53"/>
                    <w:bidi w:val="0"/>
                    <w:spacing w:line="240" w:lineRule="auto"/>
                    <w:outlineLvl w:val="1"/>
                    <w:rPr>
                      <w:rFonts w:hint="default"/>
                      <w:b w:val="0"/>
                      <w:bCs w:val="0"/>
                      <w:sz w:val="21"/>
                      <w:szCs w:val="21"/>
                      <w:lang w:val="en-US" w:eastAsia="zh-CN"/>
                    </w:rPr>
                  </w:pPr>
                  <w:r>
                    <w:rPr>
                      <w:rFonts w:hint="eastAsia"/>
                      <w:b w:val="0"/>
                      <w:bCs w:val="0"/>
                      <w:sz w:val="21"/>
                      <w:szCs w:val="21"/>
                      <w:lang w:val="en-US" w:eastAsia="zh-CN"/>
                    </w:rPr>
                    <w:t>24</w:t>
                  </w:r>
                </w:p>
              </w:tc>
              <w:tc>
                <w:tcPr>
                  <w:tcW w:w="1391" w:type="dxa"/>
                  <w:noWrap w:val="0"/>
                  <w:vAlign w:val="center"/>
                </w:tcPr>
                <w:p>
                  <w:pPr>
                    <w:pStyle w:val="53"/>
                    <w:bidi w:val="0"/>
                    <w:spacing w:line="240" w:lineRule="auto"/>
                    <w:outlineLvl w:val="1"/>
                    <w:rPr>
                      <w:b w:val="0"/>
                      <w:bCs w:val="0"/>
                      <w:sz w:val="21"/>
                      <w:szCs w:val="21"/>
                    </w:rPr>
                  </w:pPr>
                </w:p>
              </w:tc>
            </w:tr>
          </w:tbl>
          <w:p>
            <w:pPr>
              <w:spacing w:line="360" w:lineRule="auto"/>
              <w:outlineLvl w:val="1"/>
              <w:rPr>
                <w:b/>
                <w:bCs/>
                <w:sz w:val="24"/>
                <w:szCs w:val="24"/>
              </w:rPr>
            </w:pPr>
            <w:bookmarkStart w:id="38" w:name="_Toc17267"/>
            <w:bookmarkStart w:id="39" w:name="_Toc32308"/>
            <w:r>
              <w:rPr>
                <w:b/>
                <w:bCs/>
                <w:sz w:val="24"/>
                <w:szCs w:val="24"/>
              </w:rPr>
              <w:t>与本项目有关的原有污染情况及主要环境问题</w:t>
            </w:r>
            <w:bookmarkEnd w:id="38"/>
            <w:bookmarkEnd w:id="39"/>
          </w:p>
          <w:p>
            <w:pPr>
              <w:spacing w:line="360" w:lineRule="auto"/>
              <w:ind w:firstLine="482" w:firstLineChars="200"/>
              <w:outlineLvl w:val="1"/>
              <w:rPr>
                <w:rFonts w:hint="eastAsia"/>
                <w:b/>
                <w:bCs/>
                <w:sz w:val="24"/>
                <w:szCs w:val="24"/>
                <w:lang w:val="en-US" w:eastAsia="zh-CN"/>
              </w:rPr>
            </w:pPr>
            <w:r>
              <w:rPr>
                <w:rFonts w:hint="eastAsia"/>
                <w:b/>
                <w:bCs/>
                <w:sz w:val="24"/>
                <w:szCs w:val="24"/>
                <w:lang w:val="en-US" w:eastAsia="zh-CN"/>
              </w:rPr>
              <w:t>一、租赁企业污染情况</w:t>
            </w:r>
          </w:p>
          <w:p>
            <w:pPr>
              <w:spacing w:line="360" w:lineRule="auto"/>
              <w:ind w:firstLine="480" w:firstLineChars="200"/>
              <w:outlineLvl w:val="1"/>
              <w:rPr>
                <w:rFonts w:hint="eastAsia"/>
                <w:sz w:val="24"/>
                <w:szCs w:val="24"/>
                <w:lang w:val="en-US" w:eastAsia="zh-CN"/>
              </w:rPr>
            </w:pPr>
            <w:r>
              <w:rPr>
                <w:rFonts w:hint="eastAsia"/>
                <w:sz w:val="24"/>
                <w:szCs w:val="24"/>
                <w:lang w:val="en-US" w:eastAsia="zh-CN"/>
              </w:rPr>
              <w:t>本项目租用已建厂房进行建设，之前的厂房未进行生产，为闲置厂房。不存在与本项目有关的原有污染情况。</w:t>
            </w:r>
          </w:p>
          <w:p>
            <w:pPr>
              <w:spacing w:line="360" w:lineRule="auto"/>
              <w:ind w:firstLine="482" w:firstLineChars="200"/>
              <w:outlineLvl w:val="1"/>
              <w:rPr>
                <w:rFonts w:hint="eastAsia"/>
                <w:b/>
                <w:bCs/>
                <w:sz w:val="24"/>
                <w:szCs w:val="24"/>
                <w:lang w:val="en-US" w:eastAsia="zh-CN"/>
              </w:rPr>
            </w:pPr>
            <w:r>
              <w:rPr>
                <w:rFonts w:hint="eastAsia"/>
                <w:b/>
                <w:bCs/>
                <w:sz w:val="24"/>
                <w:szCs w:val="24"/>
                <w:lang w:val="en-US" w:eastAsia="zh-CN"/>
              </w:rPr>
              <w:t>二、本项目投产至今产生的污染情况</w:t>
            </w:r>
          </w:p>
          <w:p>
            <w:pPr>
              <w:pStyle w:val="36"/>
              <w:spacing w:after="0" w:line="360" w:lineRule="auto"/>
              <w:ind w:left="0" w:leftChars="0" w:firstLine="480"/>
              <w:outlineLvl w:val="1"/>
              <w:rPr>
                <w:rFonts w:hint="default" w:ascii="Times New Roman" w:hAnsi="Times New Roman" w:eastAsia="宋体" w:cs="Times New Roman"/>
                <w:kern w:val="0"/>
                <w:sz w:val="24"/>
                <w:lang w:val="zh-CN" w:bidi="ar"/>
              </w:rPr>
            </w:pPr>
            <w:r>
              <w:rPr>
                <w:rFonts w:hint="default" w:ascii="Times New Roman" w:hAnsi="Times New Roman" w:eastAsia="宋体" w:cs="Times New Roman"/>
                <w:sz w:val="24"/>
              </w:rPr>
              <w:t>项目于20</w:t>
            </w:r>
            <w:r>
              <w:rPr>
                <w:rFonts w:hint="eastAsia" w:ascii="Times New Roman" w:hAnsi="Times New Roman" w:eastAsia="宋体" w:cs="Times New Roman"/>
                <w:sz w:val="24"/>
                <w:lang w:val="en-US" w:eastAsia="zh-CN"/>
              </w:rPr>
              <w:t>20</w:t>
            </w:r>
            <w:r>
              <w:rPr>
                <w:rFonts w:hint="default" w:ascii="Times New Roman" w:hAnsi="Times New Roman" w:eastAsia="宋体" w:cs="Times New Roman"/>
                <w:sz w:val="24"/>
              </w:rPr>
              <w:t>年</w:t>
            </w:r>
            <w:r>
              <w:rPr>
                <w:rFonts w:hint="eastAsia" w:ascii="Times New Roman" w:hAnsi="Times New Roman" w:eastAsia="宋体" w:cs="Times New Roman"/>
                <w:sz w:val="24"/>
                <w:lang w:val="en-US" w:eastAsia="zh-CN"/>
              </w:rPr>
              <w:t>6月开始安装设备，2020年7</w:t>
            </w:r>
            <w:r>
              <w:rPr>
                <w:rFonts w:hint="default" w:ascii="Times New Roman" w:hAnsi="Times New Roman" w:eastAsia="宋体" w:cs="Times New Roman"/>
                <w:sz w:val="24"/>
              </w:rPr>
              <w:t>月建设完成并投入</w:t>
            </w:r>
            <w:r>
              <w:rPr>
                <w:rFonts w:hint="eastAsia" w:ascii="Times New Roman" w:hAnsi="Times New Roman" w:eastAsia="宋体" w:cs="Times New Roman"/>
                <w:sz w:val="24"/>
                <w:lang w:eastAsia="zh-CN"/>
              </w:rPr>
              <w:t>生产</w:t>
            </w:r>
            <w:r>
              <w:rPr>
                <w:rFonts w:hint="default" w:ascii="Times New Roman" w:hAnsi="Times New Roman" w:eastAsia="宋体" w:cs="Times New Roman"/>
                <w:sz w:val="24"/>
              </w:rPr>
              <w:t>，至今未办理相关环保手续。</w:t>
            </w:r>
            <w:r>
              <w:rPr>
                <w:rFonts w:hint="eastAsia" w:ascii="Times New Roman" w:hAnsi="Times New Roman" w:eastAsia="宋体" w:cs="Times New Roman"/>
                <w:sz w:val="24"/>
                <w:lang w:val="en-US" w:eastAsia="zh-CN"/>
              </w:rPr>
              <w:t>2020年10月12日经昆明市生态环境局富民分局综合执法大队对该公司进行调查核实，责令该项目立即停止违法生产或排污行为，为取得环保审批手续前，不得投入生产或排放污染物。</w:t>
            </w:r>
            <w:r>
              <w:rPr>
                <w:rFonts w:hint="default" w:ascii="Times New Roman" w:hAnsi="Times New Roman" w:eastAsia="宋体" w:cs="Times New Roman"/>
                <w:sz w:val="24"/>
              </w:rPr>
              <w:t>因此，</w:t>
            </w:r>
            <w:r>
              <w:rPr>
                <w:rFonts w:hint="eastAsia" w:ascii="Times New Roman" w:hAnsi="Times New Roman" w:eastAsia="宋体" w:cs="Times New Roman"/>
                <w:sz w:val="24"/>
                <w:lang w:eastAsia="zh-CN"/>
              </w:rPr>
              <w:t>本项目正在完善污染防治措施、</w:t>
            </w:r>
            <w:r>
              <w:rPr>
                <w:rFonts w:hint="default" w:ascii="Times New Roman" w:hAnsi="Times New Roman" w:eastAsia="宋体" w:cs="Times New Roman"/>
                <w:sz w:val="24"/>
              </w:rPr>
              <w:t>完善项目环保审批手续，现正在补</w:t>
            </w:r>
            <w:r>
              <w:rPr>
                <w:rFonts w:hint="default" w:ascii="Times New Roman" w:hAnsi="Times New Roman" w:eastAsia="宋体" w:cs="Times New Roman"/>
                <w:kern w:val="0"/>
                <w:sz w:val="24"/>
                <w:lang w:val="zh-CN" w:bidi="ar"/>
              </w:rPr>
              <w:t>办环评。</w:t>
            </w:r>
          </w:p>
          <w:p>
            <w:pPr>
              <w:pStyle w:val="104"/>
              <w:spacing w:line="348" w:lineRule="auto"/>
              <w:ind w:firstLine="482" w:firstLineChars="200"/>
              <w:jc w:val="left"/>
              <w:outlineLvl w:val="1"/>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rPr>
              <w:t>三、项目目前存在的主要环境问题</w:t>
            </w:r>
          </w:p>
          <w:p>
            <w:pPr>
              <w:pStyle w:val="104"/>
              <w:tabs>
                <w:tab w:val="left" w:pos="1108"/>
              </w:tabs>
              <w:spacing w:line="348" w:lineRule="auto"/>
              <w:ind w:firstLine="480" w:firstLineChars="200"/>
              <w:jc w:val="left"/>
              <w:outlineLvl w:val="1"/>
              <w:rPr>
                <w:rFonts w:hint="default" w:ascii="Times New Roman" w:hAnsi="Times New Roman" w:eastAsia="宋体" w:cs="Times New Roman"/>
              </w:rPr>
            </w:pPr>
            <w:r>
              <w:rPr>
                <w:rFonts w:hint="default" w:ascii="Times New Roman" w:hAnsi="Times New Roman" w:eastAsia="宋体" w:cs="Times New Roman"/>
                <w:sz w:val="24"/>
                <w:szCs w:val="24"/>
              </w:rPr>
              <w:t>根据现场踏勘及项目实际情况，项目运营过程中主要污染物产排情况、已采取的环保对策措施及现状存在的主要环境问题如下：</w:t>
            </w:r>
          </w:p>
          <w:p>
            <w:pPr>
              <w:spacing w:line="360" w:lineRule="auto"/>
              <w:ind w:firstLine="492" w:firstLineChars="204"/>
              <w:outlineLvl w:val="1"/>
              <w:rPr>
                <w:rFonts w:hint="eastAsia" w:ascii="Times New Roman" w:hAnsi="Times New Roman" w:cs="Times New Roman"/>
                <w:b/>
                <w:bCs/>
                <w:sz w:val="24"/>
                <w:szCs w:val="22"/>
                <w:lang w:val="en-US" w:eastAsia="zh-CN"/>
              </w:rPr>
            </w:pPr>
            <w:r>
              <w:rPr>
                <w:rFonts w:hint="eastAsia" w:ascii="Times New Roman" w:hAnsi="Times New Roman" w:cs="Times New Roman"/>
                <w:b/>
                <w:bCs/>
                <w:sz w:val="24"/>
                <w:szCs w:val="22"/>
                <w:lang w:val="en-US" w:eastAsia="zh-CN"/>
              </w:rPr>
              <w:t>1、存在的环境问题</w:t>
            </w:r>
          </w:p>
          <w:p>
            <w:pPr>
              <w:spacing w:line="360" w:lineRule="auto"/>
              <w:ind w:firstLine="489" w:firstLineChars="204"/>
              <w:outlineLvl w:val="1"/>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①项目区设置一台激光切割机，目前切割粉尘未设置收集处置措施，直接在车间内排放，不能满足环保要求；</w:t>
            </w:r>
          </w:p>
          <w:p>
            <w:pPr>
              <w:spacing w:line="360" w:lineRule="auto"/>
              <w:ind w:firstLine="489" w:firstLineChars="204"/>
              <w:outlineLvl w:val="1"/>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②项目区设置多台焊接机，焊接废气未设置收集处置措施，直接在车间内排放，不能满足环保要求；</w:t>
            </w:r>
          </w:p>
          <w:p>
            <w:pPr>
              <w:spacing w:line="360" w:lineRule="auto"/>
              <w:ind w:firstLine="489" w:firstLineChars="204"/>
              <w:outlineLvl w:val="1"/>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③本项目调漆、喷漆、自然晾干工序均产生漆雾、有机废气。车间未设置收集处置措施，直接在车间内排放，不能满足环保要求；</w:t>
            </w:r>
          </w:p>
          <w:p>
            <w:pPr>
              <w:spacing w:line="360" w:lineRule="auto"/>
              <w:ind w:firstLine="489" w:firstLineChars="204"/>
              <w:outlineLvl w:val="1"/>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④本项目在生产过程中会产生</w:t>
            </w:r>
            <w:r>
              <w:rPr>
                <w:rFonts w:hint="eastAsia" w:cs="Times New Roman"/>
                <w:sz w:val="24"/>
                <w:szCs w:val="22"/>
                <w:lang w:val="en-US" w:eastAsia="zh-CN"/>
              </w:rPr>
              <w:t>打磨粉尘</w:t>
            </w:r>
            <w:r>
              <w:rPr>
                <w:rFonts w:hint="eastAsia" w:ascii="Times New Roman" w:hAnsi="Times New Roman" w:cs="Times New Roman"/>
                <w:sz w:val="24"/>
                <w:szCs w:val="22"/>
                <w:lang w:val="en-US" w:eastAsia="zh-CN"/>
              </w:rPr>
              <w:t>，车间未设置收集处置措施，直接在车间内排放，不能满足环保要求；</w:t>
            </w:r>
          </w:p>
          <w:p>
            <w:pPr>
              <w:spacing w:line="360" w:lineRule="auto"/>
              <w:ind w:firstLine="489" w:firstLineChars="204"/>
              <w:outlineLvl w:val="1"/>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⑤本项目为设置一般工业固废堆存间，工业固废乱堆存，不能满足环保要求；</w:t>
            </w:r>
          </w:p>
          <w:p>
            <w:pPr>
              <w:spacing w:line="360" w:lineRule="auto"/>
              <w:ind w:firstLine="489" w:firstLineChars="204"/>
              <w:outlineLvl w:val="1"/>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⑥本项目会产生危险固废，项目区为设置危废暂存间，且废油漆桶胡乱堆存，不符合环保要求；</w:t>
            </w:r>
          </w:p>
          <w:p>
            <w:pPr>
              <w:spacing w:line="360" w:lineRule="auto"/>
              <w:ind w:firstLine="492" w:firstLineChars="204"/>
              <w:outlineLvl w:val="1"/>
              <w:rPr>
                <w:rFonts w:hint="eastAsia" w:ascii="Times New Roman" w:hAnsi="Times New Roman" w:cs="Times New Roman"/>
                <w:b/>
                <w:bCs/>
                <w:sz w:val="24"/>
                <w:szCs w:val="22"/>
                <w:lang w:val="en-US" w:eastAsia="zh-CN"/>
              </w:rPr>
            </w:pPr>
            <w:r>
              <w:rPr>
                <w:rFonts w:hint="eastAsia" w:ascii="Times New Roman" w:hAnsi="Times New Roman" w:cs="Times New Roman"/>
                <w:b/>
                <w:bCs/>
                <w:sz w:val="24"/>
                <w:szCs w:val="22"/>
                <w:lang w:val="en-US" w:eastAsia="zh-CN"/>
              </w:rPr>
              <w:t>2、整改措施</w:t>
            </w:r>
          </w:p>
          <w:p>
            <w:pPr>
              <w:spacing w:line="360" w:lineRule="auto"/>
              <w:ind w:firstLine="489" w:firstLineChars="204"/>
              <w:outlineLvl w:val="1"/>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①生产车间内设置</w:t>
            </w:r>
            <w:r>
              <w:rPr>
                <w:rFonts w:hint="eastAsia" w:cs="Times New Roman"/>
                <w:sz w:val="24"/>
                <w:szCs w:val="22"/>
                <w:lang w:val="en-US" w:eastAsia="zh-CN"/>
              </w:rPr>
              <w:t>移动式烟尘净化器</w:t>
            </w:r>
            <w:r>
              <w:rPr>
                <w:rFonts w:hint="default" w:ascii="Times New Roman" w:hAnsi="Times New Roman" w:cs="Times New Roman"/>
                <w:sz w:val="24"/>
                <w:szCs w:val="22"/>
                <w:lang w:val="en-US" w:eastAsia="zh-CN"/>
              </w:rPr>
              <w:t>，收集处理切割粉尘、焊接烟尘和</w:t>
            </w:r>
            <w:r>
              <w:rPr>
                <w:rFonts w:hint="eastAsia" w:cs="Times New Roman"/>
                <w:sz w:val="24"/>
                <w:szCs w:val="22"/>
                <w:lang w:val="en-US" w:eastAsia="zh-CN"/>
              </w:rPr>
              <w:t>打磨粉尘</w:t>
            </w:r>
            <w:r>
              <w:rPr>
                <w:rFonts w:hint="default" w:ascii="Times New Roman" w:hAnsi="Times New Roman" w:cs="Times New Roman"/>
                <w:sz w:val="24"/>
                <w:szCs w:val="22"/>
                <w:lang w:val="en-US" w:eastAsia="zh-CN"/>
              </w:rPr>
              <w:t>。</w:t>
            </w:r>
          </w:p>
          <w:p>
            <w:pPr>
              <w:spacing w:line="360" w:lineRule="auto"/>
              <w:ind w:firstLine="489" w:firstLineChars="204"/>
              <w:outlineLvl w:val="1"/>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②在生产车间内设置全封闭式喷漆车间，并且在喷漆车间设置1套过滤棉+活性炭吸附装置，对所收集有机废气进行处理，达标后由15m排气筒统一排放。</w:t>
            </w:r>
          </w:p>
          <w:p>
            <w:pPr>
              <w:spacing w:line="360" w:lineRule="auto"/>
              <w:ind w:firstLine="489" w:firstLineChars="204"/>
              <w:outlineLvl w:val="1"/>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③在项目区设置一个30m</w:t>
            </w:r>
            <w:r>
              <w:rPr>
                <w:rFonts w:hint="default" w:ascii="Times New Roman" w:hAnsi="Times New Roman" w:cs="Times New Roman"/>
                <w:sz w:val="24"/>
                <w:szCs w:val="22"/>
                <w:vertAlign w:val="superscript"/>
                <w:lang w:val="en-US" w:eastAsia="zh-CN"/>
              </w:rPr>
              <w:t>2</w:t>
            </w:r>
            <w:r>
              <w:rPr>
                <w:rFonts w:hint="default" w:ascii="Times New Roman" w:hAnsi="Times New Roman" w:cs="Times New Roman"/>
                <w:sz w:val="24"/>
                <w:szCs w:val="22"/>
                <w:lang w:val="en-US" w:eastAsia="zh-CN"/>
              </w:rPr>
              <w:t>的一般固废暂存间，用于收集暂存边角废料、收集的</w:t>
            </w:r>
            <w:r>
              <w:rPr>
                <w:rFonts w:hint="eastAsia" w:cs="Times New Roman"/>
                <w:sz w:val="24"/>
                <w:szCs w:val="22"/>
                <w:lang w:val="en-US" w:eastAsia="zh-CN"/>
              </w:rPr>
              <w:t>打磨粉尘</w:t>
            </w:r>
            <w:r>
              <w:rPr>
                <w:rFonts w:hint="default" w:ascii="Times New Roman" w:hAnsi="Times New Roman" w:cs="Times New Roman"/>
                <w:sz w:val="24"/>
                <w:szCs w:val="22"/>
                <w:lang w:val="en-US" w:eastAsia="zh-CN"/>
              </w:rPr>
              <w:t>、焊接烟尘、焊渣集中、废包装材料等一般固体废物。</w:t>
            </w:r>
          </w:p>
          <w:p>
            <w:pPr>
              <w:spacing w:line="360" w:lineRule="auto"/>
              <w:ind w:firstLine="489" w:firstLineChars="204"/>
              <w:outlineLvl w:val="1"/>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④于项目成品仓库西北角设置一座危险废物暂存间，建筑面积为8m</w:t>
            </w:r>
            <w:r>
              <w:rPr>
                <w:rFonts w:hint="default" w:ascii="Times New Roman" w:hAnsi="Times New Roman" w:cs="Times New Roman"/>
                <w:sz w:val="24"/>
                <w:szCs w:val="22"/>
                <w:vertAlign w:val="superscript"/>
                <w:lang w:val="en-US" w:eastAsia="zh-CN"/>
              </w:rPr>
              <w:t>2</w:t>
            </w:r>
            <w:r>
              <w:rPr>
                <w:rFonts w:hint="default" w:ascii="Times New Roman" w:hAnsi="Times New Roman" w:cs="Times New Roman"/>
                <w:sz w:val="24"/>
                <w:szCs w:val="22"/>
                <w:lang w:val="en-US" w:eastAsia="zh-CN"/>
              </w:rPr>
              <w:t>，用于项目危废暂存。危险废物暂存间建设需严格按照《危险废物贮存污染控制标准》（GB 18597-2001）进行，危废间基础必须防渗，防渗层为2mm厚高密度聚乙烯，或至少2mm厚的其他人工材料，渗透系数≤10</w:t>
            </w:r>
            <w:r>
              <w:rPr>
                <w:rFonts w:hint="default" w:ascii="Times New Roman" w:hAnsi="Times New Roman" w:cs="Times New Roman"/>
                <w:sz w:val="24"/>
                <w:szCs w:val="22"/>
                <w:vertAlign w:val="superscript"/>
                <w:lang w:val="en-US" w:eastAsia="zh-CN"/>
              </w:rPr>
              <w:t>-10</w:t>
            </w:r>
            <w:r>
              <w:rPr>
                <w:rFonts w:hint="default" w:ascii="Times New Roman" w:hAnsi="Times New Roman" w:cs="Times New Roman"/>
                <w:sz w:val="24"/>
                <w:szCs w:val="22"/>
                <w:lang w:val="en-US" w:eastAsia="zh-CN"/>
              </w:rPr>
              <w:t>cm/s。</w:t>
            </w:r>
          </w:p>
          <w:p>
            <w:pPr>
              <w:spacing w:line="360" w:lineRule="auto"/>
              <w:ind w:firstLine="489" w:firstLineChars="204"/>
              <w:outlineLvl w:val="1"/>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⑤及时对现有问题进行整改，建设完善污染防治措施。</w:t>
            </w:r>
          </w:p>
          <w:p>
            <w:pPr>
              <w:spacing w:line="360" w:lineRule="auto"/>
              <w:ind w:firstLine="480" w:firstLineChars="200"/>
              <w:outlineLvl w:val="1"/>
              <w:rPr>
                <w:rFonts w:hint="eastAsia"/>
                <w:sz w:val="24"/>
                <w:szCs w:val="24"/>
                <w:lang w:val="en-US" w:eastAsia="zh-CN"/>
              </w:rPr>
            </w:pPr>
          </w:p>
          <w:p>
            <w:pPr>
              <w:spacing w:line="360" w:lineRule="auto"/>
              <w:outlineLvl w:val="1"/>
              <w:rPr>
                <w:rFonts w:hint="eastAsia"/>
                <w:sz w:val="24"/>
                <w:szCs w:val="24"/>
                <w:lang w:val="en-US" w:eastAsia="zh-CN"/>
              </w:rPr>
            </w:pPr>
          </w:p>
          <w:p>
            <w:pPr>
              <w:pStyle w:val="2"/>
              <w:outlineLvl w:val="1"/>
              <w:rPr>
                <w:rFonts w:hint="eastAsia"/>
                <w:lang w:val="en-US" w:eastAsia="zh-CN"/>
              </w:rPr>
            </w:pPr>
          </w:p>
          <w:p>
            <w:pPr>
              <w:pStyle w:val="3"/>
              <w:rPr>
                <w:rFonts w:hint="eastAsia"/>
                <w:lang w:val="en-US" w:eastAsia="zh-CN"/>
              </w:rPr>
            </w:pPr>
          </w:p>
          <w:p>
            <w:pPr>
              <w:rPr>
                <w:rFonts w:hint="eastAsia"/>
                <w:lang w:val="en-US" w:eastAsia="zh-CN"/>
              </w:rPr>
            </w:pPr>
          </w:p>
          <w:p>
            <w:pPr>
              <w:pStyle w:val="2"/>
              <w:rPr>
                <w:rFonts w:hint="eastAsia"/>
                <w:lang w:val="en-US" w:eastAsia="zh-CN"/>
              </w:rPr>
            </w:pPr>
          </w:p>
          <w:p>
            <w:pPr>
              <w:pStyle w:val="3"/>
              <w:rPr>
                <w:rFonts w:hint="eastAsia"/>
                <w:lang w:val="en-US" w:eastAsia="zh-CN"/>
              </w:rPr>
            </w:pPr>
          </w:p>
          <w:p>
            <w:pPr>
              <w:rPr>
                <w:rFonts w:hint="eastAsia"/>
                <w:lang w:val="en-US" w:eastAsia="zh-CN"/>
              </w:rPr>
            </w:pPr>
          </w:p>
          <w:p>
            <w:pPr>
              <w:pStyle w:val="2"/>
              <w:rPr>
                <w:rFonts w:hint="eastAsia"/>
                <w:lang w:val="en-US" w:eastAsia="zh-CN"/>
              </w:rPr>
            </w:pPr>
          </w:p>
          <w:p>
            <w:pPr>
              <w:pStyle w:val="3"/>
              <w:rPr>
                <w:rFonts w:hint="eastAsia"/>
                <w:lang w:val="en-US" w:eastAsia="zh-CN"/>
              </w:rPr>
            </w:pPr>
          </w:p>
          <w:p>
            <w:pPr>
              <w:rPr>
                <w:rFonts w:hint="eastAsia"/>
                <w:lang w:val="en-US" w:eastAsia="zh-CN"/>
              </w:rPr>
            </w:pPr>
          </w:p>
          <w:p>
            <w:pPr>
              <w:pStyle w:val="2"/>
              <w:rPr>
                <w:rFonts w:hint="eastAsia"/>
                <w:lang w:val="en-US" w:eastAsia="zh-CN"/>
              </w:rPr>
            </w:pPr>
          </w:p>
          <w:p>
            <w:pPr>
              <w:pStyle w:val="3"/>
              <w:rPr>
                <w:rFonts w:hint="eastAsia"/>
                <w:lang w:val="en-US" w:eastAsia="zh-CN"/>
              </w:rPr>
            </w:pPr>
          </w:p>
          <w:p>
            <w:pPr>
              <w:rPr>
                <w:rFonts w:hint="eastAsia"/>
                <w:lang w:val="en-US" w:eastAsia="zh-CN"/>
              </w:rPr>
            </w:pPr>
          </w:p>
          <w:p>
            <w:pPr>
              <w:pStyle w:val="2"/>
              <w:rPr>
                <w:rFonts w:hint="eastAsia"/>
                <w:lang w:val="en-US" w:eastAsia="zh-CN"/>
              </w:rPr>
            </w:pPr>
          </w:p>
          <w:p>
            <w:pPr>
              <w:pStyle w:val="3"/>
              <w:rPr>
                <w:rFonts w:hint="eastAsia"/>
                <w:lang w:val="en-US" w:eastAsia="zh-CN"/>
              </w:rPr>
            </w:pPr>
          </w:p>
          <w:p>
            <w:pPr>
              <w:rPr>
                <w:rFonts w:hint="eastAsia"/>
                <w:lang w:val="en-US" w:eastAsia="zh-CN"/>
              </w:rPr>
            </w:pPr>
          </w:p>
          <w:p>
            <w:pPr>
              <w:pStyle w:val="2"/>
              <w:rPr>
                <w:rFonts w:hint="eastAsia"/>
                <w:lang w:val="en-US" w:eastAsia="zh-CN"/>
              </w:rPr>
            </w:pPr>
          </w:p>
          <w:p>
            <w:pPr>
              <w:pStyle w:val="3"/>
              <w:rPr>
                <w:rFonts w:hint="eastAsia"/>
                <w:lang w:val="en-US" w:eastAsia="zh-CN"/>
              </w:rPr>
            </w:pPr>
          </w:p>
          <w:p>
            <w:pPr>
              <w:rPr>
                <w:rFonts w:hint="eastAsia"/>
                <w:lang w:val="en-US" w:eastAsia="zh-CN"/>
              </w:rPr>
            </w:pPr>
          </w:p>
          <w:p>
            <w:pPr>
              <w:pStyle w:val="2"/>
              <w:rPr>
                <w:rFonts w:hint="eastAsia"/>
                <w:lang w:val="en-US" w:eastAsia="zh-CN"/>
              </w:rPr>
            </w:pPr>
          </w:p>
          <w:p>
            <w:pPr>
              <w:pStyle w:val="3"/>
              <w:rPr>
                <w:rFonts w:hint="eastAsia"/>
                <w:lang w:val="en-US" w:eastAsia="zh-CN"/>
              </w:rPr>
            </w:pPr>
          </w:p>
          <w:p>
            <w:pPr>
              <w:rPr>
                <w:rFonts w:hint="eastAsia"/>
                <w:lang w:val="en-US" w:eastAsia="zh-CN"/>
              </w:rPr>
            </w:pPr>
          </w:p>
          <w:p>
            <w:pPr>
              <w:pStyle w:val="2"/>
              <w:rPr>
                <w:rFonts w:hint="eastAsia"/>
                <w:lang w:val="en-US" w:eastAsia="zh-CN"/>
              </w:rPr>
            </w:pPr>
          </w:p>
          <w:p>
            <w:pPr>
              <w:pStyle w:val="3"/>
              <w:rPr>
                <w:rFonts w:hint="eastAsia"/>
                <w:lang w:val="en-US" w:eastAsia="zh-CN"/>
              </w:rPr>
            </w:pPr>
          </w:p>
          <w:p>
            <w:pPr>
              <w:rPr>
                <w:rFonts w:hint="eastAsia"/>
                <w:lang w:val="en-US" w:eastAsia="zh-CN"/>
              </w:rPr>
            </w:pPr>
          </w:p>
          <w:p>
            <w:pPr>
              <w:pStyle w:val="2"/>
              <w:rPr>
                <w:rFonts w:hint="eastAsia"/>
                <w:lang w:val="en-US" w:eastAsia="zh-CN"/>
              </w:rPr>
            </w:pPr>
          </w:p>
          <w:p>
            <w:pPr>
              <w:pStyle w:val="3"/>
              <w:rPr>
                <w:rFonts w:hint="eastAsia"/>
                <w:lang w:val="en-US" w:eastAsia="zh-CN"/>
              </w:rPr>
            </w:pPr>
          </w:p>
          <w:p>
            <w:pPr>
              <w:rPr>
                <w:rFonts w:hint="eastAsia"/>
                <w:lang w:val="en-US" w:eastAsia="zh-CN"/>
              </w:rPr>
            </w:pPr>
          </w:p>
          <w:p>
            <w:pPr>
              <w:pStyle w:val="3"/>
              <w:outlineLvl w:val="1"/>
              <w:rPr>
                <w:rFonts w:hint="eastAsia"/>
                <w:lang w:val="en-US" w:eastAsia="zh-CN"/>
              </w:rPr>
            </w:pPr>
          </w:p>
          <w:p>
            <w:pPr>
              <w:pStyle w:val="51"/>
              <w:ind w:left="0" w:leftChars="0" w:firstLine="0" w:firstLineChars="0"/>
              <w:outlineLvl w:val="1"/>
              <w:rPr>
                <w:rFonts w:ascii="Times New Roman" w:hAnsi="Times New Roman"/>
                <w:color w:val="000000"/>
                <w:sz w:val="24"/>
                <w:szCs w:val="24"/>
              </w:rPr>
            </w:pPr>
          </w:p>
        </w:tc>
      </w:tr>
    </w:tbl>
    <w:p>
      <w:pPr>
        <w:pStyle w:val="5"/>
        <w:keepNext/>
        <w:keepLines/>
        <w:pageBreakBefore w:val="0"/>
        <w:widowControl w:val="0"/>
        <w:kinsoku/>
        <w:wordWrap/>
        <w:overflowPunct/>
        <w:topLinePunct w:val="0"/>
        <w:autoSpaceDE/>
        <w:autoSpaceDN/>
        <w:bidi w:val="0"/>
        <w:adjustRightInd/>
        <w:snapToGrid/>
        <w:spacing w:before="0" w:after="0" w:line="360" w:lineRule="auto"/>
        <w:textAlignment w:val="auto"/>
        <w:rPr>
          <w:rFonts w:ascii="Times New Roman" w:hAnsi="Times New Roman" w:eastAsia="宋体" w:cs="Times New Roman"/>
          <w:b/>
          <w:bCs w:val="0"/>
          <w:color w:val="000000"/>
          <w:kern w:val="2"/>
          <w:sz w:val="30"/>
          <w:szCs w:val="30"/>
          <w:lang w:val="en-US" w:eastAsia="zh-CN" w:bidi="ar-SA"/>
        </w:rPr>
      </w:pPr>
      <w:bookmarkStart w:id="40" w:name="_Toc4736"/>
      <w:bookmarkStart w:id="41" w:name="_Toc16233"/>
      <w:r>
        <w:rPr>
          <w:rFonts w:ascii="Times New Roman" w:hAnsi="Times New Roman" w:eastAsia="宋体" w:cs="Times New Roman"/>
          <w:b/>
          <w:bCs w:val="0"/>
          <w:color w:val="000000"/>
          <w:kern w:val="2"/>
          <w:sz w:val="30"/>
          <w:szCs w:val="30"/>
          <w:lang w:val="en-US" w:eastAsia="zh-CN" w:bidi="ar-SA"/>
        </w:rPr>
        <w:t>表二  建设项目所在地自然环境简况</w:t>
      </w:r>
      <w:bookmarkEnd w:id="40"/>
      <w:bookmarkEnd w:id="41"/>
    </w:p>
    <w:tbl>
      <w:tblPr>
        <w:tblStyle w:val="37"/>
        <w:tblW w:w="8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7" w:type="dxa"/>
            <w:tcBorders>
              <w:top w:val="single" w:color="auto" w:sz="4" w:space="0"/>
              <w:left w:val="single" w:color="auto" w:sz="4" w:space="0"/>
              <w:bottom w:val="single" w:color="auto" w:sz="4" w:space="0"/>
              <w:right w:val="single" w:color="auto" w:sz="4" w:space="0"/>
            </w:tcBorders>
            <w:vAlign w:val="top"/>
          </w:tcPr>
          <w:p>
            <w:pPr>
              <w:autoSpaceDE w:val="0"/>
              <w:autoSpaceDN w:val="0"/>
              <w:adjustRightInd w:val="0"/>
              <w:spacing w:line="360" w:lineRule="auto"/>
              <w:rPr>
                <w:rFonts w:hint="default" w:ascii="Times New Roman" w:hAnsi="Times New Roman" w:cs="Times New Roman"/>
                <w:sz w:val="24"/>
                <w:szCs w:val="24"/>
              </w:rPr>
            </w:pPr>
            <w:r>
              <w:rPr>
                <w:rFonts w:hint="default" w:ascii="Times New Roman" w:hAnsi="Times New Roman" w:cs="Times New Roman"/>
                <w:b/>
                <w:bCs/>
                <w:sz w:val="24"/>
                <w:szCs w:val="24"/>
              </w:rPr>
              <w:t>自然环境简况（地形、地貌、地质、气侯、气象、水文、植被、生物多样性等）：</w:t>
            </w:r>
          </w:p>
          <w:p>
            <w:pPr>
              <w:numPr>
                <w:ilvl w:val="0"/>
                <w:numId w:val="0"/>
              </w:numPr>
              <w:spacing w:line="360" w:lineRule="auto"/>
              <w:ind w:firstLine="482" w:firstLineChars="200"/>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1、地理位置</w:t>
            </w:r>
          </w:p>
          <w:p>
            <w:pPr>
              <w:numPr>
                <w:ilvl w:val="0"/>
                <w:numId w:val="0"/>
              </w:numPr>
              <w:spacing w:line="360" w:lineRule="auto"/>
              <w:ind w:firstLine="480" w:firstLineChars="200"/>
              <w:rPr>
                <w:rFonts w:hint="default" w:ascii="Times New Roman" w:hAnsi="Times New Roman" w:cs="Times New Roman" w:eastAsiaTheme="minorEastAsia"/>
                <w:color w:val="auto"/>
                <w:sz w:val="24"/>
                <w:szCs w:val="24"/>
                <w:lang w:val="en-US" w:eastAsia="zh-CN"/>
              </w:rPr>
            </w:pPr>
            <w:bookmarkStart w:id="42" w:name="_Toc58816640"/>
            <w:bookmarkStart w:id="43" w:name="_Toc73352242"/>
            <w:bookmarkStart w:id="44" w:name="_Toc58810537"/>
            <w:bookmarkStart w:id="45" w:name="_Toc73527664"/>
            <w:bookmarkStart w:id="46" w:name="_Toc60035520"/>
            <w:bookmarkStart w:id="47" w:name="_Toc72826728"/>
            <w:bookmarkStart w:id="48" w:name="_Toc58643189"/>
            <w:bookmarkStart w:id="49" w:name="_Toc73348620"/>
            <w:bookmarkStart w:id="50" w:name="_Toc58641488"/>
            <w:bookmarkStart w:id="51" w:name="_Toc74908351"/>
            <w:bookmarkStart w:id="52" w:name="_Toc73503861"/>
            <w:bookmarkStart w:id="53" w:name="_Toc58810450"/>
            <w:bookmarkStart w:id="54" w:name="_Toc75688624"/>
            <w:bookmarkStart w:id="55" w:name="_Toc73348468"/>
            <w:bookmarkStart w:id="56" w:name="_Toc58731255"/>
            <w:bookmarkStart w:id="57" w:name="_Toc58638877"/>
            <w:bookmarkStart w:id="58" w:name="_Toc59851096"/>
            <w:bookmarkStart w:id="59" w:name="_Toc74300421"/>
            <w:bookmarkStart w:id="60" w:name="_Toc59266585"/>
            <w:bookmarkStart w:id="61" w:name="_Toc58229301"/>
            <w:bookmarkStart w:id="62" w:name="_Toc74307537"/>
            <w:bookmarkStart w:id="63" w:name="_Toc73527816"/>
            <w:bookmarkStart w:id="64" w:name="_Toc58041089"/>
            <w:bookmarkStart w:id="65" w:name="_Toc74300275"/>
            <w:bookmarkStart w:id="66" w:name="_Toc75852261"/>
            <w:bookmarkStart w:id="67" w:name="_Toc59682784"/>
            <w:bookmarkStart w:id="68" w:name="_Toc73522865"/>
            <w:bookmarkStart w:id="69" w:name="_Toc75688916"/>
            <w:bookmarkStart w:id="70" w:name="_Toc75688476"/>
            <w:bookmarkStart w:id="71" w:name="_Toc74908561"/>
            <w:bookmarkStart w:id="72" w:name="_Toc58121772"/>
            <w:bookmarkStart w:id="73" w:name="_Toc58314437"/>
            <w:bookmarkStart w:id="74" w:name="_Toc73349381"/>
            <w:bookmarkStart w:id="75" w:name="_Toc74908707"/>
            <w:bookmarkStart w:id="76" w:name="_Toc57868321"/>
            <w:bookmarkStart w:id="77" w:name="_Toc58124706"/>
            <w:bookmarkStart w:id="78" w:name="_Toc60024596"/>
            <w:bookmarkStart w:id="79" w:name="_Toc59965644"/>
            <w:bookmarkStart w:id="80" w:name="_Toc75423664"/>
            <w:bookmarkStart w:id="81" w:name="_Toc71616966"/>
            <w:bookmarkStart w:id="82" w:name="_Toc75688770"/>
            <w:bookmarkStart w:id="83" w:name="_Toc58491009"/>
            <w:bookmarkStart w:id="84" w:name="_Toc58646768"/>
            <w:r>
              <w:rPr>
                <w:rFonts w:hint="default" w:ascii="Times New Roman" w:hAnsi="Times New Roman" w:cs="Times New Roman" w:eastAsiaTheme="minorEastAsia"/>
                <w:color w:val="auto"/>
                <w:sz w:val="24"/>
                <w:szCs w:val="24"/>
                <w:lang w:val="en-US" w:eastAsia="zh-CN"/>
              </w:rPr>
              <w:t>富民县位于昆明市西北部，距昆明23km，介于东经102°21′-102°47′，北纬25°08′-25°36′之间。东与嵩明、寻甸相邻，北与禄劝</w:t>
            </w:r>
            <w:r>
              <w:rPr>
                <w:rFonts w:hint="default" w:ascii="Times New Roman" w:hAnsi="Times New Roman" w:cs="Times New Roman" w:eastAsiaTheme="minorEastAsia"/>
                <w:color w:val="auto"/>
                <w:sz w:val="24"/>
                <w:szCs w:val="24"/>
                <w:lang w:val="en-US" w:eastAsia="zh-CN"/>
              </w:rPr>
              <w:fldChar w:fldCharType="begin"/>
            </w:r>
            <w:r>
              <w:rPr>
                <w:rFonts w:hint="default" w:ascii="Times New Roman" w:hAnsi="Times New Roman" w:cs="Times New Roman" w:eastAsiaTheme="minorEastAsia"/>
                <w:color w:val="auto"/>
                <w:sz w:val="24"/>
                <w:szCs w:val="24"/>
                <w:lang w:val="en-US" w:eastAsia="zh-CN"/>
              </w:rPr>
              <w:instrText xml:space="preserve"> HYPERLINK "http://baike.sogou.com/lemma/ShowInnerLink.htm?lemmaId=568652&amp;ss_c=ssc.citiao.link" </w:instrText>
            </w:r>
            <w:r>
              <w:rPr>
                <w:rFonts w:hint="default" w:ascii="Times New Roman" w:hAnsi="Times New Roman" w:cs="Times New Roman" w:eastAsiaTheme="minorEastAsia"/>
                <w:color w:val="auto"/>
                <w:sz w:val="24"/>
                <w:szCs w:val="24"/>
                <w:lang w:val="en-US" w:eastAsia="zh-CN"/>
              </w:rPr>
              <w:fldChar w:fldCharType="separate"/>
            </w:r>
            <w:r>
              <w:rPr>
                <w:rFonts w:hint="default" w:ascii="Times New Roman" w:hAnsi="Times New Roman" w:cs="Times New Roman" w:eastAsiaTheme="minorEastAsia"/>
                <w:color w:val="auto"/>
                <w:sz w:val="24"/>
                <w:szCs w:val="24"/>
                <w:lang w:val="en-US" w:eastAsia="zh-CN"/>
              </w:rPr>
              <w:t>山水相连</w:t>
            </w:r>
            <w:r>
              <w:rPr>
                <w:rFonts w:hint="default" w:ascii="Times New Roman" w:hAnsi="Times New Roman" w:cs="Times New Roman" w:eastAsiaTheme="minorEastAsia"/>
                <w:color w:val="auto"/>
                <w:sz w:val="24"/>
                <w:szCs w:val="24"/>
                <w:lang w:val="en-US" w:eastAsia="zh-CN"/>
              </w:rPr>
              <w:fldChar w:fldCharType="end"/>
            </w:r>
            <w:r>
              <w:rPr>
                <w:rFonts w:hint="default" w:ascii="Times New Roman" w:hAnsi="Times New Roman" w:cs="Times New Roman" w:eastAsiaTheme="minorEastAsia"/>
                <w:color w:val="auto"/>
                <w:sz w:val="24"/>
                <w:szCs w:val="24"/>
                <w:lang w:val="en-US" w:eastAsia="zh-CN"/>
              </w:rPr>
              <w:t>，西与禄丰、</w:t>
            </w:r>
            <w:r>
              <w:rPr>
                <w:rFonts w:hint="default" w:ascii="Times New Roman" w:hAnsi="Times New Roman" w:cs="Times New Roman" w:eastAsiaTheme="minorEastAsia"/>
                <w:color w:val="auto"/>
                <w:sz w:val="24"/>
                <w:szCs w:val="24"/>
                <w:lang w:val="en-US" w:eastAsia="zh-CN"/>
              </w:rPr>
              <w:fldChar w:fldCharType="begin"/>
            </w:r>
            <w:r>
              <w:rPr>
                <w:rFonts w:hint="default" w:ascii="Times New Roman" w:hAnsi="Times New Roman" w:cs="Times New Roman" w:eastAsiaTheme="minorEastAsia"/>
                <w:color w:val="auto"/>
                <w:sz w:val="24"/>
                <w:szCs w:val="24"/>
                <w:lang w:val="en-US" w:eastAsia="zh-CN"/>
              </w:rPr>
              <w:instrText xml:space="preserve"> HYPERLINK "http://baike.sogou.com/lemma/ShowInnerLink.htm?lemmaId=3862279&amp;ss_c=ssc.citiao.link" </w:instrText>
            </w:r>
            <w:r>
              <w:rPr>
                <w:rFonts w:hint="default" w:ascii="Times New Roman" w:hAnsi="Times New Roman" w:cs="Times New Roman" w:eastAsiaTheme="minorEastAsia"/>
                <w:color w:val="auto"/>
                <w:sz w:val="24"/>
                <w:szCs w:val="24"/>
                <w:lang w:val="en-US" w:eastAsia="zh-CN"/>
              </w:rPr>
              <w:fldChar w:fldCharType="separate"/>
            </w:r>
            <w:r>
              <w:rPr>
                <w:rFonts w:hint="default" w:ascii="Times New Roman" w:hAnsi="Times New Roman" w:cs="Times New Roman" w:eastAsiaTheme="minorEastAsia"/>
                <w:color w:val="auto"/>
                <w:sz w:val="24"/>
                <w:szCs w:val="24"/>
                <w:lang w:val="en-US" w:eastAsia="zh-CN"/>
              </w:rPr>
              <w:t>武定</w:t>
            </w:r>
            <w:r>
              <w:rPr>
                <w:rFonts w:hint="default" w:ascii="Times New Roman" w:hAnsi="Times New Roman" w:cs="Times New Roman" w:eastAsiaTheme="minorEastAsia"/>
                <w:color w:val="auto"/>
                <w:sz w:val="24"/>
                <w:szCs w:val="24"/>
                <w:lang w:val="en-US" w:eastAsia="zh-CN"/>
              </w:rPr>
              <w:fldChar w:fldCharType="end"/>
            </w:r>
            <w:r>
              <w:rPr>
                <w:rFonts w:hint="default" w:ascii="Times New Roman" w:hAnsi="Times New Roman" w:cs="Times New Roman" w:eastAsiaTheme="minorEastAsia"/>
                <w:color w:val="auto"/>
                <w:sz w:val="24"/>
                <w:szCs w:val="24"/>
                <w:lang w:val="en-US" w:eastAsia="zh-CN"/>
              </w:rPr>
              <w:t>接壤，南靠</w:t>
            </w:r>
            <w:r>
              <w:rPr>
                <w:rFonts w:hint="default" w:ascii="Times New Roman" w:hAnsi="Times New Roman" w:cs="Times New Roman" w:eastAsiaTheme="minorEastAsia"/>
                <w:color w:val="auto"/>
                <w:sz w:val="24"/>
                <w:szCs w:val="24"/>
                <w:lang w:val="en-US" w:eastAsia="zh-CN"/>
              </w:rPr>
              <w:fldChar w:fldCharType="begin"/>
            </w:r>
            <w:r>
              <w:rPr>
                <w:rFonts w:hint="default" w:ascii="Times New Roman" w:hAnsi="Times New Roman" w:cs="Times New Roman" w:eastAsiaTheme="minorEastAsia"/>
                <w:color w:val="auto"/>
                <w:sz w:val="24"/>
                <w:szCs w:val="24"/>
                <w:lang w:val="en-US" w:eastAsia="zh-CN"/>
              </w:rPr>
              <w:instrText xml:space="preserve"> HYPERLINK "http://baike.sogou.com/lemma/ShowInnerLink.htm?lemmaId=148399&amp;ss_c=ssc.citiao.link" </w:instrText>
            </w:r>
            <w:r>
              <w:rPr>
                <w:rFonts w:hint="default" w:ascii="Times New Roman" w:hAnsi="Times New Roman" w:cs="Times New Roman" w:eastAsiaTheme="minorEastAsia"/>
                <w:color w:val="auto"/>
                <w:sz w:val="24"/>
                <w:szCs w:val="24"/>
                <w:lang w:val="en-US" w:eastAsia="zh-CN"/>
              </w:rPr>
              <w:fldChar w:fldCharType="separate"/>
            </w:r>
            <w:r>
              <w:rPr>
                <w:rFonts w:hint="default" w:ascii="Times New Roman" w:hAnsi="Times New Roman" w:cs="Times New Roman" w:eastAsiaTheme="minorEastAsia"/>
                <w:color w:val="auto"/>
                <w:sz w:val="24"/>
                <w:szCs w:val="24"/>
                <w:lang w:val="en-US" w:eastAsia="zh-CN"/>
              </w:rPr>
              <w:t>西山区</w:t>
            </w:r>
            <w:r>
              <w:rPr>
                <w:rFonts w:hint="default" w:ascii="Times New Roman" w:hAnsi="Times New Roman" w:cs="Times New Roman" w:eastAsiaTheme="minorEastAsia"/>
                <w:color w:val="auto"/>
                <w:sz w:val="24"/>
                <w:szCs w:val="24"/>
                <w:lang w:val="en-US" w:eastAsia="zh-CN"/>
              </w:rPr>
              <w:fldChar w:fldCharType="end"/>
            </w:r>
            <w:r>
              <w:rPr>
                <w:rFonts w:hint="default" w:ascii="Times New Roman" w:hAnsi="Times New Roman" w:cs="Times New Roman" w:eastAsiaTheme="minorEastAsia"/>
                <w:color w:val="auto"/>
                <w:sz w:val="24"/>
                <w:szCs w:val="24"/>
                <w:lang w:val="en-US" w:eastAsia="zh-CN"/>
              </w:rPr>
              <w:t>。面积1030km</w:t>
            </w:r>
            <w:r>
              <w:rPr>
                <w:rFonts w:hint="default" w:ascii="Times New Roman" w:hAnsi="Times New Roman" w:cs="Times New Roman" w:eastAsiaTheme="minorEastAsia"/>
                <w:color w:val="auto"/>
                <w:sz w:val="24"/>
                <w:szCs w:val="24"/>
                <w:vertAlign w:val="superscript"/>
                <w:lang w:val="en-US" w:eastAsia="zh-CN"/>
              </w:rPr>
              <w:t>2</w:t>
            </w:r>
            <w:r>
              <w:rPr>
                <w:rFonts w:hint="default" w:ascii="Times New Roman" w:hAnsi="Times New Roman" w:cs="Times New Roman" w:eastAsiaTheme="minorEastAsia"/>
                <w:color w:val="auto"/>
                <w:sz w:val="24"/>
                <w:szCs w:val="24"/>
                <w:lang w:val="en-US" w:eastAsia="zh-CN"/>
              </w:rPr>
              <w:t>。辖2个镇、4个乡，1个</w:t>
            </w:r>
            <w:r>
              <w:rPr>
                <w:rFonts w:hint="default" w:ascii="Times New Roman" w:hAnsi="Times New Roman" w:cs="Times New Roman" w:eastAsiaTheme="minorEastAsia"/>
                <w:color w:val="auto"/>
                <w:sz w:val="24"/>
                <w:szCs w:val="24"/>
                <w:lang w:val="en-US" w:eastAsia="zh-CN"/>
              </w:rPr>
              <w:fldChar w:fldCharType="begin"/>
            </w:r>
            <w:r>
              <w:rPr>
                <w:rFonts w:hint="default" w:ascii="Times New Roman" w:hAnsi="Times New Roman" w:cs="Times New Roman" w:eastAsiaTheme="minorEastAsia"/>
                <w:color w:val="auto"/>
                <w:sz w:val="24"/>
                <w:szCs w:val="24"/>
                <w:lang w:val="en-US" w:eastAsia="zh-CN"/>
              </w:rPr>
              <w:instrText xml:space="preserve"> HYPERLINK "https://baike.baidu.com/item/%E6%B0%91%E6%97%8F%E4%B9%A1" \t "https://baike.baidu.com/item/%E5%AF%8C%E6%B0%91%E5%8E%BF/_blank" </w:instrText>
            </w:r>
            <w:r>
              <w:rPr>
                <w:rFonts w:hint="default" w:ascii="Times New Roman" w:hAnsi="Times New Roman" w:cs="Times New Roman" w:eastAsiaTheme="minorEastAsia"/>
                <w:color w:val="auto"/>
                <w:sz w:val="24"/>
                <w:szCs w:val="24"/>
                <w:lang w:val="en-US" w:eastAsia="zh-CN"/>
              </w:rPr>
              <w:fldChar w:fldCharType="separate"/>
            </w:r>
            <w:r>
              <w:rPr>
                <w:rFonts w:hint="default" w:ascii="Times New Roman" w:hAnsi="Times New Roman" w:cs="Times New Roman" w:eastAsiaTheme="minorEastAsia"/>
                <w:color w:val="auto"/>
                <w:sz w:val="24"/>
                <w:szCs w:val="24"/>
                <w:lang w:val="en-US" w:eastAsia="zh-CN"/>
              </w:rPr>
              <w:t>民族乡</w:t>
            </w:r>
            <w:r>
              <w:rPr>
                <w:rFonts w:hint="default" w:ascii="Times New Roman" w:hAnsi="Times New Roman" w:cs="Times New Roman" w:eastAsiaTheme="minorEastAsia"/>
                <w:color w:val="auto"/>
                <w:sz w:val="24"/>
                <w:szCs w:val="24"/>
                <w:lang w:val="en-US" w:eastAsia="zh-CN"/>
              </w:rPr>
              <w:fldChar w:fldCharType="end"/>
            </w:r>
            <w:r>
              <w:rPr>
                <w:rFonts w:hint="default" w:ascii="Times New Roman" w:hAnsi="Times New Roman" w:cs="Times New Roman" w:eastAsiaTheme="minorEastAsia"/>
                <w:color w:val="auto"/>
                <w:sz w:val="24"/>
                <w:szCs w:val="24"/>
                <w:lang w:val="en-US" w:eastAsia="zh-CN"/>
              </w:rPr>
              <w:t>，共有3个居委会、72个行政村。</w:t>
            </w:r>
          </w:p>
          <w:p>
            <w:pPr>
              <w:numPr>
                <w:ilvl w:val="0"/>
                <w:numId w:val="0"/>
              </w:numPr>
              <w:spacing w:line="360" w:lineRule="auto"/>
              <w:ind w:firstLine="480" w:firstLineChars="200"/>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本项目位于</w:t>
            </w:r>
            <w:r>
              <w:rPr>
                <w:rFonts w:hint="default" w:ascii="Times New Roman" w:hAnsi="Times New Roman" w:eastAsia="宋体" w:cs="Times New Roman"/>
                <w:color w:val="auto"/>
                <w:sz w:val="24"/>
                <w:szCs w:val="24"/>
                <w:lang w:eastAsia="zh-CN"/>
              </w:rPr>
              <w:t>富民县工业园</w:t>
            </w:r>
            <w:r>
              <w:rPr>
                <w:rFonts w:hint="eastAsia" w:cs="Times New Roman"/>
                <w:color w:val="auto"/>
                <w:sz w:val="24"/>
                <w:szCs w:val="24"/>
                <w:lang w:eastAsia="zh-CN"/>
              </w:rPr>
              <w:t>哨箐片区</w:t>
            </w:r>
            <w:r>
              <w:rPr>
                <w:rFonts w:hint="default" w:ascii="Times New Roman" w:hAnsi="Times New Roman" w:cs="Times New Roman" w:eastAsiaTheme="minorEastAsia"/>
                <w:color w:val="auto"/>
                <w:kern w:val="2"/>
                <w:sz w:val="24"/>
                <w:szCs w:val="24"/>
                <w:lang w:val="en-US" w:eastAsia="zh-CN" w:bidi="ar-SA"/>
              </w:rPr>
              <w:t>，</w:t>
            </w:r>
            <w:r>
              <w:rPr>
                <w:rFonts w:hint="default" w:ascii="Times New Roman" w:hAnsi="Times New Roman" w:cs="Times New Roman" w:eastAsiaTheme="minorEastAsia"/>
                <w:color w:val="auto"/>
                <w:sz w:val="24"/>
                <w:szCs w:val="24"/>
                <w:lang w:val="en-US" w:eastAsia="zh-CN"/>
              </w:rPr>
              <w:t>项目所在地中心地理位置坐标为</w:t>
            </w:r>
            <w:r>
              <w:rPr>
                <w:sz w:val="24"/>
                <w:szCs w:val="24"/>
              </w:rPr>
              <w:t>东经10</w:t>
            </w:r>
            <w:r>
              <w:rPr>
                <w:rFonts w:hint="eastAsia"/>
                <w:sz w:val="24"/>
                <w:szCs w:val="24"/>
                <w:lang w:val="en-US" w:eastAsia="zh-CN"/>
              </w:rPr>
              <w:t>2</w:t>
            </w:r>
            <w:r>
              <w:rPr>
                <w:sz w:val="24"/>
                <w:szCs w:val="24"/>
              </w:rPr>
              <w:t>°</w:t>
            </w:r>
            <w:r>
              <w:rPr>
                <w:rFonts w:hint="eastAsia"/>
                <w:sz w:val="24"/>
                <w:szCs w:val="24"/>
                <w:lang w:val="en-US" w:eastAsia="zh-CN"/>
              </w:rPr>
              <w:t>27</w:t>
            </w:r>
            <w:r>
              <w:rPr>
                <w:sz w:val="24"/>
                <w:szCs w:val="24"/>
              </w:rPr>
              <w:t>′</w:t>
            </w:r>
            <w:r>
              <w:rPr>
                <w:rFonts w:hint="eastAsia"/>
                <w:sz w:val="24"/>
                <w:szCs w:val="24"/>
                <w:lang w:val="en-US" w:eastAsia="zh-CN"/>
              </w:rPr>
              <w:t>53.11</w:t>
            </w:r>
            <w:r>
              <w:rPr>
                <w:sz w:val="24"/>
                <w:szCs w:val="24"/>
              </w:rPr>
              <w:t>″，北纬2</w:t>
            </w:r>
            <w:r>
              <w:rPr>
                <w:rFonts w:hint="eastAsia"/>
                <w:sz w:val="24"/>
                <w:szCs w:val="24"/>
                <w:lang w:val="en-US" w:eastAsia="zh-CN"/>
              </w:rPr>
              <w:t>5</w:t>
            </w:r>
            <w:r>
              <w:rPr>
                <w:sz w:val="24"/>
                <w:szCs w:val="24"/>
              </w:rPr>
              <w:t>°</w:t>
            </w:r>
            <w:r>
              <w:rPr>
                <w:rFonts w:hint="eastAsia"/>
                <w:sz w:val="24"/>
                <w:szCs w:val="24"/>
                <w:lang w:val="en-US" w:eastAsia="zh-CN"/>
              </w:rPr>
              <w:t>15</w:t>
            </w:r>
            <w:r>
              <w:rPr>
                <w:sz w:val="24"/>
                <w:szCs w:val="24"/>
              </w:rPr>
              <w:t>′</w:t>
            </w:r>
            <w:r>
              <w:rPr>
                <w:rFonts w:hint="eastAsia"/>
                <w:sz w:val="24"/>
                <w:szCs w:val="24"/>
                <w:lang w:val="en-US" w:eastAsia="zh-CN"/>
              </w:rPr>
              <w:t>53.82</w:t>
            </w:r>
            <w:r>
              <w:rPr>
                <w:sz w:val="24"/>
                <w:szCs w:val="24"/>
              </w:rPr>
              <w:t>″</w:t>
            </w:r>
            <w:r>
              <w:rPr>
                <w:rFonts w:hint="default" w:ascii="Times New Roman" w:hAnsi="Times New Roman" w:cs="Times New Roman" w:eastAsiaTheme="minorEastAsia"/>
                <w:color w:val="auto"/>
                <w:sz w:val="24"/>
                <w:szCs w:val="24"/>
                <w:lang w:val="en-US" w:eastAsia="zh-CN"/>
              </w:rPr>
              <w:t>，项目地理位置见附图1。</w:t>
            </w:r>
          </w:p>
          <w:p>
            <w:pPr>
              <w:numPr>
                <w:ilvl w:val="0"/>
                <w:numId w:val="0"/>
              </w:numPr>
              <w:spacing w:line="360" w:lineRule="auto"/>
              <w:ind w:firstLine="482" w:firstLineChars="200"/>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2、地形、地貌、地质</w:t>
            </w:r>
          </w:p>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Pr>
              <w:numPr>
                <w:ilvl w:val="0"/>
                <w:numId w:val="0"/>
              </w:numPr>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富民县位于昆明市西北部，是个山区较多的县，地势南高北低，东西宽44.2km，南北长51.6km。由南向北倾斜，望海山把县境分为</w:t>
            </w:r>
            <w:r>
              <w:rPr>
                <w:rFonts w:hint="default" w:ascii="Times New Roman" w:hAnsi="Times New Roman" w:cs="Times New Roman"/>
                <w:color w:val="auto"/>
                <w:sz w:val="24"/>
                <w:szCs w:val="24"/>
                <w:lang w:val="en-US" w:eastAsia="zh-CN"/>
              </w:rPr>
              <w:fldChar w:fldCharType="begin"/>
            </w:r>
            <w:r>
              <w:rPr>
                <w:rFonts w:hint="default" w:ascii="Times New Roman" w:hAnsi="Times New Roman" w:cs="Times New Roman"/>
                <w:color w:val="auto"/>
                <w:sz w:val="24"/>
                <w:szCs w:val="24"/>
                <w:lang w:val="en-US" w:eastAsia="zh-CN"/>
              </w:rPr>
              <w:instrText xml:space="preserve"> HYPERLINK "http://baike.sogou.com/lemma/ShowInnerLink.htm?lemmaId=121122&amp;ss_c=ssc.citiao.link" </w:instrText>
            </w:r>
            <w:r>
              <w:rPr>
                <w:rFonts w:hint="default" w:ascii="Times New Roman" w:hAnsi="Times New Roman" w:cs="Times New Roman"/>
                <w:color w:val="auto"/>
                <w:sz w:val="24"/>
                <w:szCs w:val="24"/>
                <w:lang w:val="en-US" w:eastAsia="zh-CN"/>
              </w:rPr>
              <w:fldChar w:fldCharType="separate"/>
            </w:r>
            <w:r>
              <w:rPr>
                <w:rFonts w:hint="default" w:ascii="Times New Roman" w:hAnsi="Times New Roman" w:cs="Times New Roman"/>
                <w:color w:val="auto"/>
                <w:sz w:val="24"/>
                <w:szCs w:val="24"/>
                <w:lang w:val="en-US" w:eastAsia="zh-CN"/>
              </w:rPr>
              <w:t>螳螂</w:t>
            </w:r>
            <w:r>
              <w:rPr>
                <w:rFonts w:hint="default" w:ascii="Times New Roman" w:hAnsi="Times New Roman" w:cs="Times New Roman"/>
                <w:color w:val="auto"/>
                <w:sz w:val="24"/>
                <w:szCs w:val="24"/>
                <w:lang w:val="en-US" w:eastAsia="zh-CN"/>
              </w:rPr>
              <w:fldChar w:fldCharType="end"/>
            </w:r>
            <w:r>
              <w:rPr>
                <w:rFonts w:hint="default" w:ascii="Times New Roman" w:hAnsi="Times New Roman" w:cs="Times New Roman"/>
                <w:color w:val="auto"/>
                <w:sz w:val="24"/>
                <w:szCs w:val="24"/>
                <w:lang w:val="en-US" w:eastAsia="zh-CN"/>
              </w:rPr>
              <w:t>川和款</w:t>
            </w:r>
            <w:r>
              <w:rPr>
                <w:rFonts w:hint="default" w:ascii="Times New Roman" w:hAnsi="Times New Roman" w:cs="Times New Roman"/>
                <w:color w:val="auto"/>
                <w:sz w:val="24"/>
                <w:szCs w:val="24"/>
                <w:lang w:val="en-US" w:eastAsia="zh-CN"/>
              </w:rPr>
              <w:fldChar w:fldCharType="begin"/>
            </w:r>
            <w:r>
              <w:rPr>
                <w:rFonts w:hint="default" w:ascii="Times New Roman" w:hAnsi="Times New Roman" w:cs="Times New Roman"/>
                <w:color w:val="auto"/>
                <w:sz w:val="24"/>
                <w:szCs w:val="24"/>
                <w:lang w:val="en-US" w:eastAsia="zh-CN"/>
              </w:rPr>
              <w:instrText xml:space="preserve"> HYPERLINK "http://baike.sogou.com/lemma/ShowInnerLink.htm?lemmaId=2091889&amp;ss_c=ssc.citiao.link" </w:instrText>
            </w:r>
            <w:r>
              <w:rPr>
                <w:rFonts w:hint="default" w:ascii="Times New Roman" w:hAnsi="Times New Roman" w:cs="Times New Roman"/>
                <w:color w:val="auto"/>
                <w:sz w:val="24"/>
                <w:szCs w:val="24"/>
                <w:lang w:val="en-US" w:eastAsia="zh-CN"/>
              </w:rPr>
              <w:fldChar w:fldCharType="separate"/>
            </w:r>
            <w:r>
              <w:rPr>
                <w:rFonts w:hint="default" w:ascii="Times New Roman" w:hAnsi="Times New Roman" w:cs="Times New Roman"/>
                <w:color w:val="auto"/>
                <w:sz w:val="24"/>
                <w:szCs w:val="24"/>
                <w:lang w:val="en-US" w:eastAsia="zh-CN"/>
              </w:rPr>
              <w:t>庄河</w:t>
            </w:r>
            <w:r>
              <w:rPr>
                <w:rFonts w:hint="default" w:ascii="Times New Roman" w:hAnsi="Times New Roman" w:cs="Times New Roman"/>
                <w:color w:val="auto"/>
                <w:sz w:val="24"/>
                <w:szCs w:val="24"/>
                <w:lang w:val="en-US" w:eastAsia="zh-CN"/>
              </w:rPr>
              <w:fldChar w:fldCharType="end"/>
            </w:r>
            <w:r>
              <w:rPr>
                <w:rFonts w:hint="default" w:ascii="Times New Roman" w:hAnsi="Times New Roman" w:cs="Times New Roman"/>
                <w:color w:val="auto"/>
                <w:sz w:val="24"/>
                <w:szCs w:val="24"/>
                <w:lang w:val="en-US" w:eastAsia="zh-CN"/>
              </w:rPr>
              <w:t>两大水系。最大</w:t>
            </w:r>
            <w:r>
              <w:rPr>
                <w:rFonts w:hint="default" w:ascii="Times New Roman" w:hAnsi="Times New Roman" w:cs="Times New Roman"/>
                <w:color w:val="auto"/>
                <w:sz w:val="24"/>
                <w:szCs w:val="24"/>
                <w:lang w:val="en-US" w:eastAsia="zh-CN"/>
              </w:rPr>
              <w:fldChar w:fldCharType="begin"/>
            </w:r>
            <w:r>
              <w:rPr>
                <w:rFonts w:hint="default" w:ascii="Times New Roman" w:hAnsi="Times New Roman" w:cs="Times New Roman"/>
                <w:color w:val="auto"/>
                <w:sz w:val="24"/>
                <w:szCs w:val="24"/>
                <w:lang w:val="en-US" w:eastAsia="zh-CN"/>
              </w:rPr>
              <w:instrText xml:space="preserve"> HYPERLINK "http://baike.sogou.com/lemma/ShowInnerLink.htm?lemmaId=7606299&amp;ss_c=ssc.citiao.link" </w:instrText>
            </w:r>
            <w:r>
              <w:rPr>
                <w:rFonts w:hint="default" w:ascii="Times New Roman" w:hAnsi="Times New Roman" w:cs="Times New Roman"/>
                <w:color w:val="auto"/>
                <w:sz w:val="24"/>
                <w:szCs w:val="24"/>
                <w:lang w:val="en-US" w:eastAsia="zh-CN"/>
              </w:rPr>
              <w:fldChar w:fldCharType="separate"/>
            </w:r>
            <w:r>
              <w:rPr>
                <w:rFonts w:hint="default" w:ascii="Times New Roman" w:hAnsi="Times New Roman" w:cs="Times New Roman"/>
                <w:color w:val="auto"/>
                <w:sz w:val="24"/>
                <w:szCs w:val="24"/>
                <w:lang w:val="en-US" w:eastAsia="zh-CN"/>
              </w:rPr>
              <w:t>坝子</w:t>
            </w:r>
            <w:r>
              <w:rPr>
                <w:rFonts w:hint="default" w:ascii="Times New Roman" w:hAnsi="Times New Roman" w:cs="Times New Roman"/>
                <w:color w:val="auto"/>
                <w:sz w:val="24"/>
                <w:szCs w:val="24"/>
                <w:lang w:val="en-US" w:eastAsia="zh-CN"/>
              </w:rPr>
              <w:fldChar w:fldCharType="end"/>
            </w:r>
            <w:r>
              <w:rPr>
                <w:rFonts w:hint="default" w:ascii="Times New Roman" w:hAnsi="Times New Roman" w:cs="Times New Roman"/>
                <w:color w:val="auto"/>
                <w:sz w:val="24"/>
                <w:szCs w:val="24"/>
                <w:lang w:val="en-US" w:eastAsia="zh-CN"/>
              </w:rPr>
              <w:t>由永定、勤劳、</w:t>
            </w:r>
            <w:r>
              <w:rPr>
                <w:rFonts w:hint="default" w:ascii="Times New Roman" w:hAnsi="Times New Roman" w:cs="Times New Roman"/>
                <w:color w:val="auto"/>
                <w:sz w:val="24"/>
                <w:szCs w:val="24"/>
                <w:lang w:val="en-US" w:eastAsia="zh-CN"/>
              </w:rPr>
              <w:fldChar w:fldCharType="begin"/>
            </w:r>
            <w:r>
              <w:rPr>
                <w:rFonts w:hint="default" w:ascii="Times New Roman" w:hAnsi="Times New Roman" w:cs="Times New Roman"/>
                <w:color w:val="auto"/>
                <w:sz w:val="24"/>
                <w:szCs w:val="24"/>
                <w:lang w:val="en-US" w:eastAsia="zh-CN"/>
              </w:rPr>
              <w:instrText xml:space="preserve"> HYPERLINK "http://baike.sogou.com/lemma/ShowInnerLink.htm?lemmaId=5330895&amp;ss_c=ssc.citiao.link" </w:instrText>
            </w:r>
            <w:r>
              <w:rPr>
                <w:rFonts w:hint="default" w:ascii="Times New Roman" w:hAnsi="Times New Roman" w:cs="Times New Roman"/>
                <w:color w:val="auto"/>
                <w:sz w:val="24"/>
                <w:szCs w:val="24"/>
                <w:lang w:val="en-US" w:eastAsia="zh-CN"/>
              </w:rPr>
              <w:fldChar w:fldCharType="separate"/>
            </w:r>
            <w:r>
              <w:rPr>
                <w:rFonts w:hint="default" w:ascii="Times New Roman" w:hAnsi="Times New Roman" w:cs="Times New Roman"/>
                <w:color w:val="auto"/>
                <w:sz w:val="24"/>
                <w:szCs w:val="24"/>
                <w:lang w:val="en-US" w:eastAsia="zh-CN"/>
              </w:rPr>
              <w:t>大营</w:t>
            </w:r>
            <w:r>
              <w:rPr>
                <w:rFonts w:hint="default" w:ascii="Times New Roman" w:hAnsi="Times New Roman" w:cs="Times New Roman"/>
                <w:color w:val="auto"/>
                <w:sz w:val="24"/>
                <w:szCs w:val="24"/>
                <w:lang w:val="en-US" w:eastAsia="zh-CN"/>
              </w:rPr>
              <w:fldChar w:fldCharType="end"/>
            </w:r>
            <w:r>
              <w:rPr>
                <w:rFonts w:hint="default" w:ascii="Times New Roman" w:hAnsi="Times New Roman" w:cs="Times New Roman"/>
                <w:color w:val="auto"/>
                <w:sz w:val="24"/>
                <w:szCs w:val="24"/>
                <w:lang w:val="en-US" w:eastAsia="zh-CN"/>
              </w:rPr>
              <w:t>组成，螳螂川贯穿其间，坝子西部为金铜盆山，海拔2817米，为富民最高点，中部的望海山，海拔2672m，东部与嵩明分界的</w:t>
            </w:r>
            <w:r>
              <w:rPr>
                <w:rFonts w:hint="default" w:ascii="Times New Roman" w:hAnsi="Times New Roman" w:cs="Times New Roman"/>
                <w:color w:val="auto"/>
                <w:sz w:val="24"/>
                <w:szCs w:val="24"/>
                <w:lang w:val="en-US" w:eastAsia="zh-CN"/>
              </w:rPr>
              <w:fldChar w:fldCharType="begin"/>
            </w:r>
            <w:r>
              <w:rPr>
                <w:rFonts w:hint="default" w:ascii="Times New Roman" w:hAnsi="Times New Roman" w:cs="Times New Roman"/>
                <w:color w:val="auto"/>
                <w:sz w:val="24"/>
                <w:szCs w:val="24"/>
                <w:lang w:val="en-US" w:eastAsia="zh-CN"/>
              </w:rPr>
              <w:instrText xml:space="preserve"> HYPERLINK "http://baike.sogou.com/lemma/ShowInnerLink.htm?lemmaId=63334730&amp;ss_c=ssc.citiao.link" </w:instrText>
            </w:r>
            <w:r>
              <w:rPr>
                <w:rFonts w:hint="default" w:ascii="Times New Roman" w:hAnsi="Times New Roman" w:cs="Times New Roman"/>
                <w:color w:val="auto"/>
                <w:sz w:val="24"/>
                <w:szCs w:val="24"/>
                <w:lang w:val="en-US" w:eastAsia="zh-CN"/>
              </w:rPr>
              <w:fldChar w:fldCharType="separate"/>
            </w:r>
            <w:r>
              <w:rPr>
                <w:rFonts w:hint="default" w:ascii="Times New Roman" w:hAnsi="Times New Roman" w:cs="Times New Roman"/>
                <w:color w:val="auto"/>
                <w:sz w:val="24"/>
                <w:szCs w:val="24"/>
                <w:lang w:val="en-US" w:eastAsia="zh-CN"/>
              </w:rPr>
              <w:t>老鸦</w:t>
            </w:r>
            <w:r>
              <w:rPr>
                <w:rFonts w:hint="default" w:ascii="Times New Roman" w:hAnsi="Times New Roman" w:cs="Times New Roman"/>
                <w:color w:val="auto"/>
                <w:sz w:val="24"/>
                <w:szCs w:val="24"/>
                <w:lang w:val="en-US" w:eastAsia="zh-CN"/>
              </w:rPr>
              <w:fldChar w:fldCharType="end"/>
            </w:r>
            <w:r>
              <w:rPr>
                <w:rFonts w:hint="default" w:ascii="Times New Roman" w:hAnsi="Times New Roman" w:cs="Times New Roman"/>
                <w:color w:val="auto"/>
                <w:sz w:val="24"/>
                <w:szCs w:val="24"/>
                <w:lang w:val="en-US" w:eastAsia="zh-CN"/>
              </w:rPr>
              <w:t>山，海拔2873m，构成富民的三大山脉与两大水系。者北、赤鹫、罗免的田坝为低山环状河谷型，款庄为狭长和河谷型。坝区中部与主峰高差在800-1000m之间。</w:t>
            </w:r>
          </w:p>
          <w:p>
            <w:pPr>
              <w:numPr>
                <w:ilvl w:val="0"/>
                <w:numId w:val="0"/>
              </w:numPr>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highlight w:val="none"/>
                <w:lang w:val="en-US" w:eastAsia="zh-CN"/>
              </w:rPr>
              <w:t>本项目</w:t>
            </w:r>
            <w:r>
              <w:rPr>
                <w:rFonts w:hint="eastAsia" w:ascii="Times New Roman" w:hAnsi="Times New Roman" w:cs="Times New Roman"/>
                <w:color w:val="auto"/>
                <w:sz w:val="24"/>
                <w:szCs w:val="24"/>
                <w:highlight w:val="none"/>
                <w:lang w:val="en-US" w:eastAsia="zh-CN"/>
              </w:rPr>
              <w:t>位于</w:t>
            </w:r>
            <w:r>
              <w:rPr>
                <w:rFonts w:hint="eastAsia"/>
                <w:color w:val="auto"/>
                <w:sz w:val="24"/>
                <w:szCs w:val="24"/>
                <w:lang w:val="en-US" w:eastAsia="zh-CN"/>
              </w:rPr>
              <w:t>富民县工业园哨箐片区</w:t>
            </w:r>
            <w:r>
              <w:rPr>
                <w:rFonts w:hint="eastAsia" w:cs="Times New Roman"/>
                <w:color w:val="auto"/>
                <w:kern w:val="2"/>
                <w:sz w:val="24"/>
                <w:szCs w:val="24"/>
                <w:highlight w:val="none"/>
                <w:lang w:val="en-US" w:eastAsia="zh-CN" w:bidi="ar-SA"/>
              </w:rPr>
              <w:t>，</w:t>
            </w:r>
            <w:r>
              <w:rPr>
                <w:rFonts w:hint="default" w:ascii="Times New Roman" w:hAnsi="Times New Roman" w:cs="Times New Roman"/>
                <w:color w:val="auto"/>
                <w:sz w:val="24"/>
                <w:szCs w:val="24"/>
                <w:lang w:val="en-US" w:eastAsia="zh-CN"/>
              </w:rPr>
              <w:t>项目所在区域未发现影响建设的崩塌，以及泥石流等不良地质灾害，亦未发现大的活动性断裂。</w:t>
            </w:r>
          </w:p>
          <w:p>
            <w:pPr>
              <w:numPr>
                <w:ilvl w:val="0"/>
                <w:numId w:val="0"/>
              </w:numPr>
              <w:spacing w:line="360" w:lineRule="auto"/>
              <w:ind w:firstLine="482" w:firstLineChars="200"/>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3、气候、气象</w:t>
            </w:r>
          </w:p>
          <w:p>
            <w:pPr>
              <w:numPr>
                <w:ilvl w:val="0"/>
                <w:numId w:val="0"/>
              </w:numPr>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富民县属低纬度亚热带高原季风气候，多年平均气温15.8℃，年极端最高气温33.4℃，最低气温-7℃；年均雨天136天，无霜期245天，全年日照2287小时。县内年降水中等，每年的5-10月为雨季，降水量占全年降雨量的87.9%，11月至次年4月为干季，降水量只占12.1%，年平均降雨量846.5mm，多年平均蒸发量2032.5mm。</w:t>
            </w:r>
          </w:p>
          <w:p>
            <w:pPr>
              <w:numPr>
                <w:ilvl w:val="0"/>
                <w:numId w:val="0"/>
              </w:numPr>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项目区域主导风向为西南风（SW），风频为11.6%；次主导风向为西南偏西风（WSW），出现频率为10.96%；静风频率11.96%。全年平均风速为1.82m/s，月平均最大风速为1.94m/s，大风季节主要集中在春季。</w:t>
            </w:r>
          </w:p>
          <w:p>
            <w:pPr>
              <w:numPr>
                <w:ilvl w:val="0"/>
                <w:numId w:val="0"/>
              </w:numPr>
              <w:spacing w:line="360" w:lineRule="auto"/>
              <w:ind w:firstLine="482" w:firstLineChars="200"/>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4、河流水系及水文</w:t>
            </w:r>
          </w:p>
          <w:p>
            <w:pPr>
              <w:numPr>
                <w:ilvl w:val="0"/>
                <w:numId w:val="0"/>
              </w:numPr>
              <w:spacing w:line="360" w:lineRule="auto"/>
              <w:ind w:firstLine="480" w:firstLineChars="200"/>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（1）地表水</w:t>
            </w:r>
          </w:p>
          <w:p>
            <w:pPr>
              <w:numPr>
                <w:ilvl w:val="0"/>
                <w:numId w:val="0"/>
              </w:numPr>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富民县境内河流有螳螂川、门前河（高桥河）、大营河及其支流新桥河和清水河、龙纳河、龙泉河、木板河等8条；源于境内的有高北河、马拉河、清罗河及天生桥河、新沙河、石板沟6条。境内河流的特点为：旱季水小清澈，雨季水大浑浊。</w:t>
            </w:r>
          </w:p>
          <w:p>
            <w:pPr>
              <w:numPr>
                <w:ilvl w:val="0"/>
                <w:numId w:val="0"/>
              </w:numPr>
              <w:spacing w:line="360" w:lineRule="auto"/>
              <w:ind w:firstLine="480" w:firstLineChars="200"/>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与</w:t>
            </w:r>
            <w:r>
              <w:rPr>
                <w:rFonts w:hint="default" w:ascii="Times New Roman" w:hAnsi="Times New Roman" w:cs="Times New Roman"/>
                <w:color w:val="auto"/>
                <w:sz w:val="24"/>
                <w:szCs w:val="24"/>
                <w:lang w:val="en-US" w:eastAsia="zh-CN"/>
              </w:rPr>
              <w:t>本项目有关的地表水体主要</w:t>
            </w:r>
            <w:r>
              <w:rPr>
                <w:rFonts w:hint="eastAsia" w:cs="Times New Roman"/>
                <w:color w:val="auto"/>
                <w:sz w:val="24"/>
                <w:szCs w:val="24"/>
                <w:lang w:val="en-US" w:eastAsia="zh-CN"/>
              </w:rPr>
              <w:t>是螳螂川及其支流马拉河、清水河</w:t>
            </w:r>
            <w:r>
              <w:rPr>
                <w:rFonts w:hint="default" w:ascii="Times New Roman" w:hAnsi="Times New Roman" w:cs="Times New Roman"/>
                <w:color w:val="auto"/>
                <w:sz w:val="24"/>
                <w:szCs w:val="24"/>
                <w:lang w:val="en-US" w:eastAsia="zh-CN"/>
              </w:rPr>
              <w:t>。</w:t>
            </w:r>
            <w:r>
              <w:rPr>
                <w:rFonts w:hint="eastAsia" w:cs="Times New Roman"/>
                <w:color w:val="auto"/>
                <w:sz w:val="24"/>
                <w:szCs w:val="24"/>
                <w:lang w:val="en-US" w:eastAsia="zh-CN"/>
              </w:rPr>
              <w:t>清水河位于本项目南侧1600m，马拉河位于项目区北侧1260m，螳螂川位于项目区东北侧1250m，项目区南侧有哨箐水沟，自西向东汇入螳螂川（哨箐水沟雨季有径流，旱季干枯）。</w:t>
            </w:r>
          </w:p>
          <w:p>
            <w:pPr>
              <w:numPr>
                <w:ilvl w:val="0"/>
                <w:numId w:val="0"/>
              </w:numPr>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螳螂川源于滇池，于莲花岩注入富民县境，由西南向东北流，到瓦窑进入富民坝子，经永定街道、赤鹫镇到龙发村汇集天生桥河水处，上游称“螳螂川”，下游称“普渡河”，再流经款庄镇与东村镇西缘，到沙坪村西北约1000m许进入禄劝县境，注入金沙江。县内全长63.4km，均宽65m，入出落差258m，年入境水量86320万m</w:t>
            </w:r>
            <w:r>
              <w:rPr>
                <w:rFonts w:hint="default" w:ascii="Times New Roman" w:hAnsi="Times New Roman" w:cs="Times New Roman"/>
                <w:color w:val="auto"/>
                <w:sz w:val="24"/>
                <w:szCs w:val="24"/>
                <w:vertAlign w:val="superscript"/>
                <w:lang w:val="en-US" w:eastAsia="zh-CN"/>
              </w:rPr>
              <w:t>3</w:t>
            </w:r>
            <w:r>
              <w:rPr>
                <w:rFonts w:hint="default" w:ascii="Times New Roman" w:hAnsi="Times New Roman" w:cs="Times New Roman"/>
                <w:color w:val="auto"/>
                <w:sz w:val="24"/>
                <w:szCs w:val="24"/>
                <w:lang w:val="en-US" w:eastAsia="zh-CN"/>
              </w:rPr>
              <w:t>，年均秒流量27.73m</w:t>
            </w:r>
            <w:r>
              <w:rPr>
                <w:rFonts w:hint="default" w:ascii="Times New Roman" w:hAnsi="Times New Roman" w:cs="Times New Roman"/>
                <w:color w:val="auto"/>
                <w:sz w:val="24"/>
                <w:szCs w:val="24"/>
                <w:vertAlign w:val="superscript"/>
                <w:lang w:val="en-US" w:eastAsia="zh-CN"/>
              </w:rPr>
              <w:t>3</w:t>
            </w:r>
            <w:r>
              <w:rPr>
                <w:rFonts w:hint="default" w:ascii="Times New Roman" w:hAnsi="Times New Roman" w:cs="Times New Roman"/>
                <w:color w:val="auto"/>
                <w:sz w:val="24"/>
                <w:szCs w:val="24"/>
                <w:lang w:val="en-US" w:eastAsia="zh-CN"/>
              </w:rPr>
              <w:t>，最大秒流量500m</w:t>
            </w:r>
            <w:r>
              <w:rPr>
                <w:rFonts w:hint="default" w:ascii="Times New Roman" w:hAnsi="Times New Roman" w:cs="Times New Roman"/>
                <w:color w:val="auto"/>
                <w:sz w:val="24"/>
                <w:szCs w:val="24"/>
                <w:vertAlign w:val="superscript"/>
                <w:lang w:val="en-US" w:eastAsia="zh-CN"/>
              </w:rPr>
              <w:t>3</w:t>
            </w:r>
            <w:r>
              <w:rPr>
                <w:rFonts w:hint="default" w:ascii="Times New Roman" w:hAnsi="Times New Roman" w:cs="Times New Roman"/>
                <w:color w:val="auto"/>
                <w:sz w:val="24"/>
                <w:szCs w:val="24"/>
                <w:lang w:val="en-US" w:eastAsia="zh-CN"/>
              </w:rPr>
              <w:t>。曾在清康熙五十一年（1712）断流。螳螂川属于普渡河的一部分，由滇池出口的中滩闸起至富民县赤鹫大桥止称螳螂川，富民县赤鹫大桥起至金沙江称为普渡河。项目所在区域水系图见附图</w:t>
            </w:r>
            <w:r>
              <w:rPr>
                <w:rFonts w:hint="eastAsia" w:cs="Times New Roman"/>
                <w:color w:val="auto"/>
                <w:sz w:val="24"/>
                <w:szCs w:val="24"/>
                <w:lang w:val="en-US" w:eastAsia="zh-CN"/>
              </w:rPr>
              <w:t>2</w:t>
            </w:r>
            <w:r>
              <w:rPr>
                <w:rFonts w:hint="default" w:ascii="Times New Roman" w:hAnsi="Times New Roman" w:cs="Times New Roman"/>
                <w:color w:val="auto"/>
                <w:sz w:val="24"/>
                <w:szCs w:val="24"/>
                <w:lang w:val="en-US" w:eastAsia="zh-CN"/>
              </w:rPr>
              <w:t>。</w:t>
            </w:r>
          </w:p>
          <w:p>
            <w:pPr>
              <w:numPr>
                <w:ilvl w:val="0"/>
                <w:numId w:val="0"/>
              </w:numPr>
              <w:spacing w:line="360" w:lineRule="auto"/>
              <w:ind w:firstLine="480" w:firstLineChars="200"/>
              <w:rPr>
                <w:rFonts w:hint="eastAsia"/>
                <w:sz w:val="24"/>
                <w:szCs w:val="22"/>
                <w:lang w:val="en-US" w:eastAsia="zh-CN"/>
              </w:rPr>
            </w:pPr>
            <w:r>
              <w:rPr>
                <w:rFonts w:hint="eastAsia"/>
                <w:sz w:val="24"/>
                <w:szCs w:val="22"/>
                <w:lang w:val="en-US" w:eastAsia="zh-CN"/>
              </w:rPr>
              <w:t>（2）地下水</w:t>
            </w:r>
          </w:p>
          <w:p>
            <w:pPr>
              <w:numPr>
                <w:ilvl w:val="0"/>
                <w:numId w:val="0"/>
              </w:numPr>
              <w:spacing w:line="360" w:lineRule="auto"/>
              <w:ind w:firstLine="480" w:firstLineChars="200"/>
              <w:rPr>
                <w:rFonts w:hint="default"/>
                <w:lang w:val="en-US" w:eastAsia="zh-CN"/>
              </w:rPr>
            </w:pPr>
            <w:r>
              <w:rPr>
                <w:rFonts w:hint="default"/>
                <w:sz w:val="24"/>
                <w:szCs w:val="22"/>
                <w:lang w:val="en-US" w:eastAsia="zh-CN"/>
              </w:rPr>
              <w:t>根据现场踏勘，项目所在地块无地下水出露点。本项目为《环境影响评价技术导则地下水环境》（HJ610-2016）中的规定的IV类建设项目，不开展地下水环境影响评价。</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5、土壤</w:t>
            </w:r>
            <w:r>
              <w:rPr>
                <w:rFonts w:hint="default" w:ascii="Times New Roman" w:hAnsi="Times New Roman" w:cs="Times New Roman"/>
                <w:b/>
                <w:bCs/>
                <w:color w:val="auto"/>
                <w:sz w:val="24"/>
                <w:szCs w:val="24"/>
                <w:lang w:eastAsia="zh-CN"/>
              </w:rPr>
              <w:t>及植被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eastAsia="zh-CN"/>
              </w:rPr>
              <w:t>富民县辖区面积</w:t>
            </w:r>
            <w:r>
              <w:rPr>
                <w:rFonts w:hint="default" w:ascii="Times New Roman" w:hAnsi="Times New Roman" w:cs="Times New Roman"/>
                <w:color w:val="auto"/>
                <w:sz w:val="24"/>
                <w:szCs w:val="24"/>
                <w:lang w:val="en-US" w:eastAsia="zh-CN"/>
              </w:rPr>
              <w:t>100308.56公顷，耕地面积19252.97公顷，其中，灌溉水田4892.97公顷，占耕地面积的25.41%；望天田541.11公顷，占耕地面积的2.81%；旱地13746.09公顷，占耕地面积的71.40%；菜地72.80公顷，占耕地面积的0.38%。</w:t>
            </w:r>
          </w:p>
          <w:p>
            <w:pPr>
              <w:pStyle w:val="18"/>
              <w:spacing w:line="360" w:lineRule="auto"/>
              <w:ind w:firstLine="480" w:firstLineChars="200"/>
              <w:jc w:val="left"/>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全县土壤分为4个土类。红壤、紫色土、水稻土、棕壤土。红壤最多，全县有102.58万亩，占总面积1482180亩的69.20%，广泛分布在县内，海拔2500m以下的山坡和丘陵地带。紫色土全县有23.14万亩，占土地总面积的15.64%，与红壤与水稻土交混，主要分布在海拔2200m以下的罗兔、散旦2个镇和永定街道、款庄镇的部分地区也有分布。水稻土全县有7.19万亩，占总面积的4.85%，其中淹育型水稻土1.23万亩，潴育型有5.95万亩。棕壤土全县有2.49万亩，占总面积的1.70%，分布在海拔2500m以上的老青山、望海山等高寒地区。</w:t>
            </w:r>
          </w:p>
          <w:p>
            <w:pPr>
              <w:pStyle w:val="18"/>
              <w:spacing w:line="360" w:lineRule="auto"/>
              <w:ind w:firstLine="480" w:firstLineChars="200"/>
              <w:jc w:val="left"/>
              <w:rPr>
                <w:rFonts w:hint="default"/>
                <w:lang w:val="en-US" w:eastAsia="zh-CN"/>
              </w:rPr>
            </w:pPr>
            <w:r>
              <w:rPr>
                <w:rFonts w:hint="default" w:ascii="Times New Roman" w:hAnsi="Times New Roman" w:cs="Times New Roman"/>
                <w:color w:val="auto"/>
                <w:sz w:val="24"/>
                <w:szCs w:val="24"/>
                <w:lang w:val="en-US" w:eastAsia="zh-CN"/>
              </w:rPr>
              <w:t>本项目为《</w:t>
            </w:r>
            <w:r>
              <w:rPr>
                <w:rFonts w:hint="default" w:ascii="Times New Roman" w:hAnsi="Times New Roman" w:cs="Times New Roman"/>
                <w:color w:val="auto"/>
                <w:sz w:val="24"/>
                <w:szCs w:val="24"/>
                <w:lang w:val="en-US" w:eastAsia="zh-CN"/>
              </w:rPr>
              <w:fldChar w:fldCharType="begin"/>
            </w:r>
            <w:r>
              <w:rPr>
                <w:rFonts w:hint="default" w:ascii="Times New Roman" w:hAnsi="Times New Roman" w:cs="Times New Roman"/>
                <w:color w:val="auto"/>
                <w:sz w:val="24"/>
                <w:szCs w:val="24"/>
                <w:lang w:val="en-US" w:eastAsia="zh-CN"/>
              </w:rPr>
              <w:instrText xml:space="preserve"> HYPERLINK "http://kjs.mee.gov.cn/hjbhbz/bzwb/other/pjjsdz/201809/W020180921558586433773.pdf" </w:instrText>
            </w:r>
            <w:r>
              <w:rPr>
                <w:rFonts w:hint="default" w:ascii="Times New Roman" w:hAnsi="Times New Roman" w:cs="Times New Roman"/>
                <w:color w:val="auto"/>
                <w:sz w:val="24"/>
                <w:szCs w:val="24"/>
                <w:lang w:val="en-US" w:eastAsia="zh-CN"/>
              </w:rPr>
              <w:fldChar w:fldCharType="separate"/>
            </w:r>
            <w:r>
              <w:rPr>
                <w:rFonts w:hint="default" w:ascii="Times New Roman" w:hAnsi="Times New Roman" w:cs="Times New Roman"/>
                <w:color w:val="auto"/>
                <w:sz w:val="24"/>
                <w:szCs w:val="24"/>
                <w:lang w:val="en-US" w:eastAsia="zh-CN"/>
              </w:rPr>
              <w:t>环境影响评价技术导则土壤环境（试行）》（HJ 964—2018</w:t>
            </w:r>
            <w:r>
              <w:rPr>
                <w:rFonts w:hint="default" w:ascii="Times New Roman" w:hAnsi="Times New Roman" w:cs="Times New Roman"/>
                <w:color w:val="auto"/>
                <w:sz w:val="24"/>
                <w:szCs w:val="24"/>
                <w:lang w:val="en-US" w:eastAsia="zh-CN"/>
              </w:rPr>
              <w:fldChar w:fldCharType="end"/>
            </w:r>
            <w:r>
              <w:rPr>
                <w:rFonts w:hint="default" w:ascii="Times New Roman" w:hAnsi="Times New Roman" w:cs="Times New Roman"/>
                <w:color w:val="auto"/>
                <w:sz w:val="24"/>
                <w:szCs w:val="24"/>
                <w:lang w:val="en-US" w:eastAsia="zh-CN"/>
              </w:rPr>
              <w:t>）中的</w:t>
            </w:r>
            <w:r>
              <w:rPr>
                <w:rFonts w:hint="default" w:ascii="Times New Roman" w:hAnsi="Times New Roman" w:cs="Times New Roman"/>
                <w:color w:val="auto"/>
                <w:sz w:val="24"/>
                <w:szCs w:val="24"/>
                <w:lang w:val="en-US" w:eastAsia="zh-CN"/>
              </w:rPr>
              <w:fldChar w:fldCharType="begin"/>
            </w:r>
            <w:r>
              <w:rPr>
                <w:rFonts w:hint="default" w:ascii="Times New Roman" w:hAnsi="Times New Roman" w:cs="Times New Roman"/>
                <w:color w:val="auto"/>
                <w:sz w:val="24"/>
                <w:szCs w:val="24"/>
                <w:lang w:val="en-US" w:eastAsia="zh-CN"/>
              </w:rPr>
              <w:instrText xml:space="preserve"> = 4 \* ROMAN </w:instrText>
            </w:r>
            <w:r>
              <w:rPr>
                <w:rFonts w:hint="default" w:ascii="Times New Roman" w:hAnsi="Times New Roman" w:cs="Times New Roman"/>
                <w:color w:val="auto"/>
                <w:sz w:val="24"/>
                <w:szCs w:val="24"/>
                <w:lang w:val="en-US" w:eastAsia="zh-CN"/>
              </w:rPr>
              <w:fldChar w:fldCharType="separate"/>
            </w:r>
            <w:r>
              <w:rPr>
                <w:rFonts w:hint="default" w:ascii="Times New Roman" w:hAnsi="Times New Roman" w:cs="Times New Roman"/>
                <w:color w:val="auto"/>
                <w:sz w:val="24"/>
                <w:szCs w:val="24"/>
                <w:lang w:val="en-US" w:eastAsia="zh-CN"/>
              </w:rPr>
              <w:t>IV</w:t>
            </w:r>
            <w:r>
              <w:rPr>
                <w:rFonts w:hint="default" w:ascii="Times New Roman" w:hAnsi="Times New Roman" w:cs="Times New Roman"/>
                <w:color w:val="auto"/>
                <w:sz w:val="24"/>
                <w:szCs w:val="24"/>
                <w:lang w:val="en-US" w:eastAsia="zh-CN"/>
              </w:rPr>
              <w:fldChar w:fldCharType="end"/>
            </w:r>
            <w:r>
              <w:rPr>
                <w:rFonts w:hint="default" w:ascii="Times New Roman" w:hAnsi="Times New Roman" w:cs="Times New Roman"/>
                <w:color w:val="auto"/>
                <w:sz w:val="24"/>
                <w:szCs w:val="24"/>
                <w:lang w:val="en-US" w:eastAsia="zh-CN"/>
              </w:rPr>
              <w:t>类项目，不需要开展土壤环境影响评价。</w:t>
            </w:r>
          </w:p>
          <w:p>
            <w:pPr>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eastAsia="zh-CN"/>
              </w:rPr>
              <w:t>富民县植被系亚热带西部中山半湿润常绿阔叶林和亚热带暖性针叶林，植被类型十分丰富，既有滇中地区代表性的青冈栎属和石栎属为主的常绿阔叶林和云南松为主的针叶林，也有森林破坏后形成的各类次生植物群落，主要代表树种有高山栲、元江栲、滇青冈、滇石栎、云南松、华山松、桉树、柏树和桤木等。</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本项目</w:t>
            </w:r>
            <w:r>
              <w:rPr>
                <w:rFonts w:hint="eastAsia" w:ascii="Times New Roman" w:hAnsi="Times New Roman" w:cs="Times New Roman"/>
                <w:color w:val="auto"/>
                <w:sz w:val="24"/>
                <w:szCs w:val="24"/>
                <w:lang w:val="en-US" w:eastAsia="zh-CN"/>
              </w:rPr>
              <w:t>位于</w:t>
            </w:r>
            <w:r>
              <w:rPr>
                <w:rFonts w:hint="eastAsia"/>
                <w:color w:val="auto"/>
                <w:sz w:val="24"/>
                <w:szCs w:val="24"/>
                <w:lang w:val="en-US" w:eastAsia="zh-CN"/>
              </w:rPr>
              <w:t>富民县工业园哨箐片区</w:t>
            </w:r>
            <w:r>
              <w:rPr>
                <w:rFonts w:hint="eastAsia" w:cs="Times New Roman"/>
                <w:color w:val="auto"/>
                <w:kern w:val="2"/>
                <w:sz w:val="24"/>
                <w:szCs w:val="24"/>
                <w:lang w:val="en-US" w:eastAsia="zh-CN" w:bidi="ar-SA"/>
              </w:rPr>
              <w:t>，</w:t>
            </w:r>
            <w:r>
              <w:rPr>
                <w:rFonts w:hint="default" w:ascii="Times New Roman" w:hAnsi="Times New Roman" w:cs="Times New Roman"/>
                <w:color w:val="auto"/>
                <w:sz w:val="24"/>
                <w:szCs w:val="24"/>
              </w:rPr>
              <w:t>项目所在区域土壤类型主要为山原红壤、紫色土、水稻土和棕壤土</w:t>
            </w:r>
            <w:r>
              <w:rPr>
                <w:rFonts w:hint="eastAsia" w:cs="Times New Roman"/>
                <w:color w:val="auto"/>
                <w:sz w:val="24"/>
                <w:szCs w:val="24"/>
                <w:lang w:eastAsia="zh-CN"/>
              </w:rPr>
              <w:t>，主要植物类型为城市绿化植被，</w:t>
            </w:r>
            <w:r>
              <w:rPr>
                <w:rFonts w:hint="default" w:ascii="Times New Roman" w:hAnsi="Times New Roman" w:cs="Times New Roman"/>
                <w:color w:val="auto"/>
                <w:sz w:val="24"/>
                <w:szCs w:val="24"/>
              </w:rPr>
              <w:t>植物种类少，生物多样性差，无国家珍稀濒危保护物种</w:t>
            </w:r>
            <w:r>
              <w:rPr>
                <w:rFonts w:hint="eastAsia" w:cs="Times New Roman"/>
                <w:color w:val="auto"/>
                <w:sz w:val="24"/>
                <w:szCs w:val="24"/>
                <w:lang w:eastAsia="zh-CN"/>
              </w:rPr>
              <w:t>，</w:t>
            </w:r>
            <w:r>
              <w:rPr>
                <w:rFonts w:hint="default" w:ascii="Times New Roman" w:hAnsi="Times New Roman" w:cs="Times New Roman"/>
                <w:color w:val="auto"/>
                <w:sz w:val="24"/>
                <w:szCs w:val="24"/>
              </w:rPr>
              <w:t>无国家级和省级重点保护野生植物。</w:t>
            </w:r>
          </w:p>
          <w:p>
            <w:pPr>
              <w:pStyle w:val="110"/>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6、自然资源</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富民县矿产资源丰富，已探明的具有工业开发价值的有硝盐矿、钛砂矿、铝土矿、硅矿、铁矿、磷矿，方解石、彩玉石、大理石、石灰石等20余种。硝盐矿储量达32亿</w:t>
            </w:r>
            <w:r>
              <w:rPr>
                <w:rFonts w:hint="default" w:ascii="Times New Roman" w:hAnsi="Times New Roman" w:eastAsia="宋体" w:cs="Times New Roman"/>
                <w:color w:val="auto"/>
                <w:sz w:val="24"/>
                <w:szCs w:val="24"/>
                <w:lang w:eastAsia="zh-CN"/>
              </w:rPr>
              <w:t>t</w:t>
            </w:r>
            <w:r>
              <w:rPr>
                <w:rFonts w:hint="default" w:ascii="Times New Roman" w:hAnsi="Times New Roman" w:eastAsia="宋体" w:cs="Times New Roman"/>
                <w:color w:val="auto"/>
                <w:sz w:val="24"/>
                <w:szCs w:val="24"/>
              </w:rPr>
              <w:t>以上，氯化钠含量54％，有规模大、质量佳、易水溶、含硝高之特点，居全省各硝盐矿之首，经审批的工程控制Ｄ级储量6.1亿</w:t>
            </w:r>
            <w:r>
              <w:rPr>
                <w:rFonts w:hint="default" w:ascii="Times New Roman" w:hAnsi="Times New Roman" w:eastAsia="宋体" w:cs="Times New Roman"/>
                <w:color w:val="auto"/>
                <w:sz w:val="24"/>
                <w:szCs w:val="24"/>
                <w:lang w:eastAsia="zh-CN"/>
              </w:rPr>
              <w:t>t</w:t>
            </w:r>
            <w:r>
              <w:rPr>
                <w:rFonts w:hint="default" w:ascii="Times New Roman" w:hAnsi="Times New Roman" w:eastAsia="宋体" w:cs="Times New Roman"/>
                <w:color w:val="auto"/>
                <w:sz w:val="24"/>
                <w:szCs w:val="24"/>
              </w:rPr>
              <w:t>。钛矿，为特大型钛金沙矿床，储量居全国前列，达1000万</w:t>
            </w:r>
            <w:r>
              <w:rPr>
                <w:rFonts w:hint="default" w:ascii="Times New Roman" w:hAnsi="Times New Roman" w:eastAsia="宋体" w:cs="Times New Roman"/>
                <w:color w:val="auto"/>
                <w:sz w:val="24"/>
                <w:szCs w:val="24"/>
                <w:lang w:eastAsia="zh-CN"/>
              </w:rPr>
              <w:t>t</w:t>
            </w:r>
            <w:r>
              <w:rPr>
                <w:rFonts w:hint="default" w:ascii="Times New Roman" w:hAnsi="Times New Roman" w:eastAsia="宋体" w:cs="Times New Roman"/>
                <w:color w:val="auto"/>
                <w:sz w:val="24"/>
                <w:szCs w:val="24"/>
              </w:rPr>
              <w:t>以上，且品位高，质量好，矿床裸露地表，可直接露采。铝土矿储量2500万</w:t>
            </w:r>
            <w:r>
              <w:rPr>
                <w:rFonts w:hint="default" w:ascii="Times New Roman" w:hAnsi="Times New Roman" w:eastAsia="宋体" w:cs="Times New Roman"/>
                <w:color w:val="auto"/>
                <w:sz w:val="24"/>
                <w:szCs w:val="24"/>
                <w:lang w:eastAsia="zh-CN"/>
              </w:rPr>
              <w:t>t</w:t>
            </w:r>
            <w:r>
              <w:rPr>
                <w:rFonts w:hint="default" w:ascii="Times New Roman" w:hAnsi="Times New Roman" w:eastAsia="宋体" w:cs="Times New Roman"/>
                <w:color w:val="auto"/>
                <w:sz w:val="24"/>
                <w:szCs w:val="24"/>
              </w:rPr>
              <w:t>，大理石储量200万</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rPr>
              <w:t>，彩玉石储量170万</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rPr>
              <w:t>。</w:t>
            </w:r>
          </w:p>
          <w:p>
            <w:pPr>
              <w:pStyle w:val="110"/>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auto"/>
                <w:sz w:val="24"/>
                <w:szCs w:val="24"/>
                <w:lang w:eastAsia="zh-CN"/>
              </w:rPr>
            </w:pPr>
            <w:r>
              <w:rPr>
                <w:rFonts w:hint="default" w:ascii="Times New Roman" w:hAnsi="Times New Roman" w:eastAsia="宋体" w:cs="Times New Roman"/>
                <w:b/>
                <w:bCs/>
                <w:color w:val="auto"/>
                <w:sz w:val="24"/>
                <w:szCs w:val="24"/>
              </w:rPr>
              <w:t>7、</w:t>
            </w:r>
            <w:r>
              <w:rPr>
                <w:rFonts w:hint="default" w:ascii="Times New Roman" w:hAnsi="Times New Roman" w:cs="Times New Roman"/>
                <w:b/>
                <w:bCs/>
                <w:color w:val="auto"/>
                <w:sz w:val="24"/>
                <w:szCs w:val="24"/>
                <w:lang w:eastAsia="zh-CN"/>
              </w:rPr>
              <w:t>环境敏感区域</w:t>
            </w:r>
          </w:p>
          <w:p>
            <w:pPr>
              <w:keepNext w:val="0"/>
              <w:keepLines w:val="0"/>
              <w:pageBreakBefore w:val="0"/>
              <w:kinsoku/>
              <w:wordWrap/>
              <w:overflowPunct/>
              <w:topLinePunct w:val="0"/>
              <w:autoSpaceDE/>
              <w:autoSpaceDN/>
              <w:bidi w:val="0"/>
              <w:adjustRightInd w:val="0"/>
              <w:snapToGrid w:val="0"/>
              <w:spacing w:line="360" w:lineRule="auto"/>
              <w:ind w:firstLine="460" w:firstLineChars="192"/>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依据</w:t>
            </w:r>
            <w:r>
              <w:rPr>
                <w:rFonts w:hint="default" w:ascii="Times New Roman" w:hAnsi="Times New Roman" w:eastAsia="宋体" w:cs="Times New Roman"/>
                <w:color w:val="auto"/>
                <w:sz w:val="24"/>
                <w:szCs w:val="24"/>
              </w:rPr>
              <w:t>《昆明富民工业园区总体规划（2010-2030年）》</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项目所在地不</w:t>
            </w:r>
            <w:r>
              <w:rPr>
                <w:rFonts w:hint="default" w:ascii="Times New Roman" w:hAnsi="Times New Roman" w:eastAsia="宋体" w:cs="Times New Roman"/>
                <w:color w:val="auto"/>
                <w:sz w:val="24"/>
                <w:szCs w:val="24"/>
                <w:lang w:eastAsia="zh-CN"/>
              </w:rPr>
              <w:t>在</w:t>
            </w:r>
            <w:r>
              <w:rPr>
                <w:rFonts w:hint="default" w:ascii="Times New Roman" w:hAnsi="Times New Roman" w:eastAsia="宋体" w:cs="Times New Roman"/>
                <w:color w:val="auto"/>
                <w:sz w:val="24"/>
                <w:szCs w:val="24"/>
              </w:rPr>
              <w:t>风景名胜区、水源保护区、自然保护区</w:t>
            </w:r>
            <w:r>
              <w:rPr>
                <w:rFonts w:hint="default" w:ascii="Times New Roman" w:hAnsi="Times New Roman" w:eastAsia="宋体" w:cs="Times New Roman"/>
                <w:color w:val="auto"/>
                <w:sz w:val="24"/>
                <w:szCs w:val="24"/>
                <w:lang w:eastAsia="zh-CN"/>
              </w:rPr>
              <w:t>等生态红线范围内</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eastAsia="zh-CN"/>
              </w:rPr>
              <w:t>也无</w:t>
            </w:r>
            <w:r>
              <w:rPr>
                <w:rFonts w:hint="default" w:ascii="Times New Roman" w:hAnsi="Times New Roman" w:eastAsia="宋体" w:cs="Times New Roman"/>
                <w:color w:val="auto"/>
                <w:sz w:val="24"/>
                <w:szCs w:val="24"/>
              </w:rPr>
              <w:t>重点文物保护单位，无需要特殊保护的动、植物资源。</w:t>
            </w:r>
          </w:p>
          <w:p>
            <w:pPr>
              <w:pStyle w:val="110"/>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8、富民工业园区基本情况</w:t>
            </w:r>
          </w:p>
          <w:p>
            <w:pPr>
              <w:keepNext w:val="0"/>
              <w:keepLines w:val="0"/>
              <w:pageBreakBefore w:val="0"/>
              <w:kinsoku/>
              <w:wordWrap/>
              <w:overflowPunct/>
              <w:topLinePunct w:val="0"/>
              <w:autoSpaceDE/>
              <w:autoSpaceDN/>
              <w:bidi w:val="0"/>
              <w:adjustRightInd w:val="0"/>
              <w:snapToGrid w:val="0"/>
              <w:spacing w:line="360" w:lineRule="auto"/>
              <w:ind w:firstLine="420" w:firstLineChars="175"/>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（1）富民工业园区简介</w:t>
            </w:r>
          </w:p>
          <w:p>
            <w:pPr>
              <w:pStyle w:val="111"/>
              <w:keepNext w:val="0"/>
              <w:keepLines w:val="0"/>
              <w:pageBreakBefore w:val="0"/>
              <w:widowControl w:val="0"/>
              <w:shd w:val="clear" w:color="auto" w:fill="auto"/>
              <w:kinsoku/>
              <w:wordWrap w:val="0"/>
              <w:overflowPunct/>
              <w:topLinePunct/>
              <w:autoSpaceDE/>
              <w:autoSpaceDN/>
              <w:bidi w:val="0"/>
              <w:adjustRightInd w:val="0"/>
              <w:snapToGrid w:val="0"/>
              <w:spacing w:before="0" w:line="360" w:lineRule="auto"/>
              <w:ind w:left="0" w:leftChars="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富民工业园区位于富民永定街道、罗免镇、赤鹫镇、散</w:t>
            </w:r>
            <w:r>
              <w:rPr>
                <w:rFonts w:hint="default" w:ascii="Times New Roman" w:hAnsi="Times New Roman" w:eastAsia="宋体" w:cs="Times New Roman"/>
                <w:color w:val="auto"/>
                <w:sz w:val="24"/>
                <w:szCs w:val="24"/>
                <w:lang w:eastAsia="zh-CN"/>
              </w:rPr>
              <w:t>旦</w:t>
            </w:r>
            <w:r>
              <w:rPr>
                <w:rFonts w:hint="default" w:ascii="Times New Roman" w:hAnsi="Times New Roman" w:eastAsia="宋体" w:cs="Times New Roman"/>
                <w:color w:val="auto"/>
                <w:sz w:val="24"/>
                <w:szCs w:val="24"/>
              </w:rPr>
              <w:t>镇、款庄镇、东村镇的部分区域，各级主管部门对富民工</w:t>
            </w:r>
            <w:r>
              <w:rPr>
                <w:rFonts w:hint="default" w:ascii="Times New Roman" w:hAnsi="Times New Roman" w:eastAsia="宋体" w:cs="Times New Roman"/>
                <w:color w:val="auto"/>
                <w:sz w:val="24"/>
                <w:szCs w:val="24"/>
                <w:lang w:val="zh-CN" w:eastAsia="zh-CN"/>
              </w:rPr>
              <w:t>业园区</w:t>
            </w:r>
            <w:r>
              <w:rPr>
                <w:rFonts w:hint="default" w:ascii="Times New Roman" w:hAnsi="Times New Roman" w:eastAsia="宋体" w:cs="Times New Roman"/>
                <w:color w:val="auto"/>
                <w:sz w:val="24"/>
                <w:szCs w:val="24"/>
              </w:rPr>
              <w:t>规划和建设高度重视2006年完成了《富民工业集聚区总体规划</w:t>
            </w:r>
            <w:r>
              <w:rPr>
                <w:rFonts w:hint="default" w:ascii="Times New Roman" w:hAnsi="Times New Roman" w:eastAsia="宋体" w:cs="Times New Roman"/>
                <w:color w:val="auto"/>
                <w:sz w:val="24"/>
                <w:szCs w:val="24"/>
                <w:lang w:val="en-US" w:eastAsia="en-US"/>
              </w:rPr>
              <w:t>(2006-2020</w:t>
            </w:r>
            <w:r>
              <w:rPr>
                <w:rFonts w:hint="default" w:ascii="Times New Roman" w:hAnsi="Times New Roman" w:eastAsia="宋体" w:cs="Times New Roman"/>
                <w:color w:val="auto"/>
                <w:sz w:val="24"/>
                <w:szCs w:val="24"/>
              </w:rPr>
              <w:t>年)》的编制并获昆明市工业和信息化委员会批准实施，并于2008年7月取得了《富民工业集聚区总体规划环境影响报告书》审査意见</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2008年被省工信委确定为省级工业园区。</w:t>
            </w:r>
          </w:p>
          <w:p>
            <w:pPr>
              <w:pStyle w:val="111"/>
              <w:keepNext w:val="0"/>
              <w:keepLines w:val="0"/>
              <w:pageBreakBefore w:val="0"/>
              <w:widowControl w:val="0"/>
              <w:shd w:val="clear" w:color="auto" w:fill="auto"/>
              <w:kinsoku/>
              <w:wordWrap w:val="0"/>
              <w:overflowPunct/>
              <w:topLinePunct/>
              <w:autoSpaceDE/>
              <w:autoSpaceDN/>
              <w:bidi w:val="0"/>
              <w:adjustRightInd w:val="0"/>
              <w:snapToGrid w:val="0"/>
              <w:spacing w:before="0" w:line="360" w:lineRule="auto"/>
              <w:ind w:left="0" w:leftChars="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随</w:t>
            </w:r>
            <w:r>
              <w:rPr>
                <w:rFonts w:hint="default" w:ascii="Times New Roman" w:hAnsi="Times New Roman" w:eastAsia="宋体" w:cs="Times New Roman"/>
                <w:color w:val="auto"/>
                <w:sz w:val="24"/>
                <w:szCs w:val="24"/>
                <w:lang w:eastAsia="zh-CN"/>
              </w:rPr>
              <w:t>着</w:t>
            </w:r>
            <w:r>
              <w:rPr>
                <w:rFonts w:hint="default" w:ascii="Times New Roman" w:hAnsi="Times New Roman" w:eastAsia="宋体" w:cs="Times New Roman"/>
                <w:color w:val="auto"/>
                <w:sz w:val="24"/>
                <w:szCs w:val="24"/>
              </w:rPr>
              <w:t>云南省出台了关于推动工业跨越式发展以及</w:t>
            </w:r>
            <w:r>
              <w:rPr>
                <w:rFonts w:hint="default" w:ascii="Times New Roman" w:hAnsi="Times New Roman" w:eastAsia="宋体" w:cs="Times New Roman"/>
                <w:color w:val="auto"/>
                <w:sz w:val="24"/>
                <w:szCs w:val="24"/>
                <w:lang w:val="zh-CN" w:eastAsia="zh-CN"/>
              </w:rPr>
              <w:t>“城</w:t>
            </w:r>
            <w:r>
              <w:rPr>
                <w:rFonts w:hint="default" w:ascii="Times New Roman" w:hAnsi="Times New Roman" w:eastAsia="宋体" w:cs="Times New Roman"/>
                <w:color w:val="auto"/>
                <w:sz w:val="24"/>
                <w:szCs w:val="24"/>
              </w:rPr>
              <w:t>镇、工业上山”的新政策，昆明市针对全市产业布局提出了调整优化的新要求。同时，随着近年来外围工业经济形式的发展和政策细则的落实，原</w:t>
            </w:r>
            <w:r>
              <w:rPr>
                <w:rFonts w:hint="default" w:ascii="Times New Roman" w:hAnsi="Times New Roman" w:eastAsia="宋体" w:cs="Times New Roman"/>
                <w:color w:val="auto"/>
                <w:sz w:val="24"/>
                <w:szCs w:val="24"/>
                <w:lang w:eastAsia="zh-CN"/>
              </w:rPr>
              <w:t>有</w:t>
            </w:r>
            <w:r>
              <w:rPr>
                <w:rFonts w:hint="default" w:ascii="Times New Roman" w:hAnsi="Times New Roman" w:eastAsia="宋体" w:cs="Times New Roman"/>
                <w:color w:val="auto"/>
                <w:sz w:val="24"/>
                <w:szCs w:val="24"/>
              </w:rPr>
              <w:t>工业园区的规划</w:t>
            </w:r>
            <w:r>
              <w:rPr>
                <w:rFonts w:hint="default" w:ascii="Times New Roman" w:hAnsi="Times New Roman" w:eastAsia="宋体" w:cs="Times New Roman"/>
                <w:color w:val="auto"/>
                <w:sz w:val="24"/>
                <w:szCs w:val="24"/>
                <w:lang w:eastAsia="zh-CN"/>
              </w:rPr>
              <w:t>已</w:t>
            </w:r>
            <w:r>
              <w:rPr>
                <w:rFonts w:hint="default" w:ascii="Times New Roman" w:hAnsi="Times New Roman" w:eastAsia="宋体" w:cs="Times New Roman"/>
                <w:color w:val="auto"/>
                <w:sz w:val="24"/>
                <w:szCs w:val="24"/>
              </w:rPr>
              <w:t>不能满足目前的 发展需求，需对原有工业园区总体规划作出调整。调整</w:t>
            </w:r>
            <w:r>
              <w:rPr>
                <w:rFonts w:hint="default" w:ascii="Times New Roman" w:hAnsi="Times New Roman" w:eastAsia="宋体" w:cs="Times New Roman"/>
                <w:color w:val="auto"/>
                <w:sz w:val="24"/>
                <w:szCs w:val="24"/>
                <w:lang w:eastAsia="zh-CN"/>
              </w:rPr>
              <w:t>工</w:t>
            </w:r>
            <w:r>
              <w:rPr>
                <w:rFonts w:hint="default" w:ascii="Times New Roman" w:hAnsi="Times New Roman" w:eastAsia="宋体" w:cs="Times New Roman"/>
                <w:color w:val="auto"/>
                <w:sz w:val="24"/>
                <w:szCs w:val="24"/>
              </w:rPr>
              <w:t>作中，主要是结合园区发展需求的实际情况，重新划定了规划范围，确定本次富民工业园规划区范围为四个片区，其中，白石岩</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zh-CN" w:eastAsia="zh-CN"/>
              </w:rPr>
              <w:t>大</w:t>
            </w:r>
            <w:r>
              <w:rPr>
                <w:rFonts w:hint="default" w:ascii="Times New Roman" w:hAnsi="Times New Roman" w:eastAsia="宋体" w:cs="Times New Roman"/>
                <w:color w:val="auto"/>
                <w:sz w:val="24"/>
                <w:szCs w:val="24"/>
                <w:lang w:eastAsia="zh-CN"/>
              </w:rPr>
              <w:t>白</w:t>
            </w:r>
            <w:r>
              <w:rPr>
                <w:rFonts w:hint="default" w:ascii="Times New Roman" w:hAnsi="Times New Roman" w:eastAsia="宋体" w:cs="Times New Roman"/>
                <w:color w:val="auto"/>
                <w:sz w:val="24"/>
                <w:szCs w:val="24"/>
              </w:rPr>
              <w:t>坡</w:t>
            </w:r>
            <w:r>
              <w:rPr>
                <w:rFonts w:hint="default" w:ascii="Times New Roman" w:hAnsi="Times New Roman" w:eastAsia="宋体" w:cs="Times New Roman"/>
                <w:color w:val="auto"/>
                <w:sz w:val="24"/>
                <w:szCs w:val="24"/>
                <w:lang w:eastAsia="zh-CN"/>
              </w:rPr>
              <w:t>片</w:t>
            </w:r>
            <w:r>
              <w:rPr>
                <w:rFonts w:hint="default" w:ascii="Times New Roman" w:hAnsi="Times New Roman" w:eastAsia="宋体" w:cs="Times New Roman"/>
                <w:color w:val="auto"/>
                <w:sz w:val="24"/>
                <w:szCs w:val="24"/>
              </w:rPr>
              <w:t>区主要包括白石岩、大白坡、哨</w:t>
            </w:r>
            <w:r>
              <w:rPr>
                <w:rFonts w:hint="default" w:ascii="Times New Roman" w:hAnsi="Times New Roman" w:eastAsia="宋体" w:cs="Times New Roman"/>
                <w:color w:val="auto"/>
                <w:sz w:val="24"/>
                <w:szCs w:val="24"/>
                <w:lang w:eastAsia="zh-CN"/>
              </w:rPr>
              <w:t>箐</w:t>
            </w:r>
            <w:r>
              <w:rPr>
                <w:rFonts w:hint="default" w:ascii="Times New Roman" w:hAnsi="Times New Roman" w:eastAsia="宋体" w:cs="Times New Roman"/>
                <w:color w:val="auto"/>
                <w:sz w:val="24"/>
                <w:szCs w:val="24"/>
              </w:rPr>
              <w:t>与赤鹫组团，大营</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zh-CN" w:eastAsia="zh-CN"/>
              </w:rPr>
              <w:t>茨塘</w:t>
            </w:r>
            <w:r>
              <w:rPr>
                <w:rFonts w:hint="default" w:ascii="Times New Roman" w:hAnsi="Times New Roman" w:eastAsia="宋体" w:cs="Times New Roman"/>
                <w:color w:val="auto"/>
                <w:sz w:val="24"/>
                <w:szCs w:val="24"/>
              </w:rPr>
              <w:t>片区主要包括大营、茨塘组团，散旦片区主要包括散旦南、散旦西与散旦北组团，款庄</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zh-CN" w:eastAsia="zh-CN"/>
              </w:rPr>
              <w:t>东村</w:t>
            </w:r>
            <w:r>
              <w:rPr>
                <w:rFonts w:hint="default" w:ascii="Times New Roman" w:hAnsi="Times New Roman" w:eastAsia="宋体" w:cs="Times New Roman"/>
                <w:color w:val="auto"/>
                <w:sz w:val="24"/>
                <w:szCs w:val="24"/>
              </w:rPr>
              <w:t>片区主要包括款庄、东村与和平</w:t>
            </w:r>
            <w:r>
              <w:rPr>
                <w:rFonts w:hint="default" w:ascii="Times New Roman" w:hAnsi="Times New Roman" w:eastAsia="宋体" w:cs="Times New Roman"/>
                <w:color w:val="auto"/>
                <w:sz w:val="24"/>
                <w:szCs w:val="24"/>
                <w:lang w:val="zh-CN" w:eastAsia="zh-CN"/>
              </w:rPr>
              <w:t>组团。</w:t>
            </w:r>
            <w:r>
              <w:rPr>
                <w:rFonts w:hint="default" w:ascii="Times New Roman" w:hAnsi="Times New Roman" w:eastAsia="宋体" w:cs="Times New Roman"/>
                <w:color w:val="auto"/>
                <w:sz w:val="24"/>
                <w:szCs w:val="24"/>
              </w:rPr>
              <w:t>在原来规划的基础上新增加</w:t>
            </w:r>
            <w:r>
              <w:rPr>
                <w:rFonts w:hint="default" w:ascii="Times New Roman" w:hAnsi="Times New Roman" w:eastAsia="宋体" w:cs="Times New Roman"/>
                <w:color w:val="auto"/>
                <w:sz w:val="24"/>
                <w:szCs w:val="24"/>
                <w:lang w:val="zh-CN" w:eastAsia="zh-CN"/>
              </w:rPr>
              <w:t>了赤</w:t>
            </w:r>
            <w:r>
              <w:rPr>
                <w:rFonts w:hint="default" w:ascii="Times New Roman" w:hAnsi="Times New Roman" w:eastAsia="宋体" w:cs="Times New Roman"/>
                <w:color w:val="auto"/>
                <w:sz w:val="24"/>
                <w:szCs w:val="24"/>
              </w:rPr>
              <w:t>鹫镇、散旦镇、款庄镇和东村镇的部分区域，规划建设用地面积由原来的</w:t>
            </w:r>
            <w:r>
              <w:rPr>
                <w:rFonts w:hint="default" w:ascii="Times New Roman" w:hAnsi="Times New Roman" w:eastAsia="宋体" w:cs="Times New Roman"/>
                <w:color w:val="auto"/>
                <w:sz w:val="24"/>
                <w:szCs w:val="24"/>
                <w:lang w:val="en-US" w:eastAsia="en-US"/>
              </w:rPr>
              <w:t>10.22</w:t>
            </w:r>
            <w:r>
              <w:rPr>
                <w:rFonts w:hint="default" w:ascii="Times New Roman" w:hAnsi="Times New Roman" w:eastAsia="宋体" w:cs="Times New Roman"/>
                <w:color w:val="auto"/>
                <w:sz w:val="24"/>
                <w:szCs w:val="24"/>
              </w:rPr>
              <w:t>平方公里调整为</w:t>
            </w:r>
            <w:r>
              <w:rPr>
                <w:rFonts w:hint="default" w:ascii="Times New Roman" w:hAnsi="Times New Roman" w:eastAsia="宋体" w:cs="Times New Roman"/>
                <w:color w:val="auto"/>
                <w:sz w:val="24"/>
                <w:szCs w:val="24"/>
                <w:lang w:val="en-US" w:eastAsia="en-US"/>
              </w:rPr>
              <w:t>30.4</w:t>
            </w:r>
            <w:r>
              <w:rPr>
                <w:rFonts w:hint="default" w:ascii="Times New Roman" w:hAnsi="Times New Roman" w:eastAsia="宋体" w:cs="Times New Roman"/>
                <w:color w:val="auto"/>
                <w:sz w:val="24"/>
                <w:szCs w:val="24"/>
              </w:rPr>
              <w:t>平方公里，增加了</w:t>
            </w:r>
            <w:r>
              <w:rPr>
                <w:rFonts w:hint="default" w:ascii="Times New Roman" w:hAnsi="Times New Roman" w:eastAsia="宋体" w:cs="Times New Roman"/>
                <w:color w:val="auto"/>
                <w:sz w:val="24"/>
                <w:szCs w:val="24"/>
                <w:lang w:val="en-US" w:eastAsia="en-US"/>
              </w:rPr>
              <w:t>20.18</w:t>
            </w:r>
            <w:r>
              <w:rPr>
                <w:rFonts w:hint="default" w:ascii="Times New Roman" w:hAnsi="Times New Roman" w:eastAsia="宋体" w:cs="Times New Roman"/>
                <w:color w:val="auto"/>
                <w:sz w:val="24"/>
                <w:szCs w:val="24"/>
              </w:rPr>
              <w:t>平方公里。调整了发展定位，是以装备制造、钛盐化工和新材料三大产业为主导的产业基地，取消了</w:t>
            </w:r>
            <w:r>
              <w:rPr>
                <w:rFonts w:hint="default" w:ascii="Times New Roman" w:hAnsi="Times New Roman" w:eastAsia="宋体" w:cs="Times New Roman"/>
                <w:color w:val="auto"/>
                <w:sz w:val="24"/>
                <w:szCs w:val="24"/>
                <w:lang w:eastAsia="zh-CN"/>
              </w:rPr>
              <w:t>原</w:t>
            </w:r>
            <w:r>
              <w:rPr>
                <w:rFonts w:hint="default" w:ascii="Times New Roman" w:hAnsi="Times New Roman" w:eastAsia="宋体" w:cs="Times New Roman"/>
                <w:color w:val="auto"/>
                <w:sz w:val="24"/>
                <w:szCs w:val="24"/>
              </w:rPr>
              <w:t>规划的硫化工、磷化工和饲料添加剂产业。产业布后由原规划的北营、麦竜、大营三个产业片区和奎南物流中心</w:t>
            </w:r>
            <w:r>
              <w:rPr>
                <w:rFonts w:hint="default" w:ascii="Times New Roman" w:hAnsi="Times New Roman" w:eastAsia="宋体" w:cs="Times New Roman"/>
                <w:color w:val="auto"/>
                <w:sz w:val="24"/>
                <w:szCs w:val="24"/>
                <w:lang w:val="zh-CN" w:eastAsia="zh-CN"/>
              </w:rPr>
              <w:t>“三片</w:t>
            </w:r>
            <w:r>
              <w:rPr>
                <w:rFonts w:hint="default" w:ascii="Times New Roman" w:hAnsi="Times New Roman" w:eastAsia="宋体" w:cs="Times New Roman"/>
                <w:color w:val="auto"/>
                <w:sz w:val="24"/>
                <w:szCs w:val="24"/>
              </w:rPr>
              <w:t>一中心</w:t>
            </w:r>
            <w:r>
              <w:rPr>
                <w:rFonts w:hint="default" w:ascii="Times New Roman" w:hAnsi="Times New Roman" w:eastAsia="宋体" w:cs="Times New Roman"/>
                <w:color w:val="auto"/>
                <w:sz w:val="24"/>
                <w:szCs w:val="24"/>
                <w:lang w:val="zh-CN" w:eastAsia="zh-CN"/>
              </w:rPr>
              <w:t>“结</w:t>
            </w:r>
            <w:r>
              <w:rPr>
                <w:rFonts w:hint="default" w:ascii="Times New Roman" w:hAnsi="Times New Roman" w:eastAsia="宋体" w:cs="Times New Roman"/>
                <w:color w:val="auto"/>
                <w:sz w:val="24"/>
                <w:szCs w:val="24"/>
              </w:rPr>
              <w:t>构，调整为包括白石岩</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zh-CN" w:eastAsia="zh-CN"/>
              </w:rPr>
              <w:t>大</w:t>
            </w:r>
            <w:r>
              <w:rPr>
                <w:rFonts w:hint="default" w:ascii="Times New Roman" w:hAnsi="Times New Roman" w:eastAsia="宋体" w:cs="Times New Roman"/>
                <w:color w:val="auto"/>
                <w:sz w:val="24"/>
                <w:szCs w:val="24"/>
              </w:rPr>
              <w:t>白坡片区、大营片区、散旦片</w:t>
            </w:r>
            <w:r>
              <w:rPr>
                <w:rFonts w:hint="default" w:ascii="Times New Roman" w:hAnsi="Times New Roman" w:eastAsia="宋体" w:cs="Times New Roman"/>
                <w:color w:val="auto"/>
                <w:sz w:val="24"/>
                <w:szCs w:val="24"/>
                <w:lang w:eastAsia="zh-CN"/>
              </w:rPr>
              <w:t>区、</w:t>
            </w:r>
            <w:r>
              <w:rPr>
                <w:rFonts w:hint="default" w:ascii="Times New Roman" w:hAnsi="Times New Roman" w:eastAsia="宋体" w:cs="Times New Roman"/>
                <w:color w:val="auto"/>
                <w:sz w:val="24"/>
                <w:szCs w:val="24"/>
              </w:rPr>
              <w:t>款庄</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zh-CN" w:eastAsia="zh-CN"/>
              </w:rPr>
              <w:t>东村</w:t>
            </w:r>
            <w:r>
              <w:rPr>
                <w:rFonts w:hint="default" w:ascii="Times New Roman" w:hAnsi="Times New Roman" w:eastAsia="宋体" w:cs="Times New Roman"/>
                <w:color w:val="auto"/>
                <w:sz w:val="24"/>
                <w:szCs w:val="24"/>
              </w:rPr>
              <w:t>片区四个工业片区。</w:t>
            </w:r>
          </w:p>
          <w:p>
            <w:pPr>
              <w:pStyle w:val="111"/>
              <w:keepNext w:val="0"/>
              <w:keepLines w:val="0"/>
              <w:pageBreakBefore w:val="0"/>
              <w:widowControl w:val="0"/>
              <w:shd w:val="clear" w:color="auto" w:fill="auto"/>
              <w:kinsoku/>
              <w:wordWrap w:val="0"/>
              <w:overflowPunct/>
              <w:topLinePunct/>
              <w:autoSpaceDE/>
              <w:autoSpaceDN/>
              <w:bidi w:val="0"/>
              <w:adjustRightInd w:val="0"/>
              <w:snapToGrid w:val="0"/>
              <w:spacing w:before="0" w:line="360" w:lineRule="auto"/>
              <w:ind w:left="0" w:right="0" w:firstLine="480" w:firstLineChars="200"/>
              <w:jc w:val="left"/>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按照修编后的规划，富民工业园区定位为：新型工业园区，以装备制造、钛盐化工和新材料三大产业为主导的产业基地，集生产、生活配套为一体的生态化工业园。整个工业园区规划范围面积为</w:t>
            </w:r>
            <w:r>
              <w:rPr>
                <w:rFonts w:hint="default" w:ascii="Times New Roman" w:hAnsi="Times New Roman" w:eastAsia="宋体" w:cs="Times New Roman"/>
                <w:color w:val="auto"/>
                <w:sz w:val="24"/>
                <w:szCs w:val="24"/>
                <w:lang w:val="en-US" w:eastAsia="en-US"/>
              </w:rPr>
              <w:t>67.37km</w:t>
            </w:r>
            <w:r>
              <w:rPr>
                <w:rFonts w:hint="default" w:ascii="Times New Roman" w:hAnsi="Times New Roman" w:eastAsia="宋体" w:cs="Times New Roman"/>
                <w:color w:val="auto"/>
                <w:sz w:val="24"/>
                <w:szCs w:val="24"/>
                <w:vertAlign w:val="superscript"/>
                <w:lang w:val="en-US" w:eastAsia="en-US"/>
              </w:rPr>
              <w:t>2</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园区建设用地面积为</w:t>
            </w:r>
            <w:r>
              <w:rPr>
                <w:rFonts w:hint="default" w:ascii="Times New Roman" w:hAnsi="Times New Roman" w:eastAsia="宋体" w:cs="Times New Roman"/>
                <w:color w:val="auto"/>
                <w:sz w:val="24"/>
                <w:szCs w:val="24"/>
                <w:lang w:val="en-US" w:eastAsia="en-US"/>
              </w:rPr>
              <w:t>30.4km</w:t>
            </w:r>
            <w:r>
              <w:rPr>
                <w:rFonts w:hint="default" w:ascii="Times New Roman" w:hAnsi="Times New Roman" w:eastAsia="宋体" w:cs="Times New Roman"/>
                <w:color w:val="auto"/>
                <w:sz w:val="24"/>
                <w:szCs w:val="24"/>
                <w:vertAlign w:val="superscript"/>
                <w:lang w:val="en-US" w:eastAsia="en-US"/>
              </w:rPr>
              <w:t>2</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按照《富民工业园区总体规划修编（2015-2030）》，园区产业规划构建“两</w:t>
            </w:r>
            <w:r>
              <w:rPr>
                <w:rFonts w:hint="default" w:ascii="Times New Roman" w:hAnsi="Times New Roman" w:eastAsia="宋体" w:cs="Times New Roman"/>
                <w:color w:val="auto"/>
                <w:sz w:val="24"/>
                <w:szCs w:val="24"/>
                <w:lang w:eastAsia="zh-CN"/>
              </w:rPr>
              <w:t>轴</w:t>
            </w:r>
            <w:r>
              <w:rPr>
                <w:rFonts w:hint="default" w:ascii="Times New Roman" w:hAnsi="Times New Roman" w:eastAsia="宋体" w:cs="Times New Roman"/>
                <w:color w:val="auto"/>
                <w:sz w:val="24"/>
                <w:szCs w:val="24"/>
              </w:rPr>
              <w:t>三园六组团</w:t>
            </w:r>
            <w:r>
              <w:rPr>
                <w:rFonts w:hint="default" w:ascii="Times New Roman" w:hAnsi="Times New Roman" w:eastAsia="宋体" w:cs="Times New Roman"/>
                <w:color w:val="auto"/>
                <w:sz w:val="24"/>
                <w:szCs w:val="24"/>
                <w:lang w:val="zh-CN" w:eastAsia="zh-CN"/>
              </w:rPr>
              <w:t>”的</w:t>
            </w:r>
            <w:r>
              <w:rPr>
                <w:rFonts w:hint="default" w:ascii="Times New Roman" w:hAnsi="Times New Roman" w:eastAsia="宋体" w:cs="Times New Roman"/>
                <w:color w:val="auto"/>
                <w:sz w:val="24"/>
                <w:szCs w:val="24"/>
              </w:rPr>
              <w:t>产业空间布局结构。两轴为沿昆武高速公路和轿子山旅游专线形成两条产业发展轴线；三园为富民工业园区主要布局装备制造产业园、钛化工产业园和新材料产业园：六个产业组团为白石岩-哨</w:t>
            </w:r>
            <w:r>
              <w:rPr>
                <w:rFonts w:hint="default" w:ascii="Times New Roman" w:hAnsi="Times New Roman" w:eastAsia="宋体" w:cs="Times New Roman"/>
                <w:color w:val="auto"/>
                <w:sz w:val="24"/>
                <w:szCs w:val="24"/>
                <w:lang w:eastAsia="zh-CN"/>
              </w:rPr>
              <w:t>箐</w:t>
            </w:r>
            <w:r>
              <w:rPr>
                <w:rFonts w:hint="default" w:ascii="Times New Roman" w:hAnsi="Times New Roman" w:eastAsia="宋体" w:cs="Times New Roman"/>
                <w:color w:val="auto"/>
                <w:sz w:val="24"/>
                <w:szCs w:val="24"/>
              </w:rPr>
              <w:t>组团、大白坡组团、赤鹫组团、大营-茨塘组团、散旦组团和款庄-东村组团</w:t>
            </w:r>
            <w:r>
              <w:rPr>
                <w:rFonts w:hint="default" w:ascii="Times New Roman" w:hAnsi="Times New Roman" w:eastAsia="宋体" w:cs="Times New Roman"/>
                <w:color w:val="auto"/>
                <w:sz w:val="24"/>
                <w:szCs w:val="24"/>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富民工业园区总体规划修编（2015-2030年）环境影响报告书》，富民工业园区定位为新型工业园区，以装备制造、钛化工和新材料三大产业为主导的产业基地，集生产、生活配套为一体的生态工业园。园区包括白石岩—大白坡、大营—茨塘、散旦、款庄—东村四个工业片区。园区总规划面积67.37km</w:t>
            </w:r>
            <w:r>
              <w:rPr>
                <w:rFonts w:hint="default" w:ascii="Times New Roman" w:hAnsi="Times New Roman" w:eastAsia="宋体" w:cs="Times New Roman"/>
                <w:color w:val="auto"/>
                <w:sz w:val="24"/>
                <w:szCs w:val="24"/>
                <w:vertAlign w:val="superscript"/>
              </w:rPr>
              <w:t>2</w:t>
            </w:r>
            <w:r>
              <w:rPr>
                <w:rFonts w:hint="default" w:ascii="Times New Roman" w:hAnsi="Times New Roman" w:eastAsia="宋体" w:cs="Times New Roman"/>
                <w:color w:val="auto"/>
                <w:sz w:val="24"/>
                <w:szCs w:val="24"/>
              </w:rPr>
              <w:t>，园区建设用地为30.4km</w:t>
            </w:r>
            <w:r>
              <w:rPr>
                <w:rFonts w:hint="default" w:ascii="Times New Roman" w:hAnsi="Times New Roman" w:eastAsia="宋体" w:cs="Times New Roman"/>
                <w:color w:val="auto"/>
                <w:sz w:val="24"/>
                <w:szCs w:val="24"/>
                <w:vertAlign w:val="superscript"/>
              </w:rPr>
              <w:t>2</w:t>
            </w:r>
            <w:r>
              <w:rPr>
                <w:rFonts w:hint="default" w:ascii="Times New Roman" w:hAnsi="Times New Roman" w:eastAsia="宋体" w:cs="Times New Roman"/>
                <w:color w:val="auto"/>
                <w:sz w:val="24"/>
                <w:szCs w:val="24"/>
              </w:rPr>
              <w:t>，园区规划总人口9.87万人，规划期为2015~2030年。</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（2）片区规划产业结构</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本项目位于白石岩—大白坡</w:t>
            </w:r>
            <w:r>
              <w:rPr>
                <w:rFonts w:hint="default" w:ascii="Times New Roman" w:hAnsi="Times New Roman" w:eastAsia="宋体" w:cs="Times New Roman"/>
                <w:color w:val="auto"/>
                <w:sz w:val="24"/>
                <w:szCs w:val="24"/>
                <w:lang w:eastAsia="zh-CN"/>
              </w:rPr>
              <w:t>片区</w:t>
            </w:r>
            <w:r>
              <w:rPr>
                <w:rFonts w:hint="default" w:ascii="Times New Roman" w:hAnsi="Times New Roman" w:eastAsia="宋体" w:cs="Times New Roman"/>
                <w:color w:val="auto"/>
                <w:sz w:val="24"/>
                <w:szCs w:val="24"/>
                <w:lang w:val="zh-CN" w:eastAsia="zh-CN"/>
              </w:rPr>
              <w:t>哨箐组团</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eastAsia="zh-CN"/>
              </w:rPr>
              <w:t>根据</w:t>
            </w:r>
            <w:r>
              <w:rPr>
                <w:rFonts w:hint="default" w:ascii="Times New Roman" w:hAnsi="Times New Roman" w:eastAsia="宋体" w:cs="Times New Roman"/>
                <w:color w:val="auto"/>
                <w:sz w:val="24"/>
                <w:szCs w:val="24"/>
                <w:lang w:val="en-US" w:eastAsia="zh-CN"/>
              </w:rPr>
              <w:t>云南省环境保护厅关于《富民工业园区总体规划修编</w:t>
            </w:r>
            <w:r>
              <w:rPr>
                <w:rFonts w:hint="default" w:ascii="Times New Roman" w:hAnsi="Times New Roman" w:eastAsia="宋体" w:cs="Times New Roman"/>
                <w:color w:val="auto"/>
                <w:sz w:val="24"/>
                <w:szCs w:val="24"/>
                <w:lang w:val="en-US" w:eastAsia="en-US"/>
              </w:rPr>
              <w:t>（2015—2030</w:t>
            </w:r>
            <w:r>
              <w:rPr>
                <w:rFonts w:hint="default" w:ascii="Times New Roman" w:hAnsi="Times New Roman" w:eastAsia="宋体" w:cs="Times New Roman"/>
                <w:color w:val="auto"/>
                <w:sz w:val="24"/>
                <w:szCs w:val="24"/>
                <w:lang w:val="en-US" w:eastAsia="zh-CN"/>
              </w:rPr>
              <w:t>年）环境影响报吿书》审合意见的函（云环函[2016]10号），审合意见中白石岩一大白坡片区规划为钛产业、装备制造、精细化工产业区。白石岩—大白坡片区</w:t>
            </w:r>
            <w:r>
              <w:rPr>
                <w:rFonts w:hint="default" w:ascii="Times New Roman" w:hAnsi="Times New Roman" w:eastAsia="宋体" w:cs="Times New Roman"/>
                <w:color w:val="auto"/>
                <w:sz w:val="24"/>
                <w:szCs w:val="24"/>
                <w:lang w:val="zh-CN" w:eastAsia="zh-CN"/>
              </w:rPr>
              <w:t>哨箐</w:t>
            </w:r>
            <w:r>
              <w:rPr>
                <w:rFonts w:hint="default" w:ascii="Times New Roman" w:hAnsi="Times New Roman" w:eastAsia="宋体" w:cs="Times New Roman"/>
                <w:color w:val="auto"/>
                <w:sz w:val="24"/>
                <w:szCs w:val="24"/>
                <w:lang w:val="en-US" w:eastAsia="zh-CN"/>
              </w:rPr>
              <w:t>机械加工园产业布局主要以装备制造和精细化工为主导。</w:t>
            </w:r>
          </w:p>
          <w:p>
            <w:pPr>
              <w:pStyle w:val="49"/>
              <w:keepNext w:val="0"/>
              <w:keepLines w:val="0"/>
              <w:pageBreakBefore w:val="0"/>
              <w:widowControl w:val="0"/>
              <w:kinsoku/>
              <w:wordWrap/>
              <w:overflowPunct/>
              <w:topLinePunct w:val="0"/>
              <w:autoSpaceDE/>
              <w:autoSpaceDN/>
              <w:bidi w:val="0"/>
              <w:adjustRightInd w:val="0"/>
              <w:snapToGrid w:val="0"/>
              <w:ind w:left="0" w:right="0"/>
              <w:jc w:val="both"/>
              <w:textAlignment w:val="baseline"/>
              <w:rPr>
                <w:rFonts w:hint="default" w:ascii="Times New Roman" w:hAnsi="Times New Roman" w:cs="Times New Roman"/>
                <w:color w:val="auto"/>
                <w:lang w:val="en-US" w:eastAsia="zh-CN"/>
              </w:rPr>
            </w:pPr>
            <w:r>
              <w:rPr>
                <w:rFonts w:hint="default" w:ascii="Times New Roman" w:hAnsi="Times New Roman" w:eastAsia="宋体" w:cs="Times New Roman"/>
                <w:color w:val="auto"/>
                <w:sz w:val="24"/>
                <w:szCs w:val="24"/>
                <w:lang w:val="en-US" w:eastAsia="zh-CN"/>
              </w:rPr>
              <w:t>（3）园区规划环评</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云南大学于2010年对《昆明富民工业园区总体规划（2010-2030年）》环境影响报告书进行了编制；2015年，因重新对原规划进行了调整，云南大学于2015年10月编制完成了《富民工业园区总体规划修编（2015-2030年）环境影响报告书》并于2016年1月11日取得了云南省环保厅批复的“云南省环保厅关于《富民工业园区总体规划修编（2015-2030年）环境影响报告书》审查意见的函”（云环函〔2016〕10号）。</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rPr>
            </w:pPr>
          </w:p>
          <w:p>
            <w:pPr>
              <w:pStyle w:val="2"/>
              <w:rPr>
                <w:rFonts w:hint="default" w:ascii="Times New Roman" w:hAnsi="Times New Roman" w:eastAsia="宋体" w:cs="Times New Roman"/>
                <w:color w:val="auto"/>
                <w:sz w:val="24"/>
                <w:szCs w:val="24"/>
              </w:rPr>
            </w:pPr>
          </w:p>
          <w:p>
            <w:pPr>
              <w:pStyle w:val="3"/>
              <w:rPr>
                <w:rFonts w:hint="default" w:ascii="Times New Roman" w:hAnsi="Times New Roman" w:eastAsia="宋体" w:cs="Times New Roman"/>
                <w:color w:val="auto"/>
                <w:sz w:val="24"/>
                <w:szCs w:val="24"/>
              </w:rPr>
            </w:pPr>
          </w:p>
          <w:p>
            <w:pPr>
              <w:rPr>
                <w:rFonts w:hint="default" w:ascii="Times New Roman" w:hAnsi="Times New Roman" w:eastAsia="宋体" w:cs="Times New Roman"/>
                <w:color w:val="auto"/>
                <w:sz w:val="24"/>
                <w:szCs w:val="24"/>
              </w:rPr>
            </w:pPr>
          </w:p>
          <w:p>
            <w:pPr>
              <w:pStyle w:val="2"/>
              <w:rPr>
                <w:rFonts w:hint="default" w:ascii="Times New Roman" w:hAnsi="Times New Roman" w:eastAsia="宋体" w:cs="Times New Roman"/>
                <w:color w:val="auto"/>
                <w:sz w:val="24"/>
                <w:szCs w:val="24"/>
              </w:rPr>
            </w:pPr>
          </w:p>
          <w:p>
            <w:pPr>
              <w:pStyle w:val="3"/>
              <w:rPr>
                <w:rFonts w:hint="default" w:ascii="Times New Roman" w:hAnsi="Times New Roman" w:eastAsia="宋体" w:cs="Times New Roman"/>
                <w:color w:val="auto"/>
                <w:sz w:val="24"/>
                <w:szCs w:val="24"/>
              </w:rPr>
            </w:pPr>
          </w:p>
          <w:p>
            <w:pPr>
              <w:rPr>
                <w:rFonts w:hint="default" w:ascii="Times New Roman" w:hAnsi="Times New Roman" w:eastAsia="宋体" w:cs="Times New Roman"/>
                <w:color w:val="auto"/>
                <w:sz w:val="24"/>
                <w:szCs w:val="24"/>
              </w:rPr>
            </w:pPr>
          </w:p>
          <w:p>
            <w:pPr>
              <w:pStyle w:val="2"/>
              <w:rPr>
                <w:rFonts w:hint="default" w:ascii="Times New Roman" w:hAnsi="Times New Roman" w:eastAsia="宋体" w:cs="Times New Roman"/>
                <w:color w:val="auto"/>
                <w:sz w:val="24"/>
                <w:szCs w:val="24"/>
              </w:rPr>
            </w:pPr>
          </w:p>
          <w:p>
            <w:pPr>
              <w:pStyle w:val="3"/>
              <w:rPr>
                <w:rFonts w:hint="default" w:ascii="Times New Roman" w:hAnsi="Times New Roman" w:eastAsia="宋体" w:cs="Times New Roman"/>
                <w:color w:val="auto"/>
                <w:sz w:val="24"/>
                <w:szCs w:val="24"/>
              </w:rPr>
            </w:pPr>
          </w:p>
          <w:p>
            <w:pPr>
              <w:rPr>
                <w:rFonts w:hint="default" w:ascii="Times New Roman" w:hAnsi="Times New Roman" w:eastAsia="宋体" w:cs="Times New Roman"/>
                <w:color w:val="auto"/>
                <w:sz w:val="24"/>
                <w:szCs w:val="24"/>
              </w:rPr>
            </w:pPr>
          </w:p>
          <w:p>
            <w:pPr>
              <w:pStyle w:val="2"/>
              <w:rPr>
                <w:rFonts w:hint="default" w:ascii="Times New Roman" w:hAnsi="Times New Roman" w:eastAsia="宋体" w:cs="Times New Roman"/>
                <w:color w:val="auto"/>
                <w:sz w:val="24"/>
                <w:szCs w:val="24"/>
              </w:rPr>
            </w:pPr>
          </w:p>
          <w:p>
            <w:pPr>
              <w:pStyle w:val="3"/>
              <w:rPr>
                <w:rFonts w:hint="default" w:ascii="Times New Roman" w:hAnsi="Times New Roman" w:eastAsia="宋体" w:cs="Times New Roman"/>
                <w:color w:val="auto"/>
                <w:sz w:val="24"/>
                <w:szCs w:val="24"/>
              </w:rPr>
            </w:pPr>
          </w:p>
          <w:p>
            <w:pPr>
              <w:rPr>
                <w:rFonts w:hint="default" w:ascii="Times New Roman" w:hAnsi="Times New Roman" w:eastAsia="宋体" w:cs="Times New Roman"/>
                <w:color w:val="auto"/>
                <w:sz w:val="24"/>
                <w:szCs w:val="24"/>
              </w:rPr>
            </w:pPr>
          </w:p>
          <w:p>
            <w:pPr>
              <w:pStyle w:val="2"/>
              <w:rPr>
                <w:rFonts w:hint="default" w:ascii="Times New Roman" w:hAnsi="Times New Roman" w:eastAsia="宋体" w:cs="Times New Roman"/>
                <w:color w:val="auto"/>
                <w:sz w:val="24"/>
                <w:szCs w:val="24"/>
              </w:rPr>
            </w:pPr>
          </w:p>
          <w:p>
            <w:pPr>
              <w:pStyle w:val="3"/>
              <w:rPr>
                <w:rFonts w:hint="default" w:ascii="Times New Roman" w:hAnsi="Times New Roman" w:eastAsia="宋体" w:cs="Times New Roman"/>
                <w:color w:val="auto"/>
                <w:sz w:val="24"/>
                <w:szCs w:val="24"/>
              </w:rPr>
            </w:pPr>
          </w:p>
          <w:p>
            <w:pPr>
              <w:rPr>
                <w:rFonts w:hint="default" w:ascii="Times New Roman" w:hAnsi="Times New Roman" w:eastAsia="宋体" w:cs="Times New Roman"/>
                <w:color w:val="auto"/>
                <w:sz w:val="24"/>
                <w:szCs w:val="24"/>
              </w:rPr>
            </w:pPr>
          </w:p>
          <w:p>
            <w:pPr>
              <w:pStyle w:val="2"/>
              <w:rPr>
                <w:rFonts w:hint="default" w:ascii="Times New Roman" w:hAnsi="Times New Roman" w:eastAsia="宋体" w:cs="Times New Roman"/>
                <w:color w:val="auto"/>
                <w:sz w:val="24"/>
                <w:szCs w:val="24"/>
              </w:rPr>
            </w:pPr>
          </w:p>
          <w:p>
            <w:pPr>
              <w:pStyle w:val="3"/>
              <w:rPr>
                <w:rFonts w:hint="default" w:ascii="Times New Roman" w:hAnsi="Times New Roman" w:eastAsia="宋体" w:cs="Times New Roman"/>
                <w:color w:val="auto"/>
                <w:sz w:val="24"/>
                <w:szCs w:val="24"/>
              </w:rPr>
            </w:pPr>
          </w:p>
          <w:p>
            <w:pPr>
              <w:rPr>
                <w:rFonts w:hint="default" w:ascii="Times New Roman" w:hAnsi="Times New Roman" w:eastAsia="宋体" w:cs="Times New Roman"/>
                <w:color w:val="auto"/>
                <w:sz w:val="24"/>
                <w:szCs w:val="24"/>
              </w:rPr>
            </w:pPr>
          </w:p>
          <w:p>
            <w:pPr>
              <w:pStyle w:val="2"/>
              <w:rPr>
                <w:rFonts w:hint="default" w:ascii="Times New Roman" w:hAnsi="Times New Roman" w:eastAsia="宋体" w:cs="Times New Roman"/>
                <w:color w:val="auto"/>
                <w:sz w:val="24"/>
                <w:szCs w:val="24"/>
              </w:rPr>
            </w:pPr>
          </w:p>
          <w:p>
            <w:pPr>
              <w:pStyle w:val="3"/>
              <w:rPr>
                <w:rFonts w:hint="default" w:ascii="Times New Roman" w:hAnsi="Times New Roman" w:eastAsia="宋体" w:cs="Times New Roman"/>
                <w:color w:val="auto"/>
                <w:sz w:val="24"/>
                <w:szCs w:val="24"/>
              </w:rPr>
            </w:pPr>
          </w:p>
          <w:p>
            <w:pPr>
              <w:rPr>
                <w:rFonts w:hint="default" w:ascii="Times New Roman" w:hAnsi="Times New Roman" w:eastAsia="宋体" w:cs="Times New Roman"/>
                <w:color w:val="auto"/>
                <w:sz w:val="24"/>
                <w:szCs w:val="24"/>
              </w:rPr>
            </w:pPr>
          </w:p>
          <w:p>
            <w:pPr>
              <w:pStyle w:val="2"/>
              <w:rPr>
                <w:rFonts w:hint="default" w:ascii="Times New Roman" w:hAnsi="Times New Roman" w:eastAsia="宋体" w:cs="Times New Roman"/>
                <w:color w:val="auto"/>
                <w:sz w:val="24"/>
                <w:szCs w:val="24"/>
              </w:rPr>
            </w:pPr>
          </w:p>
          <w:p>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olor w:val="000000"/>
                <w:sz w:val="24"/>
                <w:lang w:eastAsia="zh-CN"/>
              </w:rPr>
            </w:pPr>
          </w:p>
        </w:tc>
      </w:tr>
    </w:tbl>
    <w:p>
      <w:pPr>
        <w:outlineLvl w:val="0"/>
        <w:rPr>
          <w:b w:val="0"/>
          <w:bCs/>
        </w:rPr>
      </w:pPr>
      <w:bookmarkStart w:id="85" w:name="_Toc12461"/>
      <w:bookmarkStart w:id="86" w:name="_Toc6302"/>
      <w:r>
        <w:rPr>
          <w:rFonts w:ascii="Times New Roman" w:hAnsi="Times New Roman"/>
          <w:b/>
          <w:color w:val="000000"/>
          <w:sz w:val="30"/>
          <w:szCs w:val="30"/>
        </w:rPr>
        <w:t>表三  环境质量状况</w:t>
      </w:r>
      <w:bookmarkEnd w:id="85"/>
      <w:bookmarkEnd w:id="86"/>
    </w:p>
    <w:tbl>
      <w:tblPr>
        <w:tblStyle w:val="37"/>
        <w:tblW w:w="832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28" w:type="dxa"/>
            <w:vAlign w:val="top"/>
          </w:tcPr>
          <w:p>
            <w:pPr>
              <w:spacing w:line="360" w:lineRule="auto"/>
              <w:rPr>
                <w:rFonts w:ascii="Times New Roman" w:hAnsi="Times New Roman"/>
                <w:b/>
                <w:bCs/>
                <w:color w:val="000000"/>
                <w:sz w:val="24"/>
                <w:szCs w:val="24"/>
              </w:rPr>
            </w:pPr>
            <w:r>
              <w:rPr>
                <w:rFonts w:ascii="Times New Roman" w:hAnsi="Times New Roman"/>
                <w:b/>
                <w:bCs/>
                <w:color w:val="000000"/>
                <w:sz w:val="24"/>
                <w:szCs w:val="24"/>
              </w:rPr>
              <w:t>建设项目所在地区域环境质量现状及主要环境问题（生态环境、环境空气、地面水、地下水、声环境等）：</w:t>
            </w:r>
          </w:p>
          <w:p>
            <w:pPr>
              <w:spacing w:line="360" w:lineRule="auto"/>
              <w:rPr>
                <w:rFonts w:ascii="Times New Roman" w:hAnsi="Times New Roman"/>
                <w:b/>
                <w:bCs/>
                <w:color w:val="000000"/>
                <w:sz w:val="24"/>
                <w:szCs w:val="24"/>
              </w:rPr>
            </w:pPr>
            <w:r>
              <w:rPr>
                <w:rFonts w:ascii="Times New Roman" w:hAnsi="Times New Roman"/>
                <w:b/>
                <w:bCs/>
                <w:color w:val="000000"/>
                <w:sz w:val="24"/>
                <w:szCs w:val="24"/>
              </w:rPr>
              <w:t>1、大气环境质量状况</w:t>
            </w:r>
          </w:p>
          <w:p>
            <w:pPr>
              <w:autoSpaceDE w:val="0"/>
              <w:autoSpaceDN w:val="0"/>
              <w:adjustRightInd w:val="0"/>
              <w:spacing w:line="360" w:lineRule="auto"/>
              <w:ind w:firstLine="480" w:firstLineChars="200"/>
              <w:rPr>
                <w:rFonts w:hint="eastAsia" w:ascii="Times New Roman" w:hAnsi="Times New Roman"/>
                <w:color w:val="000000"/>
                <w:sz w:val="24"/>
                <w:szCs w:val="24"/>
                <w:lang w:eastAsia="zh-CN"/>
              </w:rPr>
            </w:pPr>
            <w:r>
              <w:rPr>
                <w:rFonts w:hint="default" w:ascii="Times New Roman" w:hAnsi="Times New Roman" w:cs="Times New Roman"/>
                <w:color w:val="auto"/>
                <w:sz w:val="24"/>
                <w:szCs w:val="24"/>
                <w:highlight w:val="none"/>
                <w:lang w:val="en-US" w:eastAsia="zh-CN"/>
              </w:rPr>
              <w:t>本项目</w:t>
            </w:r>
            <w:r>
              <w:rPr>
                <w:rFonts w:hint="eastAsia" w:ascii="Times New Roman" w:hAnsi="Times New Roman" w:cs="Times New Roman"/>
                <w:color w:val="auto"/>
                <w:sz w:val="24"/>
                <w:szCs w:val="24"/>
                <w:highlight w:val="none"/>
                <w:lang w:val="en-US" w:eastAsia="zh-CN"/>
              </w:rPr>
              <w:t>位于</w:t>
            </w:r>
            <w:r>
              <w:rPr>
                <w:rFonts w:hint="eastAsia"/>
                <w:color w:val="auto"/>
                <w:sz w:val="24"/>
                <w:szCs w:val="24"/>
                <w:lang w:val="en-US" w:eastAsia="zh-CN"/>
              </w:rPr>
              <w:t>富民县工业园哨箐片区</w:t>
            </w:r>
            <w:r>
              <w:rPr>
                <w:rFonts w:hint="eastAsia" w:ascii="Times New Roman" w:hAnsi="Times New Roman"/>
                <w:color w:val="000000"/>
                <w:sz w:val="24"/>
                <w:szCs w:val="24"/>
                <w:lang w:eastAsia="zh-CN"/>
              </w:rPr>
              <w:t>，</w:t>
            </w:r>
            <w:r>
              <w:rPr>
                <w:rFonts w:hint="eastAsia"/>
                <w:sz w:val="24"/>
                <w:szCs w:val="24"/>
                <w:lang w:eastAsia="zh-CN"/>
              </w:rPr>
              <w:t>根据</w:t>
            </w:r>
            <w:r>
              <w:rPr>
                <w:sz w:val="24"/>
                <w:szCs w:val="24"/>
              </w:rPr>
              <w:t>《环境空气质量标准》（GB3095－</w:t>
            </w:r>
            <w:r>
              <w:rPr>
                <w:rFonts w:hint="eastAsia"/>
                <w:sz w:val="24"/>
                <w:szCs w:val="24"/>
              </w:rPr>
              <w:t>2012</w:t>
            </w:r>
            <w:r>
              <w:rPr>
                <w:sz w:val="24"/>
                <w:szCs w:val="24"/>
              </w:rPr>
              <w:t>）</w:t>
            </w:r>
            <w:r>
              <w:rPr>
                <w:rFonts w:hint="eastAsia"/>
                <w:sz w:val="24"/>
                <w:szCs w:val="24"/>
                <w:lang w:eastAsia="zh-CN"/>
              </w:rPr>
              <w:t>，</w:t>
            </w:r>
            <w:r>
              <w:rPr>
                <w:rFonts w:hint="eastAsia" w:cs="Times New Roman"/>
                <w:color w:val="auto"/>
                <w:sz w:val="24"/>
                <w:szCs w:val="24"/>
                <w:lang w:eastAsia="zh-CN"/>
              </w:rPr>
              <w:t>项目</w:t>
            </w:r>
            <w:r>
              <w:rPr>
                <w:rFonts w:hint="eastAsia" w:ascii="Times New Roman" w:hAnsi="Times New Roman"/>
                <w:color w:val="000000"/>
                <w:sz w:val="24"/>
                <w:szCs w:val="24"/>
                <w:lang w:eastAsia="zh-CN"/>
              </w:rPr>
              <w:t>所在区域属</w:t>
            </w:r>
            <w:r>
              <w:rPr>
                <w:rFonts w:hint="eastAsia"/>
                <w:sz w:val="24"/>
                <w:szCs w:val="24"/>
                <w:lang w:eastAsia="zh-CN"/>
              </w:rPr>
              <w:t>环境空气质量二类功能区，执行</w:t>
            </w:r>
            <w:r>
              <w:rPr>
                <w:sz w:val="24"/>
                <w:szCs w:val="24"/>
              </w:rPr>
              <w:t>《环境空气质量标准》（GB3095－</w:t>
            </w:r>
            <w:r>
              <w:rPr>
                <w:rFonts w:hint="eastAsia"/>
                <w:sz w:val="24"/>
                <w:szCs w:val="24"/>
              </w:rPr>
              <w:t>2012</w:t>
            </w:r>
            <w:r>
              <w:rPr>
                <w:sz w:val="24"/>
                <w:szCs w:val="24"/>
              </w:rPr>
              <w:t>）</w:t>
            </w:r>
            <w:r>
              <w:rPr>
                <w:rFonts w:hint="eastAsia"/>
                <w:sz w:val="24"/>
                <w:szCs w:val="24"/>
                <w:lang w:eastAsia="zh-CN"/>
              </w:rPr>
              <w:t>中的二级标准</w:t>
            </w:r>
            <w:r>
              <w:rPr>
                <w:rFonts w:hint="eastAsia" w:ascii="Times New Roman" w:hAnsi="Times New Roman"/>
                <w:color w:val="000000"/>
                <w:sz w:val="24"/>
                <w:szCs w:val="24"/>
                <w:lang w:eastAsia="zh-CN"/>
              </w:rPr>
              <w:t>。</w:t>
            </w:r>
          </w:p>
          <w:p>
            <w:pPr>
              <w:autoSpaceDE w:val="0"/>
              <w:autoSpaceDN w:val="0"/>
              <w:adjustRightInd w:val="0"/>
              <w:spacing w:line="360" w:lineRule="auto"/>
              <w:ind w:firstLine="482" w:firstLineChars="200"/>
              <w:rPr>
                <w:rFonts w:hint="eastAsia" w:ascii="Times New Roman" w:hAnsi="Times New Roman"/>
                <w:b/>
                <w:bCs/>
                <w:color w:val="000000"/>
                <w:sz w:val="24"/>
                <w:szCs w:val="24"/>
                <w:lang w:eastAsia="zh-CN"/>
              </w:rPr>
            </w:pPr>
            <w:r>
              <w:rPr>
                <w:rFonts w:hint="eastAsia" w:ascii="Times New Roman" w:hAnsi="Times New Roman"/>
                <w:b/>
                <w:bCs/>
                <w:color w:val="000000"/>
                <w:sz w:val="24"/>
                <w:szCs w:val="24"/>
                <w:lang w:eastAsia="zh-CN"/>
              </w:rPr>
              <w:t>①区域达标判断</w:t>
            </w:r>
          </w:p>
          <w:p>
            <w:pPr>
              <w:autoSpaceDE w:val="0"/>
              <w:autoSpaceDN w:val="0"/>
              <w:adjustRightInd w:val="0"/>
              <w:spacing w:line="360" w:lineRule="auto"/>
              <w:ind w:firstLine="480" w:firstLineChars="200"/>
              <w:rPr>
                <w:rFonts w:hint="eastAsia" w:ascii="Times New Roman" w:hAnsi="Times New Roman" w:eastAsia="宋体"/>
                <w:color w:val="000000"/>
                <w:sz w:val="24"/>
                <w:szCs w:val="24"/>
                <w:lang w:val="en-US" w:eastAsia="zh-CN"/>
              </w:rPr>
            </w:pPr>
            <w:r>
              <w:rPr>
                <w:rFonts w:hint="eastAsia" w:ascii="Times New Roman" w:hAnsi="Times New Roman"/>
                <w:color w:val="000000"/>
                <w:sz w:val="24"/>
                <w:szCs w:val="24"/>
                <w:lang w:eastAsia="zh-CN"/>
              </w:rPr>
              <w:t>根据</w:t>
            </w:r>
            <w:r>
              <w:rPr>
                <w:rFonts w:hint="eastAsia"/>
                <w:color w:val="000000"/>
                <w:sz w:val="24"/>
                <w:szCs w:val="24"/>
                <w:lang w:eastAsia="zh-CN"/>
              </w:rPr>
              <w:t>年度环境质量状况公报，</w:t>
            </w:r>
            <w:r>
              <w:rPr>
                <w:rFonts w:hint="eastAsia" w:ascii="Times New Roman" w:hAnsi="Times New Roman"/>
                <w:color w:val="auto"/>
                <w:sz w:val="24"/>
                <w:szCs w:val="24"/>
                <w:lang w:eastAsia="zh-CN"/>
              </w:rPr>
              <w:t>“</w:t>
            </w:r>
            <w:r>
              <w:rPr>
                <w:rFonts w:hint="eastAsia"/>
                <w:color w:val="auto"/>
                <w:sz w:val="24"/>
                <w:szCs w:val="24"/>
                <w:lang w:val="en-US" w:eastAsia="zh-CN"/>
              </w:rPr>
              <w:t>2019年度昆明市生态环境状况公报</w:t>
            </w:r>
            <w:r>
              <w:rPr>
                <w:rFonts w:hint="eastAsia" w:ascii="Times New Roman" w:hAnsi="Times New Roman"/>
                <w:color w:val="auto"/>
                <w:sz w:val="24"/>
                <w:szCs w:val="24"/>
                <w:lang w:eastAsia="zh-CN"/>
              </w:rPr>
              <w:t>”</w:t>
            </w:r>
            <w:r>
              <w:rPr>
                <w:rFonts w:hint="eastAsia" w:ascii="Times New Roman" w:hAnsi="Times New Roman"/>
                <w:color w:val="000000"/>
                <w:sz w:val="24"/>
                <w:szCs w:val="24"/>
                <w:lang w:eastAsia="zh-CN"/>
              </w:rPr>
              <w:t>，结合《环境空气质量标准》（GB3095-2012）二级标准、《环境空气质量评价技术规范（试行）》HJ663-2013、《环境影响评价技术导则 大气环境》HJ2.2-2018的相关规定，对富民县环境空气质量达标情况进行分析。</w:t>
            </w:r>
            <w:r>
              <w:rPr>
                <w:rFonts w:hint="eastAsia" w:ascii="Times New Roman" w:hAnsi="Times New Roman"/>
                <w:color w:val="auto"/>
                <w:sz w:val="24"/>
                <w:szCs w:val="24"/>
                <w:lang w:eastAsia="zh-CN"/>
              </w:rPr>
              <w:t>“</w:t>
            </w:r>
            <w:r>
              <w:rPr>
                <w:rFonts w:hint="eastAsia"/>
                <w:color w:val="auto"/>
                <w:sz w:val="24"/>
                <w:szCs w:val="24"/>
                <w:lang w:val="en-US" w:eastAsia="zh-CN"/>
              </w:rPr>
              <w:t>2019年度昆明市生态环境状况公报</w:t>
            </w:r>
            <w:r>
              <w:rPr>
                <w:rFonts w:hint="eastAsia" w:ascii="Times New Roman" w:hAnsi="Times New Roman"/>
                <w:color w:val="auto"/>
                <w:sz w:val="24"/>
                <w:szCs w:val="24"/>
                <w:lang w:eastAsia="zh-CN"/>
              </w:rPr>
              <w:t>”</w:t>
            </w:r>
            <w:r>
              <w:rPr>
                <w:rFonts w:hint="eastAsia"/>
                <w:color w:val="auto"/>
                <w:sz w:val="24"/>
                <w:szCs w:val="24"/>
                <w:lang w:eastAsia="zh-CN"/>
              </w:rPr>
              <w:t>空气质量污染物浓度见表</w:t>
            </w:r>
            <w:r>
              <w:rPr>
                <w:rFonts w:hint="eastAsia"/>
                <w:color w:val="auto"/>
                <w:sz w:val="24"/>
                <w:szCs w:val="24"/>
                <w:lang w:val="en-US" w:eastAsia="zh-CN"/>
              </w:rPr>
              <w:t>3-1。</w:t>
            </w:r>
          </w:p>
          <w:p>
            <w:pPr>
              <w:spacing w:line="240" w:lineRule="auto"/>
              <w:jc w:val="center"/>
              <w:rPr>
                <w:rFonts w:hint="default" w:ascii="Times New Roman" w:hAnsi="Times New Roman" w:eastAsia="宋体" w:cs="Times New Roman"/>
                <w:b/>
                <w:bCs/>
                <w:color w:val="auto"/>
                <w:szCs w:val="22"/>
                <w:lang w:val="en-US" w:eastAsia="zh-CN"/>
              </w:rPr>
            </w:pPr>
            <w:r>
              <w:rPr>
                <w:rFonts w:hint="default" w:ascii="Times New Roman" w:hAnsi="Times New Roman" w:cs="Times New Roman"/>
                <w:b/>
                <w:bCs/>
                <w:color w:val="auto"/>
                <w:szCs w:val="22"/>
              </w:rPr>
              <w:t>表</w:t>
            </w:r>
            <w:r>
              <w:rPr>
                <w:rFonts w:hint="default" w:ascii="Times New Roman" w:hAnsi="Times New Roman" w:cs="Times New Roman"/>
                <w:b/>
                <w:bCs/>
                <w:color w:val="auto"/>
                <w:szCs w:val="22"/>
                <w:lang w:val="en-US" w:eastAsia="zh-CN"/>
              </w:rPr>
              <w:t>3-</w:t>
            </w:r>
            <w:r>
              <w:rPr>
                <w:rFonts w:hint="default" w:ascii="Times New Roman" w:hAnsi="Times New Roman" w:cs="Times New Roman"/>
                <w:b/>
                <w:bCs/>
                <w:color w:val="auto"/>
                <w:szCs w:val="22"/>
              </w:rPr>
              <w:t xml:space="preserve">1 </w:t>
            </w:r>
            <w:r>
              <w:rPr>
                <w:rFonts w:hint="eastAsia" w:cs="Times New Roman"/>
                <w:b/>
                <w:bCs/>
                <w:color w:val="auto"/>
                <w:szCs w:val="22"/>
                <w:lang w:eastAsia="zh-CN"/>
              </w:rPr>
              <w:t>空气质量污染物</w:t>
            </w:r>
            <w:r>
              <w:rPr>
                <w:rFonts w:hint="eastAsia" w:cs="Times New Roman"/>
                <w:b/>
                <w:bCs/>
                <w:color w:val="auto"/>
                <w:szCs w:val="22"/>
                <w:lang w:val="en-US" w:eastAsia="zh-CN"/>
              </w:rPr>
              <w:t>2019年均浓度</w:t>
            </w:r>
          </w:p>
          <w:tbl>
            <w:tblPr>
              <w:tblStyle w:val="37"/>
              <w:tblW w:w="8109" w:type="dxa"/>
              <w:jc w:val="center"/>
              <w:tblLayout w:type="fixed"/>
              <w:tblCellMar>
                <w:top w:w="0" w:type="dxa"/>
                <w:left w:w="108" w:type="dxa"/>
                <w:bottom w:w="0" w:type="dxa"/>
                <w:right w:w="108" w:type="dxa"/>
              </w:tblCellMar>
            </w:tblPr>
            <w:tblGrid>
              <w:gridCol w:w="755"/>
              <w:gridCol w:w="1065"/>
              <w:gridCol w:w="1200"/>
              <w:gridCol w:w="1745"/>
              <w:gridCol w:w="1105"/>
              <w:gridCol w:w="2239"/>
            </w:tblGrid>
            <w:tr>
              <w:tblPrEx>
                <w:tblCellMar>
                  <w:top w:w="0" w:type="dxa"/>
                  <w:left w:w="108" w:type="dxa"/>
                  <w:bottom w:w="0" w:type="dxa"/>
                  <w:right w:w="108" w:type="dxa"/>
                </w:tblCellMar>
              </w:tblPrEx>
              <w:trPr>
                <w:trHeight w:val="369" w:hRule="atLeast"/>
                <w:jc w:val="center"/>
              </w:trPr>
              <w:tc>
                <w:tcPr>
                  <w:tcW w:w="46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b/>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序号</w:t>
                  </w:r>
                </w:p>
              </w:tc>
              <w:tc>
                <w:tcPr>
                  <w:tcW w:w="656"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b/>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污染物</w:t>
                  </w:r>
                </w:p>
              </w:tc>
              <w:tc>
                <w:tcPr>
                  <w:tcW w:w="739"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b/>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年均浓度</w:t>
                  </w:r>
                </w:p>
              </w:tc>
              <w:tc>
                <w:tcPr>
                  <w:tcW w:w="1075"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b/>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与上年比较</w:t>
                  </w:r>
                </w:p>
              </w:tc>
              <w:tc>
                <w:tcPr>
                  <w:tcW w:w="68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kern w:val="0"/>
                      <w:sz w:val="21"/>
                      <w:szCs w:val="21"/>
                      <w:u w:val="none"/>
                      <w:lang w:val="en-US" w:eastAsia="zh-CN" w:bidi="ar"/>
                    </w:rPr>
                  </w:pPr>
                  <w:r>
                    <w:rPr>
                      <w:rFonts w:hint="eastAsia" w:cs="Times New Roman" w:eastAsiaTheme="minorEastAsia"/>
                      <w:i w:val="0"/>
                      <w:color w:val="000000"/>
                      <w:kern w:val="0"/>
                      <w:sz w:val="21"/>
                      <w:szCs w:val="21"/>
                      <w:u w:val="none"/>
                      <w:lang w:val="en-US" w:eastAsia="zh-CN" w:bidi="ar"/>
                    </w:rPr>
                    <w:t>占标率</w:t>
                  </w:r>
                </w:p>
              </w:tc>
              <w:tc>
                <w:tcPr>
                  <w:tcW w:w="1380"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b/>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达标情况</w:t>
                  </w:r>
                </w:p>
              </w:tc>
            </w:tr>
            <w:tr>
              <w:tblPrEx>
                <w:tblCellMar>
                  <w:top w:w="0" w:type="dxa"/>
                  <w:left w:w="108" w:type="dxa"/>
                  <w:bottom w:w="0" w:type="dxa"/>
                  <w:right w:w="108" w:type="dxa"/>
                </w:tblCellMar>
              </w:tblPrEx>
              <w:trPr>
                <w:trHeight w:val="369" w:hRule="atLeast"/>
                <w:jc w:val="center"/>
              </w:trPr>
              <w:tc>
                <w:tcPr>
                  <w:tcW w:w="465"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1</w:t>
                  </w:r>
                </w:p>
              </w:tc>
              <w:tc>
                <w:tcPr>
                  <w:tcW w:w="656"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SO</w:t>
                  </w:r>
                  <w:r>
                    <w:rPr>
                      <w:rFonts w:hint="default" w:ascii="Times New Roman" w:hAnsi="Times New Roman" w:cs="Times New Roman" w:eastAsiaTheme="minorEastAsia"/>
                      <w:i w:val="0"/>
                      <w:color w:val="000000"/>
                      <w:kern w:val="0"/>
                      <w:sz w:val="21"/>
                      <w:szCs w:val="21"/>
                      <w:u w:val="none"/>
                      <w:vertAlign w:val="subscript"/>
                      <w:lang w:val="en-US" w:eastAsia="zh-CN" w:bidi="ar"/>
                    </w:rPr>
                    <w:t>2</w:t>
                  </w:r>
                </w:p>
              </w:tc>
              <w:tc>
                <w:tcPr>
                  <w:tcW w:w="739"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12</w:t>
                  </w:r>
                </w:p>
              </w:tc>
              <w:tc>
                <w:tcPr>
                  <w:tcW w:w="1075"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降低7.69%</w:t>
                  </w:r>
                </w:p>
              </w:tc>
              <w:tc>
                <w:tcPr>
                  <w:tcW w:w="681"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kern w:val="0"/>
                      <w:sz w:val="21"/>
                      <w:szCs w:val="21"/>
                      <w:u w:val="none"/>
                      <w:lang w:val="en-US" w:eastAsia="zh-CN" w:bidi="ar"/>
                    </w:rPr>
                  </w:pPr>
                  <w:r>
                    <w:rPr>
                      <w:rFonts w:hint="eastAsia" w:cs="Times New Roman" w:eastAsiaTheme="minorEastAsia"/>
                      <w:i w:val="0"/>
                      <w:color w:val="000000"/>
                      <w:kern w:val="0"/>
                      <w:sz w:val="21"/>
                      <w:szCs w:val="21"/>
                      <w:u w:val="none"/>
                      <w:lang w:val="en-US" w:eastAsia="zh-CN" w:bidi="ar"/>
                    </w:rPr>
                    <w:t>20.0%</w:t>
                  </w:r>
                </w:p>
              </w:tc>
              <w:tc>
                <w:tcPr>
                  <w:tcW w:w="1380"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达到年均值二级标准</w:t>
                  </w:r>
                </w:p>
              </w:tc>
            </w:tr>
            <w:tr>
              <w:tblPrEx>
                <w:tblCellMar>
                  <w:top w:w="0" w:type="dxa"/>
                  <w:left w:w="108" w:type="dxa"/>
                  <w:bottom w:w="0" w:type="dxa"/>
                  <w:right w:w="108" w:type="dxa"/>
                </w:tblCellMar>
              </w:tblPrEx>
              <w:trPr>
                <w:trHeight w:val="369" w:hRule="atLeast"/>
                <w:jc w:val="center"/>
              </w:trPr>
              <w:tc>
                <w:tcPr>
                  <w:tcW w:w="465"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2</w:t>
                  </w:r>
                </w:p>
              </w:tc>
              <w:tc>
                <w:tcPr>
                  <w:tcW w:w="656"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NO</w:t>
                  </w:r>
                  <w:r>
                    <w:rPr>
                      <w:rFonts w:hint="default" w:ascii="Times New Roman" w:hAnsi="Times New Roman" w:cs="Times New Roman" w:eastAsiaTheme="minorEastAsia"/>
                      <w:i w:val="0"/>
                      <w:color w:val="000000"/>
                      <w:kern w:val="0"/>
                      <w:sz w:val="21"/>
                      <w:szCs w:val="21"/>
                      <w:u w:val="none"/>
                      <w:vertAlign w:val="subscript"/>
                      <w:lang w:val="en-US" w:eastAsia="zh-CN" w:bidi="ar"/>
                    </w:rPr>
                    <w:t>2</w:t>
                  </w:r>
                </w:p>
              </w:tc>
              <w:tc>
                <w:tcPr>
                  <w:tcW w:w="739"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31</w:t>
                  </w:r>
                </w:p>
              </w:tc>
              <w:tc>
                <w:tcPr>
                  <w:tcW w:w="1075"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降低6.06%</w:t>
                  </w:r>
                </w:p>
              </w:tc>
              <w:tc>
                <w:tcPr>
                  <w:tcW w:w="681"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kern w:val="0"/>
                      <w:sz w:val="21"/>
                      <w:szCs w:val="21"/>
                      <w:u w:val="none"/>
                      <w:lang w:val="en-US" w:eastAsia="zh-CN" w:bidi="ar"/>
                    </w:rPr>
                  </w:pPr>
                  <w:r>
                    <w:rPr>
                      <w:rFonts w:hint="eastAsia" w:cs="Times New Roman" w:eastAsiaTheme="minorEastAsia"/>
                      <w:i w:val="0"/>
                      <w:color w:val="000000"/>
                      <w:kern w:val="0"/>
                      <w:sz w:val="21"/>
                      <w:szCs w:val="21"/>
                      <w:u w:val="none"/>
                      <w:lang w:val="en-US" w:eastAsia="zh-CN" w:bidi="ar"/>
                    </w:rPr>
                    <w:t>77.5%</w:t>
                  </w:r>
                </w:p>
              </w:tc>
              <w:tc>
                <w:tcPr>
                  <w:tcW w:w="1380"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达到年均值二级标准</w:t>
                  </w:r>
                </w:p>
              </w:tc>
            </w:tr>
            <w:tr>
              <w:tblPrEx>
                <w:tblCellMar>
                  <w:top w:w="0" w:type="dxa"/>
                  <w:left w:w="108" w:type="dxa"/>
                  <w:bottom w:w="0" w:type="dxa"/>
                  <w:right w:w="108" w:type="dxa"/>
                </w:tblCellMar>
              </w:tblPrEx>
              <w:trPr>
                <w:trHeight w:val="369" w:hRule="atLeast"/>
                <w:jc w:val="center"/>
              </w:trPr>
              <w:tc>
                <w:tcPr>
                  <w:tcW w:w="465"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3</w:t>
                  </w:r>
                </w:p>
              </w:tc>
              <w:tc>
                <w:tcPr>
                  <w:tcW w:w="656"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PM</w:t>
                  </w:r>
                  <w:r>
                    <w:rPr>
                      <w:rFonts w:hint="default" w:ascii="Times New Roman" w:hAnsi="Times New Roman" w:cs="Times New Roman" w:eastAsiaTheme="minorEastAsia"/>
                      <w:i w:val="0"/>
                      <w:color w:val="000000"/>
                      <w:kern w:val="0"/>
                      <w:sz w:val="21"/>
                      <w:szCs w:val="21"/>
                      <w:u w:val="none"/>
                      <w:vertAlign w:val="subscript"/>
                      <w:lang w:val="en-US" w:eastAsia="zh-CN" w:bidi="ar"/>
                    </w:rPr>
                    <w:t>10</w:t>
                  </w:r>
                </w:p>
              </w:tc>
              <w:tc>
                <w:tcPr>
                  <w:tcW w:w="739"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45</w:t>
                  </w:r>
                </w:p>
              </w:tc>
              <w:tc>
                <w:tcPr>
                  <w:tcW w:w="1075"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降低11.76%</w:t>
                  </w:r>
                </w:p>
              </w:tc>
              <w:tc>
                <w:tcPr>
                  <w:tcW w:w="681"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kern w:val="0"/>
                      <w:sz w:val="21"/>
                      <w:szCs w:val="21"/>
                      <w:u w:val="none"/>
                      <w:lang w:val="en-US" w:eastAsia="zh-CN" w:bidi="ar"/>
                    </w:rPr>
                  </w:pPr>
                  <w:r>
                    <w:rPr>
                      <w:rFonts w:hint="eastAsia" w:cs="Times New Roman" w:eastAsiaTheme="minorEastAsia"/>
                      <w:i w:val="0"/>
                      <w:color w:val="000000"/>
                      <w:kern w:val="0"/>
                      <w:sz w:val="21"/>
                      <w:szCs w:val="21"/>
                      <w:u w:val="none"/>
                      <w:lang w:val="en-US" w:eastAsia="zh-CN" w:bidi="ar"/>
                    </w:rPr>
                    <w:t>64.3%</w:t>
                  </w:r>
                </w:p>
              </w:tc>
              <w:tc>
                <w:tcPr>
                  <w:tcW w:w="1380"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达到年均值二级标准</w:t>
                  </w:r>
                </w:p>
              </w:tc>
            </w:tr>
            <w:tr>
              <w:tblPrEx>
                <w:tblCellMar>
                  <w:top w:w="0" w:type="dxa"/>
                  <w:left w:w="108" w:type="dxa"/>
                  <w:bottom w:w="0" w:type="dxa"/>
                  <w:right w:w="108" w:type="dxa"/>
                </w:tblCellMar>
              </w:tblPrEx>
              <w:trPr>
                <w:trHeight w:val="369" w:hRule="atLeast"/>
                <w:jc w:val="center"/>
              </w:trPr>
              <w:tc>
                <w:tcPr>
                  <w:tcW w:w="465"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4</w:t>
                  </w:r>
                </w:p>
              </w:tc>
              <w:tc>
                <w:tcPr>
                  <w:tcW w:w="656"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PM</w:t>
                  </w:r>
                  <w:r>
                    <w:rPr>
                      <w:rFonts w:hint="default" w:ascii="Times New Roman" w:hAnsi="Times New Roman" w:cs="Times New Roman" w:eastAsiaTheme="minorEastAsia"/>
                      <w:i w:val="0"/>
                      <w:color w:val="000000"/>
                      <w:kern w:val="0"/>
                      <w:sz w:val="21"/>
                      <w:szCs w:val="21"/>
                      <w:u w:val="none"/>
                      <w:vertAlign w:val="subscript"/>
                      <w:lang w:val="en-US" w:eastAsia="zh-CN" w:bidi="ar"/>
                    </w:rPr>
                    <w:t>2.5</w:t>
                  </w:r>
                </w:p>
              </w:tc>
              <w:tc>
                <w:tcPr>
                  <w:tcW w:w="739"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26</w:t>
                  </w:r>
                </w:p>
              </w:tc>
              <w:tc>
                <w:tcPr>
                  <w:tcW w:w="1075"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降低7.14%</w:t>
                  </w:r>
                </w:p>
              </w:tc>
              <w:tc>
                <w:tcPr>
                  <w:tcW w:w="681"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kern w:val="0"/>
                      <w:sz w:val="21"/>
                      <w:szCs w:val="21"/>
                      <w:u w:val="none"/>
                      <w:lang w:val="en-US" w:eastAsia="zh-CN" w:bidi="ar"/>
                    </w:rPr>
                  </w:pPr>
                  <w:r>
                    <w:rPr>
                      <w:rFonts w:hint="eastAsia" w:cs="Times New Roman" w:eastAsiaTheme="minorEastAsia"/>
                      <w:i w:val="0"/>
                      <w:color w:val="000000"/>
                      <w:kern w:val="0"/>
                      <w:sz w:val="21"/>
                      <w:szCs w:val="21"/>
                      <w:u w:val="none"/>
                      <w:lang w:val="en-US" w:eastAsia="zh-CN" w:bidi="ar"/>
                    </w:rPr>
                    <w:t>74.3%</w:t>
                  </w:r>
                </w:p>
              </w:tc>
              <w:tc>
                <w:tcPr>
                  <w:tcW w:w="1380"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达到年均值二级标准</w:t>
                  </w:r>
                </w:p>
              </w:tc>
            </w:tr>
            <w:tr>
              <w:tblPrEx>
                <w:tblCellMar>
                  <w:top w:w="0" w:type="dxa"/>
                  <w:left w:w="108" w:type="dxa"/>
                  <w:bottom w:w="0" w:type="dxa"/>
                  <w:right w:w="108" w:type="dxa"/>
                </w:tblCellMar>
              </w:tblPrEx>
              <w:trPr>
                <w:trHeight w:val="369" w:hRule="atLeast"/>
                <w:jc w:val="center"/>
              </w:trPr>
              <w:tc>
                <w:tcPr>
                  <w:tcW w:w="465"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5</w:t>
                  </w:r>
                </w:p>
              </w:tc>
              <w:tc>
                <w:tcPr>
                  <w:tcW w:w="656"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CO</w:t>
                  </w:r>
                </w:p>
              </w:tc>
              <w:tc>
                <w:tcPr>
                  <w:tcW w:w="739"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1</w:t>
                  </w:r>
                </w:p>
              </w:tc>
              <w:tc>
                <w:tcPr>
                  <w:tcW w:w="1075"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降低16.67%</w:t>
                  </w:r>
                </w:p>
              </w:tc>
              <w:tc>
                <w:tcPr>
                  <w:tcW w:w="681"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kern w:val="0"/>
                      <w:sz w:val="21"/>
                      <w:szCs w:val="21"/>
                      <w:u w:val="none"/>
                      <w:lang w:val="en-US" w:eastAsia="zh-CN" w:bidi="ar"/>
                    </w:rPr>
                  </w:pPr>
                  <w:r>
                    <w:rPr>
                      <w:rFonts w:hint="eastAsia" w:cs="Times New Roman" w:eastAsiaTheme="minorEastAsia"/>
                      <w:i w:val="0"/>
                      <w:color w:val="000000"/>
                      <w:kern w:val="0"/>
                      <w:sz w:val="21"/>
                      <w:szCs w:val="21"/>
                      <w:u w:val="none"/>
                      <w:lang w:val="en-US" w:eastAsia="zh-CN" w:bidi="ar"/>
                    </w:rPr>
                    <w:t>25.0%</w:t>
                  </w:r>
                </w:p>
              </w:tc>
              <w:tc>
                <w:tcPr>
                  <w:tcW w:w="1380" w:type="pct"/>
                  <w:tcBorders>
                    <w:top w:val="nil"/>
                    <w:left w:val="nil"/>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优于二级24小时均值标准</w:t>
                  </w:r>
                </w:p>
              </w:tc>
            </w:tr>
            <w:tr>
              <w:tblPrEx>
                <w:tblCellMar>
                  <w:top w:w="0" w:type="dxa"/>
                  <w:left w:w="108" w:type="dxa"/>
                  <w:bottom w:w="0" w:type="dxa"/>
                  <w:right w:w="108" w:type="dxa"/>
                </w:tblCellMar>
              </w:tblPrEx>
              <w:trPr>
                <w:trHeight w:val="369" w:hRule="atLeast"/>
                <w:jc w:val="center"/>
              </w:trPr>
              <w:tc>
                <w:tcPr>
                  <w:tcW w:w="465"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6</w:t>
                  </w:r>
                </w:p>
              </w:tc>
              <w:tc>
                <w:tcPr>
                  <w:tcW w:w="656"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O</w:t>
                  </w:r>
                  <w:r>
                    <w:rPr>
                      <w:rFonts w:hint="default" w:ascii="Times New Roman" w:hAnsi="Times New Roman" w:cs="Times New Roman" w:eastAsiaTheme="minorEastAsia"/>
                      <w:i w:val="0"/>
                      <w:color w:val="000000"/>
                      <w:kern w:val="0"/>
                      <w:sz w:val="21"/>
                      <w:szCs w:val="21"/>
                      <w:u w:val="none"/>
                      <w:vertAlign w:val="subscript"/>
                      <w:lang w:val="en-US" w:eastAsia="zh-CN" w:bidi="ar"/>
                    </w:rPr>
                    <w:t>3</w:t>
                  </w:r>
                </w:p>
              </w:tc>
              <w:tc>
                <w:tcPr>
                  <w:tcW w:w="739"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134</w:t>
                  </w:r>
                </w:p>
              </w:tc>
              <w:tc>
                <w:tcPr>
                  <w:tcW w:w="1075"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上升3.08%</w:t>
                  </w:r>
                </w:p>
              </w:tc>
              <w:tc>
                <w:tcPr>
                  <w:tcW w:w="681" w:type="pct"/>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kern w:val="0"/>
                      <w:sz w:val="21"/>
                      <w:szCs w:val="21"/>
                      <w:u w:val="none"/>
                      <w:lang w:val="en-US" w:eastAsia="zh-CN" w:bidi="ar"/>
                    </w:rPr>
                  </w:pPr>
                  <w:r>
                    <w:rPr>
                      <w:rFonts w:hint="eastAsia" w:cs="Times New Roman" w:eastAsiaTheme="minorEastAsia"/>
                      <w:i w:val="0"/>
                      <w:color w:val="000000"/>
                      <w:kern w:val="0"/>
                      <w:sz w:val="21"/>
                      <w:szCs w:val="21"/>
                      <w:u w:val="none"/>
                      <w:lang w:val="en-US" w:eastAsia="zh-CN" w:bidi="ar"/>
                    </w:rPr>
                    <w:t>83.8%</w:t>
                  </w:r>
                </w:p>
              </w:tc>
              <w:tc>
                <w:tcPr>
                  <w:tcW w:w="1380" w:type="pct"/>
                  <w:tcBorders>
                    <w:top w:val="nil"/>
                    <w:left w:val="nil"/>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i w:val="0"/>
                      <w:color w:val="000000"/>
                      <w:kern w:val="0"/>
                      <w:sz w:val="21"/>
                      <w:szCs w:val="21"/>
                      <w:u w:val="none"/>
                      <w:lang w:val="en-US" w:eastAsia="zh-CN" w:bidi="ar"/>
                    </w:rPr>
                    <w:t>优于日最大8小时均值标准</w:t>
                  </w:r>
                </w:p>
              </w:tc>
            </w:tr>
          </w:tbl>
          <w:p>
            <w:pPr>
              <w:pageBreakBefore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eastAsia="zh-CN"/>
              </w:rPr>
              <w:t>根据上表分析，</w:t>
            </w:r>
            <w:r>
              <w:rPr>
                <w:rFonts w:hint="eastAsia" w:cs="Times New Roman"/>
                <w:color w:val="auto"/>
                <w:sz w:val="24"/>
                <w:lang w:eastAsia="zh-CN"/>
              </w:rPr>
              <w:t>按</w:t>
            </w:r>
            <w:r>
              <w:rPr>
                <w:rFonts w:hint="default" w:ascii="Times New Roman" w:hAnsi="Times New Roman" w:eastAsia="宋体" w:cs="Times New Roman"/>
                <w:color w:val="auto"/>
                <w:sz w:val="24"/>
              </w:rPr>
              <w:t>《环境空气质量标准》</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GB3095—2012</w:t>
            </w:r>
            <w:r>
              <w:rPr>
                <w:rFonts w:hint="default" w:ascii="Times New Roman" w:hAnsi="Times New Roman" w:eastAsia="宋体" w:cs="Times New Roman"/>
                <w:color w:val="auto"/>
                <w:sz w:val="24"/>
                <w:lang w:eastAsia="zh-CN"/>
              </w:rPr>
              <w:t>）</w:t>
            </w:r>
            <w:r>
              <w:rPr>
                <w:rFonts w:hint="eastAsia" w:cs="Times New Roman"/>
                <w:color w:val="auto"/>
                <w:sz w:val="24"/>
                <w:lang w:eastAsia="zh-CN"/>
              </w:rPr>
              <w:t>评价，</w:t>
            </w:r>
            <w:r>
              <w:rPr>
                <w:rFonts w:hint="eastAsia" w:cs="Times New Roman"/>
                <w:color w:val="auto"/>
                <w:sz w:val="24"/>
                <w:lang w:val="en-US" w:eastAsia="zh-CN"/>
              </w:rPr>
              <w:t>2019年昆明所辖10个县（市）区（包括富民县）：二氧化硫、二氧化氮、可吸入颗粒物、细颗粒物占标率均达标，年均浓度均达到</w:t>
            </w:r>
            <w:r>
              <w:rPr>
                <w:rFonts w:hint="default" w:ascii="Times New Roman" w:hAnsi="Times New Roman" w:eastAsia="宋体" w:cs="Times New Roman"/>
                <w:color w:val="auto"/>
                <w:sz w:val="24"/>
              </w:rPr>
              <w:t>二级标准</w:t>
            </w:r>
            <w:r>
              <w:rPr>
                <w:rFonts w:hint="default" w:ascii="Times New Roman" w:hAnsi="Times New Roman" w:eastAsia="宋体" w:cs="Times New Roman"/>
                <w:color w:val="auto"/>
                <w:sz w:val="24"/>
                <w:lang w:eastAsia="zh-CN"/>
              </w:rPr>
              <w:t>，为环境空气质量达标区。</w:t>
            </w:r>
          </w:p>
          <w:p>
            <w:pPr>
              <w:pStyle w:val="18"/>
              <w:ind w:firstLine="482" w:firstLineChars="200"/>
              <w:jc w:val="both"/>
              <w:rPr>
                <w:rFonts w:hint="eastAsia" w:ascii="Times New Roman" w:hAnsi="Times New Roman"/>
                <w:color w:val="000000"/>
                <w:sz w:val="24"/>
                <w:szCs w:val="24"/>
                <w:lang w:eastAsia="zh-CN"/>
              </w:rPr>
            </w:pPr>
            <w:r>
              <w:rPr>
                <w:rFonts w:hint="eastAsia"/>
                <w:b/>
                <w:bCs/>
                <w:lang w:val="en-US" w:eastAsia="zh-CN"/>
              </w:rPr>
              <w:t>②项目区域环境质量</w:t>
            </w:r>
          </w:p>
          <w:p>
            <w:pPr>
              <w:autoSpaceDE w:val="0"/>
              <w:autoSpaceDN w:val="0"/>
              <w:adjustRightInd w:val="0"/>
              <w:spacing w:line="360" w:lineRule="auto"/>
              <w:ind w:firstLine="480" w:firstLineChars="200"/>
              <w:rPr>
                <w:rFonts w:ascii="Times New Roman" w:hAnsi="Times New Roman"/>
                <w:color w:val="000000"/>
                <w:sz w:val="24"/>
                <w:szCs w:val="24"/>
              </w:rPr>
            </w:pPr>
            <w:r>
              <w:rPr>
                <w:rFonts w:hint="default" w:ascii="Times New Roman" w:hAnsi="Times New Roman" w:cs="Times New Roman"/>
                <w:color w:val="auto"/>
                <w:sz w:val="24"/>
                <w:szCs w:val="24"/>
                <w:lang w:val="en-US" w:eastAsia="zh-CN"/>
              </w:rPr>
              <w:t>本项目</w:t>
            </w:r>
            <w:r>
              <w:rPr>
                <w:rFonts w:hint="eastAsia" w:ascii="Times New Roman" w:hAnsi="Times New Roman" w:cs="Times New Roman"/>
                <w:color w:val="auto"/>
                <w:sz w:val="24"/>
                <w:szCs w:val="24"/>
                <w:lang w:val="en-US" w:eastAsia="zh-CN"/>
              </w:rPr>
              <w:t>位于</w:t>
            </w:r>
            <w:r>
              <w:rPr>
                <w:rFonts w:hint="eastAsia"/>
                <w:color w:val="auto"/>
                <w:sz w:val="24"/>
                <w:szCs w:val="24"/>
                <w:lang w:val="en-US" w:eastAsia="zh-CN"/>
              </w:rPr>
              <w:t>富民县工业园哨箐片区</w:t>
            </w:r>
            <w:r>
              <w:rPr>
                <w:rFonts w:hint="eastAsia" w:ascii="Times New Roman" w:hAnsi="Times New Roman" w:cs="Times New Roman"/>
                <w:color w:val="auto"/>
                <w:kern w:val="2"/>
                <w:sz w:val="24"/>
                <w:szCs w:val="24"/>
                <w:lang w:val="en-US" w:eastAsia="zh-CN" w:bidi="ar-SA"/>
              </w:rPr>
              <w:t>，地处富民县城</w:t>
            </w:r>
            <w:r>
              <w:rPr>
                <w:rFonts w:hint="eastAsia" w:cs="Times New Roman"/>
                <w:color w:val="auto"/>
                <w:kern w:val="2"/>
                <w:sz w:val="24"/>
                <w:szCs w:val="24"/>
                <w:lang w:val="en-US" w:eastAsia="zh-CN" w:bidi="ar-SA"/>
              </w:rPr>
              <w:t>城北工业园区</w:t>
            </w:r>
            <w:r>
              <w:rPr>
                <w:rFonts w:hint="eastAsia" w:ascii="Times New Roman" w:hAnsi="Times New Roman" w:cs="Times New Roman"/>
                <w:color w:val="auto"/>
                <w:kern w:val="2"/>
                <w:sz w:val="24"/>
                <w:szCs w:val="24"/>
                <w:lang w:val="en-US" w:eastAsia="zh-CN" w:bidi="ar-SA"/>
              </w:rPr>
              <w:t>，</w:t>
            </w:r>
            <w:r>
              <w:rPr>
                <w:rFonts w:hint="eastAsia" w:ascii="Times New Roman" w:hAnsi="Times New Roman"/>
                <w:color w:val="000000"/>
                <w:sz w:val="24"/>
                <w:szCs w:val="24"/>
                <w:lang w:eastAsia="zh-CN"/>
              </w:rPr>
              <w:t>根据</w:t>
            </w:r>
            <w:r>
              <w:rPr>
                <w:rFonts w:hint="eastAsia"/>
                <w:color w:val="000000"/>
                <w:sz w:val="24"/>
                <w:szCs w:val="24"/>
                <w:lang w:eastAsia="zh-CN"/>
              </w:rPr>
              <w:t>年度环境质量状况公报，</w:t>
            </w:r>
            <w:r>
              <w:rPr>
                <w:rFonts w:hint="eastAsia" w:ascii="Times New Roman" w:hAnsi="Times New Roman"/>
                <w:color w:val="auto"/>
                <w:sz w:val="24"/>
                <w:szCs w:val="24"/>
                <w:lang w:eastAsia="zh-CN"/>
              </w:rPr>
              <w:t>“</w:t>
            </w:r>
            <w:r>
              <w:rPr>
                <w:rFonts w:hint="eastAsia"/>
                <w:color w:val="auto"/>
                <w:sz w:val="24"/>
                <w:szCs w:val="24"/>
                <w:lang w:val="en-US" w:eastAsia="zh-CN"/>
              </w:rPr>
              <w:t>2019年度昆明市生态环境状况公报</w:t>
            </w:r>
            <w:r>
              <w:rPr>
                <w:rFonts w:hint="eastAsia" w:ascii="Times New Roman" w:hAnsi="Times New Roman"/>
                <w:color w:val="auto"/>
                <w:sz w:val="24"/>
                <w:szCs w:val="24"/>
                <w:lang w:eastAsia="zh-CN"/>
              </w:rPr>
              <w:t>”</w:t>
            </w:r>
            <w:r>
              <w:rPr>
                <w:rFonts w:hint="eastAsia"/>
                <w:color w:val="auto"/>
                <w:sz w:val="24"/>
                <w:szCs w:val="24"/>
                <w:lang w:eastAsia="zh-CN"/>
              </w:rPr>
              <w:t>（公报数据见表</w:t>
            </w:r>
            <w:r>
              <w:rPr>
                <w:rFonts w:hint="eastAsia"/>
                <w:color w:val="auto"/>
                <w:sz w:val="24"/>
                <w:szCs w:val="24"/>
                <w:lang w:val="en-US" w:eastAsia="zh-CN"/>
              </w:rPr>
              <w:t>3-1</w:t>
            </w:r>
            <w:r>
              <w:rPr>
                <w:rFonts w:hint="eastAsia"/>
                <w:color w:val="auto"/>
                <w:sz w:val="24"/>
                <w:szCs w:val="24"/>
                <w:lang w:eastAsia="zh-CN"/>
              </w:rPr>
              <w:t>），</w:t>
            </w:r>
            <w:r>
              <w:rPr>
                <w:rFonts w:hint="eastAsia"/>
                <w:sz w:val="24"/>
                <w:szCs w:val="24"/>
                <w:lang w:val="en-US" w:eastAsia="zh-CN"/>
              </w:rPr>
              <w:t>区域内</w:t>
            </w:r>
            <w:r>
              <w:rPr>
                <w:sz w:val="24"/>
                <w:szCs w:val="24"/>
              </w:rPr>
              <w:t>环境空气现状质量良好</w:t>
            </w:r>
            <w:r>
              <w:rPr>
                <w:rFonts w:hint="eastAsia" w:ascii="Times New Roman" w:hAnsi="Times New Roman"/>
                <w:color w:val="000000"/>
                <w:sz w:val="24"/>
                <w:szCs w:val="24"/>
                <w:lang w:eastAsia="zh-CN"/>
              </w:rPr>
              <w:t>，环境空气质量满足《环境空气质量标准》（GB3095－2012）中二级标</w:t>
            </w:r>
            <w:r>
              <w:rPr>
                <w:rFonts w:ascii="Times New Roman" w:hAnsi="Times New Roman"/>
                <w:color w:val="000000"/>
                <w:sz w:val="24"/>
                <w:szCs w:val="24"/>
              </w:rPr>
              <w:t>准要求。</w:t>
            </w:r>
          </w:p>
          <w:p>
            <w:pPr>
              <w:pStyle w:val="19"/>
              <w:bidi w:val="0"/>
            </w:pPr>
            <w:r>
              <w:rPr>
                <w:rFonts w:hint="default" w:ascii="Times New Roman" w:hAnsi="Times New Roman" w:cs="Times New Roman"/>
                <w:b/>
                <w:bCs/>
                <w:sz w:val="24"/>
                <w:szCs w:val="22"/>
              </w:rPr>
              <w:t>③</w:t>
            </w:r>
            <w:r>
              <w:rPr>
                <w:rFonts w:hint="default" w:ascii="Times New Roman" w:hAnsi="Times New Roman" w:eastAsia="宋体" w:cs="Times New Roman"/>
                <w:b/>
                <w:bCs/>
                <w:sz w:val="24"/>
                <w:szCs w:val="24"/>
              </w:rPr>
              <w:t>特征污染物环境质量现状</w:t>
            </w:r>
          </w:p>
          <w:p>
            <w:pPr>
              <w:pStyle w:val="21"/>
              <w:spacing w:line="360" w:lineRule="auto"/>
              <w:ind w:firstLine="480" w:firstLineChars="200"/>
              <w:rPr>
                <w:rFonts w:hint="default" w:ascii="Times New Roman" w:hAnsi="Times New Roman" w:eastAsia="宋体" w:cs="Times New Roman"/>
                <w:b w:val="0"/>
                <w:sz w:val="24"/>
                <w:szCs w:val="24"/>
                <w:lang w:val="zh-CN"/>
              </w:rPr>
            </w:pPr>
            <w:r>
              <w:rPr>
                <w:rFonts w:hint="default" w:ascii="Times New Roman" w:hAnsi="Times New Roman" w:eastAsia="宋体" w:cs="Times New Roman"/>
                <w:b w:val="0"/>
                <w:sz w:val="24"/>
                <w:szCs w:val="24"/>
                <w:lang w:val="zh-CN"/>
              </w:rPr>
              <w:t>本项目的特征污染物为TSP</w:t>
            </w:r>
            <w:r>
              <w:rPr>
                <w:rFonts w:hint="eastAsia" w:ascii="Times New Roman" w:hAnsi="Times New Roman" w:eastAsia="宋体" w:cs="Times New Roman"/>
                <w:b w:val="0"/>
                <w:sz w:val="24"/>
                <w:szCs w:val="24"/>
                <w:lang w:val="zh-CN"/>
              </w:rPr>
              <w:t>、</w:t>
            </w:r>
            <w:r>
              <w:rPr>
                <w:rFonts w:hint="eastAsia" w:ascii="Times New Roman" w:hAnsi="Times New Roman" w:eastAsia="宋体" w:cs="Times New Roman"/>
                <w:b w:val="0"/>
                <w:sz w:val="24"/>
                <w:szCs w:val="24"/>
                <w:lang w:val="en-US" w:eastAsia="zh-CN"/>
              </w:rPr>
              <w:t>VOCs，</w:t>
            </w:r>
            <w:r>
              <w:rPr>
                <w:rFonts w:hint="default" w:ascii="Times New Roman" w:hAnsi="Times New Roman" w:eastAsia="宋体" w:cs="Times New Roman"/>
                <w:b w:val="0"/>
                <w:sz w:val="24"/>
                <w:szCs w:val="24"/>
                <w:lang w:val="zh-CN"/>
              </w:rPr>
              <w:t>环境质量现状引用</w:t>
            </w:r>
            <w:r>
              <w:rPr>
                <w:rFonts w:hint="default" w:ascii="Times New Roman" w:hAnsi="Times New Roman" w:eastAsia="宋体" w:cs="Times New Roman"/>
                <w:b w:val="0"/>
                <w:sz w:val="24"/>
                <w:szCs w:val="24"/>
                <w:lang w:val="zh-CN" w:eastAsia="zh-CN"/>
              </w:rPr>
              <w:t>昆明市银桥钢模有限公司</w:t>
            </w:r>
            <w:r>
              <w:rPr>
                <w:rFonts w:hint="eastAsia" w:ascii="Times New Roman" w:hAnsi="Times New Roman" w:eastAsia="宋体" w:cs="Times New Roman"/>
                <w:b w:val="0"/>
                <w:sz w:val="24"/>
                <w:szCs w:val="24"/>
                <w:lang w:val="zh-CN" w:eastAsia="zh-CN"/>
              </w:rPr>
              <w:t>关于</w:t>
            </w:r>
            <w:r>
              <w:rPr>
                <w:rFonts w:hint="default" w:ascii="Times New Roman" w:hAnsi="Times New Roman" w:eastAsia="宋体" w:cs="Times New Roman"/>
                <w:b w:val="0"/>
                <w:sz w:val="24"/>
                <w:szCs w:val="24"/>
                <w:lang w:val="zh-CN" w:eastAsia="zh-CN"/>
              </w:rPr>
              <w:t>年产3万吨钢模及爬模设备生产线建设项目</w:t>
            </w:r>
            <w:r>
              <w:rPr>
                <w:rFonts w:hint="default" w:ascii="Times New Roman" w:hAnsi="Times New Roman" w:eastAsia="宋体" w:cs="Times New Roman"/>
                <w:b w:val="0"/>
                <w:sz w:val="24"/>
                <w:szCs w:val="24"/>
                <w:lang w:val="zh-CN"/>
              </w:rPr>
              <w:t>中</w:t>
            </w:r>
            <w:r>
              <w:rPr>
                <w:rFonts w:hint="eastAsia" w:ascii="Times New Roman" w:hAnsi="Times New Roman" w:eastAsia="宋体" w:cs="Times New Roman"/>
                <w:b w:val="0"/>
                <w:sz w:val="24"/>
                <w:szCs w:val="24"/>
                <w:lang w:val="zh-CN"/>
              </w:rPr>
              <w:t>云南中科检测技术有限公司</w:t>
            </w:r>
            <w:r>
              <w:rPr>
                <w:rFonts w:hint="default" w:ascii="Times New Roman" w:hAnsi="Times New Roman" w:eastAsia="宋体" w:cs="Times New Roman"/>
                <w:b w:val="0"/>
                <w:sz w:val="24"/>
                <w:szCs w:val="24"/>
                <w:lang w:val="zh-CN"/>
              </w:rPr>
              <w:t>在</w:t>
            </w:r>
            <w:r>
              <w:rPr>
                <w:rFonts w:hint="default" w:ascii="Times New Roman" w:hAnsi="Times New Roman" w:eastAsia="宋体" w:cs="Times New Roman"/>
                <w:b w:val="0"/>
                <w:sz w:val="24"/>
                <w:szCs w:val="24"/>
              </w:rPr>
              <w:t>20</w:t>
            </w:r>
            <w:r>
              <w:rPr>
                <w:rFonts w:hint="eastAsia" w:ascii="Times New Roman" w:hAnsi="Times New Roman" w:eastAsia="宋体" w:cs="Times New Roman"/>
                <w:b w:val="0"/>
                <w:sz w:val="24"/>
                <w:szCs w:val="24"/>
                <w:lang w:val="en-US" w:eastAsia="zh-CN"/>
              </w:rPr>
              <w:t>20</w:t>
            </w:r>
            <w:r>
              <w:rPr>
                <w:rFonts w:hint="default" w:ascii="Times New Roman" w:hAnsi="Times New Roman" w:eastAsia="宋体" w:cs="Times New Roman"/>
                <w:b w:val="0"/>
                <w:sz w:val="24"/>
                <w:szCs w:val="24"/>
                <w:lang w:val="zh-CN"/>
              </w:rPr>
              <w:t>年</w:t>
            </w:r>
            <w:r>
              <w:rPr>
                <w:rFonts w:hint="eastAsia" w:ascii="Times New Roman" w:hAnsi="Times New Roman" w:eastAsia="宋体" w:cs="Times New Roman"/>
                <w:b w:val="0"/>
                <w:sz w:val="24"/>
                <w:szCs w:val="24"/>
                <w:lang w:val="en-US" w:eastAsia="zh-CN"/>
              </w:rPr>
              <w:t>10</w:t>
            </w:r>
            <w:r>
              <w:rPr>
                <w:rFonts w:hint="default" w:ascii="Times New Roman" w:hAnsi="Times New Roman" w:eastAsia="宋体" w:cs="Times New Roman"/>
                <w:b w:val="0"/>
                <w:sz w:val="24"/>
                <w:szCs w:val="24"/>
                <w:lang w:val="zh-CN"/>
              </w:rPr>
              <w:t>月</w:t>
            </w:r>
            <w:r>
              <w:rPr>
                <w:rFonts w:hint="eastAsia" w:ascii="Times New Roman" w:hAnsi="Times New Roman" w:eastAsia="宋体" w:cs="Times New Roman"/>
                <w:b w:val="0"/>
                <w:sz w:val="24"/>
                <w:szCs w:val="24"/>
                <w:lang w:val="en-US" w:eastAsia="zh-CN"/>
              </w:rPr>
              <w:t>4</w:t>
            </w:r>
            <w:r>
              <w:rPr>
                <w:rFonts w:hint="default" w:ascii="Times New Roman" w:hAnsi="Times New Roman" w:eastAsia="宋体" w:cs="Times New Roman"/>
                <w:b w:val="0"/>
                <w:sz w:val="24"/>
                <w:szCs w:val="24"/>
                <w:lang w:val="zh-CN"/>
              </w:rPr>
              <w:t>日~</w:t>
            </w:r>
            <w:r>
              <w:rPr>
                <w:rFonts w:hint="default" w:ascii="Times New Roman" w:hAnsi="Times New Roman" w:eastAsia="宋体" w:cs="Times New Roman"/>
                <w:b w:val="0"/>
                <w:color w:val="auto"/>
                <w:sz w:val="24"/>
                <w:szCs w:val="24"/>
                <w:lang w:val="zh-CN"/>
              </w:rPr>
              <w:t>20</w:t>
            </w:r>
            <w:r>
              <w:rPr>
                <w:rFonts w:hint="eastAsia" w:ascii="Times New Roman" w:hAnsi="Times New Roman" w:eastAsia="宋体" w:cs="Times New Roman"/>
                <w:b w:val="0"/>
                <w:color w:val="auto"/>
                <w:sz w:val="24"/>
                <w:szCs w:val="24"/>
                <w:lang w:val="en-US" w:eastAsia="zh-CN"/>
              </w:rPr>
              <w:t>20</w:t>
            </w:r>
            <w:r>
              <w:rPr>
                <w:rFonts w:hint="default" w:ascii="Times New Roman" w:hAnsi="Times New Roman" w:eastAsia="宋体" w:cs="Times New Roman"/>
                <w:b w:val="0"/>
                <w:color w:val="auto"/>
                <w:sz w:val="24"/>
                <w:szCs w:val="24"/>
                <w:lang w:val="zh-CN"/>
              </w:rPr>
              <w:t>年</w:t>
            </w:r>
            <w:r>
              <w:rPr>
                <w:rFonts w:hint="eastAsia" w:ascii="Times New Roman" w:hAnsi="Times New Roman" w:eastAsia="宋体" w:cs="Times New Roman"/>
                <w:b w:val="0"/>
                <w:color w:val="auto"/>
                <w:sz w:val="24"/>
                <w:szCs w:val="24"/>
                <w:lang w:val="en-US" w:eastAsia="zh-CN"/>
              </w:rPr>
              <w:t>10</w:t>
            </w:r>
            <w:r>
              <w:rPr>
                <w:rFonts w:hint="default" w:ascii="Times New Roman" w:hAnsi="Times New Roman" w:eastAsia="宋体" w:cs="Times New Roman"/>
                <w:b w:val="0"/>
                <w:color w:val="auto"/>
                <w:sz w:val="24"/>
                <w:szCs w:val="24"/>
                <w:lang w:val="zh-CN"/>
              </w:rPr>
              <w:t>月</w:t>
            </w:r>
            <w:r>
              <w:rPr>
                <w:rFonts w:hint="eastAsia" w:ascii="Times New Roman" w:hAnsi="Times New Roman" w:eastAsia="宋体" w:cs="Times New Roman"/>
                <w:b w:val="0"/>
                <w:color w:val="auto"/>
                <w:sz w:val="24"/>
                <w:szCs w:val="24"/>
                <w:lang w:val="en-US" w:eastAsia="zh-CN"/>
              </w:rPr>
              <w:t>5</w:t>
            </w:r>
            <w:r>
              <w:rPr>
                <w:rFonts w:hint="default" w:ascii="Times New Roman" w:hAnsi="Times New Roman" w:eastAsia="宋体" w:cs="Times New Roman"/>
                <w:b w:val="0"/>
                <w:color w:val="auto"/>
                <w:sz w:val="24"/>
                <w:szCs w:val="24"/>
                <w:lang w:val="zh-CN"/>
              </w:rPr>
              <w:t>日</w:t>
            </w:r>
            <w:r>
              <w:rPr>
                <w:rFonts w:hint="default" w:ascii="Times New Roman" w:hAnsi="Times New Roman" w:eastAsia="宋体" w:cs="Times New Roman"/>
                <w:b w:val="0"/>
                <w:sz w:val="24"/>
                <w:szCs w:val="24"/>
                <w:lang w:val="zh-CN"/>
              </w:rPr>
              <w:t>项目所在区域</w:t>
            </w:r>
            <w:r>
              <w:rPr>
                <w:rFonts w:hint="eastAsia" w:ascii="Times New Roman" w:hAnsi="Times New Roman" w:eastAsia="宋体" w:cs="Times New Roman"/>
                <w:b w:val="0"/>
                <w:sz w:val="24"/>
                <w:szCs w:val="24"/>
                <w:lang w:val="zh-CN"/>
              </w:rPr>
              <w:t>下</w:t>
            </w:r>
            <w:r>
              <w:rPr>
                <w:rFonts w:hint="default" w:ascii="Times New Roman" w:hAnsi="Times New Roman" w:eastAsia="宋体" w:cs="Times New Roman"/>
                <w:b w:val="0"/>
                <w:sz w:val="24"/>
                <w:szCs w:val="24"/>
                <w:lang w:val="zh-CN"/>
              </w:rPr>
              <w:t>风向</w:t>
            </w:r>
            <w:r>
              <w:rPr>
                <w:rFonts w:hint="default" w:ascii="Times New Roman" w:hAnsi="Times New Roman" w:eastAsia="宋体" w:cs="Times New Roman"/>
                <w:b w:val="0"/>
                <w:sz w:val="24"/>
                <w:szCs w:val="24"/>
                <w:lang w:val="zh-CN" w:eastAsia="zh-CN"/>
              </w:rPr>
              <w:t>昆明市银桥钢模有限公司</w:t>
            </w:r>
            <w:r>
              <w:rPr>
                <w:rFonts w:hint="default" w:ascii="Times New Roman" w:hAnsi="Times New Roman" w:eastAsia="宋体" w:cs="Times New Roman"/>
                <w:b w:val="0"/>
                <w:sz w:val="24"/>
                <w:szCs w:val="24"/>
                <w:lang w:val="zh-CN"/>
              </w:rPr>
              <w:t>的</w:t>
            </w:r>
            <w:r>
              <w:rPr>
                <w:rFonts w:hint="eastAsia" w:ascii="Times New Roman" w:hAnsi="Times New Roman" w:eastAsia="宋体" w:cs="Times New Roman"/>
                <w:b w:val="0"/>
                <w:sz w:val="24"/>
                <w:szCs w:val="24"/>
                <w:lang w:val="zh-CN"/>
              </w:rPr>
              <w:t>现状</w:t>
            </w:r>
            <w:r>
              <w:rPr>
                <w:rFonts w:hint="default" w:ascii="Times New Roman" w:hAnsi="Times New Roman" w:eastAsia="宋体" w:cs="Times New Roman"/>
                <w:b w:val="0"/>
                <w:sz w:val="24"/>
                <w:szCs w:val="24"/>
                <w:lang w:val="zh-CN"/>
              </w:rPr>
              <w:t>监测</w:t>
            </w:r>
            <w:r>
              <w:rPr>
                <w:rFonts w:hint="eastAsia" w:ascii="Times New Roman" w:hAnsi="Times New Roman" w:eastAsia="宋体" w:cs="Times New Roman"/>
                <w:b w:val="0"/>
                <w:sz w:val="24"/>
                <w:szCs w:val="24"/>
                <w:lang w:val="zh-CN"/>
              </w:rPr>
              <w:t>数据</w:t>
            </w:r>
            <w:r>
              <w:rPr>
                <w:rFonts w:hint="default" w:ascii="Times New Roman" w:hAnsi="Times New Roman" w:eastAsia="宋体" w:cs="Times New Roman"/>
                <w:b w:val="0"/>
                <w:sz w:val="24"/>
                <w:szCs w:val="24"/>
                <w:lang w:val="zh-CN"/>
              </w:rPr>
              <w:t>。</w:t>
            </w:r>
          </w:p>
          <w:p>
            <w:pPr>
              <w:pStyle w:val="21"/>
              <w:spacing w:line="360" w:lineRule="auto"/>
              <w:ind w:firstLine="480" w:firstLineChars="200"/>
              <w:rPr>
                <w:rFonts w:hint="default" w:ascii="Times New Roman" w:hAnsi="Times New Roman" w:eastAsia="宋体" w:cs="Times New Roman"/>
                <w:b w:val="0"/>
                <w:sz w:val="24"/>
                <w:szCs w:val="24"/>
                <w:lang w:val="zh-CN"/>
              </w:rPr>
            </w:pPr>
            <w:r>
              <w:rPr>
                <w:rFonts w:hint="default" w:ascii="Times New Roman" w:hAnsi="Times New Roman" w:eastAsia="宋体" w:cs="Times New Roman"/>
                <w:b w:val="0"/>
                <w:sz w:val="24"/>
                <w:szCs w:val="24"/>
                <w:lang w:val="zh-CN"/>
              </w:rPr>
              <w:t>该项目位于本项目北面约</w:t>
            </w:r>
            <w:r>
              <w:rPr>
                <w:rFonts w:hint="eastAsia" w:ascii="Times New Roman" w:hAnsi="Times New Roman" w:eastAsia="宋体" w:cs="Times New Roman"/>
                <w:b w:val="0"/>
                <w:sz w:val="24"/>
                <w:szCs w:val="24"/>
                <w:lang w:val="en-US" w:eastAsia="zh-CN"/>
              </w:rPr>
              <w:t>30</w:t>
            </w:r>
            <w:r>
              <w:rPr>
                <w:rFonts w:hint="default" w:ascii="Times New Roman" w:hAnsi="Times New Roman" w:eastAsia="宋体" w:cs="Times New Roman"/>
                <w:b w:val="0"/>
                <w:sz w:val="24"/>
                <w:szCs w:val="24"/>
                <w:lang w:val="zh-CN"/>
              </w:rPr>
              <w:t>m处，</w:t>
            </w:r>
            <w:r>
              <w:rPr>
                <w:rFonts w:hint="eastAsia" w:ascii="Times New Roman" w:hAnsi="Times New Roman" w:cs="Times New Roman"/>
                <w:b w:val="0"/>
                <w:sz w:val="24"/>
                <w:szCs w:val="24"/>
                <w:lang w:val="zh-CN" w:eastAsia="zh-CN"/>
              </w:rPr>
              <w:t>监测点位位于该项目下风向</w:t>
            </w:r>
            <w:r>
              <w:rPr>
                <w:rFonts w:hint="eastAsia" w:ascii="Times New Roman" w:hAnsi="Times New Roman" w:cs="Times New Roman"/>
                <w:b w:val="0"/>
                <w:sz w:val="24"/>
                <w:szCs w:val="24"/>
                <w:lang w:val="en-US" w:eastAsia="zh-CN"/>
              </w:rPr>
              <w:t>200m处，距离本项目270m，</w:t>
            </w:r>
            <w:r>
              <w:rPr>
                <w:rFonts w:hint="default" w:ascii="Times New Roman" w:hAnsi="Times New Roman" w:eastAsia="宋体" w:cs="Times New Roman"/>
                <w:b w:val="0"/>
                <w:sz w:val="24"/>
                <w:szCs w:val="24"/>
                <w:lang w:val="zh-CN"/>
              </w:rPr>
              <w:t>周边环境状况相似，具备类比条件，数据在技术导则要求的“近三年”的时限内，属于有效数据，故引用的现状监测数据</w:t>
            </w:r>
            <w:r>
              <w:rPr>
                <w:rFonts w:hint="eastAsia" w:ascii="Times New Roman" w:hAnsi="Times New Roman" w:eastAsia="宋体" w:cs="Times New Roman"/>
                <w:b w:val="0"/>
                <w:sz w:val="24"/>
                <w:szCs w:val="24"/>
                <w:lang w:val="zh-CN"/>
              </w:rPr>
              <w:t>能</w:t>
            </w:r>
            <w:r>
              <w:rPr>
                <w:rFonts w:hint="default" w:ascii="Times New Roman" w:hAnsi="Times New Roman" w:eastAsia="宋体" w:cs="Times New Roman"/>
                <w:b w:val="0"/>
                <w:sz w:val="24"/>
                <w:szCs w:val="24"/>
                <w:lang w:val="zh-CN"/>
              </w:rPr>
              <w:t>说明</w:t>
            </w:r>
            <w:r>
              <w:rPr>
                <w:rFonts w:hint="eastAsia" w:ascii="Times New Roman" w:hAnsi="Times New Roman" w:eastAsia="宋体" w:cs="Times New Roman"/>
                <w:b w:val="0"/>
                <w:sz w:val="24"/>
                <w:szCs w:val="24"/>
                <w:lang w:val="zh-CN"/>
              </w:rPr>
              <w:t>本项目环境空气质量情况</w:t>
            </w:r>
            <w:r>
              <w:rPr>
                <w:rFonts w:hint="default" w:ascii="Times New Roman" w:hAnsi="Times New Roman" w:eastAsia="宋体" w:cs="Times New Roman"/>
                <w:b w:val="0"/>
                <w:sz w:val="24"/>
                <w:szCs w:val="24"/>
                <w:lang w:val="zh-CN"/>
              </w:rPr>
              <w:t>，引用监测数据如下表所示。</w:t>
            </w:r>
          </w:p>
          <w:p>
            <w:pPr>
              <w:jc w:val="center"/>
              <w:rPr>
                <w:rFonts w:hint="default"/>
                <w:lang w:val="zh-CN"/>
              </w:rPr>
            </w:pPr>
            <w:r>
              <w:rPr>
                <w:rFonts w:hint="default" w:ascii="Times New Roman" w:hAnsi="Times New Roman" w:eastAsia="宋体" w:cs="Times New Roman"/>
                <w:b/>
                <w:lang w:val="zh-CN"/>
              </w:rPr>
              <w:t>表</w:t>
            </w:r>
            <w:r>
              <w:rPr>
                <w:rFonts w:hint="default" w:ascii="Times New Roman" w:hAnsi="Times New Roman" w:eastAsia="宋体" w:cs="Times New Roman"/>
                <w:b/>
              </w:rPr>
              <w:t>3-</w:t>
            </w:r>
            <w:r>
              <w:rPr>
                <w:rFonts w:hint="eastAsia" w:ascii="Times New Roman" w:hAnsi="Times New Roman" w:eastAsia="宋体" w:cs="Times New Roman"/>
                <w:b/>
                <w:lang w:val="en-US" w:eastAsia="zh-CN"/>
              </w:rPr>
              <w:t>2</w:t>
            </w:r>
            <w:r>
              <w:rPr>
                <w:rFonts w:hint="default" w:ascii="Times New Roman" w:hAnsi="Times New Roman" w:eastAsia="宋体" w:cs="Times New Roman"/>
                <w:b/>
                <w:lang w:val="zh-CN"/>
              </w:rPr>
              <w:t xml:space="preserve"> 大气监测结果（日均值）</w:t>
            </w:r>
            <w:r>
              <w:rPr>
                <w:rFonts w:hint="default" w:ascii="Times New Roman" w:hAnsi="Times New Roman" w:eastAsia="宋体" w:cs="Times New Roman"/>
                <w:b/>
              </w:rPr>
              <w:t xml:space="preserve"> 单位：mg/m</w:t>
            </w:r>
            <w:r>
              <w:rPr>
                <w:rFonts w:hint="default" w:ascii="Times New Roman" w:hAnsi="Times New Roman" w:eastAsia="宋体" w:cs="Times New Roman"/>
                <w:b/>
                <w:vertAlign w:val="superscript"/>
              </w:rPr>
              <w:t>3</w:t>
            </w:r>
          </w:p>
          <w:tbl>
            <w:tblPr>
              <w:tblStyle w:val="37"/>
              <w:tblW w:w="4998" w:type="pct"/>
              <w:jc w:val="center"/>
              <w:shd w:val="clear" w:color="auto" w:fill="auto"/>
              <w:tblLayout w:type="fixed"/>
              <w:tblCellMar>
                <w:top w:w="0" w:type="dxa"/>
                <w:left w:w="0" w:type="dxa"/>
                <w:bottom w:w="0" w:type="dxa"/>
                <w:right w:w="0" w:type="dxa"/>
              </w:tblCellMar>
            </w:tblPr>
            <w:tblGrid>
              <w:gridCol w:w="1621"/>
              <w:gridCol w:w="1622"/>
              <w:gridCol w:w="1622"/>
              <w:gridCol w:w="1622"/>
              <w:gridCol w:w="1622"/>
            </w:tblGrid>
            <w:tr>
              <w:tblPrEx>
                <w:shd w:val="clear" w:color="auto" w:fill="auto"/>
                <w:tblCellMar>
                  <w:top w:w="0" w:type="dxa"/>
                  <w:left w:w="0" w:type="dxa"/>
                  <w:bottom w:w="0" w:type="dxa"/>
                  <w:right w:w="0" w:type="dxa"/>
                </w:tblCellMar>
              </w:tblPrEx>
              <w:trPr>
                <w:trHeight w:val="795" w:hRule="atLeast"/>
                <w:jc w:val="center"/>
              </w:trPr>
              <w:tc>
                <w:tcPr>
                  <w:tcW w:w="1000"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检测项目</w:t>
                  </w:r>
                </w:p>
              </w:tc>
              <w:tc>
                <w:tcPr>
                  <w:tcW w:w="100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检测点位</w:t>
                  </w:r>
                </w:p>
              </w:tc>
              <w:tc>
                <w:tcPr>
                  <w:tcW w:w="100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采样日期</w:t>
                  </w:r>
                </w:p>
              </w:tc>
              <w:tc>
                <w:tcPr>
                  <w:tcW w:w="100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采样时段</w:t>
                  </w:r>
                </w:p>
              </w:tc>
              <w:tc>
                <w:tcPr>
                  <w:tcW w:w="100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检测结果（</w:t>
                  </w:r>
                  <w:r>
                    <w:rPr>
                      <w:rFonts w:hint="default" w:ascii="Times New Roman" w:hAnsi="Times New Roman" w:eastAsia="宋体" w:cs="Times New Roman"/>
                      <w:b/>
                      <w:i w:val="0"/>
                      <w:color w:val="000000"/>
                      <w:kern w:val="0"/>
                      <w:sz w:val="21"/>
                      <w:szCs w:val="21"/>
                      <w:u w:val="none"/>
                      <w:lang w:val="en-US" w:eastAsia="zh-CN" w:bidi="ar"/>
                    </w:rPr>
                    <w:t>mg/m3</w:t>
                  </w:r>
                  <w:r>
                    <w:rPr>
                      <w:rFonts w:hint="eastAsia" w:ascii="宋体" w:hAnsi="宋体" w:eastAsia="宋体" w:cs="宋体"/>
                      <w:b/>
                      <w:i w:val="0"/>
                      <w:color w:val="000000"/>
                      <w:kern w:val="0"/>
                      <w:sz w:val="21"/>
                      <w:szCs w:val="21"/>
                      <w:u w:val="none"/>
                      <w:lang w:val="en-US" w:eastAsia="zh-CN" w:bidi="ar"/>
                    </w:rPr>
                    <w:t>）</w:t>
                  </w:r>
                </w:p>
              </w:tc>
            </w:tr>
            <w:tr>
              <w:tblPrEx>
                <w:tblCellMar>
                  <w:top w:w="0" w:type="dxa"/>
                  <w:left w:w="0" w:type="dxa"/>
                  <w:bottom w:w="0" w:type="dxa"/>
                  <w:right w:w="0" w:type="dxa"/>
                </w:tblCellMar>
              </w:tblPrEx>
              <w:trPr>
                <w:trHeight w:val="285" w:hRule="atLeast"/>
                <w:jc w:val="center"/>
              </w:trPr>
              <w:tc>
                <w:tcPr>
                  <w:tcW w:w="1000" w:type="pct"/>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总挥发性有机物</w:t>
                  </w:r>
                </w:p>
              </w:tc>
              <w:tc>
                <w:tcPr>
                  <w:tcW w:w="1000"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A1</w:t>
                  </w:r>
                  <w:r>
                    <w:rPr>
                      <w:rFonts w:hint="eastAsia" w:ascii="宋体" w:hAnsi="宋体" w:eastAsia="宋体" w:cs="宋体"/>
                      <w:i w:val="0"/>
                      <w:color w:val="000000"/>
                      <w:kern w:val="0"/>
                      <w:sz w:val="21"/>
                      <w:szCs w:val="21"/>
                      <w:u w:val="none"/>
                      <w:lang w:val="en-US" w:eastAsia="zh-CN" w:bidi="ar"/>
                    </w:rPr>
                    <w:t>：项目区下风向</w:t>
                  </w:r>
                  <w:r>
                    <w:rPr>
                      <w:rFonts w:hint="default" w:ascii="Times New Roman" w:hAnsi="Times New Roman" w:eastAsia="宋体" w:cs="Times New Roman"/>
                      <w:i w:val="0"/>
                      <w:color w:val="000000"/>
                      <w:kern w:val="0"/>
                      <w:sz w:val="21"/>
                      <w:szCs w:val="21"/>
                      <w:u w:val="none"/>
                      <w:lang w:val="en-US" w:eastAsia="zh-CN" w:bidi="ar"/>
                    </w:rPr>
                    <w:t>G1</w:t>
                  </w:r>
                </w:p>
              </w:tc>
              <w:tc>
                <w:tcPr>
                  <w:tcW w:w="1000"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2020.10.04</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09:00-09:50</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0.037</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10:00-10:50</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0.035</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11:00-11:50</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0.039</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12:00-12:50</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0.041</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13:00-13:50</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0.04</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14:00-14:50</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0.035</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15:00-15:50</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0.034</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16:00-16:50</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0.032</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2000" w:type="pct"/>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8 </w:t>
                  </w:r>
                  <w:r>
                    <w:rPr>
                      <w:rFonts w:hint="eastAsia" w:ascii="宋体" w:hAnsi="宋体" w:eastAsia="宋体" w:cs="宋体"/>
                      <w:i w:val="0"/>
                      <w:color w:val="000000"/>
                      <w:kern w:val="0"/>
                      <w:sz w:val="21"/>
                      <w:szCs w:val="21"/>
                      <w:u w:val="none"/>
                      <w:lang w:val="en-US" w:eastAsia="zh-CN" w:bidi="ar"/>
                    </w:rPr>
                    <w:t>小时日均值</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0.036</w:t>
                  </w:r>
                </w:p>
              </w:tc>
            </w:tr>
            <w:tr>
              <w:tblPrEx>
                <w:tblCellMar>
                  <w:top w:w="0" w:type="dxa"/>
                  <w:left w:w="0" w:type="dxa"/>
                  <w:bottom w:w="0" w:type="dxa"/>
                  <w:right w:w="0" w:type="dxa"/>
                </w:tblCellMar>
              </w:tblPrEx>
              <w:trPr>
                <w:trHeight w:val="285" w:hRule="atLeast"/>
                <w:jc w:val="center"/>
              </w:trPr>
              <w:tc>
                <w:tcPr>
                  <w:tcW w:w="1000" w:type="pct"/>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总挥发性有机物</w:t>
                  </w:r>
                </w:p>
              </w:tc>
              <w:tc>
                <w:tcPr>
                  <w:tcW w:w="1000"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A1</w:t>
                  </w:r>
                  <w:r>
                    <w:rPr>
                      <w:rFonts w:hint="eastAsia" w:ascii="宋体" w:hAnsi="宋体" w:eastAsia="宋体" w:cs="宋体"/>
                      <w:i w:val="0"/>
                      <w:color w:val="000000"/>
                      <w:kern w:val="0"/>
                      <w:sz w:val="21"/>
                      <w:szCs w:val="21"/>
                      <w:u w:val="none"/>
                      <w:lang w:val="en-US" w:eastAsia="zh-CN" w:bidi="ar"/>
                    </w:rPr>
                    <w:t>：项目区下风向</w:t>
                  </w:r>
                  <w:r>
                    <w:rPr>
                      <w:rFonts w:hint="default" w:ascii="Times New Roman" w:hAnsi="Times New Roman" w:eastAsia="宋体" w:cs="Times New Roman"/>
                      <w:i w:val="0"/>
                      <w:color w:val="000000"/>
                      <w:kern w:val="0"/>
                      <w:sz w:val="21"/>
                      <w:szCs w:val="21"/>
                      <w:u w:val="none"/>
                      <w:lang w:val="en-US" w:eastAsia="zh-CN" w:bidi="ar"/>
                    </w:rPr>
                    <w:t>G1</w:t>
                  </w:r>
                </w:p>
              </w:tc>
              <w:tc>
                <w:tcPr>
                  <w:tcW w:w="1000" w:type="pct"/>
                  <w:vMerge w:val="restart"/>
                  <w:tcBorders>
                    <w:top w:val="nil"/>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2020.10.05</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09:00-09:50</w:t>
                  </w:r>
                </w:p>
              </w:tc>
              <w:tc>
                <w:tcPr>
                  <w:tcW w:w="100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0.034</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vMerge w:val="continue"/>
                  <w:tcBorders>
                    <w:top w:val="nil"/>
                    <w:left w:val="nil"/>
                    <w:bottom w:val="nil"/>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10:00-10:50</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0.034</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vMerge w:val="continue"/>
                  <w:tcBorders>
                    <w:top w:val="nil"/>
                    <w:left w:val="nil"/>
                    <w:bottom w:val="nil"/>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11:00-11:50</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0.034</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vMerge w:val="continue"/>
                  <w:tcBorders>
                    <w:top w:val="nil"/>
                    <w:left w:val="nil"/>
                    <w:bottom w:val="nil"/>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12:00-12:50</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0.035</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vMerge w:val="continue"/>
                  <w:tcBorders>
                    <w:top w:val="nil"/>
                    <w:left w:val="nil"/>
                    <w:bottom w:val="nil"/>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13:00-13:50</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0.035</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vMerge w:val="continue"/>
                  <w:tcBorders>
                    <w:top w:val="nil"/>
                    <w:left w:val="nil"/>
                    <w:bottom w:val="nil"/>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14:00-14:50</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0.035</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vMerge w:val="continue"/>
                  <w:tcBorders>
                    <w:top w:val="nil"/>
                    <w:left w:val="nil"/>
                    <w:bottom w:val="nil"/>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15:00-15:50</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0.033</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16:00-16:50</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0.033</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2000" w:type="pct"/>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8 </w:t>
                  </w:r>
                  <w:r>
                    <w:rPr>
                      <w:rFonts w:hint="eastAsia" w:ascii="宋体" w:hAnsi="宋体" w:eastAsia="宋体" w:cs="宋体"/>
                      <w:i w:val="0"/>
                      <w:color w:val="000000"/>
                      <w:kern w:val="0"/>
                      <w:sz w:val="21"/>
                      <w:szCs w:val="21"/>
                      <w:u w:val="none"/>
                      <w:lang w:val="en-US" w:eastAsia="zh-CN" w:bidi="ar"/>
                    </w:rPr>
                    <w:t>小时日均值</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0.034</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vMerge w:val="restar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2020.10.06</w:t>
                  </w:r>
                </w:p>
              </w:tc>
              <w:tc>
                <w:tcPr>
                  <w:tcW w:w="100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09:00-09:50</w:t>
                  </w:r>
                </w:p>
              </w:tc>
              <w:tc>
                <w:tcPr>
                  <w:tcW w:w="100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0.031</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vMerge w:val="continue"/>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10:00-10:50</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0.03</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11:00-11:50</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0.028</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12:00-12:50</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0.029</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13:00-13:50</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0.029</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14:00-14:50</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0.024</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15:00-15:50</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0.023</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16:00-16:50</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0.025</w:t>
                  </w:r>
                </w:p>
              </w:tc>
            </w:tr>
            <w:tr>
              <w:tblPrEx>
                <w:tblCellMar>
                  <w:top w:w="0" w:type="dxa"/>
                  <w:left w:w="0" w:type="dxa"/>
                  <w:bottom w:w="0" w:type="dxa"/>
                  <w:right w:w="0" w:type="dxa"/>
                </w:tblCellMar>
              </w:tblPrEx>
              <w:trPr>
                <w:trHeight w:val="285" w:hRule="atLeast"/>
                <w:jc w:val="center"/>
              </w:trPr>
              <w:tc>
                <w:tcPr>
                  <w:tcW w:w="100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2000" w:type="pct"/>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8 </w:t>
                  </w:r>
                  <w:r>
                    <w:rPr>
                      <w:rFonts w:hint="eastAsia" w:ascii="宋体" w:hAnsi="宋体" w:eastAsia="宋体" w:cs="宋体"/>
                      <w:i w:val="0"/>
                      <w:color w:val="000000"/>
                      <w:kern w:val="0"/>
                      <w:sz w:val="21"/>
                      <w:szCs w:val="21"/>
                      <w:u w:val="none"/>
                      <w:lang w:val="en-US" w:eastAsia="zh-CN" w:bidi="ar"/>
                    </w:rPr>
                    <w:t>小时日均值</w:t>
                  </w:r>
                </w:p>
              </w:tc>
              <w:tc>
                <w:tcPr>
                  <w:tcW w:w="100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0.027</w:t>
                  </w:r>
                </w:p>
              </w:tc>
            </w:tr>
            <w:tr>
              <w:tblPrEx>
                <w:tblCellMar>
                  <w:top w:w="0" w:type="dxa"/>
                  <w:left w:w="0" w:type="dxa"/>
                  <w:bottom w:w="0" w:type="dxa"/>
                  <w:right w:w="0" w:type="dxa"/>
                </w:tblCellMar>
              </w:tblPrEx>
              <w:trPr>
                <w:trHeight w:val="285" w:hRule="atLeast"/>
                <w:jc w:val="center"/>
              </w:trPr>
              <w:tc>
                <w:tcPr>
                  <w:tcW w:w="1000"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备 注</w:t>
                  </w:r>
                </w:p>
              </w:tc>
              <w:tc>
                <w:tcPr>
                  <w:tcW w:w="4000" w:type="pct"/>
                  <w:gridSpan w:val="4"/>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采样方法依据：</w:t>
                  </w:r>
                  <w:r>
                    <w:rPr>
                      <w:rFonts w:hint="default" w:ascii="Times New Roman" w:hAnsi="Times New Roman" w:eastAsia="宋体" w:cs="Times New Roman"/>
                      <w:i w:val="0"/>
                      <w:color w:val="000000"/>
                      <w:kern w:val="0"/>
                      <w:sz w:val="21"/>
                      <w:szCs w:val="21"/>
                      <w:u w:val="none"/>
                      <w:lang w:val="en-US" w:eastAsia="zh-CN" w:bidi="ar"/>
                    </w:rPr>
                    <w:t xml:space="preserve">HJ 194-2017 </w:t>
                  </w:r>
                  <w:r>
                    <w:rPr>
                      <w:rFonts w:hint="eastAsia" w:ascii="宋体" w:hAnsi="宋体" w:eastAsia="宋体" w:cs="宋体"/>
                      <w:i w:val="0"/>
                      <w:color w:val="000000"/>
                      <w:kern w:val="0"/>
                      <w:sz w:val="21"/>
                      <w:szCs w:val="21"/>
                      <w:u w:val="none"/>
                      <w:lang w:val="en-US" w:eastAsia="zh-CN" w:bidi="ar"/>
                    </w:rPr>
                    <w:t>环境空气质量手工监测技术规范及修改单。</w:t>
                  </w:r>
                </w:p>
              </w:tc>
            </w:tr>
          </w:tbl>
          <w:p>
            <w:pPr>
              <w:spacing w:line="360" w:lineRule="auto"/>
              <w:ind w:firstLine="480" w:firstLineChars="200"/>
              <w:rPr>
                <w:rFonts w:ascii="Times New Roman" w:hAnsi="Times New Roman"/>
                <w:b/>
                <w:bCs/>
                <w:color w:val="000000"/>
                <w:sz w:val="24"/>
                <w:szCs w:val="24"/>
              </w:rPr>
            </w:pPr>
            <w:r>
              <w:rPr>
                <w:rFonts w:hint="default" w:ascii="Times New Roman" w:hAnsi="Times New Roman" w:eastAsia="宋体" w:cs="Times New Roman"/>
                <w:sz w:val="24"/>
                <w:szCs w:val="24"/>
                <w:lang w:val="zh-CN"/>
              </w:rPr>
              <w:t>根据引用的报告书现状监测结果可知，评价区域内</w:t>
            </w:r>
            <w:r>
              <w:rPr>
                <w:rFonts w:hint="default" w:ascii="Times New Roman" w:hAnsi="Times New Roman" w:eastAsia="宋体" w:cs="Times New Roman"/>
                <w:sz w:val="24"/>
                <w:szCs w:val="24"/>
              </w:rPr>
              <w:t>TSP</w:t>
            </w:r>
            <w:r>
              <w:rPr>
                <w:rFonts w:hint="default" w:ascii="Times New Roman" w:hAnsi="Times New Roman" w:eastAsia="宋体" w:cs="Times New Roman"/>
                <w:sz w:val="24"/>
                <w:szCs w:val="24"/>
                <w:lang w:val="zh-CN"/>
              </w:rPr>
              <w:t>、</w:t>
            </w:r>
            <w:r>
              <w:rPr>
                <w:rFonts w:hint="eastAsia" w:ascii="Times New Roman" w:hAnsi="Times New Roman" w:eastAsia="宋体" w:cs="Times New Roman"/>
                <w:sz w:val="24"/>
                <w:szCs w:val="24"/>
                <w:lang w:val="en-US" w:eastAsia="zh-CN"/>
              </w:rPr>
              <w:t>VOCs</w:t>
            </w:r>
            <w:r>
              <w:rPr>
                <w:rFonts w:hint="default" w:ascii="Times New Roman" w:hAnsi="Times New Roman" w:eastAsia="宋体" w:cs="Times New Roman"/>
                <w:sz w:val="24"/>
                <w:szCs w:val="24"/>
                <w:lang w:val="zh-CN"/>
              </w:rPr>
              <w:t>能够满足GB3095-2012《环境空气质量标准》中的二级标准要求。</w:t>
            </w:r>
          </w:p>
          <w:p>
            <w:pPr>
              <w:spacing w:line="360" w:lineRule="auto"/>
              <w:rPr>
                <w:rFonts w:ascii="Times New Roman" w:hAnsi="Times New Roman"/>
                <w:b/>
                <w:bCs/>
                <w:color w:val="000000"/>
                <w:sz w:val="24"/>
                <w:szCs w:val="24"/>
              </w:rPr>
            </w:pPr>
            <w:r>
              <w:rPr>
                <w:rFonts w:ascii="Times New Roman" w:hAnsi="Times New Roman"/>
                <w:b/>
                <w:bCs/>
                <w:color w:val="000000"/>
                <w:sz w:val="24"/>
                <w:szCs w:val="24"/>
              </w:rPr>
              <w:t>2、地表水环境质量状况</w:t>
            </w:r>
          </w:p>
          <w:p>
            <w:pPr>
              <w:pageBreakBefore w:val="0"/>
              <w:kinsoku/>
              <w:wordWrap/>
              <w:overflowPunct/>
              <w:topLinePunct w:val="0"/>
              <w:autoSpaceDE/>
              <w:autoSpaceDN/>
              <w:bidi w:val="0"/>
              <w:spacing w:line="360" w:lineRule="auto"/>
              <w:ind w:firstLine="480" w:firstLineChars="200"/>
              <w:textAlignment w:val="auto"/>
              <w:rPr>
                <w:rFonts w:hint="eastAsia" w:cs="Times New Roman"/>
                <w:color w:val="auto"/>
                <w:sz w:val="24"/>
                <w:szCs w:val="24"/>
                <w:lang w:eastAsia="zh-CN"/>
              </w:rPr>
            </w:pPr>
            <w:r>
              <w:rPr>
                <w:rFonts w:hint="default" w:ascii="Times New Roman" w:hAnsi="Times New Roman" w:cs="Times New Roman"/>
                <w:color w:val="auto"/>
                <w:sz w:val="24"/>
                <w:szCs w:val="24"/>
                <w:lang w:val="en-US" w:eastAsia="zh-CN"/>
              </w:rPr>
              <w:t>本项目位于</w:t>
            </w:r>
            <w:r>
              <w:rPr>
                <w:rFonts w:hint="eastAsia"/>
                <w:color w:val="auto"/>
                <w:sz w:val="24"/>
                <w:szCs w:val="24"/>
                <w:lang w:val="en-US" w:eastAsia="zh-CN"/>
              </w:rPr>
              <w:t>富民县工业园哨箐片区。</w:t>
            </w:r>
            <w:r>
              <w:rPr>
                <w:rFonts w:hint="default" w:ascii="Times New Roman" w:hAnsi="Times New Roman" w:cs="Times New Roman"/>
                <w:color w:val="000000"/>
                <w:kern w:val="2"/>
                <w:sz w:val="24"/>
                <w:szCs w:val="24"/>
                <w:lang w:val="en-US" w:eastAsia="zh-CN" w:bidi="ar-SA"/>
              </w:rPr>
              <w:t>据现场调查，</w:t>
            </w:r>
            <w:r>
              <w:rPr>
                <w:rFonts w:hint="eastAsia" w:ascii="Times New Roman" w:hAnsi="Times New Roman" w:cs="Times New Roman"/>
                <w:color w:val="auto"/>
                <w:sz w:val="24"/>
                <w:szCs w:val="24"/>
                <w:lang w:val="en-US" w:eastAsia="zh-CN"/>
              </w:rPr>
              <w:t>与</w:t>
            </w:r>
            <w:r>
              <w:rPr>
                <w:rFonts w:hint="default" w:ascii="Times New Roman" w:hAnsi="Times New Roman" w:cs="Times New Roman"/>
                <w:color w:val="auto"/>
                <w:sz w:val="24"/>
                <w:szCs w:val="24"/>
                <w:lang w:val="en-US" w:eastAsia="zh-CN"/>
              </w:rPr>
              <w:t>本项目有关的地表水体主要</w:t>
            </w:r>
            <w:r>
              <w:rPr>
                <w:rFonts w:hint="eastAsia" w:ascii="Times New Roman" w:hAnsi="Times New Roman" w:cs="Times New Roman"/>
                <w:color w:val="auto"/>
                <w:sz w:val="24"/>
                <w:szCs w:val="24"/>
                <w:lang w:val="en-US" w:eastAsia="zh-CN"/>
              </w:rPr>
              <w:t>是</w:t>
            </w:r>
            <w:r>
              <w:rPr>
                <w:rFonts w:hint="eastAsia" w:cs="Times New Roman"/>
                <w:color w:val="auto"/>
                <w:sz w:val="24"/>
                <w:szCs w:val="24"/>
                <w:lang w:val="en-US" w:eastAsia="zh-CN"/>
              </w:rPr>
              <w:t>螳螂川及其支流马拉河、清水河</w:t>
            </w:r>
            <w:r>
              <w:rPr>
                <w:rFonts w:hint="default" w:ascii="Times New Roman" w:hAnsi="Times New Roman" w:cs="Times New Roman"/>
                <w:color w:val="auto"/>
                <w:sz w:val="24"/>
                <w:szCs w:val="24"/>
                <w:lang w:val="en-US" w:eastAsia="zh-CN"/>
              </w:rPr>
              <w:t>。</w:t>
            </w:r>
            <w:r>
              <w:rPr>
                <w:rFonts w:hint="eastAsia" w:cs="Times New Roman"/>
                <w:color w:val="auto"/>
                <w:sz w:val="24"/>
                <w:szCs w:val="24"/>
                <w:lang w:val="en-US" w:eastAsia="zh-CN"/>
              </w:rPr>
              <w:t>清水河位于本项目南侧1600m，马拉河位于项目区北侧1260m，螳螂川位于项目区东北侧1250m</w:t>
            </w:r>
            <w:r>
              <w:rPr>
                <w:rFonts w:hint="default" w:ascii="Times New Roman" w:hAnsi="Times New Roman" w:cs="Times New Roman"/>
                <w:color w:val="000000"/>
                <w:kern w:val="2"/>
                <w:sz w:val="24"/>
                <w:szCs w:val="24"/>
                <w:lang w:val="en-US" w:eastAsia="zh-CN" w:bidi="ar-SA"/>
              </w:rPr>
              <w:t>，</w:t>
            </w:r>
            <w:r>
              <w:rPr>
                <w:rFonts w:hint="default" w:ascii="Times New Roman" w:hAnsi="Times New Roman" w:cs="Times New Roman"/>
                <w:color w:val="auto"/>
                <w:sz w:val="24"/>
                <w:szCs w:val="24"/>
                <w:lang w:val="zh-CN"/>
              </w:rPr>
              <w:t>根据</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eastAsia="zh-CN"/>
              </w:rPr>
              <w:t>云南省地表水水环境功能区划</w:t>
            </w:r>
            <w:r>
              <w:rPr>
                <w:rFonts w:hint="default" w:ascii="Times New Roman" w:hAnsi="Times New Roman" w:cs="Times New Roman"/>
                <w:color w:val="auto"/>
                <w:sz w:val="24"/>
                <w:szCs w:val="24"/>
              </w:rPr>
              <w:t>》（2010~2020年），</w:t>
            </w:r>
            <w:r>
              <w:rPr>
                <w:rFonts w:hint="default" w:ascii="Times New Roman" w:hAnsi="Times New Roman" w:cs="Times New Roman"/>
                <w:color w:val="auto"/>
                <w:sz w:val="24"/>
                <w:szCs w:val="24"/>
                <w:lang w:eastAsia="zh-CN"/>
              </w:rPr>
              <w:t>螳螂川流经项目所在区域为（富民大桥—普渡河桥）河段，该河段</w:t>
            </w:r>
            <w:r>
              <w:rPr>
                <w:rFonts w:hint="default" w:ascii="Times New Roman" w:hAnsi="Times New Roman" w:cs="Times New Roman"/>
                <w:color w:val="auto"/>
                <w:sz w:val="24"/>
                <w:szCs w:val="24"/>
              </w:rPr>
              <w:t>水环境功能为工业用水，水质类别为Ⅳ类水体，执行《地表水环境质量标准》（GB3838-2002）Ⅳ类标准</w:t>
            </w:r>
            <w:r>
              <w:rPr>
                <w:rFonts w:hint="eastAsia" w:cs="Times New Roman"/>
                <w:color w:val="auto"/>
                <w:sz w:val="24"/>
                <w:szCs w:val="24"/>
                <w:lang w:eastAsia="zh-CN"/>
              </w:rPr>
              <w:t>。</w:t>
            </w:r>
          </w:p>
          <w:p>
            <w:pPr>
              <w:pageBreakBefore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kern w:val="0"/>
                <w:sz w:val="24"/>
                <w:szCs w:val="24"/>
                <w:lang w:val="en-US" w:eastAsia="zh-CN"/>
              </w:rPr>
            </w:pPr>
            <w:r>
              <w:rPr>
                <w:rFonts w:hint="default" w:ascii="Times New Roman" w:hAnsi="Times New Roman" w:eastAsia="宋体" w:cs="Times New Roman"/>
                <w:color w:val="auto"/>
                <w:kern w:val="0"/>
                <w:sz w:val="24"/>
                <w:szCs w:val="24"/>
              </w:rPr>
              <w:t>根据</w:t>
            </w:r>
            <w:r>
              <w:rPr>
                <w:rFonts w:hint="default" w:ascii="Times New Roman" w:hAnsi="Times New Roman" w:cs="Times New Roman"/>
                <w:color w:val="auto"/>
                <w:kern w:val="0"/>
                <w:sz w:val="24"/>
                <w:szCs w:val="24"/>
                <w:lang w:eastAsia="zh-CN"/>
              </w:rPr>
              <w:t>富民县环境监测站</w:t>
            </w:r>
            <w:r>
              <w:rPr>
                <w:rFonts w:hint="default" w:ascii="Times New Roman" w:hAnsi="Times New Roman" w:cs="Times New Roman"/>
                <w:color w:val="auto"/>
                <w:kern w:val="0"/>
                <w:sz w:val="24"/>
                <w:szCs w:val="24"/>
                <w:lang w:val="en-US" w:eastAsia="zh-CN"/>
              </w:rPr>
              <w:t>2018年1</w:t>
            </w:r>
            <w:r>
              <w:rPr>
                <w:rFonts w:hint="default" w:ascii="Times New Roman" w:hAnsi="Times New Roman" w:eastAsia="宋体" w:cs="Times New Roman"/>
                <w:color w:val="auto"/>
                <w:kern w:val="0"/>
                <w:sz w:val="24"/>
                <w:szCs w:val="24"/>
              </w:rPr>
              <w:t>～</w:t>
            </w:r>
            <w:r>
              <w:rPr>
                <w:rFonts w:hint="default" w:ascii="Times New Roman" w:hAnsi="Times New Roman" w:cs="Times New Roman"/>
                <w:color w:val="auto"/>
                <w:kern w:val="0"/>
                <w:sz w:val="24"/>
                <w:szCs w:val="24"/>
                <w:lang w:val="en-US" w:eastAsia="zh-CN"/>
              </w:rPr>
              <w:t>12月螳螂川富民大桥断面</w:t>
            </w:r>
            <w:r>
              <w:rPr>
                <w:rFonts w:hint="eastAsia" w:cs="Times New Roman"/>
                <w:color w:val="auto"/>
                <w:kern w:val="0"/>
                <w:sz w:val="24"/>
                <w:szCs w:val="24"/>
                <w:lang w:val="en-US" w:eastAsia="zh-CN"/>
              </w:rPr>
              <w:t>、</w:t>
            </w:r>
            <w:r>
              <w:rPr>
                <w:sz w:val="24"/>
                <w:szCs w:val="24"/>
              </w:rPr>
              <w:t>赤鹫大桥断面</w:t>
            </w:r>
            <w:r>
              <w:rPr>
                <w:rFonts w:hint="eastAsia"/>
                <w:sz w:val="24"/>
                <w:szCs w:val="24"/>
                <w:lang w:eastAsia="zh-CN"/>
              </w:rPr>
              <w:t>（富民大桥断面位于项目所在地上游约</w:t>
            </w:r>
            <w:r>
              <w:rPr>
                <w:rFonts w:hint="eastAsia"/>
                <w:sz w:val="24"/>
                <w:szCs w:val="24"/>
                <w:lang w:val="en-US" w:eastAsia="zh-CN"/>
              </w:rPr>
              <w:t>8.6km处，</w:t>
            </w:r>
            <w:r>
              <w:rPr>
                <w:sz w:val="24"/>
                <w:szCs w:val="24"/>
              </w:rPr>
              <w:t>赤鹫大桥</w:t>
            </w:r>
            <w:r>
              <w:rPr>
                <w:rFonts w:hint="eastAsia"/>
                <w:sz w:val="24"/>
                <w:szCs w:val="24"/>
                <w:lang w:eastAsia="zh-CN"/>
              </w:rPr>
              <w:t>断面位于项目所在地下游约</w:t>
            </w:r>
            <w:r>
              <w:rPr>
                <w:rFonts w:hint="eastAsia"/>
                <w:sz w:val="24"/>
                <w:szCs w:val="24"/>
                <w:lang w:val="en-US" w:eastAsia="zh-CN"/>
              </w:rPr>
              <w:t>12km处</w:t>
            </w:r>
            <w:r>
              <w:rPr>
                <w:rFonts w:hint="eastAsia"/>
                <w:sz w:val="24"/>
                <w:szCs w:val="24"/>
                <w:lang w:eastAsia="zh-CN"/>
              </w:rPr>
              <w:t>）</w:t>
            </w:r>
            <w:r>
              <w:rPr>
                <w:rFonts w:hint="default" w:ascii="Times New Roman" w:hAnsi="Times New Roman" w:cs="Times New Roman"/>
                <w:color w:val="auto"/>
                <w:kern w:val="0"/>
                <w:sz w:val="24"/>
                <w:szCs w:val="24"/>
                <w:lang w:val="en-US" w:eastAsia="zh-CN"/>
              </w:rPr>
              <w:t>每月的水质例行监测数据，检测结果统计见表3-</w:t>
            </w:r>
            <w:r>
              <w:rPr>
                <w:rFonts w:hint="eastAsia" w:cs="Times New Roman"/>
                <w:color w:val="auto"/>
                <w:kern w:val="0"/>
                <w:sz w:val="24"/>
                <w:szCs w:val="24"/>
                <w:lang w:val="en-US" w:eastAsia="zh-CN"/>
              </w:rPr>
              <w:t>3</w:t>
            </w:r>
            <w:r>
              <w:rPr>
                <w:rFonts w:hint="default" w:ascii="Times New Roman" w:hAnsi="Times New Roman" w:cs="Times New Roman"/>
                <w:color w:val="auto"/>
                <w:kern w:val="0"/>
                <w:sz w:val="24"/>
                <w:szCs w:val="24"/>
                <w:lang w:val="en-US" w:eastAsia="zh-CN"/>
              </w:rPr>
              <w:t>。</w:t>
            </w:r>
          </w:p>
          <w:p>
            <w:pPr>
              <w:spacing w:line="240" w:lineRule="auto"/>
              <w:jc w:val="center"/>
              <w:rPr>
                <w:rFonts w:hint="default" w:ascii="Times New Roman" w:hAnsi="Times New Roman" w:cs="Times New Roman"/>
                <w:b/>
                <w:bCs/>
                <w:color w:val="auto"/>
                <w:szCs w:val="22"/>
                <w:lang w:val="en-US" w:eastAsia="zh-CN"/>
              </w:rPr>
            </w:pPr>
            <w:r>
              <w:rPr>
                <w:rFonts w:hint="default" w:ascii="Times New Roman" w:hAnsi="Times New Roman" w:cs="Times New Roman"/>
                <w:b/>
                <w:bCs/>
                <w:color w:val="auto"/>
                <w:szCs w:val="22"/>
                <w:lang w:val="en-US" w:eastAsia="zh-CN"/>
              </w:rPr>
              <w:t>表3-</w:t>
            </w:r>
            <w:r>
              <w:rPr>
                <w:rFonts w:hint="eastAsia" w:cs="Times New Roman"/>
                <w:b/>
                <w:bCs/>
                <w:color w:val="auto"/>
                <w:szCs w:val="22"/>
                <w:lang w:val="en-US" w:eastAsia="zh-CN"/>
              </w:rPr>
              <w:t>3</w:t>
            </w:r>
            <w:r>
              <w:rPr>
                <w:rFonts w:hint="default" w:ascii="Times New Roman" w:hAnsi="Times New Roman" w:cs="Times New Roman"/>
                <w:b/>
                <w:bCs/>
                <w:color w:val="auto"/>
                <w:szCs w:val="22"/>
                <w:lang w:val="en-US" w:eastAsia="zh-CN"/>
              </w:rPr>
              <w:t xml:space="preserve">  水环境检测结果统计表</w:t>
            </w:r>
          </w:p>
          <w:tbl>
            <w:tblPr>
              <w:tblStyle w:val="3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51"/>
              <w:gridCol w:w="1701"/>
              <w:gridCol w:w="964"/>
              <w:gridCol w:w="1395"/>
              <w:gridCol w:w="1035"/>
              <w:gridCol w:w="1125"/>
              <w:gridCol w:w="105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blHeader/>
                <w:jc w:val="center"/>
              </w:trPr>
              <w:tc>
                <w:tcPr>
                  <w:tcW w:w="951" w:type="dxa"/>
                  <w:tcBorders>
                    <w:tl2br w:val="nil"/>
                    <w:tr2bl w:val="nil"/>
                  </w:tcBorders>
                  <w:vAlign w:val="center"/>
                </w:tcPr>
                <w:p>
                  <w:pPr>
                    <w:widowControl/>
                    <w:adjustRightInd w:val="0"/>
                    <w:snapToGrid w:val="0"/>
                    <w:spacing w:line="240" w:lineRule="auto"/>
                    <w:ind w:firstLine="0" w:firstLineChars="0"/>
                    <w:jc w:val="center"/>
                    <w:rPr>
                      <w:b/>
                      <w:sz w:val="21"/>
                      <w:szCs w:val="21"/>
                    </w:rPr>
                  </w:pPr>
                  <w:r>
                    <w:rPr>
                      <w:b/>
                      <w:sz w:val="21"/>
                      <w:szCs w:val="21"/>
                    </w:rPr>
                    <w:t>污染物</w:t>
                  </w:r>
                </w:p>
              </w:tc>
              <w:tc>
                <w:tcPr>
                  <w:tcW w:w="1701" w:type="dxa"/>
                  <w:tcBorders>
                    <w:tl2br w:val="nil"/>
                    <w:tr2bl w:val="nil"/>
                  </w:tcBorders>
                  <w:vAlign w:val="center"/>
                </w:tcPr>
                <w:p>
                  <w:pPr>
                    <w:widowControl/>
                    <w:adjustRightInd w:val="0"/>
                    <w:snapToGrid w:val="0"/>
                    <w:spacing w:line="240" w:lineRule="auto"/>
                    <w:ind w:firstLine="0" w:firstLineChars="0"/>
                    <w:jc w:val="center"/>
                    <w:rPr>
                      <w:b/>
                      <w:sz w:val="21"/>
                      <w:szCs w:val="21"/>
                    </w:rPr>
                  </w:pPr>
                  <w:r>
                    <w:rPr>
                      <w:b/>
                      <w:sz w:val="21"/>
                      <w:szCs w:val="21"/>
                    </w:rPr>
                    <w:t>浓度范围（µg/m</w:t>
                  </w:r>
                  <w:r>
                    <w:rPr>
                      <w:b/>
                      <w:sz w:val="21"/>
                      <w:szCs w:val="21"/>
                      <w:vertAlign w:val="superscript"/>
                    </w:rPr>
                    <w:t>3</w:t>
                  </w:r>
                  <w:r>
                    <w:rPr>
                      <w:b/>
                      <w:sz w:val="21"/>
                      <w:szCs w:val="21"/>
                    </w:rPr>
                    <w:t>）</w:t>
                  </w:r>
                </w:p>
              </w:tc>
              <w:tc>
                <w:tcPr>
                  <w:tcW w:w="964" w:type="dxa"/>
                  <w:tcBorders>
                    <w:tl2br w:val="nil"/>
                    <w:tr2bl w:val="nil"/>
                  </w:tcBorders>
                  <w:vAlign w:val="center"/>
                </w:tcPr>
                <w:p>
                  <w:pPr>
                    <w:widowControl/>
                    <w:adjustRightInd w:val="0"/>
                    <w:snapToGrid w:val="0"/>
                    <w:spacing w:line="240" w:lineRule="auto"/>
                    <w:ind w:firstLine="0" w:firstLineChars="0"/>
                    <w:jc w:val="center"/>
                    <w:rPr>
                      <w:b/>
                      <w:sz w:val="21"/>
                      <w:szCs w:val="21"/>
                    </w:rPr>
                  </w:pPr>
                  <w:r>
                    <w:rPr>
                      <w:b/>
                      <w:sz w:val="21"/>
                      <w:szCs w:val="21"/>
                    </w:rPr>
                    <w:t>平均值（µg/m</w:t>
                  </w:r>
                  <w:r>
                    <w:rPr>
                      <w:b/>
                      <w:sz w:val="21"/>
                      <w:szCs w:val="21"/>
                      <w:vertAlign w:val="superscript"/>
                    </w:rPr>
                    <w:t>3</w:t>
                  </w:r>
                  <w:r>
                    <w:rPr>
                      <w:b/>
                      <w:sz w:val="21"/>
                      <w:szCs w:val="21"/>
                    </w:rPr>
                    <w:t>）</w:t>
                  </w:r>
                </w:p>
              </w:tc>
              <w:tc>
                <w:tcPr>
                  <w:tcW w:w="1395" w:type="dxa"/>
                  <w:tcBorders>
                    <w:tl2br w:val="nil"/>
                    <w:tr2bl w:val="nil"/>
                  </w:tcBorders>
                  <w:vAlign w:val="center"/>
                </w:tcPr>
                <w:p>
                  <w:pPr>
                    <w:widowControl/>
                    <w:adjustRightInd w:val="0"/>
                    <w:snapToGrid w:val="0"/>
                    <w:spacing w:line="240" w:lineRule="auto"/>
                    <w:ind w:firstLine="0" w:firstLineChars="0"/>
                    <w:jc w:val="center"/>
                    <w:rPr>
                      <w:b/>
                      <w:sz w:val="21"/>
                      <w:szCs w:val="21"/>
                    </w:rPr>
                  </w:pPr>
                  <w:r>
                    <w:rPr>
                      <w:b/>
                      <w:sz w:val="21"/>
                      <w:szCs w:val="21"/>
                    </w:rPr>
                    <w:t>标准值（µg/m</w:t>
                  </w:r>
                  <w:r>
                    <w:rPr>
                      <w:b/>
                      <w:sz w:val="21"/>
                      <w:szCs w:val="21"/>
                      <w:vertAlign w:val="superscript"/>
                    </w:rPr>
                    <w:t>3</w:t>
                  </w:r>
                  <w:r>
                    <w:rPr>
                      <w:b/>
                      <w:sz w:val="21"/>
                      <w:szCs w:val="21"/>
                    </w:rPr>
                    <w:t>）</w:t>
                  </w:r>
                </w:p>
              </w:tc>
              <w:tc>
                <w:tcPr>
                  <w:tcW w:w="1035" w:type="dxa"/>
                  <w:tcBorders>
                    <w:tl2br w:val="nil"/>
                    <w:tr2bl w:val="nil"/>
                  </w:tcBorders>
                  <w:vAlign w:val="center"/>
                </w:tcPr>
                <w:p>
                  <w:pPr>
                    <w:widowControl/>
                    <w:adjustRightInd w:val="0"/>
                    <w:snapToGrid w:val="0"/>
                    <w:spacing w:line="240" w:lineRule="auto"/>
                    <w:ind w:firstLine="0" w:firstLineChars="0"/>
                    <w:jc w:val="center"/>
                    <w:rPr>
                      <w:b/>
                      <w:sz w:val="21"/>
                      <w:szCs w:val="21"/>
                    </w:rPr>
                  </w:pPr>
                  <w:r>
                    <w:rPr>
                      <w:b/>
                      <w:sz w:val="21"/>
                      <w:szCs w:val="21"/>
                    </w:rPr>
                    <w:t>超标率%</w:t>
                  </w:r>
                </w:p>
              </w:tc>
              <w:tc>
                <w:tcPr>
                  <w:tcW w:w="1125" w:type="dxa"/>
                  <w:tcBorders>
                    <w:tl2br w:val="nil"/>
                    <w:tr2bl w:val="nil"/>
                  </w:tcBorders>
                  <w:vAlign w:val="center"/>
                </w:tcPr>
                <w:p>
                  <w:pPr>
                    <w:widowControl/>
                    <w:adjustRightInd w:val="0"/>
                    <w:snapToGrid w:val="0"/>
                    <w:spacing w:line="240" w:lineRule="auto"/>
                    <w:ind w:firstLine="0" w:firstLineChars="0"/>
                    <w:jc w:val="center"/>
                    <w:rPr>
                      <w:b/>
                      <w:sz w:val="21"/>
                      <w:szCs w:val="21"/>
                    </w:rPr>
                  </w:pPr>
                  <w:r>
                    <w:rPr>
                      <w:b/>
                      <w:sz w:val="21"/>
                      <w:szCs w:val="21"/>
                    </w:rPr>
                    <w:t>最大超标倍数</w:t>
                  </w:r>
                </w:p>
              </w:tc>
              <w:tc>
                <w:tcPr>
                  <w:tcW w:w="1050" w:type="dxa"/>
                  <w:tcBorders>
                    <w:tl2br w:val="nil"/>
                    <w:tr2bl w:val="nil"/>
                  </w:tcBorders>
                  <w:vAlign w:val="center"/>
                </w:tcPr>
                <w:p>
                  <w:pPr>
                    <w:widowControl/>
                    <w:adjustRightInd w:val="0"/>
                    <w:snapToGrid w:val="0"/>
                    <w:spacing w:line="240" w:lineRule="auto"/>
                    <w:ind w:firstLine="0" w:firstLineChars="0"/>
                    <w:jc w:val="center"/>
                    <w:rPr>
                      <w:b/>
                      <w:sz w:val="21"/>
                      <w:szCs w:val="21"/>
                    </w:rPr>
                  </w:pPr>
                  <w:r>
                    <w:rPr>
                      <w:b/>
                      <w:sz w:val="21"/>
                      <w:szCs w:val="21"/>
                    </w:rPr>
                    <w:t>达标</w:t>
                  </w:r>
                </w:p>
                <w:p>
                  <w:pPr>
                    <w:widowControl/>
                    <w:adjustRightInd w:val="0"/>
                    <w:snapToGrid w:val="0"/>
                    <w:spacing w:line="240" w:lineRule="auto"/>
                    <w:ind w:firstLine="0" w:firstLineChars="0"/>
                    <w:jc w:val="center"/>
                    <w:rPr>
                      <w:b/>
                      <w:sz w:val="21"/>
                      <w:szCs w:val="21"/>
                    </w:rPr>
                  </w:pPr>
                  <w:r>
                    <w:rPr>
                      <w:b/>
                      <w:sz w:val="21"/>
                      <w:szCs w:val="21"/>
                    </w:rPr>
                    <w:t>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8221" w:type="dxa"/>
                  <w:gridSpan w:val="7"/>
                  <w:tcBorders>
                    <w:tl2br w:val="nil"/>
                    <w:tr2bl w:val="nil"/>
                  </w:tcBorders>
                  <w:vAlign w:val="center"/>
                </w:tcPr>
                <w:p>
                  <w:pPr>
                    <w:widowControl/>
                    <w:adjustRightInd w:val="0"/>
                    <w:snapToGrid w:val="0"/>
                    <w:spacing w:line="240" w:lineRule="auto"/>
                    <w:ind w:firstLine="420"/>
                    <w:jc w:val="center"/>
                    <w:rPr>
                      <w:sz w:val="21"/>
                      <w:szCs w:val="21"/>
                    </w:rPr>
                  </w:pPr>
                  <w:r>
                    <w:rPr>
                      <w:sz w:val="21"/>
                      <w:szCs w:val="21"/>
                    </w:rPr>
                    <w:t>富民大桥断面</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pH</w:t>
                  </w:r>
                </w:p>
              </w:tc>
              <w:tc>
                <w:tcPr>
                  <w:tcW w:w="170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7.47~8.11</w:t>
                  </w:r>
                </w:p>
              </w:tc>
              <w:tc>
                <w:tcPr>
                  <w:tcW w:w="964"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7.89</w:t>
                  </w:r>
                </w:p>
              </w:tc>
              <w:tc>
                <w:tcPr>
                  <w:tcW w:w="139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6~9</w:t>
                  </w:r>
                </w:p>
              </w:tc>
              <w:tc>
                <w:tcPr>
                  <w:tcW w:w="103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w:t>
                  </w:r>
                </w:p>
              </w:tc>
              <w:tc>
                <w:tcPr>
                  <w:tcW w:w="112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w:t>
                  </w:r>
                </w:p>
              </w:tc>
              <w:tc>
                <w:tcPr>
                  <w:tcW w:w="1050"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达标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溶解氧</w:t>
                  </w:r>
                </w:p>
              </w:tc>
              <w:tc>
                <w:tcPr>
                  <w:tcW w:w="170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6~8.9</w:t>
                  </w:r>
                </w:p>
              </w:tc>
              <w:tc>
                <w:tcPr>
                  <w:tcW w:w="964"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6.8</w:t>
                  </w:r>
                </w:p>
              </w:tc>
              <w:tc>
                <w:tcPr>
                  <w:tcW w:w="139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3</w:t>
                  </w:r>
                </w:p>
              </w:tc>
              <w:tc>
                <w:tcPr>
                  <w:tcW w:w="103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w:t>
                  </w:r>
                </w:p>
              </w:tc>
              <w:tc>
                <w:tcPr>
                  <w:tcW w:w="112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w:t>
                  </w:r>
                </w:p>
              </w:tc>
              <w:tc>
                <w:tcPr>
                  <w:tcW w:w="1050"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达标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COD</w:t>
                  </w:r>
                </w:p>
              </w:tc>
              <w:tc>
                <w:tcPr>
                  <w:tcW w:w="170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16~43</w:t>
                  </w:r>
                </w:p>
              </w:tc>
              <w:tc>
                <w:tcPr>
                  <w:tcW w:w="964"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26.75</w:t>
                  </w:r>
                </w:p>
              </w:tc>
              <w:tc>
                <w:tcPr>
                  <w:tcW w:w="139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30</w:t>
                  </w:r>
                </w:p>
              </w:tc>
              <w:tc>
                <w:tcPr>
                  <w:tcW w:w="103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33.33</w:t>
                  </w:r>
                </w:p>
              </w:tc>
              <w:tc>
                <w:tcPr>
                  <w:tcW w:w="112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0.43</w:t>
                  </w:r>
                </w:p>
              </w:tc>
              <w:tc>
                <w:tcPr>
                  <w:tcW w:w="1050"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超标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5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BOD5</w:t>
                  </w:r>
                </w:p>
              </w:tc>
              <w:tc>
                <w:tcPr>
                  <w:tcW w:w="170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2.4~26</w:t>
                  </w:r>
                </w:p>
              </w:tc>
              <w:tc>
                <w:tcPr>
                  <w:tcW w:w="964"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7.61</w:t>
                  </w:r>
                </w:p>
              </w:tc>
              <w:tc>
                <w:tcPr>
                  <w:tcW w:w="139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6</w:t>
                  </w:r>
                </w:p>
              </w:tc>
              <w:tc>
                <w:tcPr>
                  <w:tcW w:w="103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16.67</w:t>
                  </w:r>
                </w:p>
              </w:tc>
              <w:tc>
                <w:tcPr>
                  <w:tcW w:w="112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3.33</w:t>
                  </w:r>
                </w:p>
              </w:tc>
              <w:tc>
                <w:tcPr>
                  <w:tcW w:w="1050"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超标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氨氮</w:t>
                  </w:r>
                </w:p>
              </w:tc>
              <w:tc>
                <w:tcPr>
                  <w:tcW w:w="170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0.06~2.01</w:t>
                  </w:r>
                </w:p>
              </w:tc>
              <w:tc>
                <w:tcPr>
                  <w:tcW w:w="964"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0.74</w:t>
                  </w:r>
                </w:p>
              </w:tc>
              <w:tc>
                <w:tcPr>
                  <w:tcW w:w="139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1.5</w:t>
                  </w:r>
                </w:p>
              </w:tc>
              <w:tc>
                <w:tcPr>
                  <w:tcW w:w="103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16.67</w:t>
                  </w:r>
                </w:p>
              </w:tc>
              <w:tc>
                <w:tcPr>
                  <w:tcW w:w="112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0.34</w:t>
                  </w:r>
                </w:p>
              </w:tc>
              <w:tc>
                <w:tcPr>
                  <w:tcW w:w="1050"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超标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总磷</w:t>
                  </w:r>
                </w:p>
              </w:tc>
              <w:tc>
                <w:tcPr>
                  <w:tcW w:w="170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0.32~6.53</w:t>
                  </w:r>
                </w:p>
              </w:tc>
              <w:tc>
                <w:tcPr>
                  <w:tcW w:w="964"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1.10</w:t>
                  </w:r>
                </w:p>
              </w:tc>
              <w:tc>
                <w:tcPr>
                  <w:tcW w:w="1395" w:type="dxa"/>
                  <w:tcBorders>
                    <w:tl2br w:val="nil"/>
                    <w:tr2bl w:val="nil"/>
                  </w:tcBorders>
                  <w:vAlign w:val="center"/>
                </w:tcPr>
                <w:p>
                  <w:pPr>
                    <w:adjustRightInd w:val="0"/>
                    <w:snapToGrid w:val="0"/>
                    <w:spacing w:line="240" w:lineRule="auto"/>
                    <w:ind w:firstLine="0" w:firstLineChars="0"/>
                    <w:jc w:val="center"/>
                    <w:rPr>
                      <w:sz w:val="21"/>
                      <w:szCs w:val="21"/>
                    </w:rPr>
                  </w:pPr>
                  <w:r>
                    <w:rPr>
                      <w:sz w:val="21"/>
                      <w:szCs w:val="21"/>
                    </w:rPr>
                    <w:t>0.3</w:t>
                  </w:r>
                </w:p>
              </w:tc>
              <w:tc>
                <w:tcPr>
                  <w:tcW w:w="103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100</w:t>
                  </w:r>
                </w:p>
              </w:tc>
              <w:tc>
                <w:tcPr>
                  <w:tcW w:w="112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20.77</w:t>
                  </w:r>
                </w:p>
              </w:tc>
              <w:tc>
                <w:tcPr>
                  <w:tcW w:w="1050"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超标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tcBorders>
                    <w:tl2br w:val="nil"/>
                    <w:tr2bl w:val="nil"/>
                  </w:tcBorders>
                  <w:vAlign w:val="center"/>
                </w:tcPr>
                <w:p>
                  <w:pPr>
                    <w:adjustRightInd w:val="0"/>
                    <w:snapToGrid w:val="0"/>
                    <w:spacing w:line="240" w:lineRule="auto"/>
                    <w:ind w:firstLine="0" w:firstLineChars="0"/>
                    <w:jc w:val="center"/>
                    <w:rPr>
                      <w:sz w:val="21"/>
                      <w:szCs w:val="21"/>
                    </w:rPr>
                  </w:pPr>
                  <w:r>
                    <w:rPr>
                      <w:sz w:val="21"/>
                      <w:szCs w:val="21"/>
                    </w:rPr>
                    <w:t>石油类</w:t>
                  </w:r>
                </w:p>
              </w:tc>
              <w:tc>
                <w:tcPr>
                  <w:tcW w:w="170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0.01L~0.01L</w:t>
                  </w:r>
                </w:p>
              </w:tc>
              <w:tc>
                <w:tcPr>
                  <w:tcW w:w="964"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0.01L</w:t>
                  </w:r>
                </w:p>
              </w:tc>
              <w:tc>
                <w:tcPr>
                  <w:tcW w:w="139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0.5</w:t>
                  </w:r>
                </w:p>
              </w:tc>
              <w:tc>
                <w:tcPr>
                  <w:tcW w:w="103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w:t>
                  </w:r>
                </w:p>
              </w:tc>
              <w:tc>
                <w:tcPr>
                  <w:tcW w:w="112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w:t>
                  </w:r>
                </w:p>
              </w:tc>
              <w:tc>
                <w:tcPr>
                  <w:tcW w:w="1050"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达标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8221" w:type="dxa"/>
                  <w:gridSpan w:val="7"/>
                  <w:tcBorders>
                    <w:tl2br w:val="nil"/>
                    <w:tr2bl w:val="nil"/>
                  </w:tcBorders>
                  <w:vAlign w:val="center"/>
                </w:tcPr>
                <w:p>
                  <w:pPr>
                    <w:widowControl/>
                    <w:adjustRightInd w:val="0"/>
                    <w:snapToGrid w:val="0"/>
                    <w:spacing w:line="240" w:lineRule="auto"/>
                    <w:ind w:firstLine="420"/>
                    <w:jc w:val="center"/>
                    <w:rPr>
                      <w:sz w:val="21"/>
                      <w:szCs w:val="21"/>
                    </w:rPr>
                  </w:pPr>
                  <w:r>
                    <w:rPr>
                      <w:sz w:val="21"/>
                      <w:szCs w:val="21"/>
                    </w:rPr>
                    <w:t>赤鹫大桥断面</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pH</w:t>
                  </w:r>
                </w:p>
              </w:tc>
              <w:tc>
                <w:tcPr>
                  <w:tcW w:w="170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6.93~8.22</w:t>
                  </w:r>
                </w:p>
              </w:tc>
              <w:tc>
                <w:tcPr>
                  <w:tcW w:w="964"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7.60</w:t>
                  </w:r>
                </w:p>
              </w:tc>
              <w:tc>
                <w:tcPr>
                  <w:tcW w:w="139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6~9</w:t>
                  </w:r>
                </w:p>
              </w:tc>
              <w:tc>
                <w:tcPr>
                  <w:tcW w:w="103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w:t>
                  </w:r>
                </w:p>
              </w:tc>
              <w:tc>
                <w:tcPr>
                  <w:tcW w:w="112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w:t>
                  </w:r>
                </w:p>
              </w:tc>
              <w:tc>
                <w:tcPr>
                  <w:tcW w:w="1050"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达标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溶解氧</w:t>
                  </w:r>
                </w:p>
              </w:tc>
              <w:tc>
                <w:tcPr>
                  <w:tcW w:w="170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5.5~9.1</w:t>
                  </w:r>
                </w:p>
              </w:tc>
              <w:tc>
                <w:tcPr>
                  <w:tcW w:w="964"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6.8</w:t>
                  </w:r>
                </w:p>
              </w:tc>
              <w:tc>
                <w:tcPr>
                  <w:tcW w:w="139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3</w:t>
                  </w:r>
                </w:p>
              </w:tc>
              <w:tc>
                <w:tcPr>
                  <w:tcW w:w="103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w:t>
                  </w:r>
                </w:p>
              </w:tc>
              <w:tc>
                <w:tcPr>
                  <w:tcW w:w="112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w:t>
                  </w:r>
                </w:p>
              </w:tc>
              <w:tc>
                <w:tcPr>
                  <w:tcW w:w="1050"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达标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COD</w:t>
                  </w:r>
                </w:p>
              </w:tc>
              <w:tc>
                <w:tcPr>
                  <w:tcW w:w="170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23~50</w:t>
                  </w:r>
                </w:p>
              </w:tc>
              <w:tc>
                <w:tcPr>
                  <w:tcW w:w="964"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31.42</w:t>
                  </w:r>
                </w:p>
              </w:tc>
              <w:tc>
                <w:tcPr>
                  <w:tcW w:w="139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30</w:t>
                  </w:r>
                </w:p>
              </w:tc>
              <w:tc>
                <w:tcPr>
                  <w:tcW w:w="103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50</w:t>
                  </w:r>
                </w:p>
              </w:tc>
              <w:tc>
                <w:tcPr>
                  <w:tcW w:w="112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0.67</w:t>
                  </w:r>
                </w:p>
              </w:tc>
              <w:tc>
                <w:tcPr>
                  <w:tcW w:w="1050"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超标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BOD</w:t>
                  </w:r>
                  <w:r>
                    <w:rPr>
                      <w:sz w:val="21"/>
                      <w:szCs w:val="21"/>
                      <w:vertAlign w:val="subscript"/>
                    </w:rPr>
                    <w:t>5</w:t>
                  </w:r>
                </w:p>
              </w:tc>
              <w:tc>
                <w:tcPr>
                  <w:tcW w:w="170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3.4~9</w:t>
                  </w:r>
                </w:p>
              </w:tc>
              <w:tc>
                <w:tcPr>
                  <w:tcW w:w="964"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5.47</w:t>
                  </w:r>
                </w:p>
              </w:tc>
              <w:tc>
                <w:tcPr>
                  <w:tcW w:w="139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6</w:t>
                  </w:r>
                </w:p>
              </w:tc>
              <w:tc>
                <w:tcPr>
                  <w:tcW w:w="103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33.33</w:t>
                  </w:r>
                </w:p>
              </w:tc>
              <w:tc>
                <w:tcPr>
                  <w:tcW w:w="112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0.50</w:t>
                  </w:r>
                </w:p>
              </w:tc>
              <w:tc>
                <w:tcPr>
                  <w:tcW w:w="1050"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超标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氨氮</w:t>
                  </w:r>
                </w:p>
              </w:tc>
              <w:tc>
                <w:tcPr>
                  <w:tcW w:w="170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0.15~1.344</w:t>
                  </w:r>
                </w:p>
              </w:tc>
              <w:tc>
                <w:tcPr>
                  <w:tcW w:w="964"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0.71</w:t>
                  </w:r>
                </w:p>
              </w:tc>
              <w:tc>
                <w:tcPr>
                  <w:tcW w:w="139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1.5</w:t>
                  </w:r>
                </w:p>
              </w:tc>
              <w:tc>
                <w:tcPr>
                  <w:tcW w:w="103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w:t>
                  </w:r>
                </w:p>
              </w:tc>
              <w:tc>
                <w:tcPr>
                  <w:tcW w:w="112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w:t>
                  </w:r>
                </w:p>
              </w:tc>
              <w:tc>
                <w:tcPr>
                  <w:tcW w:w="1050"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达标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总磷</w:t>
                  </w:r>
                </w:p>
              </w:tc>
              <w:tc>
                <w:tcPr>
                  <w:tcW w:w="170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0.42~1.48</w:t>
                  </w:r>
                </w:p>
              </w:tc>
              <w:tc>
                <w:tcPr>
                  <w:tcW w:w="964"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0.65</w:t>
                  </w:r>
                </w:p>
              </w:tc>
              <w:tc>
                <w:tcPr>
                  <w:tcW w:w="1395" w:type="dxa"/>
                  <w:tcBorders>
                    <w:tl2br w:val="nil"/>
                    <w:tr2bl w:val="nil"/>
                  </w:tcBorders>
                  <w:vAlign w:val="center"/>
                </w:tcPr>
                <w:p>
                  <w:pPr>
                    <w:adjustRightInd w:val="0"/>
                    <w:snapToGrid w:val="0"/>
                    <w:spacing w:line="240" w:lineRule="auto"/>
                    <w:ind w:firstLine="0" w:firstLineChars="0"/>
                    <w:jc w:val="center"/>
                    <w:rPr>
                      <w:sz w:val="21"/>
                      <w:szCs w:val="21"/>
                    </w:rPr>
                  </w:pPr>
                  <w:r>
                    <w:rPr>
                      <w:sz w:val="21"/>
                      <w:szCs w:val="21"/>
                    </w:rPr>
                    <w:t>0.3</w:t>
                  </w:r>
                </w:p>
              </w:tc>
              <w:tc>
                <w:tcPr>
                  <w:tcW w:w="103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100</w:t>
                  </w:r>
                </w:p>
              </w:tc>
              <w:tc>
                <w:tcPr>
                  <w:tcW w:w="112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3.93</w:t>
                  </w:r>
                </w:p>
              </w:tc>
              <w:tc>
                <w:tcPr>
                  <w:tcW w:w="1050"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超标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tcBorders>
                    <w:tl2br w:val="nil"/>
                    <w:tr2bl w:val="nil"/>
                  </w:tcBorders>
                  <w:vAlign w:val="center"/>
                </w:tcPr>
                <w:p>
                  <w:pPr>
                    <w:adjustRightInd w:val="0"/>
                    <w:snapToGrid w:val="0"/>
                    <w:spacing w:line="240" w:lineRule="auto"/>
                    <w:ind w:firstLine="0" w:firstLineChars="0"/>
                    <w:jc w:val="center"/>
                    <w:rPr>
                      <w:sz w:val="21"/>
                      <w:szCs w:val="21"/>
                    </w:rPr>
                  </w:pPr>
                  <w:r>
                    <w:rPr>
                      <w:sz w:val="21"/>
                      <w:szCs w:val="21"/>
                    </w:rPr>
                    <w:t>石油类</w:t>
                  </w:r>
                </w:p>
              </w:tc>
              <w:tc>
                <w:tcPr>
                  <w:tcW w:w="1701"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0.02~0.35</w:t>
                  </w:r>
                </w:p>
              </w:tc>
              <w:tc>
                <w:tcPr>
                  <w:tcW w:w="964"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0.17</w:t>
                  </w:r>
                </w:p>
              </w:tc>
              <w:tc>
                <w:tcPr>
                  <w:tcW w:w="139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0.5</w:t>
                  </w:r>
                </w:p>
              </w:tc>
              <w:tc>
                <w:tcPr>
                  <w:tcW w:w="103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w:t>
                  </w:r>
                </w:p>
              </w:tc>
              <w:tc>
                <w:tcPr>
                  <w:tcW w:w="1125"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0</w:t>
                  </w:r>
                </w:p>
              </w:tc>
              <w:tc>
                <w:tcPr>
                  <w:tcW w:w="1050" w:type="dxa"/>
                  <w:tcBorders>
                    <w:tl2br w:val="nil"/>
                    <w:tr2bl w:val="nil"/>
                  </w:tcBorders>
                  <w:vAlign w:val="center"/>
                </w:tcPr>
                <w:p>
                  <w:pPr>
                    <w:widowControl/>
                    <w:adjustRightInd w:val="0"/>
                    <w:snapToGrid w:val="0"/>
                    <w:spacing w:line="240" w:lineRule="auto"/>
                    <w:ind w:firstLine="0" w:firstLineChars="0"/>
                    <w:jc w:val="center"/>
                    <w:rPr>
                      <w:sz w:val="21"/>
                      <w:szCs w:val="21"/>
                    </w:rPr>
                  </w:pPr>
                  <w:r>
                    <w:rPr>
                      <w:sz w:val="21"/>
                      <w:szCs w:val="21"/>
                    </w:rPr>
                    <w:t>达标</w:t>
                  </w:r>
                </w:p>
              </w:tc>
            </w:tr>
          </w:tbl>
          <w:p>
            <w:pPr>
              <w:spacing w:line="360" w:lineRule="auto"/>
              <w:ind w:firstLine="480" w:firstLineChars="200"/>
              <w:rPr>
                <w:rFonts w:hint="default" w:ascii="Times New Roman" w:hAnsi="Times New Roman" w:cs="Times New Roman"/>
                <w:color w:val="auto"/>
                <w:kern w:val="0"/>
                <w:sz w:val="24"/>
                <w:szCs w:val="24"/>
                <w:lang w:val="en-US" w:eastAsia="zh-CN"/>
              </w:rPr>
            </w:pPr>
            <w:r>
              <w:rPr>
                <w:rFonts w:hint="default" w:ascii="Times New Roman" w:hAnsi="Times New Roman" w:cs="Times New Roman"/>
                <w:b w:val="0"/>
                <w:bCs w:val="0"/>
                <w:color w:val="auto"/>
                <w:kern w:val="0"/>
                <w:sz w:val="24"/>
                <w:szCs w:val="24"/>
                <w:lang w:val="en-US" w:eastAsia="zh-CN"/>
              </w:rPr>
              <w:t>由表3-</w:t>
            </w:r>
            <w:r>
              <w:rPr>
                <w:rFonts w:hint="eastAsia" w:cs="Times New Roman"/>
                <w:b w:val="0"/>
                <w:bCs w:val="0"/>
                <w:color w:val="auto"/>
                <w:kern w:val="0"/>
                <w:sz w:val="24"/>
                <w:szCs w:val="24"/>
                <w:lang w:val="en-US" w:eastAsia="zh-CN"/>
              </w:rPr>
              <w:t>3</w:t>
            </w:r>
            <w:r>
              <w:rPr>
                <w:rFonts w:hint="default" w:ascii="Times New Roman" w:hAnsi="Times New Roman" w:cs="Times New Roman"/>
                <w:b w:val="0"/>
                <w:bCs w:val="0"/>
                <w:color w:val="auto"/>
                <w:kern w:val="0"/>
                <w:sz w:val="24"/>
                <w:szCs w:val="24"/>
                <w:lang w:val="en-US" w:eastAsia="zh-CN"/>
              </w:rPr>
              <w:t>可看出，螳螂川水质不能达到GB3838-2002《地表水环境质量标准》IV类水标准要求，超标污染物为COD、BOD</w:t>
            </w:r>
            <w:r>
              <w:rPr>
                <w:rFonts w:hint="default" w:ascii="Times New Roman" w:hAnsi="Times New Roman" w:cs="Times New Roman"/>
                <w:b w:val="0"/>
                <w:bCs w:val="0"/>
                <w:color w:val="auto"/>
                <w:kern w:val="0"/>
                <w:sz w:val="24"/>
                <w:szCs w:val="24"/>
                <w:vertAlign w:val="subscript"/>
                <w:lang w:val="en-US" w:eastAsia="zh-CN"/>
              </w:rPr>
              <w:t>5</w:t>
            </w:r>
            <w:r>
              <w:rPr>
                <w:rFonts w:hint="default" w:ascii="Times New Roman" w:hAnsi="Times New Roman" w:cs="Times New Roman"/>
                <w:b w:val="0"/>
                <w:bCs w:val="0"/>
                <w:color w:val="auto"/>
                <w:kern w:val="0"/>
                <w:sz w:val="24"/>
                <w:szCs w:val="24"/>
                <w:lang w:val="en-US" w:eastAsia="zh-CN"/>
              </w:rPr>
              <w:t>、氨氮、总磷，项目区域地表水体属于不达标区域</w:t>
            </w:r>
            <w:r>
              <w:rPr>
                <w:rFonts w:hint="default" w:ascii="Times New Roman" w:hAnsi="Times New Roman" w:cs="Times New Roman"/>
                <w:color w:val="auto"/>
                <w:kern w:val="0"/>
                <w:sz w:val="24"/>
                <w:szCs w:val="24"/>
                <w:lang w:eastAsia="zh-CN"/>
              </w:rPr>
              <w:t>，超标原因主要是河流沿线有居民居住，存在一定的面源污染</w:t>
            </w:r>
            <w:r>
              <w:rPr>
                <w:rFonts w:hint="eastAsia" w:ascii="Times New Roman" w:hAnsi="Times New Roman" w:cs="Times New Roman"/>
                <w:color w:val="auto"/>
                <w:kern w:val="0"/>
                <w:sz w:val="24"/>
                <w:szCs w:val="24"/>
                <w:lang w:eastAsia="zh-CN"/>
              </w:rPr>
              <w:t>，螳螂川在进入富民境内已超标</w:t>
            </w:r>
            <w:r>
              <w:rPr>
                <w:rFonts w:hint="default" w:ascii="Times New Roman" w:hAnsi="Times New Roman" w:cs="Times New Roman"/>
                <w:color w:val="auto"/>
                <w:kern w:val="0"/>
                <w:sz w:val="24"/>
                <w:szCs w:val="24"/>
                <w:lang w:val="en-US" w:eastAsia="zh-CN"/>
              </w:rPr>
              <w:t>。</w:t>
            </w:r>
          </w:p>
          <w:p>
            <w:pPr>
              <w:numPr>
                <w:ilvl w:val="0"/>
                <w:numId w:val="0"/>
              </w:numPr>
              <w:spacing w:line="360" w:lineRule="auto"/>
              <w:rPr>
                <w:rFonts w:hint="eastAsia" w:ascii="Times New Roman" w:hAnsi="Times New Roman"/>
                <w:b/>
                <w:bCs/>
                <w:color w:val="000000"/>
                <w:sz w:val="24"/>
                <w:szCs w:val="24"/>
              </w:rPr>
            </w:pPr>
            <w:r>
              <w:rPr>
                <w:rFonts w:hint="eastAsia"/>
                <w:b/>
                <w:bCs/>
                <w:color w:val="000000"/>
                <w:sz w:val="24"/>
                <w:szCs w:val="24"/>
                <w:lang w:val="en-US" w:eastAsia="zh-CN"/>
              </w:rPr>
              <w:t>3、</w:t>
            </w:r>
            <w:r>
              <w:rPr>
                <w:rFonts w:hint="eastAsia" w:ascii="Times New Roman" w:hAnsi="Times New Roman"/>
                <w:b/>
                <w:bCs/>
                <w:color w:val="000000"/>
                <w:sz w:val="24"/>
                <w:szCs w:val="24"/>
              </w:rPr>
              <w:t>地下水环境</w:t>
            </w:r>
          </w:p>
          <w:p>
            <w:pPr>
              <w:numPr>
                <w:ilvl w:val="0"/>
                <w:numId w:val="0"/>
              </w:numPr>
              <w:spacing w:line="360" w:lineRule="auto"/>
              <w:ind w:firstLine="480" w:firstLineChars="200"/>
              <w:rPr>
                <w:rFonts w:ascii="Times New Roman" w:hAnsi="Times New Roman"/>
                <w:b w:val="0"/>
                <w:bCs w:val="0"/>
                <w:color w:val="000000"/>
                <w:sz w:val="24"/>
                <w:szCs w:val="24"/>
              </w:rPr>
            </w:pPr>
            <w:r>
              <w:rPr>
                <w:rFonts w:ascii="Times New Roman" w:hAnsi="Times New Roman"/>
                <w:b w:val="0"/>
                <w:bCs w:val="0"/>
                <w:color w:val="000000"/>
                <w:sz w:val="24"/>
                <w:szCs w:val="24"/>
              </w:rPr>
              <w:t>本项目为</w:t>
            </w:r>
            <w:r>
              <w:rPr>
                <w:rFonts w:hint="eastAsia"/>
                <w:b w:val="0"/>
                <w:bCs w:val="0"/>
                <w:color w:val="000000"/>
                <w:sz w:val="24"/>
                <w:szCs w:val="24"/>
                <w:lang w:eastAsia="zh-CN"/>
              </w:rPr>
              <w:t>金属制品加工制造，根据</w:t>
            </w:r>
            <w:r>
              <w:rPr>
                <w:rFonts w:ascii="Times New Roman" w:hAnsi="Times New Roman"/>
                <w:b w:val="0"/>
                <w:bCs w:val="0"/>
                <w:color w:val="000000"/>
                <w:sz w:val="24"/>
                <w:szCs w:val="24"/>
              </w:rPr>
              <w:t>《环境影响评价技术导则地下水环境》（HJ610-2016）</w:t>
            </w:r>
            <w:r>
              <w:rPr>
                <w:rFonts w:hint="eastAsia"/>
                <w:b w:val="0"/>
                <w:bCs w:val="0"/>
                <w:color w:val="000000"/>
                <w:sz w:val="24"/>
                <w:szCs w:val="24"/>
                <w:lang w:eastAsia="zh-CN"/>
              </w:rPr>
              <w:t>，本项目属于</w:t>
            </w:r>
            <w:r>
              <w:rPr>
                <w:rFonts w:ascii="Times New Roman" w:hAnsi="Times New Roman"/>
                <w:b w:val="0"/>
                <w:bCs w:val="0"/>
                <w:color w:val="000000"/>
                <w:sz w:val="24"/>
                <w:szCs w:val="24"/>
              </w:rPr>
              <w:t>IV类建设项目，不开展地下水环境影响评价。</w:t>
            </w:r>
          </w:p>
          <w:p>
            <w:pPr>
              <w:spacing w:line="360" w:lineRule="auto"/>
              <w:rPr>
                <w:rFonts w:ascii="Times New Roman" w:hAnsi="Times New Roman"/>
                <w:b/>
                <w:bCs/>
                <w:color w:val="000000"/>
                <w:sz w:val="24"/>
                <w:szCs w:val="24"/>
              </w:rPr>
            </w:pPr>
            <w:r>
              <w:rPr>
                <w:rFonts w:hint="eastAsia"/>
                <w:b/>
                <w:bCs/>
                <w:color w:val="000000"/>
                <w:sz w:val="24"/>
                <w:szCs w:val="24"/>
                <w:lang w:val="en-US" w:eastAsia="zh-CN"/>
              </w:rPr>
              <w:t>4</w:t>
            </w:r>
            <w:r>
              <w:rPr>
                <w:rFonts w:ascii="Times New Roman" w:hAnsi="Times New Roman"/>
                <w:b/>
                <w:bCs/>
                <w:color w:val="000000"/>
                <w:sz w:val="24"/>
                <w:szCs w:val="24"/>
              </w:rPr>
              <w:t>、声环境质量状况</w:t>
            </w:r>
          </w:p>
          <w:p>
            <w:pPr>
              <w:spacing w:line="360" w:lineRule="auto"/>
              <w:ind w:firstLine="480"/>
              <w:rPr>
                <w:rFonts w:hint="eastAsia" w:ascii="Times New Roman" w:hAnsi="Times New Roman"/>
                <w:color w:val="000000"/>
                <w:sz w:val="24"/>
                <w:szCs w:val="24"/>
                <w:lang w:eastAsia="zh-CN"/>
              </w:rPr>
            </w:pPr>
            <w:r>
              <w:rPr>
                <w:rFonts w:hint="default" w:ascii="Times New Roman" w:hAnsi="Times New Roman" w:cs="Times New Roman"/>
                <w:color w:val="auto"/>
                <w:sz w:val="24"/>
                <w:szCs w:val="24"/>
                <w:lang w:val="en-US" w:eastAsia="zh-CN"/>
              </w:rPr>
              <w:t>本项目</w:t>
            </w:r>
            <w:r>
              <w:rPr>
                <w:rFonts w:hint="eastAsia" w:ascii="Times New Roman" w:hAnsi="Times New Roman" w:cs="Times New Roman"/>
                <w:color w:val="auto"/>
                <w:sz w:val="24"/>
                <w:szCs w:val="24"/>
                <w:lang w:val="en-US" w:eastAsia="zh-CN"/>
              </w:rPr>
              <w:t>位于</w:t>
            </w:r>
            <w:r>
              <w:rPr>
                <w:rFonts w:hint="eastAsia"/>
                <w:color w:val="auto"/>
                <w:sz w:val="24"/>
                <w:szCs w:val="24"/>
                <w:lang w:val="en-US" w:eastAsia="zh-CN"/>
              </w:rPr>
              <w:t>富民县工业园哨箐片区</w:t>
            </w:r>
            <w:r>
              <w:rPr>
                <w:rFonts w:hint="eastAsia" w:ascii="Times New Roman" w:hAnsi="Times New Roman"/>
                <w:color w:val="000000"/>
                <w:sz w:val="24"/>
                <w:szCs w:val="24"/>
                <w:lang w:eastAsia="zh-CN"/>
              </w:rPr>
              <w:t>，</w:t>
            </w:r>
            <w:r>
              <w:rPr>
                <w:rFonts w:hint="eastAsia"/>
                <w:sz w:val="24"/>
                <w:szCs w:val="24"/>
                <w:lang w:eastAsia="zh-CN"/>
              </w:rPr>
              <w:t>项目所在区域属</w:t>
            </w:r>
            <w:r>
              <w:rPr>
                <w:rFonts w:hint="eastAsia"/>
                <w:sz w:val="24"/>
                <w:szCs w:val="24"/>
                <w:lang w:val="en-US" w:eastAsia="zh-CN"/>
              </w:rPr>
              <w:t>工业园</w:t>
            </w:r>
            <w:r>
              <w:rPr>
                <w:rFonts w:hint="eastAsia"/>
                <w:sz w:val="24"/>
                <w:szCs w:val="24"/>
                <w:lang w:eastAsia="zh-CN"/>
              </w:rPr>
              <w:t>区，根据</w:t>
            </w:r>
            <w:r>
              <w:rPr>
                <w:sz w:val="24"/>
                <w:szCs w:val="24"/>
              </w:rPr>
              <w:t>《声环境质量标准》</w:t>
            </w:r>
            <w:r>
              <w:rPr>
                <w:rFonts w:hint="eastAsia"/>
                <w:sz w:val="24"/>
                <w:szCs w:val="24"/>
                <w:lang w:eastAsia="zh-CN"/>
              </w:rPr>
              <w:t>（</w:t>
            </w:r>
            <w:r>
              <w:rPr>
                <w:sz w:val="24"/>
                <w:szCs w:val="24"/>
              </w:rPr>
              <w:t>GB3096-2008</w:t>
            </w:r>
            <w:r>
              <w:rPr>
                <w:rFonts w:hint="eastAsia"/>
                <w:sz w:val="24"/>
                <w:szCs w:val="24"/>
                <w:lang w:eastAsia="zh-CN"/>
              </w:rPr>
              <w:t>），项目所在区域声环境功能区为</w:t>
            </w:r>
            <w:r>
              <w:rPr>
                <w:rFonts w:hint="eastAsia"/>
                <w:sz w:val="24"/>
                <w:szCs w:val="24"/>
                <w:lang w:val="en-US" w:eastAsia="zh-CN"/>
              </w:rPr>
              <w:t>3</w:t>
            </w:r>
            <w:r>
              <w:rPr>
                <w:rFonts w:hint="eastAsia"/>
                <w:sz w:val="24"/>
                <w:szCs w:val="24"/>
                <w:lang w:eastAsia="zh-CN"/>
              </w:rPr>
              <w:t>类区</w:t>
            </w:r>
            <w:r>
              <w:rPr>
                <w:sz w:val="24"/>
                <w:szCs w:val="24"/>
              </w:rPr>
              <w:t>。</w:t>
            </w:r>
            <w:r>
              <w:rPr>
                <w:rFonts w:ascii="Times New Roman" w:hAnsi="Times New Roman"/>
                <w:sz w:val="24"/>
                <w:szCs w:val="24"/>
              </w:rPr>
              <w:t>根据</w:t>
            </w:r>
            <w:r>
              <w:rPr>
                <w:rFonts w:ascii="Times New Roman" w:hAnsi="Times New Roman"/>
                <w:color w:val="auto"/>
                <w:sz w:val="24"/>
                <w:szCs w:val="24"/>
              </w:rPr>
              <w:t>《201</w:t>
            </w:r>
            <w:r>
              <w:rPr>
                <w:rFonts w:hint="eastAsia"/>
                <w:color w:val="auto"/>
                <w:sz w:val="24"/>
                <w:szCs w:val="24"/>
                <w:lang w:val="en-US" w:eastAsia="zh-CN"/>
              </w:rPr>
              <w:t>9</w:t>
            </w:r>
            <w:r>
              <w:rPr>
                <w:rFonts w:ascii="Times New Roman" w:hAnsi="Times New Roman"/>
                <w:color w:val="auto"/>
                <w:sz w:val="24"/>
                <w:szCs w:val="24"/>
              </w:rPr>
              <w:t>年度昆明市环境质量状况公报》，201</w:t>
            </w:r>
            <w:r>
              <w:rPr>
                <w:rFonts w:hint="eastAsia"/>
                <w:color w:val="auto"/>
                <w:sz w:val="24"/>
                <w:szCs w:val="24"/>
                <w:lang w:val="en-US" w:eastAsia="zh-CN"/>
              </w:rPr>
              <w:t>9</w:t>
            </w:r>
            <w:r>
              <w:rPr>
                <w:rFonts w:ascii="Times New Roman" w:hAnsi="Times New Roman"/>
                <w:color w:val="auto"/>
                <w:sz w:val="24"/>
                <w:szCs w:val="24"/>
              </w:rPr>
              <w:t>年</w:t>
            </w:r>
            <w:r>
              <w:rPr>
                <w:rFonts w:hint="eastAsia" w:ascii="Times New Roman" w:hAnsi="Times New Roman"/>
                <w:color w:val="auto"/>
                <w:sz w:val="24"/>
                <w:szCs w:val="24"/>
              </w:rPr>
              <w:t>富民县区域</w:t>
            </w:r>
            <w:r>
              <w:rPr>
                <w:rFonts w:ascii="Times New Roman" w:hAnsi="Times New Roman"/>
                <w:color w:val="auto"/>
                <w:sz w:val="24"/>
                <w:szCs w:val="24"/>
              </w:rPr>
              <w:t>环境噪声</w:t>
            </w:r>
            <w:r>
              <w:rPr>
                <w:rFonts w:ascii="Times New Roman" w:hAnsi="Times New Roman"/>
                <w:sz w:val="24"/>
                <w:szCs w:val="24"/>
              </w:rPr>
              <w:t>年均等效声级昼间值为</w:t>
            </w:r>
            <w:r>
              <w:rPr>
                <w:rFonts w:hint="eastAsia"/>
                <w:sz w:val="24"/>
                <w:szCs w:val="24"/>
                <w:lang w:val="en-US" w:eastAsia="zh-CN"/>
              </w:rPr>
              <w:t>46.2</w:t>
            </w:r>
            <w:r>
              <w:rPr>
                <w:rFonts w:ascii="Times New Roman" w:hAnsi="Times New Roman"/>
                <w:sz w:val="24"/>
                <w:szCs w:val="24"/>
              </w:rPr>
              <w:t>dB（A）</w:t>
            </w:r>
            <w:r>
              <w:rPr>
                <w:rFonts w:hint="eastAsia" w:ascii="Times New Roman" w:hAnsi="Times New Roman"/>
                <w:sz w:val="24"/>
                <w:szCs w:val="24"/>
                <w:lang w:eastAsia="zh-CN"/>
              </w:rPr>
              <w:t>。</w:t>
            </w:r>
            <w:r>
              <w:rPr>
                <w:rFonts w:ascii="Times New Roman" w:hAnsi="Times New Roman"/>
                <w:color w:val="000000"/>
                <w:sz w:val="24"/>
                <w:szCs w:val="24"/>
              </w:rPr>
              <w:t>根据现场</w:t>
            </w:r>
            <w:r>
              <w:rPr>
                <w:rFonts w:hint="eastAsia"/>
                <w:color w:val="000000"/>
                <w:sz w:val="24"/>
                <w:szCs w:val="24"/>
                <w:lang w:eastAsia="zh-CN"/>
              </w:rPr>
              <w:t>调查</w:t>
            </w:r>
            <w:r>
              <w:rPr>
                <w:rFonts w:ascii="Times New Roman" w:hAnsi="Times New Roman"/>
                <w:color w:val="000000"/>
                <w:sz w:val="24"/>
                <w:szCs w:val="24"/>
              </w:rPr>
              <w:t>，</w:t>
            </w:r>
            <w:r>
              <w:rPr>
                <w:rFonts w:hint="eastAsia"/>
                <w:color w:val="000000"/>
                <w:sz w:val="24"/>
                <w:szCs w:val="24"/>
                <w:lang w:eastAsia="zh-CN"/>
              </w:rPr>
              <w:t>项目</w:t>
            </w:r>
            <w:r>
              <w:rPr>
                <w:rFonts w:ascii="Times New Roman" w:hAnsi="Times New Roman"/>
                <w:color w:val="000000"/>
                <w:sz w:val="24"/>
                <w:szCs w:val="24"/>
              </w:rPr>
              <w:t>区</w:t>
            </w:r>
            <w:r>
              <w:rPr>
                <w:rFonts w:hint="eastAsia"/>
                <w:color w:val="000000"/>
                <w:sz w:val="24"/>
                <w:szCs w:val="24"/>
                <w:lang w:eastAsia="zh-CN"/>
              </w:rPr>
              <w:t>东侧有</w:t>
            </w:r>
            <w:r>
              <w:rPr>
                <w:rFonts w:hint="eastAsia"/>
                <w:color w:val="000000"/>
                <w:sz w:val="24"/>
                <w:szCs w:val="24"/>
                <w:lang w:val="en-US" w:eastAsia="zh-CN"/>
              </w:rPr>
              <w:t>G108国道通过，项目区办公生活区距G108国道25m，声环境质量一般，</w:t>
            </w:r>
            <w:r>
              <w:rPr>
                <w:rFonts w:hint="eastAsia" w:cs="Times New Roman"/>
                <w:color w:val="auto"/>
                <w:sz w:val="24"/>
                <w:szCs w:val="24"/>
                <w:lang w:val="en-US" w:eastAsia="zh-CN"/>
              </w:rPr>
              <w:t>属于</w:t>
            </w:r>
            <w:r>
              <w:rPr>
                <w:rFonts w:hint="default" w:ascii="Times New Roman" w:hAnsi="Times New Roman" w:cs="Times New Roman"/>
                <w:color w:val="auto"/>
                <w:sz w:val="24"/>
                <w:szCs w:val="24"/>
                <w:lang w:val="en-US" w:eastAsia="zh-CN"/>
              </w:rPr>
              <w:t>《声环境质量标准》</w:t>
            </w:r>
            <w:r>
              <w:rPr>
                <w:rFonts w:hint="eastAsia" w:cs="Times New Roman"/>
                <w:color w:val="auto"/>
                <w:sz w:val="24"/>
                <w:szCs w:val="24"/>
                <w:lang w:val="en-US" w:eastAsia="zh-CN"/>
              </w:rPr>
              <w:t>（</w:t>
            </w:r>
            <w:r>
              <w:rPr>
                <w:rFonts w:hint="default" w:ascii="Times New Roman" w:hAnsi="Times New Roman" w:cs="Times New Roman"/>
                <w:color w:val="auto"/>
                <w:sz w:val="24"/>
                <w:szCs w:val="24"/>
                <w:lang w:val="en-US" w:eastAsia="zh-CN"/>
              </w:rPr>
              <w:t>GB3096-2008</w:t>
            </w:r>
            <w:r>
              <w:rPr>
                <w:rFonts w:hint="eastAsia" w:ascii="Times New Roman" w:hAnsi="Times New Roman" w:cs="Times New Roman"/>
                <w:color w:val="auto"/>
                <w:sz w:val="24"/>
                <w:szCs w:val="24"/>
                <w:lang w:val="en-US" w:eastAsia="zh-CN"/>
              </w:rPr>
              <w:t>）4a</w:t>
            </w:r>
            <w:r>
              <w:rPr>
                <w:rFonts w:hint="default" w:ascii="Times New Roman" w:hAnsi="Times New Roman" w:cs="Times New Roman"/>
                <w:color w:val="auto"/>
                <w:sz w:val="24"/>
                <w:szCs w:val="24"/>
                <w:lang w:val="en-US" w:eastAsia="zh-CN"/>
              </w:rPr>
              <w:t>类区</w:t>
            </w:r>
            <w:r>
              <w:rPr>
                <w:rFonts w:hint="eastAsia"/>
                <w:color w:val="000000"/>
                <w:sz w:val="24"/>
                <w:szCs w:val="24"/>
                <w:lang w:eastAsia="zh-CN"/>
              </w:rPr>
              <w:t>。生产厂房</w:t>
            </w:r>
            <w:r>
              <w:rPr>
                <w:rFonts w:hint="eastAsia" w:ascii="Times New Roman" w:hAnsi="Times New Roman"/>
                <w:color w:val="000000"/>
                <w:sz w:val="24"/>
                <w:szCs w:val="24"/>
              </w:rPr>
              <w:t>声环境质量</w:t>
            </w:r>
            <w:r>
              <w:rPr>
                <w:rFonts w:hint="eastAsia" w:ascii="Times New Roman" w:hAnsi="Times New Roman"/>
                <w:color w:val="000000"/>
                <w:sz w:val="24"/>
                <w:szCs w:val="24"/>
                <w:lang w:eastAsia="zh-CN"/>
              </w:rPr>
              <w:t>现状</w:t>
            </w:r>
            <w:r>
              <w:rPr>
                <w:rFonts w:ascii="Times New Roman" w:hAnsi="Times New Roman"/>
                <w:color w:val="000000"/>
                <w:sz w:val="24"/>
                <w:szCs w:val="24"/>
              </w:rPr>
              <w:t>能满足《声环境质量标准》（GB3096-2008）标准中</w:t>
            </w:r>
            <w:r>
              <w:rPr>
                <w:rFonts w:hint="eastAsia"/>
                <w:color w:val="000000"/>
                <w:sz w:val="24"/>
                <w:szCs w:val="24"/>
                <w:lang w:val="en-US" w:eastAsia="zh-CN"/>
              </w:rPr>
              <w:t>3</w:t>
            </w:r>
            <w:r>
              <w:rPr>
                <w:rFonts w:hint="eastAsia"/>
                <w:sz w:val="24"/>
                <w:szCs w:val="24"/>
                <w:lang w:eastAsia="zh-CN"/>
              </w:rPr>
              <w:t>类</w:t>
            </w:r>
            <w:r>
              <w:rPr>
                <w:rFonts w:ascii="Times New Roman" w:hAnsi="Times New Roman"/>
                <w:color w:val="000000"/>
                <w:sz w:val="24"/>
                <w:szCs w:val="24"/>
              </w:rPr>
              <w:t>标准</w:t>
            </w:r>
            <w:r>
              <w:rPr>
                <w:rFonts w:hint="eastAsia"/>
                <w:color w:val="000000"/>
                <w:sz w:val="24"/>
                <w:szCs w:val="24"/>
                <w:lang w:eastAsia="zh-CN"/>
              </w:rPr>
              <w:t>，办公生活区</w:t>
            </w:r>
            <w:r>
              <w:rPr>
                <w:rFonts w:hint="eastAsia" w:ascii="Times New Roman" w:hAnsi="Times New Roman"/>
                <w:color w:val="000000"/>
                <w:sz w:val="24"/>
                <w:szCs w:val="24"/>
              </w:rPr>
              <w:t>声环境质量</w:t>
            </w:r>
            <w:r>
              <w:rPr>
                <w:rFonts w:hint="eastAsia" w:ascii="Times New Roman" w:hAnsi="Times New Roman"/>
                <w:color w:val="000000"/>
                <w:sz w:val="24"/>
                <w:szCs w:val="24"/>
                <w:lang w:eastAsia="zh-CN"/>
              </w:rPr>
              <w:t>现状</w:t>
            </w:r>
            <w:r>
              <w:rPr>
                <w:rFonts w:ascii="Times New Roman" w:hAnsi="Times New Roman"/>
                <w:color w:val="000000"/>
                <w:sz w:val="24"/>
                <w:szCs w:val="24"/>
              </w:rPr>
              <w:t>能满足《声环境质量标准》（GB3096-2008）标准中</w:t>
            </w:r>
            <w:r>
              <w:rPr>
                <w:rFonts w:hint="eastAsia"/>
                <w:color w:val="000000"/>
                <w:sz w:val="24"/>
                <w:szCs w:val="24"/>
                <w:lang w:val="en-US" w:eastAsia="zh-CN"/>
              </w:rPr>
              <w:t>4a</w:t>
            </w:r>
            <w:r>
              <w:rPr>
                <w:rFonts w:hint="eastAsia"/>
                <w:sz w:val="24"/>
                <w:szCs w:val="24"/>
                <w:lang w:eastAsia="zh-CN"/>
              </w:rPr>
              <w:t>类</w:t>
            </w:r>
            <w:r>
              <w:rPr>
                <w:rFonts w:ascii="Times New Roman" w:hAnsi="Times New Roman"/>
                <w:color w:val="000000"/>
                <w:sz w:val="24"/>
                <w:szCs w:val="24"/>
              </w:rPr>
              <w:t>标准</w:t>
            </w:r>
            <w:r>
              <w:rPr>
                <w:rFonts w:hint="eastAsia" w:ascii="Times New Roman" w:hAnsi="Times New Roman"/>
                <w:color w:val="000000"/>
                <w:sz w:val="24"/>
                <w:szCs w:val="24"/>
                <w:lang w:eastAsia="zh-CN"/>
              </w:rPr>
              <w:t>。</w:t>
            </w:r>
          </w:p>
          <w:p>
            <w:pPr>
              <w:spacing w:line="348" w:lineRule="auto"/>
              <w:ind w:firstLine="480"/>
              <w:rPr>
                <w:rFonts w:hint="eastAsia" w:ascii="Times New Roman" w:hAnsi="Times New Roman" w:eastAsia="宋体" w:cs="Times New Roman"/>
                <w:b/>
                <w:bCs/>
                <w:color w:val="000000" w:themeColor="text1"/>
                <w:sz w:val="21"/>
                <w:szCs w:val="18"/>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为了解本项目所在区域声环境质量现状，</w:t>
            </w:r>
            <w:r>
              <w:rPr>
                <w:rFonts w:hint="eastAsia" w:eastAsia="宋体" w:cs="Times New Roman"/>
                <w:color w:val="000000" w:themeColor="text1"/>
                <w:sz w:val="24"/>
                <w:szCs w:val="24"/>
                <w:lang w:eastAsia="zh-CN"/>
                <w14:textFill>
                  <w14:solidFill>
                    <w14:schemeClr w14:val="tx1"/>
                  </w14:solidFill>
                </w14:textFill>
              </w:rPr>
              <w:t>云南联创环境工程有限公司特</w:t>
            </w:r>
            <w:r>
              <w:rPr>
                <w:rFonts w:hint="default" w:ascii="Times New Roman" w:hAnsi="Times New Roman" w:eastAsia="宋体" w:cs="Times New Roman"/>
                <w:color w:val="000000" w:themeColor="text1"/>
                <w:sz w:val="24"/>
                <w:szCs w:val="24"/>
                <w14:textFill>
                  <w14:solidFill>
                    <w14:schemeClr w14:val="tx1"/>
                  </w14:solidFill>
                </w14:textFill>
              </w:rPr>
              <w:t>委托</w:t>
            </w:r>
            <w:r>
              <w:rPr>
                <w:rFonts w:hint="eastAsia" w:eastAsia="宋体" w:cs="Times New Roman"/>
                <w:color w:val="000000" w:themeColor="text1"/>
                <w:sz w:val="24"/>
                <w:szCs w:val="24"/>
                <w:lang w:val="zh-CN"/>
                <w14:textFill>
                  <w14:solidFill>
                    <w14:schemeClr w14:val="tx1"/>
                  </w14:solidFill>
                </w14:textFill>
              </w:rPr>
              <w:t>云南中科检测技术有限公司</w:t>
            </w:r>
            <w:r>
              <w:rPr>
                <w:rFonts w:hint="default" w:ascii="Times New Roman" w:hAnsi="Times New Roman" w:eastAsia="宋体" w:cs="Times New Roman"/>
                <w:color w:val="000000" w:themeColor="text1"/>
                <w:sz w:val="24"/>
                <w:szCs w:val="24"/>
                <w:lang w:val="zh-CN"/>
                <w14:textFill>
                  <w14:solidFill>
                    <w14:schemeClr w14:val="tx1"/>
                  </w14:solidFill>
                </w14:textFill>
              </w:rPr>
              <w:t>于</w:t>
            </w:r>
            <w:r>
              <w:rPr>
                <w:rFonts w:hint="default" w:ascii="Times New Roman" w:hAnsi="Times New Roman" w:eastAsia="宋体" w:cs="Times New Roman"/>
                <w:color w:val="000000" w:themeColor="text1"/>
                <w:sz w:val="24"/>
                <w:szCs w:val="24"/>
                <w14:textFill>
                  <w14:solidFill>
                    <w14:schemeClr w14:val="tx1"/>
                  </w14:solidFill>
                </w14:textFill>
              </w:rPr>
              <w:t>2020年</w:t>
            </w:r>
            <w:r>
              <w:rPr>
                <w:rFonts w:hint="eastAsia" w:eastAsia="宋体" w:cs="Times New Roman"/>
                <w:color w:val="000000" w:themeColor="text1"/>
                <w:sz w:val="24"/>
                <w:szCs w:val="24"/>
                <w:lang w:val="en-US" w:eastAsia="zh-CN"/>
                <w14:textFill>
                  <w14:solidFill>
                    <w14:schemeClr w14:val="tx1"/>
                  </w14:solidFill>
                </w14:textFill>
              </w:rPr>
              <w:t>10</w:t>
            </w:r>
            <w:r>
              <w:rPr>
                <w:rFonts w:hint="default" w:ascii="Times New Roman" w:hAnsi="Times New Roman" w:eastAsia="宋体" w:cs="Times New Roman"/>
                <w:color w:val="000000" w:themeColor="text1"/>
                <w:sz w:val="24"/>
                <w:szCs w:val="24"/>
                <w14:textFill>
                  <w14:solidFill>
                    <w14:schemeClr w14:val="tx1"/>
                  </w14:solidFill>
                </w14:textFill>
              </w:rPr>
              <w:t>月</w:t>
            </w:r>
            <w:r>
              <w:rPr>
                <w:rFonts w:hint="eastAsia" w:eastAsia="宋体" w:cs="Times New Roman"/>
                <w:color w:val="000000" w:themeColor="text1"/>
                <w:sz w:val="24"/>
                <w:szCs w:val="24"/>
                <w:lang w:val="en-US" w:eastAsia="zh-CN"/>
                <w14:textFill>
                  <w14:solidFill>
                    <w14:schemeClr w14:val="tx1"/>
                  </w14:solidFill>
                </w14:textFill>
              </w:rPr>
              <w:t>7</w:t>
            </w:r>
            <w:r>
              <w:rPr>
                <w:rFonts w:hint="default" w:ascii="Times New Roman" w:hAnsi="Times New Roman" w:eastAsia="宋体" w:cs="Times New Roman"/>
                <w:color w:val="000000" w:themeColor="text1"/>
                <w:sz w:val="24"/>
                <w:szCs w:val="24"/>
                <w14:textFill>
                  <w14:solidFill>
                    <w14:schemeClr w14:val="tx1"/>
                  </w14:solidFill>
                </w14:textFill>
              </w:rPr>
              <w:t>日至2020年</w:t>
            </w:r>
            <w:r>
              <w:rPr>
                <w:rFonts w:hint="eastAsia" w:eastAsia="宋体" w:cs="Times New Roman"/>
                <w:color w:val="000000" w:themeColor="text1"/>
                <w:sz w:val="24"/>
                <w:szCs w:val="24"/>
                <w:lang w:val="en-US" w:eastAsia="zh-CN"/>
                <w14:textFill>
                  <w14:solidFill>
                    <w14:schemeClr w14:val="tx1"/>
                  </w14:solidFill>
                </w14:textFill>
              </w:rPr>
              <w:t>10</w:t>
            </w:r>
            <w:r>
              <w:rPr>
                <w:rFonts w:hint="default" w:ascii="Times New Roman" w:hAnsi="Times New Roman" w:eastAsia="宋体" w:cs="Times New Roman"/>
                <w:color w:val="000000" w:themeColor="text1"/>
                <w:sz w:val="24"/>
                <w:szCs w:val="24"/>
                <w14:textFill>
                  <w14:solidFill>
                    <w14:schemeClr w14:val="tx1"/>
                  </w14:solidFill>
                </w14:textFill>
              </w:rPr>
              <w:t>月</w:t>
            </w:r>
            <w:r>
              <w:rPr>
                <w:rFonts w:hint="eastAsia" w:eastAsia="宋体" w:cs="Times New Roman"/>
                <w:color w:val="000000" w:themeColor="text1"/>
                <w:sz w:val="24"/>
                <w:szCs w:val="24"/>
                <w:lang w:val="en-US" w:eastAsia="zh-CN"/>
                <w14:textFill>
                  <w14:solidFill>
                    <w14:schemeClr w14:val="tx1"/>
                  </w14:solidFill>
                </w14:textFill>
              </w:rPr>
              <w:t>8</w:t>
            </w:r>
            <w:r>
              <w:rPr>
                <w:rFonts w:hint="default" w:ascii="Times New Roman" w:hAnsi="Times New Roman" w:eastAsia="宋体" w:cs="Times New Roman"/>
                <w:color w:val="000000" w:themeColor="text1"/>
                <w:sz w:val="24"/>
                <w:szCs w:val="24"/>
                <w14:textFill>
                  <w14:solidFill>
                    <w14:schemeClr w14:val="tx1"/>
                  </w14:solidFill>
                </w14:textFill>
              </w:rPr>
              <w:t>日对项目区东南西北厂界进行声环境质量现状监测。现状监测结果见表3-</w:t>
            </w:r>
            <w:r>
              <w:rPr>
                <w:rFonts w:hint="eastAsia" w:cs="Times New Roman"/>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14:textFill>
                  <w14:solidFill>
                    <w14:schemeClr w14:val="tx1"/>
                  </w14:solidFill>
                </w14:textFill>
              </w:rPr>
              <w:t>所示</w:t>
            </w:r>
            <w:r>
              <w:rPr>
                <w:rFonts w:hint="eastAsia" w:cs="Times New Roman"/>
                <w:color w:val="000000" w:themeColor="text1"/>
                <w:sz w:val="24"/>
                <w:szCs w:val="24"/>
                <w:lang w:eastAsia="zh-CN"/>
                <w14:textFill>
                  <w14:solidFill>
                    <w14:schemeClr w14:val="tx1"/>
                  </w14:solidFill>
                </w14:textFill>
              </w:rPr>
              <w:t>。</w:t>
            </w:r>
          </w:p>
          <w:p>
            <w:pPr>
              <w:pStyle w:val="18"/>
              <w:tabs>
                <w:tab w:val="left" w:pos="1149"/>
              </w:tabs>
              <w:spacing w:after="0"/>
              <w:jc w:val="center"/>
              <w:rPr>
                <w:rFonts w:hint="default" w:ascii="Times New Roman" w:hAnsi="Times New Roman" w:eastAsia="宋体" w:cs="Times New Roman"/>
                <w:b/>
                <w:bCs/>
                <w:color w:val="000000" w:themeColor="text1"/>
                <w:sz w:val="21"/>
                <w:szCs w:val="18"/>
                <w14:textFill>
                  <w14:solidFill>
                    <w14:schemeClr w14:val="tx1"/>
                  </w14:solidFill>
                </w14:textFill>
              </w:rPr>
            </w:pPr>
            <w:r>
              <w:rPr>
                <w:rFonts w:hint="default" w:ascii="Times New Roman" w:hAnsi="Times New Roman" w:eastAsia="宋体" w:cs="Times New Roman"/>
                <w:b/>
                <w:bCs/>
                <w:color w:val="000000" w:themeColor="text1"/>
                <w:sz w:val="21"/>
                <w:szCs w:val="18"/>
                <w14:textFill>
                  <w14:solidFill>
                    <w14:schemeClr w14:val="tx1"/>
                  </w14:solidFill>
                </w14:textFill>
              </w:rPr>
              <w:t>表3</w:t>
            </w:r>
            <w:r>
              <w:rPr>
                <w:rFonts w:hint="eastAsia" w:cs="Times New Roman"/>
                <w:b/>
                <w:bCs/>
                <w:color w:val="000000" w:themeColor="text1"/>
                <w:sz w:val="21"/>
                <w:szCs w:val="18"/>
                <w:lang w:val="en-US" w:eastAsia="zh-CN"/>
                <w14:textFill>
                  <w14:solidFill>
                    <w14:schemeClr w14:val="tx1"/>
                  </w14:solidFill>
                </w14:textFill>
              </w:rPr>
              <w:t>-4</w:t>
            </w:r>
            <w:r>
              <w:rPr>
                <w:rFonts w:hint="default" w:ascii="Times New Roman" w:hAnsi="Times New Roman" w:eastAsia="宋体" w:cs="Times New Roman"/>
                <w:b/>
                <w:bCs/>
                <w:color w:val="000000" w:themeColor="text1"/>
                <w:sz w:val="21"/>
                <w:szCs w:val="18"/>
                <w14:textFill>
                  <w14:solidFill>
                    <w14:schemeClr w14:val="tx1"/>
                  </w14:solidFill>
                </w14:textFill>
              </w:rPr>
              <w:t xml:space="preserve"> 声环境质量现状监测结果</w:t>
            </w:r>
          </w:p>
          <w:tbl>
            <w:tblPr>
              <w:tblStyle w:val="37"/>
              <w:tblW w:w="5000" w:type="pct"/>
              <w:jc w:val="center"/>
              <w:shd w:val="clear" w:color="auto" w:fill="auto"/>
              <w:tblLayout w:type="fixed"/>
              <w:tblCellMar>
                <w:top w:w="0" w:type="dxa"/>
                <w:left w:w="0" w:type="dxa"/>
                <w:bottom w:w="0" w:type="dxa"/>
                <w:right w:w="0" w:type="dxa"/>
              </w:tblCellMar>
            </w:tblPr>
            <w:tblGrid>
              <w:gridCol w:w="1158"/>
              <w:gridCol w:w="1158"/>
              <w:gridCol w:w="1159"/>
              <w:gridCol w:w="1159"/>
              <w:gridCol w:w="1160"/>
              <w:gridCol w:w="1159"/>
              <w:gridCol w:w="1159"/>
            </w:tblGrid>
            <w:tr>
              <w:tblPrEx>
                <w:shd w:val="clear" w:color="auto" w:fill="auto"/>
                <w:tblCellMar>
                  <w:top w:w="0" w:type="dxa"/>
                  <w:left w:w="0" w:type="dxa"/>
                  <w:bottom w:w="0" w:type="dxa"/>
                  <w:right w:w="0" w:type="dxa"/>
                </w:tblCellMar>
              </w:tblPrEx>
              <w:trPr>
                <w:trHeight w:val="300" w:hRule="atLeast"/>
                <w:jc w:val="center"/>
              </w:trPr>
              <w:tc>
                <w:tcPr>
                  <w:tcW w:w="714" w:type="pct"/>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top"/>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检测人员</w:t>
                  </w:r>
                </w:p>
              </w:tc>
              <w:tc>
                <w:tcPr>
                  <w:tcW w:w="2857" w:type="pct"/>
                  <w:gridSpan w:val="4"/>
                  <w:vMerge w:val="restar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卢富坤、周建林</w:t>
                  </w:r>
                </w:p>
              </w:tc>
              <w:tc>
                <w:tcPr>
                  <w:tcW w:w="1428" w:type="pct"/>
                  <w:gridSpan w:val="2"/>
                  <w:vMerge w:val="restar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top"/>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 xml:space="preserve">仪器校准值 </w:t>
                  </w:r>
                  <w:r>
                    <w:rPr>
                      <w:rFonts w:hint="default" w:ascii="Times New Roman" w:hAnsi="Times New Roman" w:eastAsia="宋体" w:cs="Times New Roman"/>
                      <w:b/>
                      <w:i w:val="0"/>
                      <w:color w:val="000000"/>
                      <w:kern w:val="0"/>
                      <w:sz w:val="21"/>
                      <w:szCs w:val="21"/>
                      <w:u w:val="none"/>
                      <w:lang w:val="en-US" w:eastAsia="zh-CN" w:bidi="ar"/>
                    </w:rPr>
                    <w:t>dB(A)</w:t>
                  </w:r>
                </w:p>
              </w:tc>
            </w:tr>
            <w:tr>
              <w:tblPrEx>
                <w:tblCellMar>
                  <w:top w:w="0" w:type="dxa"/>
                  <w:left w:w="0" w:type="dxa"/>
                  <w:bottom w:w="0" w:type="dxa"/>
                  <w:right w:w="0" w:type="dxa"/>
                </w:tblCellMar>
              </w:tblPrEx>
              <w:trPr>
                <w:trHeight w:val="285" w:hRule="atLeast"/>
                <w:jc w:val="center"/>
              </w:trPr>
              <w:tc>
                <w:tcPr>
                  <w:tcW w:w="714"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1"/>
                      <w:szCs w:val="21"/>
                      <w:u w:val="none"/>
                    </w:rPr>
                  </w:pPr>
                </w:p>
              </w:tc>
              <w:tc>
                <w:tcPr>
                  <w:tcW w:w="2857" w:type="pct"/>
                  <w:gridSpan w:val="4"/>
                  <w:vMerge w:val="continue"/>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428" w:type="pct"/>
                  <w:gridSpan w:val="2"/>
                  <w:vMerge w:val="continue"/>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1"/>
                      <w:szCs w:val="21"/>
                      <w:u w:val="none"/>
                    </w:rPr>
                  </w:pPr>
                </w:p>
              </w:tc>
            </w:tr>
            <w:tr>
              <w:tblPrEx>
                <w:tblCellMar>
                  <w:top w:w="0" w:type="dxa"/>
                  <w:left w:w="0" w:type="dxa"/>
                  <w:bottom w:w="0" w:type="dxa"/>
                  <w:right w:w="0" w:type="dxa"/>
                </w:tblCellMar>
              </w:tblPrEx>
              <w:trPr>
                <w:trHeight w:val="285" w:hRule="atLeast"/>
                <w:jc w:val="center"/>
              </w:trPr>
              <w:tc>
                <w:tcPr>
                  <w:tcW w:w="714"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1"/>
                      <w:szCs w:val="21"/>
                      <w:u w:val="none"/>
                    </w:rPr>
                  </w:pPr>
                </w:p>
              </w:tc>
              <w:tc>
                <w:tcPr>
                  <w:tcW w:w="2857" w:type="pct"/>
                  <w:gridSpan w:val="4"/>
                  <w:vMerge w:val="continue"/>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检测前</w:t>
                  </w:r>
                </w:p>
              </w:tc>
              <w:tc>
                <w:tcPr>
                  <w:tcW w:w="714"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检测后</w:t>
                  </w:r>
                </w:p>
              </w:tc>
            </w:tr>
            <w:tr>
              <w:tblPrEx>
                <w:tblCellMar>
                  <w:top w:w="0" w:type="dxa"/>
                  <w:left w:w="0" w:type="dxa"/>
                  <w:bottom w:w="0" w:type="dxa"/>
                  <w:right w:w="0" w:type="dxa"/>
                </w:tblCellMar>
              </w:tblPrEx>
              <w:trPr>
                <w:trHeight w:val="285" w:hRule="atLeast"/>
                <w:jc w:val="center"/>
              </w:trPr>
              <w:tc>
                <w:tcPr>
                  <w:tcW w:w="714"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1"/>
                      <w:szCs w:val="21"/>
                      <w:u w:val="none"/>
                    </w:rPr>
                  </w:pPr>
                </w:p>
              </w:tc>
              <w:tc>
                <w:tcPr>
                  <w:tcW w:w="2857" w:type="pct"/>
                  <w:gridSpan w:val="4"/>
                  <w:vMerge w:val="continue"/>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93.8</w:t>
                  </w: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93.8</w:t>
                  </w:r>
                </w:p>
              </w:tc>
            </w:tr>
            <w:tr>
              <w:tblPrEx>
                <w:tblCellMar>
                  <w:top w:w="0" w:type="dxa"/>
                  <w:left w:w="0" w:type="dxa"/>
                  <w:bottom w:w="0" w:type="dxa"/>
                  <w:right w:w="0" w:type="dxa"/>
                </w:tblCellMar>
              </w:tblPrEx>
              <w:trPr>
                <w:trHeight w:val="300" w:hRule="atLeast"/>
                <w:jc w:val="center"/>
              </w:trPr>
              <w:tc>
                <w:tcPr>
                  <w:tcW w:w="714" w:type="pct"/>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top"/>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检测内容</w:t>
                  </w:r>
                </w:p>
              </w:tc>
              <w:tc>
                <w:tcPr>
                  <w:tcW w:w="714"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检测点位置</w:t>
                  </w:r>
                </w:p>
              </w:tc>
              <w:tc>
                <w:tcPr>
                  <w:tcW w:w="714"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检测日期</w:t>
                  </w:r>
                </w:p>
              </w:tc>
              <w:tc>
                <w:tcPr>
                  <w:tcW w:w="1428" w:type="pct"/>
                  <w:gridSpan w:val="2"/>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检测时段</w:t>
                  </w:r>
                </w:p>
              </w:tc>
              <w:tc>
                <w:tcPr>
                  <w:tcW w:w="1428" w:type="pct"/>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检测结果</w:t>
                  </w:r>
                </w:p>
              </w:tc>
            </w:tr>
            <w:tr>
              <w:tblPrEx>
                <w:tblCellMar>
                  <w:top w:w="0" w:type="dxa"/>
                  <w:left w:w="0" w:type="dxa"/>
                  <w:bottom w:w="0" w:type="dxa"/>
                  <w:right w:w="0" w:type="dxa"/>
                </w:tblCellMar>
              </w:tblPrEx>
              <w:trPr>
                <w:trHeight w:val="300" w:hRule="atLeast"/>
                <w:jc w:val="center"/>
              </w:trPr>
              <w:tc>
                <w:tcPr>
                  <w:tcW w:w="714"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1"/>
                      <w:szCs w:val="21"/>
                      <w:u w:val="none"/>
                    </w:rPr>
                  </w:pP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1"/>
                      <w:szCs w:val="21"/>
                      <w:u w:val="none"/>
                    </w:rPr>
                  </w:pP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b/>
                      <w:i w:val="0"/>
                      <w:color w:val="000000"/>
                      <w:sz w:val="21"/>
                      <w:szCs w:val="21"/>
                      <w:u w:val="none"/>
                    </w:rPr>
                  </w:pPr>
                </w:p>
              </w:tc>
              <w:tc>
                <w:tcPr>
                  <w:tcW w:w="1428" w:type="pct"/>
                  <w:gridSpan w:val="2"/>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1"/>
                      <w:szCs w:val="21"/>
                      <w:u w:val="none"/>
                    </w:rPr>
                  </w:pPr>
                </w:p>
              </w:tc>
              <w:tc>
                <w:tcPr>
                  <w:tcW w:w="1428" w:type="pct"/>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Leq[dB</w:t>
                  </w:r>
                  <w:r>
                    <w:rPr>
                      <w:rFonts w:hint="eastAsia" w:ascii="宋体" w:hAnsi="宋体" w:eastAsia="宋体" w:cs="宋体"/>
                      <w:b/>
                      <w:i w:val="0"/>
                      <w:color w:val="000000"/>
                      <w:kern w:val="0"/>
                      <w:sz w:val="21"/>
                      <w:szCs w:val="21"/>
                      <w:u w:val="none"/>
                      <w:lang w:val="en-US" w:eastAsia="zh-CN" w:bidi="ar"/>
                    </w:rPr>
                    <w:t>（</w:t>
                  </w:r>
                  <w:r>
                    <w:rPr>
                      <w:rFonts w:hint="default" w:ascii="Times New Roman" w:hAnsi="Times New Roman" w:eastAsia="宋体" w:cs="Times New Roman"/>
                      <w:b/>
                      <w:i w:val="0"/>
                      <w:color w:val="000000"/>
                      <w:kern w:val="0"/>
                      <w:sz w:val="21"/>
                      <w:szCs w:val="21"/>
                      <w:u w:val="none"/>
                      <w:lang w:val="en-US" w:eastAsia="zh-CN" w:bidi="ar"/>
                    </w:rPr>
                    <w:t>A</w:t>
                  </w:r>
                  <w:r>
                    <w:rPr>
                      <w:rFonts w:hint="eastAsia" w:ascii="宋体" w:hAnsi="宋体" w:eastAsia="宋体" w:cs="宋体"/>
                      <w:b/>
                      <w:i w:val="0"/>
                      <w:color w:val="000000"/>
                      <w:kern w:val="0"/>
                      <w:sz w:val="21"/>
                      <w:szCs w:val="21"/>
                      <w:u w:val="none"/>
                      <w:lang w:val="en-US" w:eastAsia="zh-CN" w:bidi="ar"/>
                    </w:rPr>
                    <w:t>）</w:t>
                  </w:r>
                  <w:r>
                    <w:rPr>
                      <w:rFonts w:hint="default" w:ascii="Times New Roman" w:hAnsi="Times New Roman" w:eastAsia="宋体" w:cs="Times New Roman"/>
                      <w:b/>
                      <w:i w:val="0"/>
                      <w:color w:val="000000"/>
                      <w:kern w:val="0"/>
                      <w:sz w:val="21"/>
                      <w:szCs w:val="21"/>
                      <w:u w:val="none"/>
                      <w:lang w:val="en-US" w:eastAsia="zh-CN" w:bidi="ar"/>
                    </w:rPr>
                    <w:t>]</w:t>
                  </w:r>
                </w:p>
              </w:tc>
            </w:tr>
            <w:tr>
              <w:tblPrEx>
                <w:tblCellMar>
                  <w:top w:w="0" w:type="dxa"/>
                  <w:left w:w="0" w:type="dxa"/>
                  <w:bottom w:w="0" w:type="dxa"/>
                  <w:right w:w="0" w:type="dxa"/>
                </w:tblCellMar>
              </w:tblPrEx>
              <w:trPr>
                <w:trHeight w:val="492" w:hRule="atLeast"/>
                <w:jc w:val="center"/>
              </w:trPr>
              <w:tc>
                <w:tcPr>
                  <w:tcW w:w="714" w:type="pct"/>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环境噪声</w:t>
                  </w:r>
                </w:p>
              </w:tc>
              <w:tc>
                <w:tcPr>
                  <w:tcW w:w="714"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N1</w:t>
                  </w:r>
                  <w:r>
                    <w:rPr>
                      <w:rStyle w:val="115"/>
                      <w:lang w:val="en-US" w:eastAsia="zh-CN" w:bidi="ar"/>
                    </w:rPr>
                    <w:t xml:space="preserve">：项目区厂界东侧 </w:t>
                  </w:r>
                  <w:r>
                    <w:rPr>
                      <w:rStyle w:val="116"/>
                      <w:rFonts w:eastAsia="宋体"/>
                      <w:lang w:val="en-US" w:eastAsia="zh-CN" w:bidi="ar"/>
                    </w:rPr>
                    <w:t xml:space="preserve">1m </w:t>
                  </w:r>
                  <w:r>
                    <w:rPr>
                      <w:rStyle w:val="115"/>
                      <w:lang w:val="en-US" w:eastAsia="zh-CN" w:bidi="ar"/>
                    </w:rPr>
                    <w:t>处</w:t>
                  </w:r>
                </w:p>
              </w:tc>
              <w:tc>
                <w:tcPr>
                  <w:tcW w:w="714"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2020.10.07</w:t>
                  </w: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昼间</w:t>
                  </w: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09:14-09:34</w:t>
                  </w:r>
                </w:p>
              </w:tc>
              <w:tc>
                <w:tcPr>
                  <w:tcW w:w="1428" w:type="pct"/>
                  <w:gridSpan w:val="2"/>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62.6</w:t>
                  </w:r>
                </w:p>
              </w:tc>
            </w:tr>
            <w:tr>
              <w:tblPrEx>
                <w:tblCellMar>
                  <w:top w:w="0" w:type="dxa"/>
                  <w:left w:w="0" w:type="dxa"/>
                  <w:bottom w:w="0" w:type="dxa"/>
                  <w:right w:w="0" w:type="dxa"/>
                </w:tblCellMar>
              </w:tblPrEx>
              <w:trPr>
                <w:trHeight w:val="300" w:hRule="atLeast"/>
                <w:jc w:val="center"/>
              </w:trPr>
              <w:tc>
                <w:tcPr>
                  <w:tcW w:w="714"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夜间</w:t>
                  </w: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22:04-22:24</w:t>
                  </w:r>
                </w:p>
              </w:tc>
              <w:tc>
                <w:tcPr>
                  <w:tcW w:w="1428" w:type="pct"/>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52.2</w:t>
                  </w:r>
                </w:p>
              </w:tc>
            </w:tr>
            <w:tr>
              <w:tblPrEx>
                <w:tblCellMar>
                  <w:top w:w="0" w:type="dxa"/>
                  <w:left w:w="0" w:type="dxa"/>
                  <w:bottom w:w="0" w:type="dxa"/>
                  <w:right w:w="0" w:type="dxa"/>
                </w:tblCellMar>
              </w:tblPrEx>
              <w:trPr>
                <w:trHeight w:val="417" w:hRule="atLeast"/>
                <w:jc w:val="center"/>
              </w:trPr>
              <w:tc>
                <w:tcPr>
                  <w:tcW w:w="714"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14"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N2</w:t>
                  </w:r>
                  <w:r>
                    <w:rPr>
                      <w:rStyle w:val="115"/>
                      <w:lang w:val="en-US" w:eastAsia="zh-CN" w:bidi="ar"/>
                    </w:rPr>
                    <w:t xml:space="preserve">：项目区厂界南侧 </w:t>
                  </w:r>
                  <w:r>
                    <w:rPr>
                      <w:rStyle w:val="116"/>
                      <w:rFonts w:eastAsia="宋体"/>
                      <w:lang w:val="en-US" w:eastAsia="zh-CN" w:bidi="ar"/>
                    </w:rPr>
                    <w:t xml:space="preserve">1m </w:t>
                  </w:r>
                  <w:r>
                    <w:rPr>
                      <w:rStyle w:val="115"/>
                      <w:lang w:val="en-US" w:eastAsia="zh-CN" w:bidi="ar"/>
                    </w:rPr>
                    <w:t>处</w:t>
                  </w: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昼间</w:t>
                  </w: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09:42-09:43</w:t>
                  </w:r>
                </w:p>
              </w:tc>
              <w:tc>
                <w:tcPr>
                  <w:tcW w:w="1428" w:type="pct"/>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54.3</w:t>
                  </w:r>
                </w:p>
              </w:tc>
            </w:tr>
            <w:tr>
              <w:tblPrEx>
                <w:tblCellMar>
                  <w:top w:w="0" w:type="dxa"/>
                  <w:left w:w="0" w:type="dxa"/>
                  <w:bottom w:w="0" w:type="dxa"/>
                  <w:right w:w="0" w:type="dxa"/>
                </w:tblCellMar>
              </w:tblPrEx>
              <w:trPr>
                <w:trHeight w:val="300" w:hRule="atLeast"/>
                <w:jc w:val="center"/>
              </w:trPr>
              <w:tc>
                <w:tcPr>
                  <w:tcW w:w="714"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夜间</w:t>
                  </w: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22:32-22:33</w:t>
                  </w:r>
                </w:p>
              </w:tc>
              <w:tc>
                <w:tcPr>
                  <w:tcW w:w="1428" w:type="pct"/>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43</w:t>
                  </w:r>
                </w:p>
              </w:tc>
            </w:tr>
            <w:tr>
              <w:tblPrEx>
                <w:tblCellMar>
                  <w:top w:w="0" w:type="dxa"/>
                  <w:left w:w="0" w:type="dxa"/>
                  <w:bottom w:w="0" w:type="dxa"/>
                  <w:right w:w="0" w:type="dxa"/>
                </w:tblCellMar>
              </w:tblPrEx>
              <w:trPr>
                <w:trHeight w:val="447" w:hRule="atLeast"/>
                <w:jc w:val="center"/>
              </w:trPr>
              <w:tc>
                <w:tcPr>
                  <w:tcW w:w="714"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14"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N3</w:t>
                  </w:r>
                  <w:r>
                    <w:rPr>
                      <w:rStyle w:val="115"/>
                      <w:lang w:val="en-US" w:eastAsia="zh-CN" w:bidi="ar"/>
                    </w:rPr>
                    <w:t xml:space="preserve">：项目区厂界西侧 </w:t>
                  </w:r>
                  <w:r>
                    <w:rPr>
                      <w:rStyle w:val="116"/>
                      <w:rFonts w:eastAsia="宋体"/>
                      <w:lang w:val="en-US" w:eastAsia="zh-CN" w:bidi="ar"/>
                    </w:rPr>
                    <w:t xml:space="preserve">1m </w:t>
                  </w:r>
                  <w:r>
                    <w:rPr>
                      <w:rStyle w:val="115"/>
                      <w:lang w:val="en-US" w:eastAsia="zh-CN" w:bidi="ar"/>
                    </w:rPr>
                    <w:t>处</w:t>
                  </w: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昼间</w:t>
                  </w: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09:54-09:55</w:t>
                  </w:r>
                </w:p>
              </w:tc>
              <w:tc>
                <w:tcPr>
                  <w:tcW w:w="1428" w:type="pct"/>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51.7</w:t>
                  </w:r>
                </w:p>
              </w:tc>
            </w:tr>
            <w:tr>
              <w:tblPrEx>
                <w:tblCellMar>
                  <w:top w:w="0" w:type="dxa"/>
                  <w:left w:w="0" w:type="dxa"/>
                  <w:bottom w:w="0" w:type="dxa"/>
                  <w:right w:w="0" w:type="dxa"/>
                </w:tblCellMar>
              </w:tblPrEx>
              <w:trPr>
                <w:trHeight w:val="300" w:hRule="atLeast"/>
                <w:jc w:val="center"/>
              </w:trPr>
              <w:tc>
                <w:tcPr>
                  <w:tcW w:w="714"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夜间</w:t>
                  </w: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22:43-22:44</w:t>
                  </w:r>
                </w:p>
              </w:tc>
              <w:tc>
                <w:tcPr>
                  <w:tcW w:w="1428" w:type="pct"/>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45.6</w:t>
                  </w:r>
                </w:p>
              </w:tc>
            </w:tr>
            <w:tr>
              <w:tblPrEx>
                <w:tblCellMar>
                  <w:top w:w="0" w:type="dxa"/>
                  <w:left w:w="0" w:type="dxa"/>
                  <w:bottom w:w="0" w:type="dxa"/>
                  <w:right w:w="0" w:type="dxa"/>
                </w:tblCellMar>
              </w:tblPrEx>
              <w:trPr>
                <w:trHeight w:val="447" w:hRule="atLeast"/>
                <w:jc w:val="center"/>
              </w:trPr>
              <w:tc>
                <w:tcPr>
                  <w:tcW w:w="714"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14"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N4</w:t>
                  </w:r>
                  <w:r>
                    <w:rPr>
                      <w:rStyle w:val="115"/>
                      <w:lang w:val="en-US" w:eastAsia="zh-CN" w:bidi="ar"/>
                    </w:rPr>
                    <w:t xml:space="preserve">：项目区厂界北侧 </w:t>
                  </w:r>
                  <w:r>
                    <w:rPr>
                      <w:rStyle w:val="116"/>
                      <w:rFonts w:eastAsia="宋体"/>
                      <w:lang w:val="en-US" w:eastAsia="zh-CN" w:bidi="ar"/>
                    </w:rPr>
                    <w:t xml:space="preserve">1m </w:t>
                  </w:r>
                  <w:r>
                    <w:rPr>
                      <w:rStyle w:val="115"/>
                      <w:lang w:val="en-US" w:eastAsia="zh-CN" w:bidi="ar"/>
                    </w:rPr>
                    <w:t>处</w:t>
                  </w: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昼间</w:t>
                  </w: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10:03-10:04</w:t>
                  </w:r>
                </w:p>
              </w:tc>
              <w:tc>
                <w:tcPr>
                  <w:tcW w:w="1428" w:type="pct"/>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54.1</w:t>
                  </w:r>
                </w:p>
              </w:tc>
            </w:tr>
            <w:tr>
              <w:tblPrEx>
                <w:tblCellMar>
                  <w:top w:w="0" w:type="dxa"/>
                  <w:left w:w="0" w:type="dxa"/>
                  <w:bottom w:w="0" w:type="dxa"/>
                  <w:right w:w="0" w:type="dxa"/>
                </w:tblCellMar>
              </w:tblPrEx>
              <w:trPr>
                <w:trHeight w:val="300" w:hRule="atLeast"/>
                <w:jc w:val="center"/>
              </w:trPr>
              <w:tc>
                <w:tcPr>
                  <w:tcW w:w="714"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夜间</w:t>
                  </w: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22:54-22:55</w:t>
                  </w:r>
                </w:p>
              </w:tc>
              <w:tc>
                <w:tcPr>
                  <w:tcW w:w="1428" w:type="pct"/>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43.4</w:t>
                  </w:r>
                </w:p>
              </w:tc>
            </w:tr>
            <w:tr>
              <w:tblPrEx>
                <w:tblCellMar>
                  <w:top w:w="0" w:type="dxa"/>
                  <w:left w:w="0" w:type="dxa"/>
                  <w:bottom w:w="0" w:type="dxa"/>
                  <w:right w:w="0" w:type="dxa"/>
                </w:tblCellMar>
              </w:tblPrEx>
              <w:trPr>
                <w:trHeight w:val="447" w:hRule="atLeast"/>
                <w:jc w:val="center"/>
              </w:trPr>
              <w:tc>
                <w:tcPr>
                  <w:tcW w:w="714"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14"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N1</w:t>
                  </w:r>
                  <w:r>
                    <w:rPr>
                      <w:rStyle w:val="115"/>
                      <w:lang w:val="en-US" w:eastAsia="zh-CN" w:bidi="ar"/>
                    </w:rPr>
                    <w:t xml:space="preserve">：项目区厂界东侧 </w:t>
                  </w:r>
                  <w:r>
                    <w:rPr>
                      <w:rStyle w:val="116"/>
                      <w:rFonts w:eastAsia="宋体"/>
                      <w:lang w:val="en-US" w:eastAsia="zh-CN" w:bidi="ar"/>
                    </w:rPr>
                    <w:t xml:space="preserve">1m </w:t>
                  </w:r>
                  <w:r>
                    <w:rPr>
                      <w:rStyle w:val="115"/>
                      <w:lang w:val="en-US" w:eastAsia="zh-CN" w:bidi="ar"/>
                    </w:rPr>
                    <w:t>处</w:t>
                  </w:r>
                </w:p>
              </w:tc>
              <w:tc>
                <w:tcPr>
                  <w:tcW w:w="714"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2020.10.08</w:t>
                  </w: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昼间</w:t>
                  </w: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13:32-13:52</w:t>
                  </w:r>
                </w:p>
              </w:tc>
              <w:tc>
                <w:tcPr>
                  <w:tcW w:w="1428" w:type="pct"/>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61.8</w:t>
                  </w:r>
                </w:p>
              </w:tc>
            </w:tr>
            <w:tr>
              <w:tblPrEx>
                <w:tblCellMar>
                  <w:top w:w="0" w:type="dxa"/>
                  <w:left w:w="0" w:type="dxa"/>
                  <w:bottom w:w="0" w:type="dxa"/>
                  <w:right w:w="0" w:type="dxa"/>
                </w:tblCellMar>
              </w:tblPrEx>
              <w:trPr>
                <w:trHeight w:val="514" w:hRule="atLeast"/>
                <w:jc w:val="center"/>
              </w:trPr>
              <w:tc>
                <w:tcPr>
                  <w:tcW w:w="714"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left"/>
                    <w:rPr>
                      <w:rFonts w:hint="default" w:ascii="Times New Roman" w:hAnsi="Times New Roman" w:eastAsia="宋体" w:cs="Times New Roman"/>
                      <w:i w:val="0"/>
                      <w:color w:val="000000"/>
                      <w:sz w:val="21"/>
                      <w:szCs w:val="21"/>
                      <w:u w:val="none"/>
                    </w:rPr>
                  </w:pP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夜间</w:t>
                  </w: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22:08-22:28</w:t>
                  </w:r>
                </w:p>
              </w:tc>
              <w:tc>
                <w:tcPr>
                  <w:tcW w:w="1428" w:type="pct"/>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50.5</w:t>
                  </w:r>
                </w:p>
              </w:tc>
            </w:tr>
            <w:tr>
              <w:tblPrEx>
                <w:tblCellMar>
                  <w:top w:w="0" w:type="dxa"/>
                  <w:left w:w="0" w:type="dxa"/>
                  <w:bottom w:w="0" w:type="dxa"/>
                  <w:right w:w="0" w:type="dxa"/>
                </w:tblCellMar>
              </w:tblPrEx>
              <w:trPr>
                <w:trHeight w:val="447" w:hRule="atLeast"/>
                <w:jc w:val="center"/>
              </w:trPr>
              <w:tc>
                <w:tcPr>
                  <w:tcW w:w="714"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14"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N2</w:t>
                  </w:r>
                  <w:r>
                    <w:rPr>
                      <w:rStyle w:val="115"/>
                      <w:lang w:val="en-US" w:eastAsia="zh-CN" w:bidi="ar"/>
                    </w:rPr>
                    <w:t xml:space="preserve">：项目区厂界南侧 </w:t>
                  </w:r>
                  <w:r>
                    <w:rPr>
                      <w:rStyle w:val="116"/>
                      <w:rFonts w:eastAsia="宋体"/>
                      <w:lang w:val="en-US" w:eastAsia="zh-CN" w:bidi="ar"/>
                    </w:rPr>
                    <w:t xml:space="preserve">1m </w:t>
                  </w:r>
                  <w:r>
                    <w:rPr>
                      <w:rStyle w:val="115"/>
                      <w:lang w:val="en-US" w:eastAsia="zh-CN" w:bidi="ar"/>
                    </w:rPr>
                    <w:t>处</w:t>
                  </w: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left"/>
                    <w:rPr>
                      <w:rFonts w:hint="default" w:ascii="Times New Roman" w:hAnsi="Times New Roman" w:eastAsia="宋体" w:cs="Times New Roman"/>
                      <w:i w:val="0"/>
                      <w:color w:val="000000"/>
                      <w:sz w:val="21"/>
                      <w:szCs w:val="21"/>
                      <w:u w:val="none"/>
                    </w:rPr>
                  </w:pP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昼间</w:t>
                  </w: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14:01-14:02</w:t>
                  </w:r>
                </w:p>
              </w:tc>
              <w:tc>
                <w:tcPr>
                  <w:tcW w:w="1428" w:type="pct"/>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55.5</w:t>
                  </w:r>
                </w:p>
              </w:tc>
            </w:tr>
            <w:tr>
              <w:tblPrEx>
                <w:tblCellMar>
                  <w:top w:w="0" w:type="dxa"/>
                  <w:left w:w="0" w:type="dxa"/>
                  <w:bottom w:w="0" w:type="dxa"/>
                  <w:right w:w="0" w:type="dxa"/>
                </w:tblCellMar>
              </w:tblPrEx>
              <w:trPr>
                <w:trHeight w:val="300" w:hRule="atLeast"/>
                <w:jc w:val="center"/>
              </w:trPr>
              <w:tc>
                <w:tcPr>
                  <w:tcW w:w="714"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left"/>
                    <w:rPr>
                      <w:rFonts w:hint="default" w:ascii="Times New Roman" w:hAnsi="Times New Roman" w:eastAsia="宋体" w:cs="Times New Roman"/>
                      <w:i w:val="0"/>
                      <w:color w:val="000000"/>
                      <w:sz w:val="21"/>
                      <w:szCs w:val="21"/>
                      <w:u w:val="none"/>
                    </w:rPr>
                  </w:pP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夜间</w:t>
                  </w: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22:38-22:39</w:t>
                  </w:r>
                </w:p>
              </w:tc>
              <w:tc>
                <w:tcPr>
                  <w:tcW w:w="1428" w:type="pct"/>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44.3</w:t>
                  </w:r>
                </w:p>
              </w:tc>
            </w:tr>
            <w:tr>
              <w:tblPrEx>
                <w:tblCellMar>
                  <w:top w:w="0" w:type="dxa"/>
                  <w:left w:w="0" w:type="dxa"/>
                  <w:bottom w:w="0" w:type="dxa"/>
                  <w:right w:w="0" w:type="dxa"/>
                </w:tblCellMar>
              </w:tblPrEx>
              <w:trPr>
                <w:trHeight w:val="462" w:hRule="atLeast"/>
                <w:jc w:val="center"/>
              </w:trPr>
              <w:tc>
                <w:tcPr>
                  <w:tcW w:w="714"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14"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N3</w:t>
                  </w:r>
                  <w:r>
                    <w:rPr>
                      <w:rStyle w:val="115"/>
                      <w:lang w:val="en-US" w:eastAsia="zh-CN" w:bidi="ar"/>
                    </w:rPr>
                    <w:t xml:space="preserve">：项目区厂界西侧 </w:t>
                  </w:r>
                  <w:r>
                    <w:rPr>
                      <w:rStyle w:val="116"/>
                      <w:rFonts w:eastAsia="宋体"/>
                      <w:lang w:val="en-US" w:eastAsia="zh-CN" w:bidi="ar"/>
                    </w:rPr>
                    <w:t xml:space="preserve">1m </w:t>
                  </w:r>
                  <w:r>
                    <w:rPr>
                      <w:rStyle w:val="115"/>
                      <w:lang w:val="en-US" w:eastAsia="zh-CN" w:bidi="ar"/>
                    </w:rPr>
                    <w:t>处</w:t>
                  </w: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left"/>
                    <w:rPr>
                      <w:rFonts w:hint="default" w:ascii="Times New Roman" w:hAnsi="Times New Roman" w:eastAsia="宋体" w:cs="Times New Roman"/>
                      <w:i w:val="0"/>
                      <w:color w:val="000000"/>
                      <w:sz w:val="21"/>
                      <w:szCs w:val="21"/>
                      <w:u w:val="none"/>
                    </w:rPr>
                  </w:pP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昼间</w:t>
                  </w: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14:11-14:12</w:t>
                  </w:r>
                </w:p>
              </w:tc>
              <w:tc>
                <w:tcPr>
                  <w:tcW w:w="1428" w:type="pct"/>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53.7</w:t>
                  </w:r>
                </w:p>
              </w:tc>
            </w:tr>
            <w:tr>
              <w:tblPrEx>
                <w:tblCellMar>
                  <w:top w:w="0" w:type="dxa"/>
                  <w:left w:w="0" w:type="dxa"/>
                  <w:bottom w:w="0" w:type="dxa"/>
                  <w:right w:w="0" w:type="dxa"/>
                </w:tblCellMar>
              </w:tblPrEx>
              <w:trPr>
                <w:trHeight w:val="300" w:hRule="atLeast"/>
                <w:jc w:val="center"/>
              </w:trPr>
              <w:tc>
                <w:tcPr>
                  <w:tcW w:w="714"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left"/>
                    <w:rPr>
                      <w:rFonts w:hint="default" w:ascii="Times New Roman" w:hAnsi="Times New Roman" w:eastAsia="宋体" w:cs="Times New Roman"/>
                      <w:i w:val="0"/>
                      <w:color w:val="000000"/>
                      <w:sz w:val="21"/>
                      <w:szCs w:val="21"/>
                      <w:u w:val="none"/>
                    </w:rPr>
                  </w:pP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夜间</w:t>
                  </w: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22:46-22:47</w:t>
                  </w:r>
                </w:p>
              </w:tc>
              <w:tc>
                <w:tcPr>
                  <w:tcW w:w="1428" w:type="pct"/>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44.1</w:t>
                  </w:r>
                </w:p>
              </w:tc>
            </w:tr>
            <w:tr>
              <w:tblPrEx>
                <w:tblCellMar>
                  <w:top w:w="0" w:type="dxa"/>
                  <w:left w:w="0" w:type="dxa"/>
                  <w:bottom w:w="0" w:type="dxa"/>
                  <w:right w:w="0" w:type="dxa"/>
                </w:tblCellMar>
              </w:tblPrEx>
              <w:trPr>
                <w:trHeight w:val="455" w:hRule="atLeast"/>
                <w:jc w:val="center"/>
              </w:trPr>
              <w:tc>
                <w:tcPr>
                  <w:tcW w:w="714"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14"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N4</w:t>
                  </w:r>
                  <w:r>
                    <w:rPr>
                      <w:rStyle w:val="115"/>
                      <w:lang w:val="en-US" w:eastAsia="zh-CN" w:bidi="ar"/>
                    </w:rPr>
                    <w:t xml:space="preserve">：项目区厂界北侧 </w:t>
                  </w:r>
                  <w:r>
                    <w:rPr>
                      <w:rStyle w:val="116"/>
                      <w:rFonts w:eastAsia="宋体"/>
                      <w:lang w:val="en-US" w:eastAsia="zh-CN" w:bidi="ar"/>
                    </w:rPr>
                    <w:t xml:space="preserve">1m </w:t>
                  </w:r>
                  <w:r>
                    <w:rPr>
                      <w:rStyle w:val="115"/>
                      <w:lang w:val="en-US" w:eastAsia="zh-CN" w:bidi="ar"/>
                    </w:rPr>
                    <w:t>处</w:t>
                  </w: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left"/>
                    <w:rPr>
                      <w:rFonts w:hint="default" w:ascii="Times New Roman" w:hAnsi="Times New Roman" w:eastAsia="宋体" w:cs="Times New Roman"/>
                      <w:i w:val="0"/>
                      <w:color w:val="000000"/>
                      <w:sz w:val="21"/>
                      <w:szCs w:val="21"/>
                      <w:u w:val="none"/>
                    </w:rPr>
                  </w:pP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昼间</w:t>
                  </w: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14:21-14:22</w:t>
                  </w:r>
                </w:p>
              </w:tc>
              <w:tc>
                <w:tcPr>
                  <w:tcW w:w="1428" w:type="pct"/>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56.7</w:t>
                  </w:r>
                </w:p>
              </w:tc>
            </w:tr>
            <w:tr>
              <w:tblPrEx>
                <w:tblCellMar>
                  <w:top w:w="0" w:type="dxa"/>
                  <w:left w:w="0" w:type="dxa"/>
                  <w:bottom w:w="0" w:type="dxa"/>
                  <w:right w:w="0" w:type="dxa"/>
                </w:tblCellMar>
              </w:tblPrEx>
              <w:trPr>
                <w:trHeight w:val="300" w:hRule="atLeast"/>
                <w:jc w:val="center"/>
              </w:trPr>
              <w:tc>
                <w:tcPr>
                  <w:tcW w:w="714"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left"/>
                    <w:rPr>
                      <w:rFonts w:hint="default" w:ascii="Times New Roman" w:hAnsi="Times New Roman" w:eastAsia="宋体" w:cs="Times New Roman"/>
                      <w:i w:val="0"/>
                      <w:color w:val="000000"/>
                      <w:sz w:val="21"/>
                      <w:szCs w:val="21"/>
                      <w:u w:val="none"/>
                    </w:rPr>
                  </w:pPr>
                </w:p>
              </w:tc>
              <w:tc>
                <w:tcPr>
                  <w:tcW w:w="714"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left"/>
                    <w:rPr>
                      <w:rFonts w:hint="default" w:ascii="Times New Roman" w:hAnsi="Times New Roman" w:eastAsia="宋体" w:cs="Times New Roman"/>
                      <w:i w:val="0"/>
                      <w:color w:val="000000"/>
                      <w:sz w:val="21"/>
                      <w:szCs w:val="21"/>
                      <w:u w:val="none"/>
                    </w:rPr>
                  </w:pP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夜间</w:t>
                  </w:r>
                </w:p>
              </w:tc>
              <w:tc>
                <w:tcPr>
                  <w:tcW w:w="71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22:56-22:57</w:t>
                  </w:r>
                </w:p>
              </w:tc>
              <w:tc>
                <w:tcPr>
                  <w:tcW w:w="1428" w:type="pct"/>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41.1</w:t>
                  </w:r>
                </w:p>
              </w:tc>
            </w:tr>
          </w:tbl>
          <w:p>
            <w:pPr>
              <w:rPr>
                <w:rFonts w:hint="default"/>
              </w:rPr>
            </w:pPr>
          </w:p>
          <w:p>
            <w:pPr>
              <w:adjustRightInd w:val="0"/>
              <w:snapToGrid w:val="0"/>
              <w:spacing w:line="360" w:lineRule="auto"/>
              <w:ind w:firstLine="480" w:firstLineChars="200"/>
              <w:rPr>
                <w:rFonts w:hint="eastAsia"/>
                <w:lang w:eastAsia="zh-CN"/>
              </w:rPr>
            </w:pPr>
            <w:r>
              <w:rPr>
                <w:rFonts w:hint="default" w:ascii="Times New Roman" w:hAnsi="Times New Roman" w:eastAsia="宋体" w:cs="Times New Roman"/>
                <w:color w:val="000000" w:themeColor="text1"/>
                <w:sz w:val="24"/>
                <w:szCs w:val="24"/>
                <w14:textFill>
                  <w14:solidFill>
                    <w14:schemeClr w14:val="tx1"/>
                  </w14:solidFill>
                </w14:textFill>
              </w:rPr>
              <w:t>据上表，项目所在地声环境可达《声环境质量标准》（GB3096-2008）3 类标准，声环境质量良好，满足其声环境功能要求。</w:t>
            </w:r>
          </w:p>
          <w:p>
            <w:pPr>
              <w:spacing w:line="360" w:lineRule="auto"/>
              <w:rPr>
                <w:rFonts w:ascii="Times New Roman" w:hAnsi="Times New Roman"/>
                <w:b/>
                <w:bCs/>
                <w:color w:val="000000"/>
                <w:sz w:val="24"/>
                <w:szCs w:val="24"/>
              </w:rPr>
            </w:pPr>
            <w:r>
              <w:rPr>
                <w:rFonts w:hint="eastAsia"/>
                <w:b/>
                <w:bCs/>
                <w:color w:val="000000"/>
                <w:sz w:val="24"/>
                <w:szCs w:val="24"/>
                <w:lang w:val="en-US" w:eastAsia="zh-CN"/>
              </w:rPr>
              <w:t>5</w:t>
            </w:r>
            <w:r>
              <w:rPr>
                <w:rFonts w:ascii="Times New Roman" w:hAnsi="Times New Roman"/>
                <w:b/>
                <w:bCs/>
                <w:color w:val="000000"/>
                <w:sz w:val="24"/>
                <w:szCs w:val="24"/>
              </w:rPr>
              <w:t>、生态环境</w:t>
            </w:r>
            <w:r>
              <w:rPr>
                <w:rFonts w:hint="eastAsia"/>
                <w:b/>
                <w:bCs/>
                <w:color w:val="000000"/>
                <w:sz w:val="24"/>
                <w:szCs w:val="24"/>
                <w:lang w:eastAsia="zh-CN"/>
              </w:rPr>
              <w:t>质量</w:t>
            </w:r>
            <w:r>
              <w:rPr>
                <w:rFonts w:ascii="Times New Roman" w:hAnsi="Times New Roman"/>
                <w:b/>
                <w:bCs/>
                <w:color w:val="000000"/>
                <w:sz w:val="24"/>
                <w:szCs w:val="24"/>
              </w:rPr>
              <w:t>现状</w:t>
            </w:r>
          </w:p>
          <w:p>
            <w:pPr>
              <w:spacing w:line="360" w:lineRule="auto"/>
              <w:ind w:firstLine="480" w:firstLineChars="200"/>
              <w:rPr>
                <w:rFonts w:hint="eastAsia" w:ascii="Times New Roman" w:hAnsi="Times New Roman"/>
                <w:color w:val="000000"/>
                <w:sz w:val="24"/>
                <w:szCs w:val="24"/>
                <w:lang w:eastAsia="zh-CN"/>
              </w:rPr>
            </w:pPr>
            <w:r>
              <w:rPr>
                <w:rFonts w:hint="default" w:ascii="Times New Roman" w:hAnsi="Times New Roman" w:cs="Times New Roman"/>
                <w:color w:val="auto"/>
                <w:sz w:val="24"/>
                <w:szCs w:val="24"/>
                <w:lang w:val="en-US" w:eastAsia="zh-CN"/>
              </w:rPr>
              <w:t>本项目</w:t>
            </w:r>
            <w:r>
              <w:rPr>
                <w:rFonts w:hint="eastAsia" w:ascii="Times New Roman" w:hAnsi="Times New Roman" w:cs="Times New Roman"/>
                <w:color w:val="auto"/>
                <w:sz w:val="24"/>
                <w:szCs w:val="24"/>
                <w:lang w:val="en-US" w:eastAsia="zh-CN"/>
              </w:rPr>
              <w:t>位于</w:t>
            </w:r>
            <w:r>
              <w:rPr>
                <w:rFonts w:hint="eastAsia"/>
                <w:color w:val="auto"/>
                <w:sz w:val="24"/>
                <w:szCs w:val="24"/>
                <w:lang w:val="en-US" w:eastAsia="zh-CN"/>
              </w:rPr>
              <w:t>富民县工业园哨箐片区</w:t>
            </w:r>
            <w:r>
              <w:rPr>
                <w:rFonts w:hint="eastAsia" w:ascii="Times New Roman" w:hAnsi="Times New Roman"/>
                <w:color w:val="000000"/>
                <w:sz w:val="24"/>
                <w:szCs w:val="24"/>
                <w:lang w:eastAsia="zh-CN"/>
              </w:rPr>
              <w:t>，</w:t>
            </w:r>
            <w:r>
              <w:rPr>
                <w:rFonts w:hint="eastAsia"/>
                <w:color w:val="auto"/>
                <w:sz w:val="24"/>
                <w:szCs w:val="24"/>
              </w:rPr>
              <w:t>根据现场调查，</w:t>
            </w:r>
            <w:r>
              <w:rPr>
                <w:rFonts w:hint="eastAsia"/>
                <w:color w:val="auto"/>
                <w:sz w:val="24"/>
                <w:szCs w:val="24"/>
                <w:lang w:eastAsia="zh-CN"/>
              </w:rPr>
              <w:t>项目区域内</w:t>
            </w:r>
            <w:r>
              <w:rPr>
                <w:rFonts w:hint="eastAsia"/>
                <w:color w:val="auto"/>
                <w:sz w:val="24"/>
                <w:szCs w:val="24"/>
              </w:rPr>
              <w:t>主要</w:t>
            </w:r>
            <w:r>
              <w:rPr>
                <w:rFonts w:hint="eastAsia"/>
                <w:color w:val="auto"/>
                <w:sz w:val="24"/>
                <w:szCs w:val="24"/>
                <w:lang w:eastAsia="zh-CN"/>
              </w:rPr>
              <w:t>植被类型为</w:t>
            </w:r>
            <w:r>
              <w:rPr>
                <w:rFonts w:hint="eastAsia"/>
                <w:color w:val="000000"/>
                <w:sz w:val="24"/>
                <w:szCs w:val="24"/>
                <w:lang w:eastAsia="zh-CN"/>
              </w:rPr>
              <w:t>城市绿化带</w:t>
            </w:r>
            <w:r>
              <w:rPr>
                <w:rFonts w:hint="eastAsia"/>
                <w:color w:val="auto"/>
                <w:sz w:val="24"/>
                <w:szCs w:val="24"/>
              </w:rPr>
              <w:t>，</w:t>
            </w:r>
            <w:r>
              <w:rPr>
                <w:rFonts w:ascii="New Times Romes" w:hAnsi="New Times Romes"/>
                <w:sz w:val="24"/>
                <w:szCs w:val="24"/>
              </w:rPr>
              <w:t>无原生植被、天然植被分布</w:t>
            </w:r>
            <w:r>
              <w:rPr>
                <w:rFonts w:hint="eastAsia" w:ascii="New Times Romes" w:hAnsi="New Times Romes"/>
                <w:sz w:val="24"/>
                <w:szCs w:val="24"/>
                <w:lang w:eastAsia="zh-CN"/>
              </w:rPr>
              <w:t>；</w:t>
            </w:r>
            <w:r>
              <w:rPr>
                <w:rFonts w:hint="eastAsia" w:ascii="宋体" w:hAnsi="宋体"/>
                <w:color w:val="000000"/>
                <w:sz w:val="24"/>
                <w:szCs w:val="24"/>
                <w:lang w:eastAsia="zh-CN"/>
              </w:rPr>
              <w:t>动物以适应人类活动的小型动物为主，</w:t>
            </w:r>
            <w:r>
              <w:rPr>
                <w:rFonts w:hint="eastAsia"/>
                <w:color w:val="auto"/>
                <w:sz w:val="24"/>
                <w:szCs w:val="24"/>
              </w:rPr>
              <w:t>项目区</w:t>
            </w:r>
            <w:r>
              <w:rPr>
                <w:rFonts w:hint="eastAsia"/>
                <w:color w:val="auto"/>
                <w:sz w:val="24"/>
                <w:szCs w:val="24"/>
                <w:lang w:eastAsia="zh-CN"/>
              </w:rPr>
              <w:t>域</w:t>
            </w:r>
            <w:r>
              <w:rPr>
                <w:rFonts w:hint="eastAsia"/>
                <w:color w:val="auto"/>
                <w:sz w:val="24"/>
                <w:szCs w:val="24"/>
              </w:rPr>
              <w:t>内不涉及国家级和省级重点保护物种、珍稀濒危物种，以及狭域分布物种；</w:t>
            </w:r>
            <w:r>
              <w:rPr>
                <w:rFonts w:hint="eastAsia"/>
                <w:color w:val="auto"/>
                <w:sz w:val="24"/>
                <w:szCs w:val="24"/>
                <w:lang w:eastAsia="zh-CN"/>
              </w:rPr>
              <w:t>区域</w:t>
            </w:r>
            <w:r>
              <w:rPr>
                <w:rFonts w:hint="eastAsia"/>
                <w:color w:val="auto"/>
                <w:sz w:val="24"/>
                <w:szCs w:val="24"/>
              </w:rPr>
              <w:t>内人为干扰较大，生物多样性单一，生态系统结构简单</w:t>
            </w:r>
            <w:r>
              <w:rPr>
                <w:rFonts w:hint="eastAsia"/>
                <w:color w:val="auto"/>
                <w:sz w:val="24"/>
                <w:szCs w:val="24"/>
                <w:lang w:eastAsia="zh-CN"/>
              </w:rPr>
              <w:t>。</w:t>
            </w:r>
            <w:r>
              <w:rPr>
                <w:rFonts w:ascii="Times New Roman" w:hAnsi="Times New Roman"/>
                <w:color w:val="000000"/>
                <w:sz w:val="24"/>
                <w:szCs w:val="24"/>
              </w:rPr>
              <w:t>从总体上来看，该项目所在区域生态环境一般</w:t>
            </w:r>
            <w:r>
              <w:rPr>
                <w:rFonts w:hint="eastAsia" w:ascii="Times New Roman" w:hAnsi="Times New Roman"/>
                <w:color w:val="000000"/>
                <w:sz w:val="24"/>
                <w:szCs w:val="24"/>
                <w:lang w:eastAsia="zh-CN"/>
              </w:rPr>
              <w:t>。</w:t>
            </w:r>
          </w:p>
          <w:p>
            <w:pPr>
              <w:pStyle w:val="18"/>
              <w:jc w:val="both"/>
              <w:rPr>
                <w:b/>
                <w:lang w:val="zh-CN"/>
              </w:rPr>
            </w:pPr>
            <w:r>
              <w:rPr>
                <w:rFonts w:hint="eastAsia"/>
                <w:b/>
                <w:lang w:val="zh-CN"/>
              </w:rPr>
              <w:t>6、土壤环境</w:t>
            </w:r>
          </w:p>
          <w:p>
            <w:pPr>
              <w:spacing w:line="360" w:lineRule="auto"/>
              <w:ind w:firstLine="480" w:firstLineChars="200"/>
            </w:pPr>
            <w:r>
              <w:rPr>
                <w:rFonts w:hint="default" w:ascii="Times New Roman" w:hAnsi="Times New Roman" w:cs="Times New Roman"/>
                <w:color w:val="auto"/>
                <w:sz w:val="24"/>
                <w:szCs w:val="24"/>
                <w:lang w:val="en-US" w:eastAsia="zh-CN"/>
              </w:rPr>
              <w:t>本项目为污染影响型项目</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val="en-US" w:eastAsia="zh-CN"/>
              </w:rPr>
              <w:t>《环境影响技术导则 土壤环境2018（试行）》表A.1中</w:t>
            </w:r>
            <w:r>
              <w:rPr>
                <w:rFonts w:hint="default" w:ascii="Times New Roman" w:hAnsi="Times New Roman" w:cs="Times New Roman"/>
                <w:color w:val="auto"/>
                <w:sz w:val="24"/>
                <w:szCs w:val="24"/>
                <w:lang w:val="en-US" w:eastAsia="zh-CN"/>
              </w:rPr>
              <w:fldChar w:fldCharType="begin"/>
            </w:r>
            <w:r>
              <w:rPr>
                <w:rFonts w:hint="default" w:ascii="Times New Roman" w:hAnsi="Times New Roman" w:cs="Times New Roman"/>
                <w:color w:val="auto"/>
                <w:sz w:val="24"/>
                <w:szCs w:val="24"/>
                <w:lang w:val="en-US" w:eastAsia="zh-CN"/>
              </w:rPr>
              <w:instrText xml:space="preserve"> = 3 \* ROMAN </w:instrText>
            </w:r>
            <w:r>
              <w:rPr>
                <w:rFonts w:hint="default" w:ascii="Times New Roman" w:hAnsi="Times New Roman" w:cs="Times New Roman"/>
                <w:color w:val="auto"/>
                <w:sz w:val="24"/>
                <w:szCs w:val="24"/>
                <w:lang w:val="en-US" w:eastAsia="zh-CN"/>
              </w:rPr>
              <w:fldChar w:fldCharType="separate"/>
            </w:r>
            <w:r>
              <w:rPr>
                <w:rFonts w:hint="default" w:ascii="Times New Roman" w:hAnsi="Times New Roman" w:cs="Times New Roman"/>
                <w:color w:val="auto"/>
                <w:sz w:val="24"/>
                <w:szCs w:val="24"/>
                <w:lang w:val="en-US" w:eastAsia="zh-CN"/>
              </w:rPr>
              <w:t>III</w:t>
            </w:r>
            <w:r>
              <w:rPr>
                <w:rFonts w:hint="default" w:ascii="Times New Roman" w:hAnsi="Times New Roman" w:cs="Times New Roman"/>
                <w:color w:val="auto"/>
                <w:sz w:val="24"/>
                <w:szCs w:val="24"/>
                <w:lang w:val="en-US" w:eastAsia="zh-CN"/>
              </w:rPr>
              <w:fldChar w:fldCharType="end"/>
            </w:r>
            <w:r>
              <w:rPr>
                <w:rFonts w:hint="default" w:ascii="Times New Roman" w:hAnsi="Times New Roman" w:cs="Times New Roman"/>
                <w:color w:val="auto"/>
                <w:sz w:val="24"/>
                <w:szCs w:val="24"/>
                <w:lang w:val="en-US" w:eastAsia="zh-CN"/>
              </w:rPr>
              <w:t>类项目</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val="en-US" w:eastAsia="zh-CN"/>
              </w:rPr>
              <w:t>占地规模为小型</w:t>
            </w:r>
            <w:r>
              <w:rPr>
                <w:rFonts w:hint="eastAsia" w:ascii="Times New Roman" w:hAnsi="Times New Roman" w:cs="Times New Roman"/>
                <w:color w:val="auto"/>
                <w:sz w:val="24"/>
                <w:szCs w:val="24"/>
                <w:lang w:val="en-US" w:eastAsia="zh-CN"/>
              </w:rPr>
              <w:t>，土壤环境敏感程度为不敏感，根据导则评价等级划分情况，本项目可不开展土壤环境评价。</w:t>
            </w:r>
          </w:p>
          <w:p>
            <w:pPr>
              <w:spacing w:line="360" w:lineRule="auto"/>
              <w:rPr>
                <w:rFonts w:ascii="Times New Roman" w:hAnsi="Times New Roman"/>
                <w:b/>
                <w:bCs/>
                <w:color w:val="000000"/>
                <w:sz w:val="24"/>
                <w:szCs w:val="24"/>
              </w:rPr>
            </w:pPr>
            <w:r>
              <w:rPr>
                <w:rFonts w:hint="eastAsia"/>
                <w:b/>
                <w:bCs/>
                <w:color w:val="000000"/>
                <w:sz w:val="24"/>
                <w:szCs w:val="24"/>
                <w:lang w:val="en-US" w:eastAsia="zh-CN"/>
              </w:rPr>
              <w:t>7</w:t>
            </w:r>
            <w:r>
              <w:rPr>
                <w:rFonts w:ascii="Times New Roman" w:hAnsi="Times New Roman"/>
                <w:b/>
                <w:bCs/>
                <w:color w:val="000000"/>
                <w:sz w:val="24"/>
                <w:szCs w:val="24"/>
              </w:rPr>
              <w:t>、</w:t>
            </w:r>
            <w:r>
              <w:rPr>
                <w:rFonts w:hint="eastAsia"/>
                <w:b/>
                <w:bCs/>
                <w:color w:val="000000"/>
                <w:sz w:val="24"/>
                <w:szCs w:val="24"/>
                <w:lang w:eastAsia="zh-CN"/>
              </w:rPr>
              <w:t>主要</w:t>
            </w:r>
            <w:r>
              <w:rPr>
                <w:rFonts w:ascii="Times New Roman" w:hAnsi="Times New Roman"/>
                <w:b/>
                <w:bCs/>
                <w:color w:val="000000"/>
                <w:sz w:val="24"/>
                <w:szCs w:val="24"/>
              </w:rPr>
              <w:t>环境保护目标</w:t>
            </w:r>
            <w:r>
              <w:rPr>
                <w:rFonts w:hint="eastAsia" w:asciiTheme="minorEastAsia" w:hAnsiTheme="minorEastAsia" w:eastAsiaTheme="minorEastAsia" w:cstheme="minorEastAsia"/>
                <w:b/>
                <w:bCs/>
                <w:color w:val="000000"/>
                <w:sz w:val="24"/>
                <w:szCs w:val="24"/>
              </w:rPr>
              <w:t>(列出名单及保护级别)</w:t>
            </w:r>
            <w:r>
              <w:rPr>
                <w:rFonts w:ascii="Times New Roman" w:hAnsi="Times New Roman"/>
                <w:b/>
                <w:bCs/>
                <w:color w:val="000000"/>
                <w:sz w:val="24"/>
                <w:szCs w:val="24"/>
              </w:rPr>
              <w:t xml:space="preserve">：  </w:t>
            </w:r>
          </w:p>
          <w:p>
            <w:pPr>
              <w:spacing w:line="360" w:lineRule="auto"/>
              <w:rPr>
                <w:rFonts w:ascii="Times New Roman" w:hAnsi="Times New Roman"/>
                <w:b/>
                <w:bCs/>
                <w:color w:val="000000"/>
              </w:rPr>
            </w:pPr>
            <w:r>
              <w:rPr>
                <w:rFonts w:ascii="Times New Roman" w:hAnsi="Times New Roman"/>
                <w:color w:val="000000"/>
                <w:sz w:val="24"/>
                <w:szCs w:val="24"/>
              </w:rPr>
              <w:t xml:space="preserve">   根据现场踏勘，</w:t>
            </w:r>
            <w:r>
              <w:rPr>
                <w:rFonts w:hint="eastAsia"/>
                <w:color w:val="000000"/>
                <w:sz w:val="24"/>
                <w:szCs w:val="24"/>
                <w:lang w:eastAsia="zh-CN"/>
              </w:rPr>
              <w:t>并</w:t>
            </w:r>
            <w:r>
              <w:rPr>
                <w:rFonts w:ascii="Times New Roman" w:hAnsi="Times New Roman"/>
                <w:color w:val="000000"/>
                <w:sz w:val="24"/>
                <w:szCs w:val="24"/>
              </w:rPr>
              <w:t>结合</w:t>
            </w:r>
            <w:r>
              <w:rPr>
                <w:rFonts w:hint="eastAsia"/>
                <w:color w:val="000000"/>
                <w:sz w:val="24"/>
                <w:szCs w:val="24"/>
                <w:lang w:eastAsia="zh-CN"/>
              </w:rPr>
              <w:t>本</w:t>
            </w:r>
            <w:r>
              <w:rPr>
                <w:rFonts w:ascii="Times New Roman" w:hAnsi="Times New Roman"/>
                <w:color w:val="000000"/>
                <w:sz w:val="24"/>
                <w:szCs w:val="24"/>
              </w:rPr>
              <w:t>项目</w:t>
            </w:r>
            <w:r>
              <w:rPr>
                <w:rFonts w:hint="eastAsia" w:ascii="Times New Roman" w:hAnsi="Times New Roman"/>
                <w:color w:val="000000"/>
                <w:sz w:val="24"/>
                <w:szCs w:val="24"/>
                <w:lang w:eastAsia="zh-CN"/>
              </w:rPr>
              <w:t>特点</w:t>
            </w:r>
            <w:r>
              <w:rPr>
                <w:rFonts w:ascii="Times New Roman" w:hAnsi="Times New Roman"/>
                <w:color w:val="000000"/>
                <w:sz w:val="24"/>
                <w:szCs w:val="24"/>
              </w:rPr>
              <w:t>确定本项目涉及的</w:t>
            </w:r>
            <w:r>
              <w:rPr>
                <w:rFonts w:hint="eastAsia" w:ascii="Times New Roman" w:hAnsi="Times New Roman"/>
                <w:color w:val="000000"/>
                <w:sz w:val="24"/>
                <w:szCs w:val="24"/>
                <w:lang w:eastAsia="zh-CN"/>
              </w:rPr>
              <w:t>环境</w:t>
            </w:r>
            <w:r>
              <w:rPr>
                <w:rFonts w:ascii="Times New Roman" w:hAnsi="Times New Roman"/>
                <w:color w:val="000000"/>
                <w:sz w:val="24"/>
                <w:szCs w:val="24"/>
              </w:rPr>
              <w:t>保护目标。环境保护目标详见表3-</w:t>
            </w:r>
            <w:r>
              <w:rPr>
                <w:rFonts w:hint="eastAsia"/>
                <w:color w:val="000000"/>
                <w:sz w:val="24"/>
                <w:szCs w:val="24"/>
                <w:lang w:val="en-US" w:eastAsia="zh-CN"/>
              </w:rPr>
              <w:t>4</w:t>
            </w:r>
            <w:r>
              <w:rPr>
                <w:rFonts w:ascii="Times New Roman" w:hAnsi="Times New Roman"/>
                <w:color w:val="000000"/>
                <w:sz w:val="24"/>
                <w:szCs w:val="24"/>
              </w:rPr>
              <w:t>。</w:t>
            </w:r>
          </w:p>
          <w:p>
            <w:pPr>
              <w:spacing w:line="240" w:lineRule="auto"/>
              <w:jc w:val="center"/>
            </w:pPr>
            <w:r>
              <w:rPr>
                <w:rFonts w:ascii="Times New Roman" w:hAnsi="Times New Roman"/>
                <w:b/>
                <w:bCs/>
                <w:color w:val="000000"/>
              </w:rPr>
              <w:t>表3-</w:t>
            </w:r>
            <w:r>
              <w:rPr>
                <w:rFonts w:hint="eastAsia"/>
                <w:b/>
                <w:bCs/>
                <w:color w:val="000000"/>
                <w:lang w:val="en-US" w:eastAsia="zh-CN"/>
              </w:rPr>
              <w:t>4</w:t>
            </w:r>
            <w:r>
              <w:rPr>
                <w:rFonts w:ascii="Times New Roman" w:hAnsi="Times New Roman"/>
                <w:b/>
                <w:bCs/>
                <w:color w:val="000000"/>
              </w:rPr>
              <w:t xml:space="preserve"> 环境保护目标一览表</w:t>
            </w:r>
          </w:p>
          <w:tbl>
            <w:tblPr>
              <w:tblStyle w:val="37"/>
              <w:tblW w:w="4987" w:type="pct"/>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437"/>
              <w:gridCol w:w="704"/>
              <w:gridCol w:w="871"/>
              <w:gridCol w:w="869"/>
              <w:gridCol w:w="1512"/>
              <w:gridCol w:w="1317"/>
              <w:gridCol w:w="1155"/>
              <w:gridCol w:w="1222"/>
            </w:tblGrid>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752" w:hRule="atLeast"/>
                <w:jc w:val="center"/>
              </w:trPr>
              <w:tc>
                <w:tcPr>
                  <w:tcW w:w="270" w:type="pct"/>
                  <w:vMerge w:val="restart"/>
                  <w:tcBorders>
                    <w:top w:val="single" w:color="auto" w:sz="2" w:space="0"/>
                  </w:tcBorders>
                  <w:vAlign w:val="center"/>
                </w:tcPr>
                <w:p>
                  <w:pPr>
                    <w:pStyle w:val="53"/>
                    <w:adjustRightInd/>
                    <w:snapToGrid/>
                    <w:spacing w:line="240" w:lineRule="auto"/>
                    <w:rPr>
                      <w:b w:val="0"/>
                      <w:bCs w:val="0"/>
                      <w:color w:val="auto"/>
                      <w:sz w:val="21"/>
                      <w:szCs w:val="21"/>
                    </w:rPr>
                  </w:pPr>
                  <w:r>
                    <w:rPr>
                      <w:rFonts w:hint="eastAsia"/>
                      <w:b w:val="0"/>
                      <w:bCs w:val="0"/>
                      <w:color w:val="auto"/>
                      <w:sz w:val="21"/>
                      <w:szCs w:val="21"/>
                    </w:rPr>
                    <w:t>环境要素</w:t>
                  </w:r>
                </w:p>
              </w:tc>
              <w:tc>
                <w:tcPr>
                  <w:tcW w:w="973" w:type="pct"/>
                  <w:gridSpan w:val="2"/>
                  <w:vMerge w:val="restart"/>
                  <w:tcBorders>
                    <w:top w:val="single" w:color="auto" w:sz="2" w:space="0"/>
                  </w:tcBorders>
                  <w:vAlign w:val="center"/>
                </w:tcPr>
                <w:p>
                  <w:pPr>
                    <w:pStyle w:val="53"/>
                    <w:adjustRightInd/>
                    <w:snapToGrid/>
                    <w:spacing w:line="240" w:lineRule="auto"/>
                    <w:rPr>
                      <w:b w:val="0"/>
                      <w:bCs w:val="0"/>
                      <w:color w:val="auto"/>
                      <w:sz w:val="21"/>
                      <w:szCs w:val="21"/>
                    </w:rPr>
                  </w:pPr>
                  <w:r>
                    <w:rPr>
                      <w:b w:val="0"/>
                      <w:bCs w:val="0"/>
                      <w:color w:val="auto"/>
                      <w:sz w:val="21"/>
                      <w:szCs w:val="21"/>
                    </w:rPr>
                    <w:t>保护目标</w:t>
                  </w:r>
                </w:p>
              </w:tc>
              <w:tc>
                <w:tcPr>
                  <w:tcW w:w="537" w:type="pct"/>
                  <w:vMerge w:val="restart"/>
                  <w:tcBorders>
                    <w:top w:val="single" w:color="auto" w:sz="2" w:space="0"/>
                  </w:tcBorders>
                  <w:vAlign w:val="center"/>
                </w:tcPr>
                <w:p>
                  <w:pPr>
                    <w:pStyle w:val="53"/>
                    <w:adjustRightInd/>
                    <w:snapToGrid/>
                    <w:spacing w:line="240" w:lineRule="auto"/>
                    <w:rPr>
                      <w:b w:val="0"/>
                      <w:bCs w:val="0"/>
                      <w:color w:val="auto"/>
                      <w:sz w:val="21"/>
                      <w:szCs w:val="21"/>
                    </w:rPr>
                  </w:pPr>
                  <w:r>
                    <w:rPr>
                      <w:b w:val="0"/>
                      <w:bCs w:val="0"/>
                      <w:color w:val="auto"/>
                      <w:sz w:val="21"/>
                      <w:szCs w:val="21"/>
                    </w:rPr>
                    <w:t>方向</w:t>
                  </w:r>
                </w:p>
              </w:tc>
              <w:tc>
                <w:tcPr>
                  <w:tcW w:w="934" w:type="pct"/>
                  <w:vMerge w:val="restart"/>
                  <w:tcBorders>
                    <w:top w:val="single" w:color="auto" w:sz="2" w:space="0"/>
                  </w:tcBorders>
                  <w:vAlign w:val="center"/>
                </w:tcPr>
                <w:p>
                  <w:pPr>
                    <w:pStyle w:val="53"/>
                    <w:adjustRightInd/>
                    <w:snapToGrid/>
                    <w:spacing w:line="240" w:lineRule="auto"/>
                    <w:rPr>
                      <w:b w:val="0"/>
                      <w:bCs w:val="0"/>
                      <w:color w:val="auto"/>
                      <w:sz w:val="21"/>
                      <w:szCs w:val="21"/>
                    </w:rPr>
                  </w:pPr>
                  <w:r>
                    <w:rPr>
                      <w:b w:val="0"/>
                      <w:bCs w:val="0"/>
                      <w:color w:val="auto"/>
                      <w:sz w:val="21"/>
                      <w:szCs w:val="21"/>
                    </w:rPr>
                    <w:t>距离（m）</w:t>
                  </w:r>
                </w:p>
              </w:tc>
              <w:tc>
                <w:tcPr>
                  <w:tcW w:w="1528" w:type="pct"/>
                  <w:gridSpan w:val="2"/>
                  <w:tcBorders>
                    <w:top w:val="single" w:color="auto" w:sz="2" w:space="0"/>
                    <w:bottom w:val="single" w:color="auto" w:sz="4" w:space="0"/>
                  </w:tcBorders>
                  <w:vAlign w:val="center"/>
                </w:tcPr>
                <w:p>
                  <w:pPr>
                    <w:pStyle w:val="53"/>
                    <w:adjustRightInd/>
                    <w:snapToGrid/>
                    <w:spacing w:line="240" w:lineRule="auto"/>
                    <w:rPr>
                      <w:b w:val="0"/>
                      <w:bCs w:val="0"/>
                      <w:color w:val="auto"/>
                      <w:sz w:val="21"/>
                      <w:szCs w:val="21"/>
                    </w:rPr>
                  </w:pPr>
                  <w:r>
                    <w:rPr>
                      <w:rFonts w:hint="eastAsia"/>
                      <w:b w:val="0"/>
                      <w:bCs w:val="0"/>
                      <w:color w:val="auto"/>
                      <w:sz w:val="21"/>
                      <w:szCs w:val="21"/>
                    </w:rPr>
                    <w:t>坐标</w:t>
                  </w:r>
                </w:p>
              </w:tc>
              <w:tc>
                <w:tcPr>
                  <w:tcW w:w="755" w:type="pct"/>
                  <w:vMerge w:val="restart"/>
                  <w:tcBorders>
                    <w:top w:val="single" w:color="auto" w:sz="2" w:space="0"/>
                    <w:left w:val="single" w:color="auto" w:sz="4" w:space="0"/>
                  </w:tcBorders>
                  <w:vAlign w:val="center"/>
                </w:tcPr>
                <w:p>
                  <w:pPr>
                    <w:pStyle w:val="53"/>
                    <w:adjustRightInd/>
                    <w:snapToGrid/>
                    <w:spacing w:line="240" w:lineRule="auto"/>
                    <w:rPr>
                      <w:b w:val="0"/>
                      <w:bCs w:val="0"/>
                      <w:color w:val="auto"/>
                      <w:sz w:val="21"/>
                      <w:szCs w:val="21"/>
                    </w:rPr>
                  </w:pPr>
                  <w:r>
                    <w:rPr>
                      <w:b w:val="0"/>
                      <w:bCs w:val="0"/>
                      <w:color w:val="auto"/>
                      <w:sz w:val="21"/>
                      <w:szCs w:val="21"/>
                    </w:rPr>
                    <w:t>保护级别</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51" w:hRule="atLeast"/>
                <w:jc w:val="center"/>
              </w:trPr>
              <w:tc>
                <w:tcPr>
                  <w:tcW w:w="270" w:type="pct"/>
                  <w:vMerge w:val="continue"/>
                  <w:vAlign w:val="center"/>
                </w:tcPr>
                <w:p>
                  <w:pPr>
                    <w:pStyle w:val="53"/>
                    <w:adjustRightInd/>
                    <w:snapToGrid/>
                    <w:spacing w:line="240" w:lineRule="auto"/>
                    <w:rPr>
                      <w:b w:val="0"/>
                      <w:bCs w:val="0"/>
                      <w:color w:val="auto"/>
                      <w:sz w:val="21"/>
                      <w:szCs w:val="21"/>
                    </w:rPr>
                  </w:pPr>
                </w:p>
              </w:tc>
              <w:tc>
                <w:tcPr>
                  <w:tcW w:w="973" w:type="pct"/>
                  <w:gridSpan w:val="2"/>
                  <w:vMerge w:val="continue"/>
                  <w:vAlign w:val="center"/>
                </w:tcPr>
                <w:p>
                  <w:pPr>
                    <w:pStyle w:val="53"/>
                    <w:adjustRightInd/>
                    <w:snapToGrid/>
                    <w:spacing w:line="240" w:lineRule="auto"/>
                    <w:rPr>
                      <w:b w:val="0"/>
                      <w:bCs w:val="0"/>
                      <w:color w:val="auto"/>
                      <w:sz w:val="21"/>
                      <w:szCs w:val="21"/>
                    </w:rPr>
                  </w:pPr>
                </w:p>
              </w:tc>
              <w:tc>
                <w:tcPr>
                  <w:tcW w:w="537" w:type="pct"/>
                  <w:vMerge w:val="continue"/>
                  <w:vAlign w:val="center"/>
                </w:tcPr>
                <w:p>
                  <w:pPr>
                    <w:pStyle w:val="53"/>
                    <w:adjustRightInd/>
                    <w:snapToGrid/>
                    <w:spacing w:line="240" w:lineRule="auto"/>
                    <w:rPr>
                      <w:b w:val="0"/>
                      <w:bCs w:val="0"/>
                      <w:color w:val="auto"/>
                      <w:sz w:val="21"/>
                      <w:szCs w:val="21"/>
                    </w:rPr>
                  </w:pPr>
                </w:p>
              </w:tc>
              <w:tc>
                <w:tcPr>
                  <w:tcW w:w="934" w:type="pct"/>
                  <w:vMerge w:val="continue"/>
                  <w:tcBorders>
                    <w:bottom w:val="single" w:color="auto" w:sz="4" w:space="0"/>
                  </w:tcBorders>
                  <w:vAlign w:val="center"/>
                </w:tcPr>
                <w:p>
                  <w:pPr>
                    <w:pStyle w:val="53"/>
                    <w:adjustRightInd/>
                    <w:snapToGrid/>
                    <w:spacing w:line="240" w:lineRule="auto"/>
                    <w:rPr>
                      <w:b w:val="0"/>
                      <w:bCs w:val="0"/>
                      <w:color w:val="auto"/>
                      <w:sz w:val="21"/>
                      <w:szCs w:val="21"/>
                    </w:rPr>
                  </w:pPr>
                </w:p>
              </w:tc>
              <w:tc>
                <w:tcPr>
                  <w:tcW w:w="814" w:type="pct"/>
                  <w:tcBorders>
                    <w:top w:val="single" w:color="auto" w:sz="2" w:space="0"/>
                    <w:bottom w:val="single" w:color="auto" w:sz="4" w:space="0"/>
                  </w:tcBorders>
                  <w:vAlign w:val="center"/>
                </w:tcPr>
                <w:p>
                  <w:pPr>
                    <w:pStyle w:val="53"/>
                    <w:adjustRightInd/>
                    <w:snapToGrid/>
                    <w:spacing w:line="240" w:lineRule="auto"/>
                    <w:rPr>
                      <w:b w:val="0"/>
                      <w:bCs w:val="0"/>
                      <w:color w:val="auto"/>
                      <w:sz w:val="21"/>
                      <w:szCs w:val="21"/>
                    </w:rPr>
                  </w:pPr>
                  <w:r>
                    <w:rPr>
                      <w:rFonts w:hint="eastAsia"/>
                      <w:b w:val="0"/>
                      <w:bCs w:val="0"/>
                      <w:color w:val="auto"/>
                      <w:sz w:val="21"/>
                      <w:szCs w:val="21"/>
                    </w:rPr>
                    <w:t>X</w:t>
                  </w:r>
                </w:p>
              </w:tc>
              <w:tc>
                <w:tcPr>
                  <w:tcW w:w="714" w:type="pct"/>
                  <w:tcBorders>
                    <w:top w:val="single" w:color="auto" w:sz="2" w:space="0"/>
                    <w:bottom w:val="single" w:color="auto" w:sz="4" w:space="0"/>
                  </w:tcBorders>
                  <w:vAlign w:val="center"/>
                </w:tcPr>
                <w:p>
                  <w:pPr>
                    <w:pStyle w:val="53"/>
                    <w:adjustRightInd/>
                    <w:snapToGrid/>
                    <w:spacing w:line="240" w:lineRule="auto"/>
                    <w:rPr>
                      <w:b w:val="0"/>
                      <w:bCs w:val="0"/>
                      <w:color w:val="auto"/>
                      <w:sz w:val="21"/>
                      <w:szCs w:val="21"/>
                    </w:rPr>
                  </w:pPr>
                  <w:r>
                    <w:rPr>
                      <w:rFonts w:hint="eastAsia"/>
                      <w:b w:val="0"/>
                      <w:bCs w:val="0"/>
                      <w:color w:val="auto"/>
                      <w:sz w:val="21"/>
                      <w:szCs w:val="21"/>
                    </w:rPr>
                    <w:t>Y</w:t>
                  </w:r>
                </w:p>
              </w:tc>
              <w:tc>
                <w:tcPr>
                  <w:tcW w:w="755" w:type="pct"/>
                  <w:vMerge w:val="continue"/>
                  <w:tcBorders>
                    <w:left w:val="single" w:color="auto" w:sz="4" w:space="0"/>
                  </w:tcBorders>
                  <w:vAlign w:val="center"/>
                </w:tcPr>
                <w:p>
                  <w:pPr>
                    <w:pStyle w:val="53"/>
                    <w:adjustRightInd/>
                    <w:snapToGrid/>
                    <w:spacing w:line="240" w:lineRule="auto"/>
                    <w:rPr>
                      <w:b w:val="0"/>
                      <w:bCs w:val="0"/>
                      <w:color w:val="auto"/>
                      <w:sz w:val="21"/>
                      <w:szCs w:val="21"/>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579" w:hRule="atLeast"/>
                <w:jc w:val="center"/>
              </w:trPr>
              <w:tc>
                <w:tcPr>
                  <w:tcW w:w="270" w:type="pct"/>
                  <w:vMerge w:val="restart"/>
                  <w:vAlign w:val="center"/>
                </w:tcPr>
                <w:p>
                  <w:pPr>
                    <w:pStyle w:val="53"/>
                    <w:adjustRightInd/>
                    <w:snapToGrid/>
                    <w:spacing w:line="240" w:lineRule="auto"/>
                    <w:rPr>
                      <w:b w:val="0"/>
                      <w:bCs w:val="0"/>
                      <w:color w:val="auto"/>
                      <w:sz w:val="21"/>
                      <w:szCs w:val="21"/>
                    </w:rPr>
                  </w:pPr>
                  <w:r>
                    <w:rPr>
                      <w:b w:val="0"/>
                      <w:bCs w:val="0"/>
                      <w:color w:val="auto"/>
                      <w:sz w:val="21"/>
                      <w:szCs w:val="21"/>
                    </w:rPr>
                    <w:t>大气环境</w:t>
                  </w:r>
                </w:p>
              </w:tc>
              <w:tc>
                <w:tcPr>
                  <w:tcW w:w="435" w:type="pct"/>
                  <w:vAlign w:val="center"/>
                </w:tcPr>
                <w:p>
                  <w:pPr>
                    <w:pStyle w:val="53"/>
                    <w:adjustRightInd/>
                    <w:snapToGrid/>
                    <w:spacing w:line="240" w:lineRule="auto"/>
                    <w:ind w:firstLine="0" w:firstLineChars="0"/>
                    <w:rPr>
                      <w:rFonts w:hint="default"/>
                      <w:b w:val="0"/>
                      <w:bCs w:val="0"/>
                      <w:sz w:val="21"/>
                      <w:szCs w:val="21"/>
                      <w:lang w:val="en-US" w:eastAsia="zh-CN"/>
                    </w:rPr>
                  </w:pPr>
                  <w:r>
                    <w:rPr>
                      <w:rFonts w:hint="eastAsia"/>
                      <w:b w:val="0"/>
                      <w:bCs w:val="0"/>
                      <w:sz w:val="21"/>
                      <w:szCs w:val="21"/>
                      <w:lang w:eastAsia="zh-CN"/>
                    </w:rPr>
                    <w:t>哨箐散户</w:t>
                  </w:r>
                </w:p>
              </w:tc>
              <w:tc>
                <w:tcPr>
                  <w:tcW w:w="538" w:type="pct"/>
                  <w:vAlign w:val="center"/>
                </w:tcPr>
                <w:p>
                  <w:pPr>
                    <w:pStyle w:val="53"/>
                    <w:adjustRightInd/>
                    <w:snapToGrid/>
                    <w:spacing w:line="240" w:lineRule="auto"/>
                    <w:ind w:firstLine="0" w:firstLineChars="0"/>
                    <w:jc w:val="both"/>
                    <w:rPr>
                      <w:rFonts w:hint="default" w:eastAsia="宋体"/>
                      <w:b w:val="0"/>
                      <w:bCs w:val="0"/>
                      <w:color w:val="auto"/>
                      <w:sz w:val="21"/>
                      <w:szCs w:val="21"/>
                      <w:lang w:val="en-US" w:eastAsia="zh-CN"/>
                    </w:rPr>
                  </w:pPr>
                  <w:r>
                    <w:rPr>
                      <w:rFonts w:hint="eastAsia"/>
                      <w:b w:val="0"/>
                      <w:bCs w:val="0"/>
                      <w:color w:val="auto"/>
                      <w:sz w:val="21"/>
                      <w:szCs w:val="21"/>
                      <w:lang w:val="en-US" w:eastAsia="zh-CN"/>
                    </w:rPr>
                    <w:t>约80人</w:t>
                  </w:r>
                </w:p>
              </w:tc>
              <w:tc>
                <w:tcPr>
                  <w:tcW w:w="537" w:type="pct"/>
                  <w:vAlign w:val="center"/>
                </w:tcPr>
                <w:p>
                  <w:pPr>
                    <w:pStyle w:val="53"/>
                    <w:adjustRightInd/>
                    <w:snapToGrid/>
                    <w:spacing w:line="240" w:lineRule="auto"/>
                    <w:ind w:firstLine="0" w:firstLineChars="0"/>
                    <w:rPr>
                      <w:rFonts w:hint="eastAsia" w:eastAsia="宋体"/>
                      <w:b w:val="0"/>
                      <w:bCs w:val="0"/>
                      <w:color w:val="auto"/>
                      <w:sz w:val="21"/>
                      <w:szCs w:val="21"/>
                      <w:lang w:eastAsia="zh-CN"/>
                    </w:rPr>
                  </w:pPr>
                  <w:r>
                    <w:rPr>
                      <w:rFonts w:hint="eastAsia"/>
                      <w:b w:val="0"/>
                      <w:bCs w:val="0"/>
                      <w:color w:val="auto"/>
                      <w:sz w:val="21"/>
                      <w:szCs w:val="21"/>
                      <w:lang w:eastAsia="zh-CN"/>
                    </w:rPr>
                    <w:t>厂区东北面</w:t>
                  </w:r>
                </w:p>
              </w:tc>
              <w:tc>
                <w:tcPr>
                  <w:tcW w:w="934" w:type="pct"/>
                  <w:vAlign w:val="center"/>
                </w:tcPr>
                <w:p>
                  <w:pPr>
                    <w:pStyle w:val="53"/>
                    <w:adjustRightInd/>
                    <w:snapToGrid/>
                    <w:spacing w:line="240" w:lineRule="auto"/>
                    <w:ind w:firstLine="0" w:firstLineChars="0"/>
                    <w:rPr>
                      <w:b w:val="0"/>
                      <w:bCs w:val="0"/>
                      <w:color w:val="auto"/>
                      <w:sz w:val="21"/>
                      <w:szCs w:val="21"/>
                    </w:rPr>
                  </w:pPr>
                  <w:r>
                    <w:rPr>
                      <w:b w:val="0"/>
                      <w:bCs w:val="0"/>
                      <w:color w:val="auto"/>
                      <w:sz w:val="21"/>
                      <w:szCs w:val="21"/>
                    </w:rPr>
                    <w:t>与</w:t>
                  </w:r>
                  <w:r>
                    <w:rPr>
                      <w:rFonts w:hint="eastAsia"/>
                      <w:b w:val="0"/>
                      <w:bCs w:val="0"/>
                      <w:color w:val="auto"/>
                      <w:sz w:val="21"/>
                      <w:szCs w:val="21"/>
                    </w:rPr>
                    <w:t>厂区</w:t>
                  </w:r>
                  <w:r>
                    <w:rPr>
                      <w:b w:val="0"/>
                      <w:bCs w:val="0"/>
                      <w:color w:val="auto"/>
                      <w:sz w:val="21"/>
                      <w:szCs w:val="21"/>
                    </w:rPr>
                    <w:t>距离</w:t>
                  </w:r>
                  <w:r>
                    <w:rPr>
                      <w:rFonts w:hint="eastAsia"/>
                      <w:b w:val="0"/>
                      <w:bCs w:val="0"/>
                      <w:color w:val="auto"/>
                      <w:sz w:val="21"/>
                      <w:szCs w:val="21"/>
                      <w:lang w:val="en-US" w:eastAsia="zh-CN"/>
                    </w:rPr>
                    <w:t>200</w:t>
                  </w:r>
                  <w:r>
                    <w:rPr>
                      <w:b w:val="0"/>
                      <w:bCs w:val="0"/>
                      <w:color w:val="auto"/>
                      <w:sz w:val="21"/>
                      <w:szCs w:val="21"/>
                    </w:rPr>
                    <w:t>m</w:t>
                  </w:r>
                </w:p>
              </w:tc>
              <w:tc>
                <w:tcPr>
                  <w:tcW w:w="814" w:type="pct"/>
                  <w:tcBorders>
                    <w:right w:val="single" w:color="auto" w:sz="4" w:space="0"/>
                  </w:tcBorders>
                  <w:vAlign w:val="center"/>
                </w:tcPr>
                <w:p>
                  <w:pPr>
                    <w:pStyle w:val="53"/>
                    <w:adjustRightInd/>
                    <w:snapToGrid/>
                    <w:spacing w:line="240" w:lineRule="auto"/>
                    <w:ind w:firstLine="0" w:firstLineChars="0"/>
                    <w:rPr>
                      <w:rFonts w:hint="default"/>
                      <w:b w:val="0"/>
                      <w:bCs w:val="0"/>
                      <w:color w:val="auto"/>
                      <w:sz w:val="21"/>
                      <w:szCs w:val="21"/>
                      <w:lang w:val="en-US" w:eastAsia="zh-CN"/>
                    </w:rPr>
                  </w:pPr>
                  <w:r>
                    <w:rPr>
                      <w:rFonts w:hint="eastAsia"/>
                      <w:b w:val="0"/>
                      <w:bCs w:val="0"/>
                      <w:color w:val="auto"/>
                      <w:sz w:val="21"/>
                      <w:szCs w:val="21"/>
                      <w:lang w:val="en-US" w:eastAsia="zh-CN"/>
                    </w:rPr>
                    <w:t>102.275947</w:t>
                  </w:r>
                </w:p>
              </w:tc>
              <w:tc>
                <w:tcPr>
                  <w:tcW w:w="714" w:type="pct"/>
                  <w:tcBorders>
                    <w:left w:val="single" w:color="auto" w:sz="4" w:space="0"/>
                  </w:tcBorders>
                  <w:vAlign w:val="center"/>
                </w:tcPr>
                <w:p>
                  <w:pPr>
                    <w:pStyle w:val="53"/>
                    <w:adjustRightInd/>
                    <w:snapToGrid/>
                    <w:spacing w:line="240" w:lineRule="auto"/>
                    <w:ind w:firstLine="0" w:firstLineChars="0"/>
                    <w:rPr>
                      <w:rFonts w:hint="default"/>
                      <w:b w:val="0"/>
                      <w:bCs w:val="0"/>
                      <w:color w:val="auto"/>
                      <w:sz w:val="21"/>
                      <w:szCs w:val="21"/>
                      <w:lang w:val="en-US" w:eastAsia="zh-CN"/>
                    </w:rPr>
                  </w:pPr>
                  <w:r>
                    <w:rPr>
                      <w:rFonts w:hint="eastAsia"/>
                      <w:b w:val="0"/>
                      <w:bCs w:val="0"/>
                      <w:color w:val="auto"/>
                      <w:sz w:val="21"/>
                      <w:szCs w:val="21"/>
                      <w:lang w:val="en-US" w:eastAsia="zh-CN"/>
                    </w:rPr>
                    <w:t>25.155829</w:t>
                  </w:r>
                </w:p>
              </w:tc>
              <w:tc>
                <w:tcPr>
                  <w:tcW w:w="755" w:type="pct"/>
                  <w:vMerge w:val="restart"/>
                  <w:tcBorders>
                    <w:left w:val="single" w:color="auto" w:sz="4" w:space="0"/>
                  </w:tcBorders>
                  <w:vAlign w:val="center"/>
                </w:tcPr>
                <w:p>
                  <w:pPr>
                    <w:pStyle w:val="53"/>
                    <w:adjustRightInd/>
                    <w:snapToGrid/>
                    <w:spacing w:line="240" w:lineRule="auto"/>
                    <w:rPr>
                      <w:b w:val="0"/>
                      <w:bCs w:val="0"/>
                      <w:color w:val="auto"/>
                      <w:sz w:val="21"/>
                      <w:szCs w:val="21"/>
                    </w:rPr>
                  </w:pPr>
                  <w:r>
                    <w:rPr>
                      <w:b w:val="0"/>
                      <w:bCs w:val="0"/>
                      <w:color w:val="auto"/>
                      <w:sz w:val="21"/>
                      <w:szCs w:val="21"/>
                    </w:rPr>
                    <w:t>《环境空气质量标准》（GB3095—2012）二级标准</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579" w:hRule="atLeast"/>
                <w:jc w:val="center"/>
              </w:trPr>
              <w:tc>
                <w:tcPr>
                  <w:tcW w:w="270" w:type="pct"/>
                  <w:vMerge w:val="continue"/>
                  <w:vAlign w:val="center"/>
                </w:tcPr>
                <w:p>
                  <w:pPr>
                    <w:pStyle w:val="53"/>
                    <w:adjustRightInd/>
                    <w:snapToGrid/>
                    <w:spacing w:line="240" w:lineRule="auto"/>
                    <w:rPr>
                      <w:b w:val="0"/>
                      <w:bCs w:val="0"/>
                      <w:color w:val="auto"/>
                      <w:sz w:val="21"/>
                      <w:szCs w:val="21"/>
                    </w:rPr>
                  </w:pPr>
                </w:p>
              </w:tc>
              <w:tc>
                <w:tcPr>
                  <w:tcW w:w="435" w:type="pct"/>
                  <w:vAlign w:val="center"/>
                </w:tcPr>
                <w:p>
                  <w:pPr>
                    <w:pStyle w:val="53"/>
                    <w:adjustRightInd/>
                    <w:snapToGrid/>
                    <w:spacing w:line="240" w:lineRule="auto"/>
                    <w:ind w:firstLine="0" w:firstLineChars="0"/>
                    <w:rPr>
                      <w:rFonts w:hint="eastAsia" w:eastAsia="宋体"/>
                      <w:b w:val="0"/>
                      <w:bCs w:val="0"/>
                      <w:color w:val="auto"/>
                      <w:sz w:val="21"/>
                      <w:szCs w:val="21"/>
                      <w:lang w:eastAsia="zh-CN"/>
                    </w:rPr>
                  </w:pPr>
                  <w:r>
                    <w:rPr>
                      <w:rFonts w:hint="eastAsia"/>
                      <w:b w:val="0"/>
                      <w:bCs w:val="0"/>
                      <w:sz w:val="21"/>
                      <w:szCs w:val="21"/>
                      <w:lang w:eastAsia="zh-CN"/>
                    </w:rPr>
                    <w:t>哨箐</w:t>
                  </w:r>
                </w:p>
              </w:tc>
              <w:tc>
                <w:tcPr>
                  <w:tcW w:w="538" w:type="pct"/>
                  <w:vAlign w:val="center"/>
                </w:tcPr>
                <w:p>
                  <w:pPr>
                    <w:pStyle w:val="53"/>
                    <w:adjustRightInd/>
                    <w:snapToGrid/>
                    <w:spacing w:line="240" w:lineRule="auto"/>
                    <w:ind w:firstLine="0" w:firstLineChars="0"/>
                    <w:rPr>
                      <w:b w:val="0"/>
                      <w:bCs w:val="0"/>
                      <w:color w:val="auto"/>
                      <w:sz w:val="21"/>
                      <w:szCs w:val="21"/>
                    </w:rPr>
                  </w:pPr>
                  <w:r>
                    <w:rPr>
                      <w:b w:val="0"/>
                      <w:bCs w:val="0"/>
                      <w:color w:val="auto"/>
                      <w:sz w:val="21"/>
                      <w:szCs w:val="21"/>
                    </w:rPr>
                    <w:t>约</w:t>
                  </w:r>
                  <w:r>
                    <w:rPr>
                      <w:rFonts w:hint="eastAsia"/>
                      <w:b w:val="0"/>
                      <w:bCs w:val="0"/>
                      <w:color w:val="auto"/>
                      <w:sz w:val="21"/>
                      <w:szCs w:val="21"/>
                    </w:rPr>
                    <w:t>500</w:t>
                  </w:r>
                  <w:r>
                    <w:rPr>
                      <w:b w:val="0"/>
                      <w:bCs w:val="0"/>
                      <w:color w:val="auto"/>
                      <w:sz w:val="21"/>
                      <w:szCs w:val="21"/>
                    </w:rPr>
                    <w:t>人</w:t>
                  </w:r>
                </w:p>
              </w:tc>
              <w:tc>
                <w:tcPr>
                  <w:tcW w:w="537" w:type="pct"/>
                  <w:vAlign w:val="center"/>
                </w:tcPr>
                <w:p>
                  <w:pPr>
                    <w:pStyle w:val="53"/>
                    <w:adjustRightInd/>
                    <w:snapToGrid/>
                    <w:spacing w:line="240" w:lineRule="auto"/>
                    <w:ind w:firstLine="0" w:firstLineChars="0"/>
                    <w:rPr>
                      <w:b w:val="0"/>
                      <w:bCs w:val="0"/>
                      <w:color w:val="auto"/>
                      <w:sz w:val="21"/>
                      <w:szCs w:val="21"/>
                    </w:rPr>
                  </w:pPr>
                  <w:r>
                    <w:rPr>
                      <w:rFonts w:hint="eastAsia"/>
                      <w:b w:val="0"/>
                      <w:bCs w:val="0"/>
                      <w:color w:val="auto"/>
                      <w:sz w:val="21"/>
                      <w:szCs w:val="21"/>
                    </w:rPr>
                    <w:t>厂区北</w:t>
                  </w:r>
                  <w:r>
                    <w:rPr>
                      <w:b w:val="0"/>
                      <w:bCs w:val="0"/>
                      <w:color w:val="auto"/>
                      <w:sz w:val="21"/>
                      <w:szCs w:val="21"/>
                    </w:rPr>
                    <w:t>面</w:t>
                  </w:r>
                </w:p>
              </w:tc>
              <w:tc>
                <w:tcPr>
                  <w:tcW w:w="934" w:type="pct"/>
                  <w:vAlign w:val="center"/>
                </w:tcPr>
                <w:p>
                  <w:pPr>
                    <w:pStyle w:val="53"/>
                    <w:adjustRightInd/>
                    <w:snapToGrid/>
                    <w:spacing w:line="240" w:lineRule="auto"/>
                    <w:ind w:firstLine="0" w:firstLineChars="0"/>
                    <w:rPr>
                      <w:b w:val="0"/>
                      <w:bCs w:val="0"/>
                      <w:color w:val="auto"/>
                      <w:sz w:val="21"/>
                      <w:szCs w:val="21"/>
                    </w:rPr>
                  </w:pPr>
                  <w:r>
                    <w:rPr>
                      <w:b w:val="0"/>
                      <w:bCs w:val="0"/>
                      <w:color w:val="auto"/>
                      <w:sz w:val="21"/>
                      <w:szCs w:val="21"/>
                    </w:rPr>
                    <w:t>与</w:t>
                  </w:r>
                  <w:r>
                    <w:rPr>
                      <w:rFonts w:hint="eastAsia"/>
                      <w:b w:val="0"/>
                      <w:bCs w:val="0"/>
                      <w:color w:val="auto"/>
                      <w:sz w:val="21"/>
                      <w:szCs w:val="21"/>
                    </w:rPr>
                    <w:t>厂区</w:t>
                  </w:r>
                  <w:r>
                    <w:rPr>
                      <w:b w:val="0"/>
                      <w:bCs w:val="0"/>
                      <w:color w:val="auto"/>
                      <w:sz w:val="21"/>
                      <w:szCs w:val="21"/>
                    </w:rPr>
                    <w:t>距离</w:t>
                  </w:r>
                  <w:r>
                    <w:rPr>
                      <w:rFonts w:hint="eastAsia"/>
                      <w:b w:val="0"/>
                      <w:bCs w:val="0"/>
                      <w:color w:val="auto"/>
                      <w:sz w:val="21"/>
                      <w:szCs w:val="21"/>
                      <w:lang w:val="en-US" w:eastAsia="zh-CN"/>
                    </w:rPr>
                    <w:t>265</w:t>
                  </w:r>
                  <w:r>
                    <w:rPr>
                      <w:b w:val="0"/>
                      <w:bCs w:val="0"/>
                      <w:color w:val="auto"/>
                      <w:sz w:val="21"/>
                      <w:szCs w:val="21"/>
                    </w:rPr>
                    <w:t>m</w:t>
                  </w:r>
                </w:p>
              </w:tc>
              <w:tc>
                <w:tcPr>
                  <w:tcW w:w="814" w:type="pct"/>
                  <w:tcBorders>
                    <w:right w:val="single" w:color="auto" w:sz="4" w:space="0"/>
                  </w:tcBorders>
                  <w:vAlign w:val="center"/>
                </w:tcPr>
                <w:p>
                  <w:pPr>
                    <w:pStyle w:val="53"/>
                    <w:adjustRightInd/>
                    <w:snapToGrid/>
                    <w:spacing w:line="240" w:lineRule="auto"/>
                    <w:ind w:firstLine="0" w:firstLineChars="0"/>
                    <w:rPr>
                      <w:rFonts w:hint="default" w:eastAsia="宋体"/>
                      <w:b w:val="0"/>
                      <w:bCs w:val="0"/>
                      <w:color w:val="auto"/>
                      <w:sz w:val="21"/>
                      <w:szCs w:val="21"/>
                      <w:lang w:val="en-US" w:eastAsia="zh-CN"/>
                    </w:rPr>
                  </w:pPr>
                  <w:r>
                    <w:rPr>
                      <w:rFonts w:hint="eastAsia"/>
                      <w:b w:val="0"/>
                      <w:bCs w:val="0"/>
                      <w:color w:val="auto"/>
                      <w:sz w:val="21"/>
                      <w:szCs w:val="21"/>
                      <w:lang w:val="en-US" w:eastAsia="zh-CN"/>
                    </w:rPr>
                    <w:t>102.275186</w:t>
                  </w:r>
                </w:p>
              </w:tc>
              <w:tc>
                <w:tcPr>
                  <w:tcW w:w="714" w:type="pct"/>
                  <w:tcBorders>
                    <w:left w:val="single" w:color="auto" w:sz="4" w:space="0"/>
                  </w:tcBorders>
                  <w:vAlign w:val="center"/>
                </w:tcPr>
                <w:p>
                  <w:pPr>
                    <w:pStyle w:val="53"/>
                    <w:adjustRightInd/>
                    <w:snapToGrid/>
                    <w:spacing w:line="240" w:lineRule="auto"/>
                    <w:ind w:firstLine="0" w:firstLineChars="0"/>
                    <w:rPr>
                      <w:rFonts w:hint="default" w:eastAsia="宋体"/>
                      <w:b w:val="0"/>
                      <w:bCs w:val="0"/>
                      <w:color w:val="auto"/>
                      <w:sz w:val="21"/>
                      <w:szCs w:val="21"/>
                      <w:lang w:val="en-US" w:eastAsia="zh-CN"/>
                    </w:rPr>
                  </w:pPr>
                  <w:r>
                    <w:rPr>
                      <w:rFonts w:hint="eastAsia"/>
                      <w:b w:val="0"/>
                      <w:bCs w:val="0"/>
                      <w:color w:val="auto"/>
                      <w:sz w:val="21"/>
                      <w:szCs w:val="21"/>
                      <w:lang w:val="en-US" w:eastAsia="zh-CN"/>
                    </w:rPr>
                    <w:t>25.160788</w:t>
                  </w:r>
                </w:p>
              </w:tc>
              <w:tc>
                <w:tcPr>
                  <w:tcW w:w="755" w:type="pct"/>
                  <w:vMerge w:val="continue"/>
                  <w:tcBorders>
                    <w:left w:val="single" w:color="auto" w:sz="4" w:space="0"/>
                  </w:tcBorders>
                  <w:vAlign w:val="center"/>
                </w:tcPr>
                <w:p>
                  <w:pPr>
                    <w:pStyle w:val="53"/>
                    <w:adjustRightInd/>
                    <w:snapToGrid/>
                    <w:spacing w:line="240" w:lineRule="auto"/>
                    <w:rPr>
                      <w:b w:val="0"/>
                      <w:bCs w:val="0"/>
                      <w:color w:val="auto"/>
                      <w:sz w:val="21"/>
                      <w:szCs w:val="21"/>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270" w:type="pct"/>
                  <w:vMerge w:val="continue"/>
                  <w:vAlign w:val="center"/>
                </w:tcPr>
                <w:p>
                  <w:pPr>
                    <w:pStyle w:val="53"/>
                    <w:adjustRightInd/>
                    <w:snapToGrid/>
                    <w:spacing w:line="240" w:lineRule="auto"/>
                    <w:rPr>
                      <w:b w:val="0"/>
                      <w:bCs w:val="0"/>
                      <w:color w:val="auto"/>
                      <w:sz w:val="21"/>
                      <w:szCs w:val="21"/>
                    </w:rPr>
                  </w:pPr>
                </w:p>
              </w:tc>
              <w:tc>
                <w:tcPr>
                  <w:tcW w:w="435" w:type="pct"/>
                  <w:vAlign w:val="center"/>
                </w:tcPr>
                <w:p>
                  <w:pPr>
                    <w:pStyle w:val="53"/>
                    <w:adjustRightInd/>
                    <w:snapToGrid/>
                    <w:spacing w:line="240" w:lineRule="auto"/>
                    <w:rPr>
                      <w:rFonts w:hint="eastAsia" w:eastAsia="宋体"/>
                      <w:b w:val="0"/>
                      <w:bCs w:val="0"/>
                      <w:sz w:val="21"/>
                      <w:szCs w:val="21"/>
                      <w:lang w:eastAsia="zh-CN"/>
                    </w:rPr>
                  </w:pPr>
                  <w:r>
                    <w:rPr>
                      <w:rFonts w:hint="eastAsia"/>
                      <w:b w:val="0"/>
                      <w:bCs w:val="0"/>
                      <w:sz w:val="21"/>
                      <w:szCs w:val="21"/>
                      <w:lang w:eastAsia="zh-CN"/>
                    </w:rPr>
                    <w:t>豹子箐</w:t>
                  </w:r>
                </w:p>
              </w:tc>
              <w:tc>
                <w:tcPr>
                  <w:tcW w:w="538" w:type="pct"/>
                  <w:vAlign w:val="center"/>
                </w:tcPr>
                <w:p>
                  <w:pPr>
                    <w:pStyle w:val="53"/>
                    <w:adjustRightInd/>
                    <w:snapToGrid/>
                    <w:spacing w:line="240" w:lineRule="auto"/>
                    <w:rPr>
                      <w:b w:val="0"/>
                      <w:bCs w:val="0"/>
                      <w:color w:val="auto"/>
                      <w:sz w:val="21"/>
                      <w:szCs w:val="21"/>
                    </w:rPr>
                  </w:pPr>
                  <w:r>
                    <w:rPr>
                      <w:rFonts w:hint="eastAsia"/>
                      <w:b w:val="0"/>
                      <w:bCs w:val="0"/>
                      <w:color w:val="auto"/>
                      <w:sz w:val="21"/>
                      <w:szCs w:val="21"/>
                    </w:rPr>
                    <w:t>约</w:t>
                  </w:r>
                  <w:r>
                    <w:rPr>
                      <w:rFonts w:hint="eastAsia"/>
                      <w:b w:val="0"/>
                      <w:bCs w:val="0"/>
                      <w:color w:val="auto"/>
                      <w:sz w:val="21"/>
                      <w:szCs w:val="21"/>
                      <w:lang w:val="en-US" w:eastAsia="zh-CN"/>
                    </w:rPr>
                    <w:t>3</w:t>
                  </w:r>
                  <w:r>
                    <w:rPr>
                      <w:rFonts w:hint="eastAsia"/>
                      <w:b w:val="0"/>
                      <w:bCs w:val="0"/>
                      <w:color w:val="auto"/>
                      <w:sz w:val="21"/>
                      <w:szCs w:val="21"/>
                    </w:rPr>
                    <w:t>00人</w:t>
                  </w:r>
                </w:p>
              </w:tc>
              <w:tc>
                <w:tcPr>
                  <w:tcW w:w="537" w:type="pct"/>
                  <w:vAlign w:val="center"/>
                </w:tcPr>
                <w:p>
                  <w:pPr>
                    <w:pStyle w:val="53"/>
                    <w:adjustRightInd/>
                    <w:snapToGrid/>
                    <w:spacing w:line="240" w:lineRule="auto"/>
                    <w:rPr>
                      <w:b w:val="0"/>
                      <w:bCs w:val="0"/>
                      <w:color w:val="auto"/>
                      <w:sz w:val="21"/>
                      <w:szCs w:val="21"/>
                    </w:rPr>
                  </w:pPr>
                  <w:r>
                    <w:rPr>
                      <w:rFonts w:hint="eastAsia"/>
                      <w:b w:val="0"/>
                      <w:bCs w:val="0"/>
                      <w:color w:val="auto"/>
                      <w:sz w:val="21"/>
                      <w:szCs w:val="21"/>
                    </w:rPr>
                    <w:t>厂区</w:t>
                  </w:r>
                  <w:r>
                    <w:rPr>
                      <w:rFonts w:hint="eastAsia"/>
                      <w:b w:val="0"/>
                      <w:bCs w:val="0"/>
                      <w:color w:val="auto"/>
                      <w:sz w:val="21"/>
                      <w:szCs w:val="21"/>
                      <w:lang w:eastAsia="zh-CN"/>
                    </w:rPr>
                    <w:t>南</w:t>
                  </w:r>
                  <w:r>
                    <w:rPr>
                      <w:rFonts w:hint="eastAsia"/>
                      <w:b w:val="0"/>
                      <w:bCs w:val="0"/>
                      <w:color w:val="auto"/>
                      <w:sz w:val="21"/>
                      <w:szCs w:val="21"/>
                    </w:rPr>
                    <w:t>面</w:t>
                  </w:r>
                </w:p>
              </w:tc>
              <w:tc>
                <w:tcPr>
                  <w:tcW w:w="934" w:type="pct"/>
                  <w:vAlign w:val="center"/>
                </w:tcPr>
                <w:p>
                  <w:pPr>
                    <w:pStyle w:val="53"/>
                    <w:adjustRightInd/>
                    <w:snapToGrid/>
                    <w:spacing w:line="240" w:lineRule="auto"/>
                    <w:rPr>
                      <w:b w:val="0"/>
                      <w:bCs w:val="0"/>
                      <w:color w:val="auto"/>
                      <w:sz w:val="21"/>
                      <w:szCs w:val="21"/>
                    </w:rPr>
                  </w:pPr>
                  <w:r>
                    <w:rPr>
                      <w:b w:val="0"/>
                      <w:bCs w:val="0"/>
                      <w:color w:val="auto"/>
                      <w:sz w:val="21"/>
                      <w:szCs w:val="21"/>
                    </w:rPr>
                    <w:t>与</w:t>
                  </w:r>
                  <w:r>
                    <w:rPr>
                      <w:rFonts w:hint="eastAsia"/>
                      <w:b w:val="0"/>
                      <w:bCs w:val="0"/>
                      <w:color w:val="auto"/>
                      <w:sz w:val="21"/>
                      <w:szCs w:val="21"/>
                    </w:rPr>
                    <w:t>厂区</w:t>
                  </w:r>
                  <w:r>
                    <w:rPr>
                      <w:b w:val="0"/>
                      <w:bCs w:val="0"/>
                      <w:color w:val="auto"/>
                      <w:sz w:val="21"/>
                      <w:szCs w:val="21"/>
                    </w:rPr>
                    <w:t>距离</w:t>
                  </w:r>
                  <w:r>
                    <w:rPr>
                      <w:rFonts w:hint="eastAsia"/>
                      <w:b w:val="0"/>
                      <w:bCs w:val="0"/>
                      <w:color w:val="auto"/>
                      <w:sz w:val="21"/>
                      <w:szCs w:val="21"/>
                      <w:lang w:val="en-US" w:eastAsia="zh-CN"/>
                    </w:rPr>
                    <w:t>560</w:t>
                  </w:r>
                  <w:r>
                    <w:rPr>
                      <w:b w:val="0"/>
                      <w:bCs w:val="0"/>
                      <w:color w:val="auto"/>
                      <w:sz w:val="21"/>
                      <w:szCs w:val="21"/>
                    </w:rPr>
                    <w:t>m</w:t>
                  </w:r>
                </w:p>
              </w:tc>
              <w:tc>
                <w:tcPr>
                  <w:tcW w:w="814" w:type="pct"/>
                  <w:tcBorders>
                    <w:right w:val="single" w:color="auto" w:sz="4" w:space="0"/>
                  </w:tcBorders>
                  <w:vAlign w:val="center"/>
                </w:tcPr>
                <w:p>
                  <w:pPr>
                    <w:pStyle w:val="53"/>
                    <w:adjustRightInd/>
                    <w:snapToGrid/>
                    <w:spacing w:line="240" w:lineRule="auto"/>
                    <w:rPr>
                      <w:rFonts w:hint="default" w:eastAsia="宋体"/>
                      <w:b w:val="0"/>
                      <w:bCs w:val="0"/>
                      <w:color w:val="auto"/>
                      <w:sz w:val="21"/>
                      <w:szCs w:val="21"/>
                      <w:lang w:val="en-US" w:eastAsia="zh-CN"/>
                    </w:rPr>
                  </w:pPr>
                  <w:r>
                    <w:rPr>
                      <w:rFonts w:hint="eastAsia"/>
                      <w:b w:val="0"/>
                      <w:bCs w:val="0"/>
                      <w:color w:val="auto"/>
                      <w:sz w:val="21"/>
                      <w:szCs w:val="21"/>
                      <w:lang w:val="en-US" w:eastAsia="zh-CN"/>
                    </w:rPr>
                    <w:t>102.280948</w:t>
                  </w:r>
                </w:p>
              </w:tc>
              <w:tc>
                <w:tcPr>
                  <w:tcW w:w="714" w:type="pct"/>
                  <w:tcBorders>
                    <w:left w:val="single" w:color="auto" w:sz="4" w:space="0"/>
                    <w:right w:val="single" w:color="auto" w:sz="4" w:space="0"/>
                  </w:tcBorders>
                  <w:vAlign w:val="center"/>
                </w:tcPr>
                <w:p>
                  <w:pPr>
                    <w:pStyle w:val="53"/>
                    <w:adjustRightInd/>
                    <w:snapToGrid/>
                    <w:spacing w:line="240" w:lineRule="auto"/>
                    <w:rPr>
                      <w:rFonts w:hint="default" w:eastAsia="宋体"/>
                      <w:b w:val="0"/>
                      <w:bCs w:val="0"/>
                      <w:color w:val="auto"/>
                      <w:sz w:val="21"/>
                      <w:szCs w:val="21"/>
                      <w:lang w:val="en-US" w:eastAsia="zh-CN"/>
                    </w:rPr>
                  </w:pPr>
                  <w:r>
                    <w:rPr>
                      <w:rFonts w:hint="eastAsia"/>
                      <w:b w:val="0"/>
                      <w:bCs w:val="0"/>
                      <w:color w:val="auto"/>
                      <w:sz w:val="21"/>
                      <w:szCs w:val="21"/>
                      <w:lang w:val="en-US" w:eastAsia="zh-CN"/>
                    </w:rPr>
                    <w:t>25.152314</w:t>
                  </w:r>
                </w:p>
              </w:tc>
              <w:tc>
                <w:tcPr>
                  <w:tcW w:w="755" w:type="pct"/>
                  <w:vMerge w:val="continue"/>
                  <w:tcBorders>
                    <w:left w:val="single" w:color="auto" w:sz="4" w:space="0"/>
                  </w:tcBorders>
                  <w:vAlign w:val="center"/>
                </w:tcPr>
                <w:p>
                  <w:pPr>
                    <w:pStyle w:val="53"/>
                    <w:adjustRightInd/>
                    <w:snapToGrid/>
                    <w:spacing w:line="240" w:lineRule="auto"/>
                    <w:rPr>
                      <w:b w:val="0"/>
                      <w:bCs w:val="0"/>
                      <w:color w:val="auto"/>
                      <w:sz w:val="21"/>
                      <w:szCs w:val="21"/>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270" w:type="pct"/>
                  <w:vMerge w:val="continue"/>
                  <w:vAlign w:val="center"/>
                </w:tcPr>
                <w:p>
                  <w:pPr>
                    <w:pStyle w:val="53"/>
                    <w:adjustRightInd/>
                    <w:snapToGrid/>
                    <w:spacing w:line="240" w:lineRule="auto"/>
                    <w:rPr>
                      <w:b w:val="0"/>
                      <w:bCs w:val="0"/>
                      <w:color w:val="auto"/>
                      <w:sz w:val="21"/>
                      <w:szCs w:val="21"/>
                    </w:rPr>
                  </w:pPr>
                </w:p>
              </w:tc>
              <w:tc>
                <w:tcPr>
                  <w:tcW w:w="435" w:type="pct"/>
                  <w:vAlign w:val="center"/>
                </w:tcPr>
                <w:p>
                  <w:pPr>
                    <w:pStyle w:val="53"/>
                    <w:adjustRightInd/>
                    <w:snapToGrid/>
                    <w:spacing w:line="240" w:lineRule="auto"/>
                    <w:rPr>
                      <w:rFonts w:hint="eastAsia" w:eastAsia="宋体"/>
                      <w:b w:val="0"/>
                      <w:bCs w:val="0"/>
                      <w:sz w:val="21"/>
                      <w:szCs w:val="21"/>
                      <w:lang w:eastAsia="zh-CN"/>
                    </w:rPr>
                  </w:pPr>
                  <w:r>
                    <w:rPr>
                      <w:rFonts w:hint="eastAsia"/>
                      <w:b w:val="0"/>
                      <w:bCs w:val="0"/>
                      <w:sz w:val="21"/>
                      <w:szCs w:val="21"/>
                      <w:lang w:eastAsia="zh-CN"/>
                    </w:rPr>
                    <w:t>南冲</w:t>
                  </w:r>
                </w:p>
              </w:tc>
              <w:tc>
                <w:tcPr>
                  <w:tcW w:w="538" w:type="pct"/>
                  <w:vAlign w:val="center"/>
                </w:tcPr>
                <w:p>
                  <w:pPr>
                    <w:pStyle w:val="53"/>
                    <w:adjustRightInd/>
                    <w:snapToGrid/>
                    <w:spacing w:line="240" w:lineRule="auto"/>
                    <w:rPr>
                      <w:b w:val="0"/>
                      <w:bCs w:val="0"/>
                      <w:color w:val="auto"/>
                      <w:sz w:val="21"/>
                      <w:szCs w:val="21"/>
                    </w:rPr>
                  </w:pPr>
                  <w:r>
                    <w:rPr>
                      <w:rFonts w:hint="eastAsia"/>
                      <w:b w:val="0"/>
                      <w:bCs w:val="0"/>
                      <w:color w:val="auto"/>
                      <w:sz w:val="21"/>
                      <w:szCs w:val="21"/>
                    </w:rPr>
                    <w:t>约1000人</w:t>
                  </w:r>
                </w:p>
              </w:tc>
              <w:tc>
                <w:tcPr>
                  <w:tcW w:w="537" w:type="pct"/>
                  <w:vAlign w:val="center"/>
                </w:tcPr>
                <w:p>
                  <w:pPr>
                    <w:pStyle w:val="53"/>
                    <w:adjustRightInd/>
                    <w:snapToGrid/>
                    <w:spacing w:line="240" w:lineRule="auto"/>
                    <w:rPr>
                      <w:b w:val="0"/>
                      <w:bCs w:val="0"/>
                      <w:color w:val="auto"/>
                      <w:sz w:val="21"/>
                      <w:szCs w:val="21"/>
                    </w:rPr>
                  </w:pPr>
                  <w:r>
                    <w:rPr>
                      <w:rFonts w:hint="eastAsia"/>
                      <w:b w:val="0"/>
                      <w:bCs w:val="0"/>
                      <w:color w:val="auto"/>
                      <w:sz w:val="21"/>
                      <w:szCs w:val="21"/>
                    </w:rPr>
                    <w:t>厂区北面</w:t>
                  </w:r>
                </w:p>
              </w:tc>
              <w:tc>
                <w:tcPr>
                  <w:tcW w:w="934" w:type="pct"/>
                  <w:vAlign w:val="center"/>
                </w:tcPr>
                <w:p>
                  <w:pPr>
                    <w:pStyle w:val="53"/>
                    <w:adjustRightInd/>
                    <w:snapToGrid/>
                    <w:spacing w:line="240" w:lineRule="auto"/>
                    <w:rPr>
                      <w:b w:val="0"/>
                      <w:bCs w:val="0"/>
                      <w:color w:val="auto"/>
                      <w:sz w:val="21"/>
                      <w:szCs w:val="21"/>
                    </w:rPr>
                  </w:pPr>
                  <w:r>
                    <w:rPr>
                      <w:b w:val="0"/>
                      <w:bCs w:val="0"/>
                      <w:color w:val="auto"/>
                      <w:sz w:val="21"/>
                      <w:szCs w:val="21"/>
                    </w:rPr>
                    <w:t>与</w:t>
                  </w:r>
                  <w:r>
                    <w:rPr>
                      <w:rFonts w:hint="eastAsia"/>
                      <w:b w:val="0"/>
                      <w:bCs w:val="0"/>
                      <w:color w:val="auto"/>
                      <w:sz w:val="21"/>
                      <w:szCs w:val="21"/>
                    </w:rPr>
                    <w:t>厂区</w:t>
                  </w:r>
                  <w:r>
                    <w:rPr>
                      <w:b w:val="0"/>
                      <w:bCs w:val="0"/>
                      <w:color w:val="auto"/>
                      <w:sz w:val="21"/>
                      <w:szCs w:val="21"/>
                    </w:rPr>
                    <w:t>距离</w:t>
                  </w:r>
                  <w:r>
                    <w:rPr>
                      <w:rFonts w:hint="eastAsia"/>
                      <w:b w:val="0"/>
                      <w:bCs w:val="0"/>
                      <w:color w:val="auto"/>
                      <w:sz w:val="21"/>
                      <w:szCs w:val="21"/>
                      <w:lang w:val="en-US" w:eastAsia="zh-CN"/>
                    </w:rPr>
                    <w:t>1050</w:t>
                  </w:r>
                  <w:r>
                    <w:rPr>
                      <w:b w:val="0"/>
                      <w:bCs w:val="0"/>
                      <w:color w:val="auto"/>
                      <w:sz w:val="21"/>
                      <w:szCs w:val="21"/>
                    </w:rPr>
                    <w:t>m</w:t>
                  </w:r>
                </w:p>
              </w:tc>
              <w:tc>
                <w:tcPr>
                  <w:tcW w:w="814" w:type="pct"/>
                  <w:tcBorders>
                    <w:right w:val="single" w:color="auto" w:sz="4" w:space="0"/>
                  </w:tcBorders>
                  <w:vAlign w:val="center"/>
                </w:tcPr>
                <w:p>
                  <w:pPr>
                    <w:pStyle w:val="53"/>
                    <w:adjustRightInd/>
                    <w:snapToGrid/>
                    <w:spacing w:line="240" w:lineRule="auto"/>
                    <w:rPr>
                      <w:rFonts w:hint="default" w:eastAsia="宋体"/>
                      <w:b w:val="0"/>
                      <w:bCs w:val="0"/>
                      <w:color w:val="auto"/>
                      <w:sz w:val="21"/>
                      <w:szCs w:val="21"/>
                      <w:lang w:val="en-US" w:eastAsia="zh-CN"/>
                    </w:rPr>
                  </w:pPr>
                  <w:r>
                    <w:rPr>
                      <w:rFonts w:hint="eastAsia"/>
                      <w:b w:val="0"/>
                      <w:bCs w:val="0"/>
                      <w:color w:val="auto"/>
                      <w:sz w:val="21"/>
                      <w:szCs w:val="21"/>
                      <w:lang w:val="en-US" w:eastAsia="zh-CN"/>
                    </w:rPr>
                    <w:t>102.280113</w:t>
                  </w:r>
                </w:p>
              </w:tc>
              <w:tc>
                <w:tcPr>
                  <w:tcW w:w="714" w:type="pct"/>
                  <w:tcBorders>
                    <w:left w:val="single" w:color="auto" w:sz="4" w:space="0"/>
                    <w:right w:val="single" w:color="auto" w:sz="4" w:space="0"/>
                  </w:tcBorders>
                  <w:vAlign w:val="center"/>
                </w:tcPr>
                <w:p>
                  <w:pPr>
                    <w:pStyle w:val="53"/>
                    <w:adjustRightInd/>
                    <w:snapToGrid/>
                    <w:spacing w:line="240" w:lineRule="auto"/>
                    <w:rPr>
                      <w:rFonts w:hint="default" w:eastAsia="宋体"/>
                      <w:b w:val="0"/>
                      <w:bCs w:val="0"/>
                      <w:color w:val="auto"/>
                      <w:sz w:val="21"/>
                      <w:szCs w:val="21"/>
                      <w:lang w:val="en-US" w:eastAsia="zh-CN"/>
                    </w:rPr>
                  </w:pPr>
                  <w:r>
                    <w:rPr>
                      <w:rFonts w:hint="eastAsia"/>
                      <w:b w:val="0"/>
                      <w:bCs w:val="0"/>
                      <w:color w:val="auto"/>
                      <w:sz w:val="21"/>
                      <w:szCs w:val="21"/>
                      <w:lang w:val="en-US" w:eastAsia="zh-CN"/>
                    </w:rPr>
                    <w:t>25.163089</w:t>
                  </w:r>
                </w:p>
              </w:tc>
              <w:tc>
                <w:tcPr>
                  <w:tcW w:w="755" w:type="pct"/>
                  <w:vMerge w:val="continue"/>
                  <w:tcBorders>
                    <w:left w:val="single" w:color="auto" w:sz="4" w:space="0"/>
                  </w:tcBorders>
                  <w:vAlign w:val="center"/>
                </w:tcPr>
                <w:p>
                  <w:pPr>
                    <w:pStyle w:val="53"/>
                    <w:adjustRightInd/>
                    <w:snapToGrid/>
                    <w:spacing w:line="240" w:lineRule="auto"/>
                    <w:rPr>
                      <w:b w:val="0"/>
                      <w:bCs w:val="0"/>
                      <w:color w:val="auto"/>
                      <w:sz w:val="21"/>
                      <w:szCs w:val="21"/>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270" w:type="pct"/>
                  <w:vMerge w:val="continue"/>
                  <w:vAlign w:val="center"/>
                </w:tcPr>
                <w:p>
                  <w:pPr>
                    <w:pStyle w:val="53"/>
                    <w:adjustRightInd/>
                    <w:snapToGrid/>
                    <w:spacing w:line="240" w:lineRule="auto"/>
                    <w:rPr>
                      <w:b w:val="0"/>
                      <w:bCs w:val="0"/>
                      <w:color w:val="auto"/>
                      <w:sz w:val="21"/>
                      <w:szCs w:val="21"/>
                    </w:rPr>
                  </w:pPr>
                </w:p>
              </w:tc>
              <w:tc>
                <w:tcPr>
                  <w:tcW w:w="435" w:type="pct"/>
                  <w:vAlign w:val="center"/>
                </w:tcPr>
                <w:p>
                  <w:pPr>
                    <w:pStyle w:val="53"/>
                    <w:adjustRightInd/>
                    <w:snapToGrid/>
                    <w:spacing w:line="240" w:lineRule="auto"/>
                    <w:ind w:firstLine="0" w:firstLineChars="0"/>
                    <w:rPr>
                      <w:rFonts w:hint="eastAsia"/>
                      <w:b w:val="0"/>
                      <w:bCs w:val="0"/>
                      <w:sz w:val="21"/>
                      <w:szCs w:val="21"/>
                      <w:lang w:eastAsia="zh-CN"/>
                    </w:rPr>
                  </w:pPr>
                  <w:r>
                    <w:rPr>
                      <w:rFonts w:hint="eastAsia"/>
                      <w:b w:val="0"/>
                      <w:bCs w:val="0"/>
                      <w:sz w:val="21"/>
                      <w:szCs w:val="21"/>
                      <w:lang w:eastAsia="zh-CN"/>
                    </w:rPr>
                    <w:t>大刺棵</w:t>
                  </w:r>
                </w:p>
              </w:tc>
              <w:tc>
                <w:tcPr>
                  <w:tcW w:w="538" w:type="pct"/>
                  <w:vAlign w:val="center"/>
                </w:tcPr>
                <w:p>
                  <w:pPr>
                    <w:pStyle w:val="53"/>
                    <w:adjustRightInd/>
                    <w:snapToGrid/>
                    <w:spacing w:line="240" w:lineRule="auto"/>
                    <w:ind w:firstLine="0" w:firstLineChars="0"/>
                    <w:rPr>
                      <w:rFonts w:hint="eastAsia"/>
                      <w:b w:val="0"/>
                      <w:bCs w:val="0"/>
                      <w:color w:val="auto"/>
                      <w:sz w:val="21"/>
                      <w:szCs w:val="21"/>
                    </w:rPr>
                  </w:pPr>
                  <w:r>
                    <w:rPr>
                      <w:rFonts w:hint="eastAsia"/>
                      <w:b w:val="0"/>
                      <w:bCs w:val="0"/>
                      <w:color w:val="auto"/>
                      <w:sz w:val="21"/>
                      <w:szCs w:val="21"/>
                    </w:rPr>
                    <w:t>约1</w:t>
                  </w:r>
                  <w:r>
                    <w:rPr>
                      <w:rFonts w:hint="eastAsia"/>
                      <w:b w:val="0"/>
                      <w:bCs w:val="0"/>
                      <w:color w:val="auto"/>
                      <w:sz w:val="21"/>
                      <w:szCs w:val="21"/>
                      <w:lang w:val="en-US" w:eastAsia="zh-CN"/>
                    </w:rPr>
                    <w:t>1</w:t>
                  </w:r>
                  <w:r>
                    <w:rPr>
                      <w:rFonts w:hint="eastAsia"/>
                      <w:b w:val="0"/>
                      <w:bCs w:val="0"/>
                      <w:color w:val="auto"/>
                      <w:sz w:val="21"/>
                      <w:szCs w:val="21"/>
                    </w:rPr>
                    <w:t>00人</w:t>
                  </w:r>
                </w:p>
              </w:tc>
              <w:tc>
                <w:tcPr>
                  <w:tcW w:w="537" w:type="pct"/>
                  <w:vAlign w:val="center"/>
                </w:tcPr>
                <w:p>
                  <w:pPr>
                    <w:pStyle w:val="53"/>
                    <w:adjustRightInd/>
                    <w:snapToGrid/>
                    <w:spacing w:line="240" w:lineRule="auto"/>
                    <w:ind w:firstLine="0" w:firstLineChars="0"/>
                    <w:rPr>
                      <w:rFonts w:hint="eastAsia"/>
                      <w:b w:val="0"/>
                      <w:bCs w:val="0"/>
                      <w:color w:val="auto"/>
                      <w:sz w:val="21"/>
                      <w:szCs w:val="21"/>
                    </w:rPr>
                  </w:pPr>
                  <w:r>
                    <w:rPr>
                      <w:rFonts w:hint="eastAsia"/>
                      <w:b w:val="0"/>
                      <w:bCs w:val="0"/>
                      <w:color w:val="auto"/>
                      <w:sz w:val="21"/>
                      <w:szCs w:val="21"/>
                    </w:rPr>
                    <w:t>厂区北面</w:t>
                  </w:r>
                </w:p>
              </w:tc>
              <w:tc>
                <w:tcPr>
                  <w:tcW w:w="934" w:type="pct"/>
                  <w:vAlign w:val="center"/>
                </w:tcPr>
                <w:p>
                  <w:pPr>
                    <w:pStyle w:val="53"/>
                    <w:adjustRightInd/>
                    <w:snapToGrid/>
                    <w:spacing w:line="240" w:lineRule="auto"/>
                    <w:ind w:firstLine="0" w:firstLineChars="0"/>
                    <w:rPr>
                      <w:b w:val="0"/>
                      <w:bCs w:val="0"/>
                      <w:color w:val="auto"/>
                      <w:sz w:val="21"/>
                      <w:szCs w:val="21"/>
                    </w:rPr>
                  </w:pPr>
                  <w:r>
                    <w:rPr>
                      <w:b w:val="0"/>
                      <w:bCs w:val="0"/>
                      <w:color w:val="auto"/>
                      <w:sz w:val="21"/>
                      <w:szCs w:val="21"/>
                    </w:rPr>
                    <w:t>与</w:t>
                  </w:r>
                  <w:r>
                    <w:rPr>
                      <w:rFonts w:hint="eastAsia"/>
                      <w:b w:val="0"/>
                      <w:bCs w:val="0"/>
                      <w:color w:val="auto"/>
                      <w:sz w:val="21"/>
                      <w:szCs w:val="21"/>
                    </w:rPr>
                    <w:t>厂区</w:t>
                  </w:r>
                  <w:r>
                    <w:rPr>
                      <w:b w:val="0"/>
                      <w:bCs w:val="0"/>
                      <w:color w:val="auto"/>
                      <w:sz w:val="21"/>
                      <w:szCs w:val="21"/>
                    </w:rPr>
                    <w:t>距离</w:t>
                  </w:r>
                  <w:r>
                    <w:rPr>
                      <w:rFonts w:hint="eastAsia"/>
                      <w:b w:val="0"/>
                      <w:bCs w:val="0"/>
                      <w:color w:val="auto"/>
                      <w:sz w:val="21"/>
                      <w:szCs w:val="21"/>
                      <w:lang w:val="en-US" w:eastAsia="zh-CN"/>
                    </w:rPr>
                    <w:t>1306</w:t>
                  </w:r>
                  <w:r>
                    <w:rPr>
                      <w:b w:val="0"/>
                      <w:bCs w:val="0"/>
                      <w:color w:val="auto"/>
                      <w:sz w:val="21"/>
                      <w:szCs w:val="21"/>
                    </w:rPr>
                    <w:t>m</w:t>
                  </w:r>
                </w:p>
              </w:tc>
              <w:tc>
                <w:tcPr>
                  <w:tcW w:w="814" w:type="pct"/>
                  <w:tcBorders>
                    <w:right w:val="single" w:color="auto" w:sz="4" w:space="0"/>
                  </w:tcBorders>
                  <w:vAlign w:val="center"/>
                </w:tcPr>
                <w:p>
                  <w:pPr>
                    <w:pStyle w:val="53"/>
                    <w:adjustRightInd/>
                    <w:snapToGrid/>
                    <w:spacing w:line="240" w:lineRule="auto"/>
                    <w:ind w:firstLine="0" w:firstLineChars="0"/>
                    <w:rPr>
                      <w:rFonts w:hint="default"/>
                      <w:b w:val="0"/>
                      <w:bCs w:val="0"/>
                      <w:color w:val="auto"/>
                      <w:sz w:val="21"/>
                      <w:szCs w:val="21"/>
                      <w:lang w:val="en-US" w:eastAsia="zh-CN"/>
                    </w:rPr>
                  </w:pPr>
                  <w:r>
                    <w:rPr>
                      <w:rFonts w:hint="eastAsia"/>
                      <w:b w:val="0"/>
                      <w:bCs w:val="0"/>
                      <w:color w:val="auto"/>
                      <w:sz w:val="21"/>
                      <w:szCs w:val="21"/>
                      <w:lang w:val="en-US" w:eastAsia="zh-CN"/>
                    </w:rPr>
                    <w:t>102.281635</w:t>
                  </w:r>
                </w:p>
              </w:tc>
              <w:tc>
                <w:tcPr>
                  <w:tcW w:w="714" w:type="pct"/>
                  <w:tcBorders>
                    <w:left w:val="single" w:color="auto" w:sz="4" w:space="0"/>
                    <w:right w:val="single" w:color="auto" w:sz="4" w:space="0"/>
                  </w:tcBorders>
                  <w:vAlign w:val="center"/>
                </w:tcPr>
                <w:p>
                  <w:pPr>
                    <w:pStyle w:val="53"/>
                    <w:adjustRightInd/>
                    <w:snapToGrid/>
                    <w:spacing w:line="240" w:lineRule="auto"/>
                    <w:ind w:firstLine="0" w:firstLineChars="0"/>
                    <w:rPr>
                      <w:rFonts w:hint="default"/>
                      <w:b w:val="0"/>
                      <w:bCs w:val="0"/>
                      <w:color w:val="auto"/>
                      <w:sz w:val="21"/>
                      <w:szCs w:val="21"/>
                      <w:lang w:val="en-US" w:eastAsia="zh-CN"/>
                    </w:rPr>
                  </w:pPr>
                  <w:r>
                    <w:rPr>
                      <w:rFonts w:hint="eastAsia"/>
                      <w:b w:val="0"/>
                      <w:bCs w:val="0"/>
                      <w:color w:val="auto"/>
                      <w:sz w:val="21"/>
                      <w:szCs w:val="21"/>
                      <w:lang w:val="en-US" w:eastAsia="zh-CN"/>
                    </w:rPr>
                    <w:t>25.150594</w:t>
                  </w:r>
                </w:p>
              </w:tc>
              <w:tc>
                <w:tcPr>
                  <w:tcW w:w="755" w:type="pct"/>
                  <w:vMerge w:val="continue"/>
                  <w:tcBorders>
                    <w:left w:val="single" w:color="auto" w:sz="4" w:space="0"/>
                  </w:tcBorders>
                  <w:vAlign w:val="center"/>
                </w:tcPr>
                <w:p>
                  <w:pPr>
                    <w:pStyle w:val="53"/>
                    <w:adjustRightInd/>
                    <w:snapToGrid/>
                    <w:spacing w:line="240" w:lineRule="auto"/>
                    <w:rPr>
                      <w:b w:val="0"/>
                      <w:bCs w:val="0"/>
                      <w:color w:val="auto"/>
                      <w:sz w:val="21"/>
                      <w:szCs w:val="21"/>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270" w:type="pct"/>
                  <w:vMerge w:val="continue"/>
                  <w:vAlign w:val="center"/>
                </w:tcPr>
                <w:p>
                  <w:pPr>
                    <w:pStyle w:val="53"/>
                    <w:adjustRightInd/>
                    <w:snapToGrid/>
                    <w:spacing w:line="240" w:lineRule="auto"/>
                    <w:rPr>
                      <w:b w:val="0"/>
                      <w:bCs w:val="0"/>
                      <w:color w:val="auto"/>
                      <w:sz w:val="21"/>
                      <w:szCs w:val="21"/>
                    </w:rPr>
                  </w:pPr>
                </w:p>
              </w:tc>
              <w:tc>
                <w:tcPr>
                  <w:tcW w:w="435" w:type="pct"/>
                  <w:vAlign w:val="center"/>
                </w:tcPr>
                <w:p>
                  <w:pPr>
                    <w:pStyle w:val="53"/>
                    <w:adjustRightInd/>
                    <w:snapToGrid/>
                    <w:spacing w:line="240" w:lineRule="auto"/>
                    <w:rPr>
                      <w:rFonts w:hint="eastAsia" w:eastAsia="宋体"/>
                      <w:b w:val="0"/>
                      <w:bCs w:val="0"/>
                      <w:color w:val="auto"/>
                      <w:sz w:val="21"/>
                      <w:szCs w:val="21"/>
                      <w:lang w:eastAsia="zh-CN"/>
                    </w:rPr>
                  </w:pPr>
                  <w:r>
                    <w:rPr>
                      <w:rFonts w:hint="eastAsia"/>
                      <w:b w:val="0"/>
                      <w:bCs w:val="0"/>
                      <w:sz w:val="21"/>
                      <w:szCs w:val="21"/>
                      <w:lang w:eastAsia="zh-CN"/>
                    </w:rPr>
                    <w:t>大坝</w:t>
                  </w:r>
                </w:p>
              </w:tc>
              <w:tc>
                <w:tcPr>
                  <w:tcW w:w="538" w:type="pct"/>
                  <w:vAlign w:val="center"/>
                </w:tcPr>
                <w:p>
                  <w:pPr>
                    <w:pStyle w:val="53"/>
                    <w:adjustRightInd/>
                    <w:snapToGrid/>
                    <w:spacing w:line="240" w:lineRule="auto"/>
                    <w:rPr>
                      <w:rFonts w:hint="eastAsia" w:eastAsia="宋体"/>
                      <w:b w:val="0"/>
                      <w:bCs w:val="0"/>
                      <w:color w:val="auto"/>
                      <w:sz w:val="21"/>
                      <w:szCs w:val="21"/>
                      <w:lang w:eastAsia="zh-CN"/>
                    </w:rPr>
                  </w:pPr>
                  <w:r>
                    <w:rPr>
                      <w:rFonts w:hint="eastAsia"/>
                      <w:b w:val="0"/>
                      <w:bCs w:val="0"/>
                      <w:color w:val="auto"/>
                      <w:sz w:val="21"/>
                      <w:szCs w:val="21"/>
                    </w:rPr>
                    <w:t>约</w:t>
                  </w:r>
                  <w:r>
                    <w:rPr>
                      <w:b w:val="0"/>
                      <w:bCs w:val="0"/>
                      <w:color w:val="auto"/>
                      <w:sz w:val="21"/>
                      <w:szCs w:val="21"/>
                    </w:rPr>
                    <w:t>1</w:t>
                  </w:r>
                  <w:r>
                    <w:rPr>
                      <w:rFonts w:hint="eastAsia"/>
                      <w:b w:val="0"/>
                      <w:bCs w:val="0"/>
                      <w:color w:val="auto"/>
                      <w:sz w:val="21"/>
                      <w:szCs w:val="21"/>
                    </w:rPr>
                    <w:t>00</w:t>
                  </w:r>
                  <w:r>
                    <w:rPr>
                      <w:rFonts w:hint="eastAsia"/>
                      <w:b w:val="0"/>
                      <w:bCs w:val="0"/>
                      <w:color w:val="auto"/>
                      <w:sz w:val="21"/>
                      <w:szCs w:val="21"/>
                      <w:lang w:eastAsia="zh-CN"/>
                    </w:rPr>
                    <w:t>人</w:t>
                  </w:r>
                </w:p>
              </w:tc>
              <w:tc>
                <w:tcPr>
                  <w:tcW w:w="537" w:type="pct"/>
                  <w:vAlign w:val="center"/>
                </w:tcPr>
                <w:p>
                  <w:pPr>
                    <w:pStyle w:val="53"/>
                    <w:adjustRightInd/>
                    <w:snapToGrid/>
                    <w:spacing w:line="240" w:lineRule="auto"/>
                    <w:rPr>
                      <w:b w:val="0"/>
                      <w:bCs w:val="0"/>
                      <w:color w:val="auto"/>
                      <w:sz w:val="21"/>
                      <w:szCs w:val="21"/>
                    </w:rPr>
                  </w:pPr>
                  <w:r>
                    <w:rPr>
                      <w:rFonts w:hint="eastAsia"/>
                      <w:b w:val="0"/>
                      <w:bCs w:val="0"/>
                      <w:color w:val="auto"/>
                      <w:sz w:val="21"/>
                      <w:szCs w:val="21"/>
                    </w:rPr>
                    <w:t>厂区</w:t>
                  </w:r>
                  <w:r>
                    <w:rPr>
                      <w:rFonts w:hint="eastAsia"/>
                      <w:b w:val="0"/>
                      <w:bCs w:val="0"/>
                      <w:color w:val="auto"/>
                      <w:sz w:val="21"/>
                      <w:szCs w:val="21"/>
                      <w:lang w:eastAsia="zh-CN"/>
                    </w:rPr>
                    <w:t>东</w:t>
                  </w:r>
                  <w:r>
                    <w:rPr>
                      <w:b w:val="0"/>
                      <w:bCs w:val="0"/>
                      <w:color w:val="auto"/>
                      <w:sz w:val="21"/>
                      <w:szCs w:val="21"/>
                    </w:rPr>
                    <w:t>面</w:t>
                  </w:r>
                </w:p>
              </w:tc>
              <w:tc>
                <w:tcPr>
                  <w:tcW w:w="934" w:type="pct"/>
                  <w:vAlign w:val="center"/>
                </w:tcPr>
                <w:p>
                  <w:pPr>
                    <w:pStyle w:val="53"/>
                    <w:adjustRightInd/>
                    <w:snapToGrid/>
                    <w:spacing w:line="240" w:lineRule="auto"/>
                    <w:rPr>
                      <w:b w:val="0"/>
                      <w:bCs w:val="0"/>
                      <w:color w:val="auto"/>
                      <w:sz w:val="21"/>
                      <w:szCs w:val="21"/>
                    </w:rPr>
                  </w:pPr>
                  <w:r>
                    <w:rPr>
                      <w:b w:val="0"/>
                      <w:bCs w:val="0"/>
                      <w:color w:val="auto"/>
                      <w:sz w:val="21"/>
                      <w:szCs w:val="21"/>
                    </w:rPr>
                    <w:t>与</w:t>
                  </w:r>
                  <w:r>
                    <w:rPr>
                      <w:rFonts w:hint="eastAsia"/>
                      <w:b w:val="0"/>
                      <w:bCs w:val="0"/>
                      <w:color w:val="auto"/>
                      <w:sz w:val="21"/>
                      <w:szCs w:val="21"/>
                    </w:rPr>
                    <w:t>厂区</w:t>
                  </w:r>
                  <w:r>
                    <w:rPr>
                      <w:b w:val="0"/>
                      <w:bCs w:val="0"/>
                      <w:color w:val="auto"/>
                      <w:sz w:val="21"/>
                      <w:szCs w:val="21"/>
                    </w:rPr>
                    <w:t>距离</w:t>
                  </w:r>
                  <w:r>
                    <w:rPr>
                      <w:rFonts w:hint="eastAsia"/>
                      <w:b w:val="0"/>
                      <w:bCs w:val="0"/>
                      <w:color w:val="auto"/>
                      <w:sz w:val="21"/>
                      <w:szCs w:val="21"/>
                      <w:lang w:val="en-US" w:eastAsia="zh-CN"/>
                    </w:rPr>
                    <w:t>1425</w:t>
                  </w:r>
                  <w:r>
                    <w:rPr>
                      <w:b w:val="0"/>
                      <w:bCs w:val="0"/>
                      <w:color w:val="auto"/>
                      <w:sz w:val="21"/>
                      <w:szCs w:val="21"/>
                    </w:rPr>
                    <w:t>m</w:t>
                  </w:r>
                </w:p>
              </w:tc>
              <w:tc>
                <w:tcPr>
                  <w:tcW w:w="814" w:type="pct"/>
                  <w:tcBorders>
                    <w:right w:val="single" w:color="auto" w:sz="4" w:space="0"/>
                  </w:tcBorders>
                  <w:vAlign w:val="center"/>
                </w:tcPr>
                <w:p>
                  <w:pPr>
                    <w:pStyle w:val="53"/>
                    <w:adjustRightInd/>
                    <w:snapToGrid/>
                    <w:spacing w:line="240" w:lineRule="auto"/>
                    <w:rPr>
                      <w:rFonts w:hint="default" w:eastAsia="宋体"/>
                      <w:b w:val="0"/>
                      <w:bCs w:val="0"/>
                      <w:color w:val="auto"/>
                      <w:sz w:val="21"/>
                      <w:szCs w:val="21"/>
                      <w:lang w:val="en-US" w:eastAsia="zh-CN"/>
                    </w:rPr>
                  </w:pPr>
                  <w:r>
                    <w:rPr>
                      <w:rFonts w:hint="eastAsia"/>
                      <w:b w:val="0"/>
                      <w:bCs w:val="0"/>
                      <w:color w:val="auto"/>
                      <w:sz w:val="21"/>
                      <w:szCs w:val="21"/>
                      <w:lang w:val="en-US" w:eastAsia="zh-CN"/>
                    </w:rPr>
                    <w:t>102.284657</w:t>
                  </w:r>
                </w:p>
              </w:tc>
              <w:tc>
                <w:tcPr>
                  <w:tcW w:w="714" w:type="pct"/>
                  <w:tcBorders>
                    <w:left w:val="single" w:color="auto" w:sz="4" w:space="0"/>
                    <w:right w:val="single" w:color="auto" w:sz="4" w:space="0"/>
                  </w:tcBorders>
                  <w:vAlign w:val="center"/>
                </w:tcPr>
                <w:p>
                  <w:pPr>
                    <w:pStyle w:val="53"/>
                    <w:adjustRightInd/>
                    <w:snapToGrid/>
                    <w:spacing w:line="240" w:lineRule="auto"/>
                    <w:rPr>
                      <w:rFonts w:hint="default" w:eastAsia="宋体"/>
                      <w:b w:val="0"/>
                      <w:bCs w:val="0"/>
                      <w:color w:val="auto"/>
                      <w:sz w:val="21"/>
                      <w:szCs w:val="21"/>
                      <w:lang w:val="en-US" w:eastAsia="zh-CN"/>
                    </w:rPr>
                  </w:pPr>
                  <w:r>
                    <w:rPr>
                      <w:rFonts w:hint="eastAsia"/>
                      <w:b w:val="0"/>
                      <w:bCs w:val="0"/>
                      <w:color w:val="auto"/>
                      <w:sz w:val="21"/>
                      <w:szCs w:val="21"/>
                      <w:lang w:val="en-US" w:eastAsia="zh-CN"/>
                    </w:rPr>
                    <w:t>25.155786</w:t>
                  </w:r>
                </w:p>
              </w:tc>
              <w:tc>
                <w:tcPr>
                  <w:tcW w:w="755" w:type="pct"/>
                  <w:vMerge w:val="continue"/>
                  <w:tcBorders>
                    <w:left w:val="single" w:color="auto" w:sz="4" w:space="0"/>
                  </w:tcBorders>
                  <w:vAlign w:val="center"/>
                </w:tcPr>
                <w:p>
                  <w:pPr>
                    <w:pStyle w:val="53"/>
                    <w:adjustRightInd/>
                    <w:snapToGrid/>
                    <w:spacing w:line="240" w:lineRule="auto"/>
                    <w:rPr>
                      <w:b w:val="0"/>
                      <w:bCs w:val="0"/>
                      <w:color w:val="auto"/>
                      <w:sz w:val="21"/>
                      <w:szCs w:val="21"/>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270" w:type="pct"/>
                  <w:vMerge w:val="continue"/>
                  <w:vAlign w:val="center"/>
                </w:tcPr>
                <w:p>
                  <w:pPr>
                    <w:pStyle w:val="53"/>
                    <w:adjustRightInd/>
                    <w:snapToGrid/>
                    <w:spacing w:line="240" w:lineRule="auto"/>
                    <w:rPr>
                      <w:b w:val="0"/>
                      <w:bCs w:val="0"/>
                      <w:color w:val="auto"/>
                      <w:sz w:val="21"/>
                      <w:szCs w:val="21"/>
                    </w:rPr>
                  </w:pPr>
                </w:p>
              </w:tc>
              <w:tc>
                <w:tcPr>
                  <w:tcW w:w="435" w:type="pct"/>
                  <w:vAlign w:val="center"/>
                </w:tcPr>
                <w:p>
                  <w:pPr>
                    <w:pStyle w:val="53"/>
                    <w:adjustRightInd/>
                    <w:snapToGrid/>
                    <w:spacing w:line="240" w:lineRule="auto"/>
                    <w:rPr>
                      <w:rFonts w:hint="eastAsia" w:eastAsia="宋体"/>
                      <w:b w:val="0"/>
                      <w:bCs w:val="0"/>
                      <w:color w:val="auto"/>
                      <w:sz w:val="21"/>
                      <w:szCs w:val="21"/>
                      <w:lang w:eastAsia="zh-CN"/>
                    </w:rPr>
                  </w:pPr>
                  <w:r>
                    <w:rPr>
                      <w:rFonts w:hint="eastAsia"/>
                      <w:b w:val="0"/>
                      <w:bCs w:val="0"/>
                      <w:sz w:val="21"/>
                      <w:szCs w:val="21"/>
                      <w:lang w:eastAsia="zh-CN"/>
                    </w:rPr>
                    <w:t>西冲</w:t>
                  </w:r>
                </w:p>
              </w:tc>
              <w:tc>
                <w:tcPr>
                  <w:tcW w:w="538" w:type="pct"/>
                  <w:vAlign w:val="center"/>
                </w:tcPr>
                <w:p>
                  <w:pPr>
                    <w:pStyle w:val="53"/>
                    <w:adjustRightInd/>
                    <w:snapToGrid/>
                    <w:spacing w:line="240" w:lineRule="auto"/>
                    <w:rPr>
                      <w:b w:val="0"/>
                      <w:bCs w:val="0"/>
                      <w:color w:val="auto"/>
                      <w:sz w:val="21"/>
                      <w:szCs w:val="21"/>
                    </w:rPr>
                  </w:pPr>
                  <w:r>
                    <w:rPr>
                      <w:rFonts w:hint="eastAsia"/>
                      <w:b w:val="0"/>
                      <w:bCs w:val="0"/>
                      <w:color w:val="auto"/>
                      <w:sz w:val="21"/>
                      <w:szCs w:val="21"/>
                    </w:rPr>
                    <w:t>约</w:t>
                  </w:r>
                  <w:r>
                    <w:rPr>
                      <w:rFonts w:hint="eastAsia"/>
                      <w:b w:val="0"/>
                      <w:bCs w:val="0"/>
                      <w:color w:val="auto"/>
                      <w:sz w:val="21"/>
                      <w:szCs w:val="21"/>
                      <w:lang w:val="en-US" w:eastAsia="zh-CN"/>
                    </w:rPr>
                    <w:t>5</w:t>
                  </w:r>
                  <w:r>
                    <w:rPr>
                      <w:rFonts w:hint="eastAsia"/>
                      <w:b w:val="0"/>
                      <w:bCs w:val="0"/>
                      <w:color w:val="auto"/>
                      <w:sz w:val="21"/>
                      <w:szCs w:val="21"/>
                    </w:rPr>
                    <w:t>00人</w:t>
                  </w:r>
                </w:p>
              </w:tc>
              <w:tc>
                <w:tcPr>
                  <w:tcW w:w="537" w:type="pct"/>
                  <w:vAlign w:val="center"/>
                </w:tcPr>
                <w:p>
                  <w:pPr>
                    <w:pStyle w:val="53"/>
                    <w:adjustRightInd/>
                    <w:snapToGrid/>
                    <w:spacing w:line="240" w:lineRule="auto"/>
                    <w:rPr>
                      <w:b w:val="0"/>
                      <w:bCs w:val="0"/>
                      <w:color w:val="auto"/>
                      <w:sz w:val="21"/>
                      <w:szCs w:val="21"/>
                    </w:rPr>
                  </w:pPr>
                  <w:r>
                    <w:rPr>
                      <w:rFonts w:hint="eastAsia"/>
                      <w:b w:val="0"/>
                      <w:bCs w:val="0"/>
                      <w:color w:val="auto"/>
                      <w:sz w:val="21"/>
                      <w:szCs w:val="21"/>
                    </w:rPr>
                    <w:t>厂区</w:t>
                  </w:r>
                  <w:r>
                    <w:rPr>
                      <w:rFonts w:hint="eastAsia"/>
                      <w:b w:val="0"/>
                      <w:bCs w:val="0"/>
                      <w:color w:val="auto"/>
                      <w:sz w:val="21"/>
                      <w:szCs w:val="21"/>
                      <w:lang w:eastAsia="zh-CN"/>
                    </w:rPr>
                    <w:t>西北</w:t>
                  </w:r>
                  <w:r>
                    <w:rPr>
                      <w:rFonts w:hint="eastAsia"/>
                      <w:b w:val="0"/>
                      <w:bCs w:val="0"/>
                      <w:color w:val="auto"/>
                      <w:sz w:val="21"/>
                      <w:szCs w:val="21"/>
                    </w:rPr>
                    <w:t>面</w:t>
                  </w:r>
                </w:p>
              </w:tc>
              <w:tc>
                <w:tcPr>
                  <w:tcW w:w="934" w:type="pct"/>
                  <w:vAlign w:val="center"/>
                </w:tcPr>
                <w:p>
                  <w:pPr>
                    <w:pStyle w:val="53"/>
                    <w:adjustRightInd/>
                    <w:snapToGrid/>
                    <w:spacing w:line="240" w:lineRule="auto"/>
                    <w:rPr>
                      <w:b w:val="0"/>
                      <w:bCs w:val="0"/>
                      <w:color w:val="auto"/>
                      <w:sz w:val="21"/>
                      <w:szCs w:val="21"/>
                    </w:rPr>
                  </w:pPr>
                  <w:r>
                    <w:rPr>
                      <w:b w:val="0"/>
                      <w:bCs w:val="0"/>
                      <w:color w:val="auto"/>
                      <w:sz w:val="21"/>
                      <w:szCs w:val="21"/>
                    </w:rPr>
                    <w:t>与</w:t>
                  </w:r>
                  <w:r>
                    <w:rPr>
                      <w:rFonts w:hint="eastAsia"/>
                      <w:b w:val="0"/>
                      <w:bCs w:val="0"/>
                      <w:color w:val="auto"/>
                      <w:sz w:val="21"/>
                      <w:szCs w:val="21"/>
                    </w:rPr>
                    <w:t>厂区</w:t>
                  </w:r>
                  <w:r>
                    <w:rPr>
                      <w:b w:val="0"/>
                      <w:bCs w:val="0"/>
                      <w:color w:val="auto"/>
                      <w:sz w:val="21"/>
                      <w:szCs w:val="21"/>
                    </w:rPr>
                    <w:t>距离</w:t>
                  </w:r>
                  <w:r>
                    <w:rPr>
                      <w:rFonts w:hint="eastAsia"/>
                      <w:b w:val="0"/>
                      <w:bCs w:val="0"/>
                      <w:color w:val="auto"/>
                      <w:sz w:val="21"/>
                      <w:szCs w:val="21"/>
                      <w:lang w:val="en-US" w:eastAsia="zh-CN"/>
                    </w:rPr>
                    <w:t>1445</w:t>
                  </w:r>
                  <w:r>
                    <w:rPr>
                      <w:b w:val="0"/>
                      <w:bCs w:val="0"/>
                      <w:color w:val="auto"/>
                      <w:sz w:val="21"/>
                      <w:szCs w:val="21"/>
                    </w:rPr>
                    <w:t>m</w:t>
                  </w:r>
                </w:p>
              </w:tc>
              <w:tc>
                <w:tcPr>
                  <w:tcW w:w="814" w:type="pct"/>
                  <w:tcBorders>
                    <w:right w:val="single" w:color="auto" w:sz="4" w:space="0"/>
                  </w:tcBorders>
                  <w:vAlign w:val="center"/>
                </w:tcPr>
                <w:p>
                  <w:pPr>
                    <w:pStyle w:val="53"/>
                    <w:adjustRightInd/>
                    <w:snapToGrid/>
                    <w:spacing w:line="240" w:lineRule="auto"/>
                    <w:rPr>
                      <w:rFonts w:hint="default" w:eastAsia="宋体"/>
                      <w:b w:val="0"/>
                      <w:bCs w:val="0"/>
                      <w:color w:val="auto"/>
                      <w:sz w:val="21"/>
                      <w:szCs w:val="21"/>
                      <w:lang w:val="en-US" w:eastAsia="zh-CN"/>
                    </w:rPr>
                  </w:pPr>
                  <w:r>
                    <w:rPr>
                      <w:rFonts w:hint="eastAsia"/>
                      <w:b w:val="0"/>
                      <w:bCs w:val="0"/>
                      <w:color w:val="auto"/>
                      <w:sz w:val="21"/>
                      <w:szCs w:val="21"/>
                      <w:lang w:val="en-US" w:eastAsia="zh-CN"/>
                    </w:rPr>
                    <w:t>102.272135</w:t>
                  </w:r>
                </w:p>
              </w:tc>
              <w:tc>
                <w:tcPr>
                  <w:tcW w:w="714" w:type="pct"/>
                  <w:tcBorders>
                    <w:left w:val="single" w:color="auto" w:sz="4" w:space="0"/>
                    <w:right w:val="single" w:color="auto" w:sz="4" w:space="0"/>
                  </w:tcBorders>
                  <w:vAlign w:val="center"/>
                </w:tcPr>
                <w:p>
                  <w:pPr>
                    <w:pStyle w:val="53"/>
                    <w:adjustRightInd/>
                    <w:snapToGrid/>
                    <w:spacing w:line="240" w:lineRule="auto"/>
                    <w:rPr>
                      <w:rFonts w:hint="default" w:eastAsia="宋体"/>
                      <w:b w:val="0"/>
                      <w:bCs w:val="0"/>
                      <w:color w:val="auto"/>
                      <w:sz w:val="21"/>
                      <w:szCs w:val="21"/>
                      <w:lang w:val="en-US" w:eastAsia="zh-CN"/>
                    </w:rPr>
                  </w:pPr>
                  <w:r>
                    <w:rPr>
                      <w:rFonts w:hint="eastAsia"/>
                      <w:b w:val="0"/>
                      <w:bCs w:val="0"/>
                      <w:color w:val="auto"/>
                      <w:sz w:val="21"/>
                      <w:szCs w:val="21"/>
                      <w:lang w:val="en-US" w:eastAsia="zh-CN"/>
                    </w:rPr>
                    <w:t>25.164054</w:t>
                  </w:r>
                </w:p>
              </w:tc>
              <w:tc>
                <w:tcPr>
                  <w:tcW w:w="755" w:type="pct"/>
                  <w:vMerge w:val="continue"/>
                  <w:tcBorders>
                    <w:left w:val="single" w:color="auto" w:sz="4" w:space="0"/>
                  </w:tcBorders>
                  <w:vAlign w:val="center"/>
                </w:tcPr>
                <w:p>
                  <w:pPr>
                    <w:pStyle w:val="53"/>
                    <w:adjustRightInd/>
                    <w:snapToGrid/>
                    <w:spacing w:line="240" w:lineRule="auto"/>
                    <w:rPr>
                      <w:b w:val="0"/>
                      <w:bCs w:val="0"/>
                      <w:color w:val="auto"/>
                      <w:sz w:val="21"/>
                      <w:szCs w:val="21"/>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270" w:type="pct"/>
                  <w:vMerge w:val="continue"/>
                  <w:vAlign w:val="center"/>
                </w:tcPr>
                <w:p>
                  <w:pPr>
                    <w:pStyle w:val="53"/>
                    <w:adjustRightInd/>
                    <w:snapToGrid/>
                    <w:spacing w:line="240" w:lineRule="auto"/>
                    <w:rPr>
                      <w:b w:val="0"/>
                      <w:bCs w:val="0"/>
                      <w:color w:val="auto"/>
                      <w:sz w:val="21"/>
                      <w:szCs w:val="21"/>
                    </w:rPr>
                  </w:pPr>
                </w:p>
              </w:tc>
              <w:tc>
                <w:tcPr>
                  <w:tcW w:w="435" w:type="pct"/>
                  <w:vAlign w:val="center"/>
                </w:tcPr>
                <w:p>
                  <w:pPr>
                    <w:pStyle w:val="53"/>
                    <w:adjustRightInd/>
                    <w:snapToGrid/>
                    <w:spacing w:line="240" w:lineRule="auto"/>
                    <w:rPr>
                      <w:rFonts w:hint="eastAsia" w:eastAsia="宋体"/>
                      <w:b w:val="0"/>
                      <w:bCs w:val="0"/>
                      <w:color w:val="auto"/>
                      <w:sz w:val="21"/>
                      <w:szCs w:val="21"/>
                      <w:lang w:eastAsia="zh-CN"/>
                    </w:rPr>
                  </w:pPr>
                  <w:r>
                    <w:rPr>
                      <w:rFonts w:hint="eastAsia"/>
                      <w:b w:val="0"/>
                      <w:bCs w:val="0"/>
                      <w:sz w:val="21"/>
                      <w:szCs w:val="21"/>
                      <w:lang w:eastAsia="zh-CN"/>
                    </w:rPr>
                    <w:t>庄房</w:t>
                  </w:r>
                </w:p>
              </w:tc>
              <w:tc>
                <w:tcPr>
                  <w:tcW w:w="538" w:type="pct"/>
                  <w:vAlign w:val="center"/>
                </w:tcPr>
                <w:p>
                  <w:pPr>
                    <w:pStyle w:val="53"/>
                    <w:adjustRightInd/>
                    <w:snapToGrid/>
                    <w:spacing w:line="240" w:lineRule="auto"/>
                    <w:rPr>
                      <w:b w:val="0"/>
                      <w:bCs w:val="0"/>
                      <w:color w:val="auto"/>
                      <w:sz w:val="21"/>
                      <w:szCs w:val="21"/>
                    </w:rPr>
                  </w:pPr>
                  <w:r>
                    <w:rPr>
                      <w:b w:val="0"/>
                      <w:bCs w:val="0"/>
                      <w:color w:val="auto"/>
                      <w:sz w:val="21"/>
                      <w:szCs w:val="21"/>
                    </w:rPr>
                    <w:t>约</w:t>
                  </w:r>
                  <w:r>
                    <w:rPr>
                      <w:rFonts w:hint="eastAsia"/>
                      <w:b w:val="0"/>
                      <w:bCs w:val="0"/>
                      <w:color w:val="auto"/>
                      <w:sz w:val="21"/>
                      <w:szCs w:val="21"/>
                      <w:lang w:val="en-US" w:eastAsia="zh-CN"/>
                    </w:rPr>
                    <w:t>2</w:t>
                  </w:r>
                  <w:r>
                    <w:rPr>
                      <w:rFonts w:hint="eastAsia"/>
                      <w:b w:val="0"/>
                      <w:bCs w:val="0"/>
                      <w:color w:val="auto"/>
                      <w:sz w:val="21"/>
                      <w:szCs w:val="21"/>
                    </w:rPr>
                    <w:t>00</w:t>
                  </w:r>
                  <w:r>
                    <w:rPr>
                      <w:b w:val="0"/>
                      <w:bCs w:val="0"/>
                      <w:color w:val="auto"/>
                      <w:sz w:val="21"/>
                      <w:szCs w:val="21"/>
                    </w:rPr>
                    <w:t>人</w:t>
                  </w:r>
                </w:p>
              </w:tc>
              <w:tc>
                <w:tcPr>
                  <w:tcW w:w="537" w:type="pct"/>
                  <w:vAlign w:val="center"/>
                </w:tcPr>
                <w:p>
                  <w:pPr>
                    <w:pStyle w:val="53"/>
                    <w:adjustRightInd/>
                    <w:snapToGrid/>
                    <w:spacing w:line="240" w:lineRule="auto"/>
                    <w:rPr>
                      <w:b w:val="0"/>
                      <w:bCs w:val="0"/>
                      <w:color w:val="auto"/>
                      <w:sz w:val="21"/>
                      <w:szCs w:val="21"/>
                    </w:rPr>
                  </w:pPr>
                  <w:r>
                    <w:rPr>
                      <w:rFonts w:hint="eastAsia"/>
                      <w:b w:val="0"/>
                      <w:bCs w:val="0"/>
                      <w:color w:val="auto"/>
                      <w:sz w:val="21"/>
                      <w:szCs w:val="21"/>
                    </w:rPr>
                    <w:t>厂区</w:t>
                  </w:r>
                  <w:r>
                    <w:rPr>
                      <w:rFonts w:hint="eastAsia"/>
                      <w:b w:val="0"/>
                      <w:bCs w:val="0"/>
                      <w:color w:val="auto"/>
                      <w:sz w:val="21"/>
                      <w:szCs w:val="21"/>
                      <w:lang w:eastAsia="zh-CN"/>
                    </w:rPr>
                    <w:t>东北</w:t>
                  </w:r>
                  <w:r>
                    <w:rPr>
                      <w:rFonts w:hint="eastAsia"/>
                      <w:b w:val="0"/>
                      <w:bCs w:val="0"/>
                      <w:color w:val="auto"/>
                      <w:sz w:val="21"/>
                      <w:szCs w:val="21"/>
                    </w:rPr>
                    <w:t>面</w:t>
                  </w:r>
                </w:p>
              </w:tc>
              <w:tc>
                <w:tcPr>
                  <w:tcW w:w="934" w:type="pct"/>
                  <w:vAlign w:val="center"/>
                </w:tcPr>
                <w:p>
                  <w:pPr>
                    <w:pStyle w:val="53"/>
                    <w:adjustRightInd/>
                    <w:snapToGrid/>
                    <w:spacing w:line="240" w:lineRule="auto"/>
                    <w:rPr>
                      <w:b w:val="0"/>
                      <w:bCs w:val="0"/>
                      <w:color w:val="auto"/>
                      <w:sz w:val="21"/>
                      <w:szCs w:val="21"/>
                    </w:rPr>
                  </w:pPr>
                  <w:r>
                    <w:rPr>
                      <w:b w:val="0"/>
                      <w:bCs w:val="0"/>
                      <w:color w:val="auto"/>
                      <w:sz w:val="21"/>
                      <w:szCs w:val="21"/>
                    </w:rPr>
                    <w:t>与</w:t>
                  </w:r>
                  <w:r>
                    <w:rPr>
                      <w:rFonts w:hint="eastAsia"/>
                      <w:b w:val="0"/>
                      <w:bCs w:val="0"/>
                      <w:color w:val="auto"/>
                      <w:sz w:val="21"/>
                      <w:szCs w:val="21"/>
                    </w:rPr>
                    <w:t>厂区</w:t>
                  </w:r>
                  <w:r>
                    <w:rPr>
                      <w:b w:val="0"/>
                      <w:bCs w:val="0"/>
                      <w:color w:val="auto"/>
                      <w:sz w:val="21"/>
                      <w:szCs w:val="21"/>
                    </w:rPr>
                    <w:t>距离</w:t>
                  </w:r>
                  <w:r>
                    <w:rPr>
                      <w:rFonts w:hint="eastAsia"/>
                      <w:b w:val="0"/>
                      <w:bCs w:val="0"/>
                      <w:color w:val="auto"/>
                      <w:sz w:val="21"/>
                      <w:szCs w:val="21"/>
                      <w:lang w:val="en-US" w:eastAsia="zh-CN"/>
                    </w:rPr>
                    <w:t>1570</w:t>
                  </w:r>
                  <w:r>
                    <w:rPr>
                      <w:rFonts w:hint="eastAsia"/>
                      <w:b w:val="0"/>
                      <w:bCs w:val="0"/>
                      <w:color w:val="auto"/>
                      <w:sz w:val="21"/>
                      <w:szCs w:val="21"/>
                    </w:rPr>
                    <w:t>m</w:t>
                  </w:r>
                </w:p>
              </w:tc>
              <w:tc>
                <w:tcPr>
                  <w:tcW w:w="814" w:type="pct"/>
                  <w:tcBorders>
                    <w:right w:val="single" w:color="auto" w:sz="4" w:space="0"/>
                  </w:tcBorders>
                  <w:vAlign w:val="center"/>
                </w:tcPr>
                <w:p>
                  <w:pPr>
                    <w:pStyle w:val="53"/>
                    <w:adjustRightInd/>
                    <w:snapToGrid/>
                    <w:spacing w:line="240" w:lineRule="auto"/>
                    <w:rPr>
                      <w:rFonts w:hint="default" w:eastAsia="宋体"/>
                      <w:b w:val="0"/>
                      <w:bCs w:val="0"/>
                      <w:color w:val="auto"/>
                      <w:sz w:val="21"/>
                      <w:szCs w:val="21"/>
                      <w:lang w:val="en-US" w:eastAsia="zh-CN"/>
                    </w:rPr>
                  </w:pPr>
                  <w:r>
                    <w:rPr>
                      <w:rFonts w:hint="eastAsia"/>
                      <w:b w:val="0"/>
                      <w:bCs w:val="0"/>
                      <w:color w:val="auto"/>
                      <w:sz w:val="21"/>
                      <w:szCs w:val="21"/>
                      <w:lang w:val="en-US" w:eastAsia="zh-CN"/>
                    </w:rPr>
                    <w:t>102.284687</w:t>
                  </w:r>
                </w:p>
              </w:tc>
              <w:tc>
                <w:tcPr>
                  <w:tcW w:w="714" w:type="pct"/>
                  <w:tcBorders>
                    <w:left w:val="single" w:color="auto" w:sz="4" w:space="0"/>
                    <w:right w:val="single" w:color="auto" w:sz="4" w:space="0"/>
                  </w:tcBorders>
                  <w:vAlign w:val="center"/>
                </w:tcPr>
                <w:p>
                  <w:pPr>
                    <w:pStyle w:val="53"/>
                    <w:adjustRightInd/>
                    <w:snapToGrid/>
                    <w:spacing w:line="240" w:lineRule="auto"/>
                    <w:rPr>
                      <w:rFonts w:hint="default" w:eastAsia="宋体"/>
                      <w:b w:val="0"/>
                      <w:bCs w:val="0"/>
                      <w:color w:val="auto"/>
                      <w:sz w:val="21"/>
                      <w:szCs w:val="21"/>
                      <w:lang w:val="en-US" w:eastAsia="zh-CN"/>
                    </w:rPr>
                  </w:pPr>
                  <w:r>
                    <w:rPr>
                      <w:rFonts w:hint="eastAsia"/>
                      <w:b w:val="0"/>
                      <w:bCs w:val="0"/>
                      <w:color w:val="auto"/>
                      <w:sz w:val="21"/>
                      <w:szCs w:val="21"/>
                      <w:lang w:val="en-US" w:eastAsia="zh-CN"/>
                    </w:rPr>
                    <w:t>25.161267</w:t>
                  </w:r>
                </w:p>
              </w:tc>
              <w:tc>
                <w:tcPr>
                  <w:tcW w:w="755" w:type="pct"/>
                  <w:vMerge w:val="continue"/>
                  <w:tcBorders>
                    <w:left w:val="single" w:color="auto" w:sz="4" w:space="0"/>
                  </w:tcBorders>
                  <w:vAlign w:val="center"/>
                </w:tcPr>
                <w:p>
                  <w:pPr>
                    <w:pStyle w:val="53"/>
                    <w:adjustRightInd/>
                    <w:snapToGrid/>
                    <w:spacing w:line="240" w:lineRule="auto"/>
                    <w:rPr>
                      <w:b w:val="0"/>
                      <w:bCs w:val="0"/>
                      <w:color w:val="auto"/>
                      <w:sz w:val="21"/>
                      <w:szCs w:val="21"/>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270" w:type="pct"/>
                  <w:vMerge w:val="continue"/>
                  <w:vAlign w:val="center"/>
                </w:tcPr>
                <w:p>
                  <w:pPr>
                    <w:pStyle w:val="53"/>
                    <w:adjustRightInd/>
                    <w:snapToGrid/>
                    <w:spacing w:line="240" w:lineRule="auto"/>
                    <w:rPr>
                      <w:b w:val="0"/>
                      <w:bCs w:val="0"/>
                      <w:color w:val="auto"/>
                      <w:sz w:val="21"/>
                      <w:szCs w:val="21"/>
                    </w:rPr>
                  </w:pPr>
                </w:p>
              </w:tc>
              <w:tc>
                <w:tcPr>
                  <w:tcW w:w="435" w:type="pct"/>
                  <w:vAlign w:val="center"/>
                </w:tcPr>
                <w:p>
                  <w:pPr>
                    <w:pStyle w:val="53"/>
                    <w:adjustRightInd/>
                    <w:snapToGrid/>
                    <w:spacing w:line="240" w:lineRule="auto"/>
                    <w:rPr>
                      <w:rFonts w:hint="eastAsia" w:eastAsia="宋体"/>
                      <w:b w:val="0"/>
                      <w:bCs w:val="0"/>
                      <w:sz w:val="21"/>
                      <w:szCs w:val="21"/>
                      <w:lang w:eastAsia="zh-CN"/>
                    </w:rPr>
                  </w:pPr>
                  <w:r>
                    <w:rPr>
                      <w:rFonts w:hint="eastAsia"/>
                      <w:b w:val="0"/>
                      <w:bCs w:val="0"/>
                      <w:sz w:val="21"/>
                      <w:szCs w:val="21"/>
                      <w:lang w:eastAsia="zh-CN"/>
                    </w:rPr>
                    <w:t>龙洞</w:t>
                  </w:r>
                </w:p>
              </w:tc>
              <w:tc>
                <w:tcPr>
                  <w:tcW w:w="538" w:type="pct"/>
                  <w:vAlign w:val="center"/>
                </w:tcPr>
                <w:p>
                  <w:pPr>
                    <w:pStyle w:val="53"/>
                    <w:adjustRightInd/>
                    <w:snapToGrid/>
                    <w:spacing w:line="240" w:lineRule="auto"/>
                    <w:rPr>
                      <w:b w:val="0"/>
                      <w:bCs w:val="0"/>
                      <w:color w:val="auto"/>
                      <w:sz w:val="21"/>
                      <w:szCs w:val="21"/>
                    </w:rPr>
                  </w:pPr>
                  <w:r>
                    <w:rPr>
                      <w:rFonts w:hint="eastAsia"/>
                      <w:b w:val="0"/>
                      <w:bCs w:val="0"/>
                      <w:color w:val="auto"/>
                      <w:sz w:val="21"/>
                      <w:szCs w:val="21"/>
                    </w:rPr>
                    <w:t>约</w:t>
                  </w:r>
                  <w:r>
                    <w:rPr>
                      <w:rFonts w:hint="eastAsia"/>
                      <w:b w:val="0"/>
                      <w:bCs w:val="0"/>
                      <w:color w:val="auto"/>
                      <w:sz w:val="21"/>
                      <w:szCs w:val="21"/>
                      <w:lang w:val="en-US" w:eastAsia="zh-CN"/>
                    </w:rPr>
                    <w:t>1</w:t>
                  </w:r>
                  <w:r>
                    <w:rPr>
                      <w:rFonts w:hint="eastAsia"/>
                      <w:b w:val="0"/>
                      <w:bCs w:val="0"/>
                      <w:color w:val="auto"/>
                      <w:sz w:val="21"/>
                      <w:szCs w:val="21"/>
                    </w:rPr>
                    <w:t>00</w:t>
                  </w:r>
                  <w:r>
                    <w:rPr>
                      <w:b w:val="0"/>
                      <w:bCs w:val="0"/>
                      <w:color w:val="auto"/>
                      <w:sz w:val="21"/>
                      <w:szCs w:val="21"/>
                    </w:rPr>
                    <w:t>人</w:t>
                  </w:r>
                </w:p>
              </w:tc>
              <w:tc>
                <w:tcPr>
                  <w:tcW w:w="537" w:type="pct"/>
                  <w:vAlign w:val="center"/>
                </w:tcPr>
                <w:p>
                  <w:pPr>
                    <w:pStyle w:val="53"/>
                    <w:adjustRightInd/>
                    <w:snapToGrid/>
                    <w:spacing w:line="240" w:lineRule="auto"/>
                    <w:rPr>
                      <w:b w:val="0"/>
                      <w:bCs w:val="0"/>
                      <w:color w:val="auto"/>
                      <w:sz w:val="21"/>
                      <w:szCs w:val="21"/>
                    </w:rPr>
                  </w:pPr>
                  <w:r>
                    <w:rPr>
                      <w:rFonts w:hint="eastAsia"/>
                      <w:b w:val="0"/>
                      <w:bCs w:val="0"/>
                      <w:color w:val="auto"/>
                      <w:sz w:val="21"/>
                      <w:szCs w:val="21"/>
                    </w:rPr>
                    <w:t>厂区</w:t>
                  </w:r>
                  <w:r>
                    <w:rPr>
                      <w:rFonts w:hint="eastAsia"/>
                      <w:b w:val="0"/>
                      <w:bCs w:val="0"/>
                      <w:color w:val="auto"/>
                      <w:sz w:val="21"/>
                      <w:szCs w:val="21"/>
                      <w:lang w:eastAsia="zh-CN"/>
                    </w:rPr>
                    <w:t>东</w:t>
                  </w:r>
                  <w:r>
                    <w:rPr>
                      <w:rFonts w:hint="eastAsia"/>
                      <w:b w:val="0"/>
                      <w:bCs w:val="0"/>
                      <w:color w:val="auto"/>
                      <w:sz w:val="21"/>
                      <w:szCs w:val="21"/>
                    </w:rPr>
                    <w:t>北面</w:t>
                  </w:r>
                </w:p>
              </w:tc>
              <w:tc>
                <w:tcPr>
                  <w:tcW w:w="934" w:type="pct"/>
                  <w:vAlign w:val="center"/>
                </w:tcPr>
                <w:p>
                  <w:pPr>
                    <w:pStyle w:val="53"/>
                    <w:adjustRightInd/>
                    <w:snapToGrid/>
                    <w:spacing w:line="240" w:lineRule="auto"/>
                    <w:rPr>
                      <w:b w:val="0"/>
                      <w:bCs w:val="0"/>
                      <w:color w:val="auto"/>
                      <w:sz w:val="21"/>
                      <w:szCs w:val="21"/>
                    </w:rPr>
                  </w:pPr>
                  <w:r>
                    <w:rPr>
                      <w:b w:val="0"/>
                      <w:bCs w:val="0"/>
                      <w:color w:val="auto"/>
                      <w:sz w:val="21"/>
                      <w:szCs w:val="21"/>
                    </w:rPr>
                    <w:t>与</w:t>
                  </w:r>
                  <w:r>
                    <w:rPr>
                      <w:rFonts w:hint="eastAsia"/>
                      <w:b w:val="0"/>
                      <w:bCs w:val="0"/>
                      <w:color w:val="auto"/>
                      <w:sz w:val="21"/>
                      <w:szCs w:val="21"/>
                    </w:rPr>
                    <w:t>厂区</w:t>
                  </w:r>
                  <w:r>
                    <w:rPr>
                      <w:b w:val="0"/>
                      <w:bCs w:val="0"/>
                      <w:color w:val="auto"/>
                      <w:sz w:val="21"/>
                      <w:szCs w:val="21"/>
                    </w:rPr>
                    <w:t>距离</w:t>
                  </w:r>
                  <w:r>
                    <w:rPr>
                      <w:rFonts w:hint="eastAsia"/>
                      <w:b w:val="0"/>
                      <w:bCs w:val="0"/>
                      <w:color w:val="auto"/>
                      <w:sz w:val="21"/>
                      <w:szCs w:val="21"/>
                      <w:lang w:val="en-US" w:eastAsia="zh-CN"/>
                    </w:rPr>
                    <w:t>1670</w:t>
                  </w:r>
                  <w:r>
                    <w:rPr>
                      <w:rFonts w:hint="eastAsia"/>
                      <w:b w:val="0"/>
                      <w:bCs w:val="0"/>
                      <w:color w:val="auto"/>
                      <w:sz w:val="21"/>
                      <w:szCs w:val="21"/>
                    </w:rPr>
                    <w:t>m</w:t>
                  </w:r>
                </w:p>
              </w:tc>
              <w:tc>
                <w:tcPr>
                  <w:tcW w:w="814" w:type="pct"/>
                  <w:tcBorders>
                    <w:right w:val="single" w:color="auto" w:sz="4" w:space="0"/>
                  </w:tcBorders>
                  <w:vAlign w:val="center"/>
                </w:tcPr>
                <w:p>
                  <w:pPr>
                    <w:pStyle w:val="53"/>
                    <w:adjustRightInd/>
                    <w:snapToGrid/>
                    <w:spacing w:line="240" w:lineRule="auto"/>
                    <w:rPr>
                      <w:rFonts w:hint="default" w:eastAsia="宋体"/>
                      <w:b w:val="0"/>
                      <w:bCs w:val="0"/>
                      <w:color w:val="auto"/>
                      <w:sz w:val="21"/>
                      <w:szCs w:val="21"/>
                      <w:lang w:val="en-US" w:eastAsia="zh-CN"/>
                    </w:rPr>
                  </w:pPr>
                  <w:r>
                    <w:rPr>
                      <w:rFonts w:hint="eastAsia"/>
                      <w:b w:val="0"/>
                      <w:bCs w:val="0"/>
                      <w:color w:val="auto"/>
                      <w:sz w:val="21"/>
                      <w:szCs w:val="21"/>
                      <w:lang w:val="en-US" w:eastAsia="zh-CN"/>
                    </w:rPr>
                    <w:t>102.284285</w:t>
                  </w:r>
                </w:p>
              </w:tc>
              <w:tc>
                <w:tcPr>
                  <w:tcW w:w="714" w:type="pct"/>
                  <w:tcBorders>
                    <w:left w:val="single" w:color="auto" w:sz="4" w:space="0"/>
                    <w:right w:val="single" w:color="auto" w:sz="4" w:space="0"/>
                  </w:tcBorders>
                  <w:vAlign w:val="center"/>
                </w:tcPr>
                <w:p>
                  <w:pPr>
                    <w:pStyle w:val="53"/>
                    <w:adjustRightInd/>
                    <w:snapToGrid/>
                    <w:spacing w:line="240" w:lineRule="auto"/>
                    <w:rPr>
                      <w:rFonts w:hint="default" w:eastAsia="宋体"/>
                      <w:b w:val="0"/>
                      <w:bCs w:val="0"/>
                      <w:color w:val="auto"/>
                      <w:sz w:val="21"/>
                      <w:szCs w:val="21"/>
                      <w:lang w:val="en-US" w:eastAsia="zh-CN"/>
                    </w:rPr>
                  </w:pPr>
                  <w:r>
                    <w:rPr>
                      <w:rFonts w:hint="eastAsia"/>
                      <w:b w:val="0"/>
                      <w:bCs w:val="0"/>
                      <w:color w:val="auto"/>
                      <w:sz w:val="21"/>
                      <w:szCs w:val="21"/>
                      <w:lang w:val="en-US" w:eastAsia="zh-CN"/>
                    </w:rPr>
                    <w:t>25.162943</w:t>
                  </w:r>
                </w:p>
              </w:tc>
              <w:tc>
                <w:tcPr>
                  <w:tcW w:w="755" w:type="pct"/>
                  <w:vMerge w:val="continue"/>
                  <w:tcBorders>
                    <w:left w:val="single" w:color="auto" w:sz="4" w:space="0"/>
                  </w:tcBorders>
                  <w:vAlign w:val="center"/>
                </w:tcPr>
                <w:p>
                  <w:pPr>
                    <w:pStyle w:val="53"/>
                    <w:adjustRightInd/>
                    <w:snapToGrid/>
                    <w:spacing w:line="240" w:lineRule="auto"/>
                    <w:rPr>
                      <w:b w:val="0"/>
                      <w:bCs w:val="0"/>
                      <w:color w:val="auto"/>
                      <w:sz w:val="21"/>
                      <w:szCs w:val="21"/>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270" w:type="pct"/>
                  <w:vMerge w:val="continue"/>
                  <w:vAlign w:val="center"/>
                </w:tcPr>
                <w:p>
                  <w:pPr>
                    <w:pStyle w:val="53"/>
                    <w:adjustRightInd/>
                    <w:snapToGrid/>
                    <w:spacing w:line="240" w:lineRule="auto"/>
                    <w:rPr>
                      <w:b w:val="0"/>
                      <w:bCs w:val="0"/>
                      <w:color w:val="auto"/>
                      <w:sz w:val="21"/>
                      <w:szCs w:val="21"/>
                    </w:rPr>
                  </w:pPr>
                </w:p>
              </w:tc>
              <w:tc>
                <w:tcPr>
                  <w:tcW w:w="435" w:type="pct"/>
                  <w:vAlign w:val="center"/>
                </w:tcPr>
                <w:p>
                  <w:pPr>
                    <w:pStyle w:val="53"/>
                    <w:adjustRightInd/>
                    <w:snapToGrid/>
                    <w:spacing w:line="240" w:lineRule="auto"/>
                    <w:rPr>
                      <w:rFonts w:hint="eastAsia"/>
                      <w:b w:val="0"/>
                      <w:bCs w:val="0"/>
                      <w:sz w:val="21"/>
                      <w:szCs w:val="21"/>
                      <w:lang w:eastAsia="zh-CN"/>
                    </w:rPr>
                  </w:pPr>
                  <w:r>
                    <w:rPr>
                      <w:rFonts w:hint="eastAsia"/>
                      <w:b w:val="0"/>
                      <w:bCs w:val="0"/>
                      <w:sz w:val="21"/>
                      <w:szCs w:val="21"/>
                      <w:lang w:eastAsia="zh-CN"/>
                    </w:rPr>
                    <w:t>南营村</w:t>
                  </w:r>
                </w:p>
              </w:tc>
              <w:tc>
                <w:tcPr>
                  <w:tcW w:w="538" w:type="pct"/>
                  <w:vAlign w:val="center"/>
                </w:tcPr>
                <w:p>
                  <w:pPr>
                    <w:pStyle w:val="53"/>
                    <w:adjustRightInd/>
                    <w:snapToGrid/>
                    <w:spacing w:line="240" w:lineRule="auto"/>
                    <w:ind w:firstLine="0" w:firstLineChars="0"/>
                    <w:rPr>
                      <w:rFonts w:hint="eastAsia"/>
                      <w:b w:val="0"/>
                      <w:bCs w:val="0"/>
                      <w:color w:val="auto"/>
                      <w:sz w:val="21"/>
                      <w:szCs w:val="21"/>
                    </w:rPr>
                  </w:pPr>
                  <w:r>
                    <w:rPr>
                      <w:rFonts w:hint="eastAsia"/>
                      <w:b w:val="0"/>
                      <w:bCs w:val="0"/>
                      <w:color w:val="auto"/>
                      <w:sz w:val="21"/>
                      <w:szCs w:val="21"/>
                    </w:rPr>
                    <w:t>约</w:t>
                  </w:r>
                  <w:r>
                    <w:rPr>
                      <w:rFonts w:hint="eastAsia"/>
                      <w:b w:val="0"/>
                      <w:bCs w:val="0"/>
                      <w:color w:val="auto"/>
                      <w:sz w:val="21"/>
                      <w:szCs w:val="21"/>
                      <w:lang w:val="en-US" w:eastAsia="zh-CN"/>
                    </w:rPr>
                    <w:t>20</w:t>
                  </w:r>
                  <w:r>
                    <w:rPr>
                      <w:rFonts w:hint="eastAsia"/>
                      <w:b w:val="0"/>
                      <w:bCs w:val="0"/>
                      <w:color w:val="auto"/>
                      <w:sz w:val="21"/>
                      <w:szCs w:val="21"/>
                    </w:rPr>
                    <w:t>00</w:t>
                  </w:r>
                  <w:r>
                    <w:rPr>
                      <w:rFonts w:hint="eastAsia"/>
                      <w:b w:val="0"/>
                      <w:bCs w:val="0"/>
                      <w:color w:val="auto"/>
                      <w:sz w:val="21"/>
                      <w:szCs w:val="21"/>
                      <w:lang w:eastAsia="zh-CN"/>
                    </w:rPr>
                    <w:t>人</w:t>
                  </w:r>
                </w:p>
              </w:tc>
              <w:tc>
                <w:tcPr>
                  <w:tcW w:w="537" w:type="pct"/>
                  <w:vAlign w:val="center"/>
                </w:tcPr>
                <w:p>
                  <w:pPr>
                    <w:pStyle w:val="53"/>
                    <w:adjustRightInd/>
                    <w:snapToGrid/>
                    <w:spacing w:line="240" w:lineRule="auto"/>
                    <w:ind w:firstLine="0" w:firstLineChars="0"/>
                    <w:rPr>
                      <w:rFonts w:hint="eastAsia"/>
                      <w:b w:val="0"/>
                      <w:bCs w:val="0"/>
                      <w:color w:val="auto"/>
                      <w:sz w:val="21"/>
                      <w:szCs w:val="21"/>
                    </w:rPr>
                  </w:pPr>
                  <w:r>
                    <w:rPr>
                      <w:rFonts w:hint="eastAsia"/>
                      <w:b w:val="0"/>
                      <w:bCs w:val="0"/>
                      <w:color w:val="auto"/>
                      <w:sz w:val="21"/>
                      <w:szCs w:val="21"/>
                    </w:rPr>
                    <w:t>厂区</w:t>
                  </w:r>
                  <w:r>
                    <w:rPr>
                      <w:rFonts w:hint="eastAsia"/>
                      <w:b w:val="0"/>
                      <w:bCs w:val="0"/>
                      <w:color w:val="auto"/>
                      <w:sz w:val="21"/>
                      <w:szCs w:val="21"/>
                      <w:lang w:eastAsia="zh-CN"/>
                    </w:rPr>
                    <w:t>西北</w:t>
                  </w:r>
                  <w:r>
                    <w:rPr>
                      <w:b w:val="0"/>
                      <w:bCs w:val="0"/>
                      <w:color w:val="auto"/>
                      <w:sz w:val="21"/>
                      <w:szCs w:val="21"/>
                    </w:rPr>
                    <w:t>面</w:t>
                  </w:r>
                </w:p>
              </w:tc>
              <w:tc>
                <w:tcPr>
                  <w:tcW w:w="934" w:type="pct"/>
                  <w:vAlign w:val="center"/>
                </w:tcPr>
                <w:p>
                  <w:pPr>
                    <w:pStyle w:val="53"/>
                    <w:adjustRightInd/>
                    <w:snapToGrid/>
                    <w:spacing w:line="240" w:lineRule="auto"/>
                    <w:ind w:firstLine="0" w:firstLineChars="0"/>
                    <w:rPr>
                      <w:b w:val="0"/>
                      <w:bCs w:val="0"/>
                      <w:color w:val="auto"/>
                      <w:sz w:val="21"/>
                      <w:szCs w:val="21"/>
                    </w:rPr>
                  </w:pPr>
                  <w:r>
                    <w:rPr>
                      <w:b w:val="0"/>
                      <w:bCs w:val="0"/>
                      <w:color w:val="auto"/>
                      <w:sz w:val="21"/>
                      <w:szCs w:val="21"/>
                    </w:rPr>
                    <w:t>与</w:t>
                  </w:r>
                  <w:r>
                    <w:rPr>
                      <w:rFonts w:hint="eastAsia"/>
                      <w:b w:val="0"/>
                      <w:bCs w:val="0"/>
                      <w:color w:val="auto"/>
                      <w:sz w:val="21"/>
                      <w:szCs w:val="21"/>
                    </w:rPr>
                    <w:t>厂区</w:t>
                  </w:r>
                  <w:r>
                    <w:rPr>
                      <w:b w:val="0"/>
                      <w:bCs w:val="0"/>
                      <w:color w:val="auto"/>
                      <w:sz w:val="21"/>
                      <w:szCs w:val="21"/>
                    </w:rPr>
                    <w:t>距离</w:t>
                  </w:r>
                  <w:r>
                    <w:rPr>
                      <w:rFonts w:hint="eastAsia"/>
                      <w:b w:val="0"/>
                      <w:bCs w:val="0"/>
                      <w:color w:val="auto"/>
                      <w:sz w:val="21"/>
                      <w:szCs w:val="21"/>
                      <w:lang w:val="en-US" w:eastAsia="zh-CN"/>
                    </w:rPr>
                    <w:t>1740</w:t>
                  </w:r>
                  <w:r>
                    <w:rPr>
                      <w:b w:val="0"/>
                      <w:bCs w:val="0"/>
                      <w:color w:val="auto"/>
                      <w:sz w:val="21"/>
                      <w:szCs w:val="21"/>
                    </w:rPr>
                    <w:t>m</w:t>
                  </w:r>
                </w:p>
              </w:tc>
              <w:tc>
                <w:tcPr>
                  <w:tcW w:w="814" w:type="pct"/>
                  <w:tcBorders>
                    <w:right w:val="single" w:color="auto" w:sz="4" w:space="0"/>
                  </w:tcBorders>
                  <w:vAlign w:val="center"/>
                </w:tcPr>
                <w:p>
                  <w:pPr>
                    <w:pStyle w:val="53"/>
                    <w:adjustRightInd/>
                    <w:snapToGrid/>
                    <w:spacing w:line="240" w:lineRule="auto"/>
                    <w:rPr>
                      <w:rFonts w:hint="default" w:eastAsia="宋体"/>
                      <w:b w:val="0"/>
                      <w:bCs w:val="0"/>
                      <w:color w:val="auto"/>
                      <w:sz w:val="21"/>
                      <w:szCs w:val="21"/>
                      <w:lang w:val="en-US" w:eastAsia="zh-CN"/>
                    </w:rPr>
                  </w:pPr>
                  <w:r>
                    <w:rPr>
                      <w:rFonts w:hint="eastAsia"/>
                      <w:b w:val="0"/>
                      <w:bCs w:val="0"/>
                      <w:color w:val="auto"/>
                      <w:sz w:val="21"/>
                      <w:szCs w:val="21"/>
                      <w:lang w:val="en-US" w:eastAsia="zh-CN"/>
                    </w:rPr>
                    <w:t>102.274175</w:t>
                  </w:r>
                </w:p>
              </w:tc>
              <w:tc>
                <w:tcPr>
                  <w:tcW w:w="714" w:type="pct"/>
                  <w:tcBorders>
                    <w:left w:val="single" w:color="auto" w:sz="4" w:space="0"/>
                    <w:right w:val="single" w:color="auto" w:sz="4" w:space="0"/>
                  </w:tcBorders>
                  <w:vAlign w:val="center"/>
                </w:tcPr>
                <w:p>
                  <w:pPr>
                    <w:pStyle w:val="53"/>
                    <w:adjustRightInd/>
                    <w:snapToGrid/>
                    <w:spacing w:line="240" w:lineRule="auto"/>
                    <w:rPr>
                      <w:rFonts w:hint="default" w:eastAsia="宋体"/>
                      <w:b w:val="0"/>
                      <w:bCs w:val="0"/>
                      <w:color w:val="auto"/>
                      <w:sz w:val="21"/>
                      <w:szCs w:val="21"/>
                      <w:lang w:val="en-US" w:eastAsia="zh-CN"/>
                    </w:rPr>
                  </w:pPr>
                  <w:r>
                    <w:rPr>
                      <w:rFonts w:hint="eastAsia"/>
                      <w:b w:val="0"/>
                      <w:bCs w:val="0"/>
                      <w:color w:val="auto"/>
                      <w:sz w:val="21"/>
                      <w:szCs w:val="21"/>
                      <w:lang w:val="en-US" w:eastAsia="zh-CN"/>
                    </w:rPr>
                    <w:t>25.165472</w:t>
                  </w:r>
                </w:p>
              </w:tc>
              <w:tc>
                <w:tcPr>
                  <w:tcW w:w="755" w:type="pct"/>
                  <w:vMerge w:val="continue"/>
                  <w:tcBorders>
                    <w:left w:val="single" w:color="auto" w:sz="4" w:space="0"/>
                  </w:tcBorders>
                  <w:vAlign w:val="center"/>
                </w:tcPr>
                <w:p>
                  <w:pPr>
                    <w:pStyle w:val="53"/>
                    <w:adjustRightInd/>
                    <w:snapToGrid/>
                    <w:spacing w:line="240" w:lineRule="auto"/>
                    <w:rPr>
                      <w:b w:val="0"/>
                      <w:bCs w:val="0"/>
                      <w:color w:val="auto"/>
                      <w:sz w:val="21"/>
                      <w:szCs w:val="21"/>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270" w:type="pct"/>
                  <w:vMerge w:val="continue"/>
                  <w:vAlign w:val="center"/>
                </w:tcPr>
                <w:p>
                  <w:pPr>
                    <w:pStyle w:val="53"/>
                    <w:adjustRightInd/>
                    <w:snapToGrid/>
                    <w:spacing w:line="240" w:lineRule="auto"/>
                    <w:rPr>
                      <w:b w:val="0"/>
                      <w:bCs w:val="0"/>
                      <w:color w:val="auto"/>
                      <w:sz w:val="21"/>
                      <w:szCs w:val="21"/>
                    </w:rPr>
                  </w:pPr>
                </w:p>
              </w:tc>
              <w:tc>
                <w:tcPr>
                  <w:tcW w:w="435" w:type="pct"/>
                  <w:vAlign w:val="center"/>
                </w:tcPr>
                <w:p>
                  <w:pPr>
                    <w:pStyle w:val="53"/>
                    <w:adjustRightInd/>
                    <w:snapToGrid/>
                    <w:spacing w:line="240" w:lineRule="auto"/>
                    <w:rPr>
                      <w:rFonts w:hint="eastAsia"/>
                      <w:b w:val="0"/>
                      <w:bCs w:val="0"/>
                      <w:sz w:val="21"/>
                      <w:szCs w:val="21"/>
                      <w:lang w:eastAsia="zh-CN"/>
                    </w:rPr>
                  </w:pPr>
                  <w:r>
                    <w:rPr>
                      <w:rFonts w:hint="eastAsia"/>
                      <w:b w:val="0"/>
                      <w:bCs w:val="0"/>
                      <w:sz w:val="21"/>
                      <w:szCs w:val="21"/>
                      <w:lang w:eastAsia="zh-CN"/>
                    </w:rPr>
                    <w:t>小三竜</w:t>
                  </w:r>
                </w:p>
              </w:tc>
              <w:tc>
                <w:tcPr>
                  <w:tcW w:w="538" w:type="pct"/>
                  <w:vAlign w:val="center"/>
                </w:tcPr>
                <w:p>
                  <w:pPr>
                    <w:pStyle w:val="53"/>
                    <w:adjustRightInd/>
                    <w:snapToGrid/>
                    <w:spacing w:line="240" w:lineRule="auto"/>
                    <w:ind w:firstLine="0" w:firstLineChars="0"/>
                    <w:rPr>
                      <w:rFonts w:hint="eastAsia"/>
                      <w:b w:val="0"/>
                      <w:bCs w:val="0"/>
                      <w:color w:val="auto"/>
                      <w:sz w:val="21"/>
                      <w:szCs w:val="21"/>
                    </w:rPr>
                  </w:pPr>
                  <w:r>
                    <w:rPr>
                      <w:rFonts w:hint="eastAsia"/>
                      <w:b w:val="0"/>
                      <w:bCs w:val="0"/>
                      <w:color w:val="auto"/>
                      <w:sz w:val="21"/>
                      <w:szCs w:val="21"/>
                    </w:rPr>
                    <w:t>约</w:t>
                  </w:r>
                  <w:r>
                    <w:rPr>
                      <w:rFonts w:hint="eastAsia"/>
                      <w:b w:val="0"/>
                      <w:bCs w:val="0"/>
                      <w:color w:val="auto"/>
                      <w:sz w:val="21"/>
                      <w:szCs w:val="21"/>
                      <w:lang w:val="en-US" w:eastAsia="zh-CN"/>
                    </w:rPr>
                    <w:t>2</w:t>
                  </w:r>
                  <w:r>
                    <w:rPr>
                      <w:rFonts w:hint="eastAsia"/>
                      <w:b w:val="0"/>
                      <w:bCs w:val="0"/>
                      <w:color w:val="auto"/>
                      <w:sz w:val="21"/>
                      <w:szCs w:val="21"/>
                    </w:rPr>
                    <w:t>00人</w:t>
                  </w:r>
                </w:p>
              </w:tc>
              <w:tc>
                <w:tcPr>
                  <w:tcW w:w="537" w:type="pct"/>
                  <w:vAlign w:val="center"/>
                </w:tcPr>
                <w:p>
                  <w:pPr>
                    <w:pStyle w:val="53"/>
                    <w:adjustRightInd/>
                    <w:snapToGrid/>
                    <w:spacing w:line="240" w:lineRule="auto"/>
                    <w:ind w:firstLine="0" w:firstLineChars="0"/>
                    <w:rPr>
                      <w:rFonts w:hint="eastAsia"/>
                      <w:b w:val="0"/>
                      <w:bCs w:val="0"/>
                      <w:color w:val="auto"/>
                      <w:sz w:val="21"/>
                      <w:szCs w:val="21"/>
                    </w:rPr>
                  </w:pPr>
                  <w:r>
                    <w:rPr>
                      <w:rFonts w:hint="eastAsia"/>
                      <w:b w:val="0"/>
                      <w:bCs w:val="0"/>
                      <w:color w:val="auto"/>
                      <w:sz w:val="21"/>
                      <w:szCs w:val="21"/>
                    </w:rPr>
                    <w:t>厂区</w:t>
                  </w:r>
                  <w:r>
                    <w:rPr>
                      <w:rFonts w:hint="eastAsia"/>
                      <w:b w:val="0"/>
                      <w:bCs w:val="0"/>
                      <w:color w:val="auto"/>
                      <w:sz w:val="21"/>
                      <w:szCs w:val="21"/>
                      <w:lang w:eastAsia="zh-CN"/>
                    </w:rPr>
                    <w:t>东北</w:t>
                  </w:r>
                  <w:r>
                    <w:rPr>
                      <w:b w:val="0"/>
                      <w:bCs w:val="0"/>
                      <w:color w:val="auto"/>
                      <w:sz w:val="21"/>
                      <w:szCs w:val="21"/>
                    </w:rPr>
                    <w:t>面</w:t>
                  </w:r>
                </w:p>
              </w:tc>
              <w:tc>
                <w:tcPr>
                  <w:tcW w:w="934" w:type="pct"/>
                  <w:vAlign w:val="center"/>
                </w:tcPr>
                <w:p>
                  <w:pPr>
                    <w:pStyle w:val="53"/>
                    <w:adjustRightInd/>
                    <w:snapToGrid/>
                    <w:spacing w:line="240" w:lineRule="auto"/>
                    <w:ind w:firstLine="0" w:firstLineChars="0"/>
                    <w:rPr>
                      <w:b w:val="0"/>
                      <w:bCs w:val="0"/>
                      <w:color w:val="auto"/>
                      <w:sz w:val="21"/>
                      <w:szCs w:val="21"/>
                    </w:rPr>
                  </w:pPr>
                  <w:r>
                    <w:rPr>
                      <w:b w:val="0"/>
                      <w:bCs w:val="0"/>
                      <w:color w:val="auto"/>
                      <w:sz w:val="21"/>
                      <w:szCs w:val="21"/>
                    </w:rPr>
                    <w:t>与</w:t>
                  </w:r>
                  <w:r>
                    <w:rPr>
                      <w:rFonts w:hint="eastAsia"/>
                      <w:b w:val="0"/>
                      <w:bCs w:val="0"/>
                      <w:color w:val="auto"/>
                      <w:sz w:val="21"/>
                      <w:szCs w:val="21"/>
                    </w:rPr>
                    <w:t>厂区</w:t>
                  </w:r>
                  <w:r>
                    <w:rPr>
                      <w:b w:val="0"/>
                      <w:bCs w:val="0"/>
                      <w:color w:val="auto"/>
                      <w:sz w:val="21"/>
                      <w:szCs w:val="21"/>
                    </w:rPr>
                    <w:t>距离</w:t>
                  </w:r>
                  <w:r>
                    <w:rPr>
                      <w:rFonts w:hint="eastAsia"/>
                      <w:b w:val="0"/>
                      <w:bCs w:val="0"/>
                      <w:color w:val="auto"/>
                      <w:sz w:val="21"/>
                      <w:szCs w:val="21"/>
                      <w:lang w:val="en-US" w:eastAsia="zh-CN"/>
                    </w:rPr>
                    <w:t>1820</w:t>
                  </w:r>
                  <w:r>
                    <w:rPr>
                      <w:b w:val="0"/>
                      <w:bCs w:val="0"/>
                      <w:color w:val="auto"/>
                      <w:sz w:val="21"/>
                      <w:szCs w:val="21"/>
                    </w:rPr>
                    <w:t>m</w:t>
                  </w:r>
                </w:p>
              </w:tc>
              <w:tc>
                <w:tcPr>
                  <w:tcW w:w="814" w:type="pct"/>
                  <w:tcBorders>
                    <w:right w:val="single" w:color="auto" w:sz="4" w:space="0"/>
                  </w:tcBorders>
                  <w:vAlign w:val="center"/>
                </w:tcPr>
                <w:p>
                  <w:pPr>
                    <w:pStyle w:val="53"/>
                    <w:adjustRightInd/>
                    <w:snapToGrid/>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102.281222</w:t>
                  </w:r>
                </w:p>
              </w:tc>
              <w:tc>
                <w:tcPr>
                  <w:tcW w:w="714" w:type="pct"/>
                  <w:tcBorders>
                    <w:left w:val="single" w:color="auto" w:sz="4" w:space="0"/>
                    <w:right w:val="single" w:color="auto" w:sz="4" w:space="0"/>
                  </w:tcBorders>
                  <w:vAlign w:val="center"/>
                </w:tcPr>
                <w:p>
                  <w:pPr>
                    <w:pStyle w:val="53"/>
                    <w:adjustRightInd/>
                    <w:snapToGrid/>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25.170031</w:t>
                  </w:r>
                </w:p>
              </w:tc>
              <w:tc>
                <w:tcPr>
                  <w:tcW w:w="755" w:type="pct"/>
                  <w:vMerge w:val="continue"/>
                  <w:tcBorders>
                    <w:left w:val="single" w:color="auto" w:sz="4" w:space="0"/>
                  </w:tcBorders>
                  <w:vAlign w:val="center"/>
                </w:tcPr>
                <w:p>
                  <w:pPr>
                    <w:pStyle w:val="53"/>
                    <w:adjustRightInd/>
                    <w:snapToGrid/>
                    <w:spacing w:line="240" w:lineRule="auto"/>
                    <w:rPr>
                      <w:b w:val="0"/>
                      <w:bCs w:val="0"/>
                      <w:color w:val="auto"/>
                      <w:sz w:val="21"/>
                      <w:szCs w:val="21"/>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270" w:type="pct"/>
                  <w:vMerge w:val="continue"/>
                  <w:vAlign w:val="center"/>
                </w:tcPr>
                <w:p>
                  <w:pPr>
                    <w:pStyle w:val="53"/>
                    <w:adjustRightInd/>
                    <w:snapToGrid/>
                    <w:spacing w:line="240" w:lineRule="auto"/>
                    <w:rPr>
                      <w:b w:val="0"/>
                      <w:bCs w:val="0"/>
                      <w:color w:val="auto"/>
                      <w:sz w:val="21"/>
                      <w:szCs w:val="21"/>
                    </w:rPr>
                  </w:pPr>
                </w:p>
              </w:tc>
              <w:tc>
                <w:tcPr>
                  <w:tcW w:w="435" w:type="pct"/>
                  <w:vAlign w:val="center"/>
                </w:tcPr>
                <w:p>
                  <w:pPr>
                    <w:pStyle w:val="53"/>
                    <w:adjustRightInd/>
                    <w:snapToGrid/>
                    <w:spacing w:line="240" w:lineRule="auto"/>
                    <w:ind w:firstLine="0" w:firstLineChars="0"/>
                    <w:rPr>
                      <w:rFonts w:hint="eastAsia"/>
                      <w:b w:val="0"/>
                      <w:bCs w:val="0"/>
                      <w:sz w:val="21"/>
                      <w:szCs w:val="21"/>
                      <w:lang w:eastAsia="zh-CN"/>
                    </w:rPr>
                  </w:pPr>
                  <w:r>
                    <w:rPr>
                      <w:rFonts w:hint="eastAsia"/>
                      <w:b w:val="0"/>
                      <w:bCs w:val="0"/>
                      <w:sz w:val="21"/>
                      <w:szCs w:val="21"/>
                      <w:lang w:eastAsia="zh-CN"/>
                    </w:rPr>
                    <w:t>大三竜</w:t>
                  </w:r>
                </w:p>
              </w:tc>
              <w:tc>
                <w:tcPr>
                  <w:tcW w:w="538" w:type="pct"/>
                  <w:vAlign w:val="center"/>
                </w:tcPr>
                <w:p>
                  <w:pPr>
                    <w:pStyle w:val="53"/>
                    <w:adjustRightInd/>
                    <w:snapToGrid/>
                    <w:spacing w:line="240" w:lineRule="auto"/>
                    <w:ind w:firstLine="0" w:firstLineChars="0"/>
                    <w:rPr>
                      <w:rFonts w:hint="eastAsia"/>
                      <w:b w:val="0"/>
                      <w:bCs w:val="0"/>
                      <w:color w:val="auto"/>
                      <w:sz w:val="21"/>
                      <w:szCs w:val="21"/>
                    </w:rPr>
                  </w:pPr>
                  <w:r>
                    <w:rPr>
                      <w:b w:val="0"/>
                      <w:bCs w:val="0"/>
                      <w:color w:val="auto"/>
                      <w:sz w:val="21"/>
                      <w:szCs w:val="21"/>
                    </w:rPr>
                    <w:t>约</w:t>
                  </w:r>
                  <w:r>
                    <w:rPr>
                      <w:rFonts w:hint="eastAsia"/>
                      <w:b w:val="0"/>
                      <w:bCs w:val="0"/>
                      <w:color w:val="auto"/>
                      <w:sz w:val="21"/>
                      <w:szCs w:val="21"/>
                      <w:lang w:val="en-US" w:eastAsia="zh-CN"/>
                    </w:rPr>
                    <w:t>18</w:t>
                  </w:r>
                  <w:r>
                    <w:rPr>
                      <w:rFonts w:hint="eastAsia"/>
                      <w:b w:val="0"/>
                      <w:bCs w:val="0"/>
                      <w:color w:val="auto"/>
                      <w:sz w:val="21"/>
                      <w:szCs w:val="21"/>
                    </w:rPr>
                    <w:t>00</w:t>
                  </w:r>
                  <w:r>
                    <w:rPr>
                      <w:b w:val="0"/>
                      <w:bCs w:val="0"/>
                      <w:color w:val="auto"/>
                      <w:sz w:val="21"/>
                      <w:szCs w:val="21"/>
                    </w:rPr>
                    <w:t>人</w:t>
                  </w:r>
                </w:p>
              </w:tc>
              <w:tc>
                <w:tcPr>
                  <w:tcW w:w="537" w:type="pct"/>
                  <w:vAlign w:val="center"/>
                </w:tcPr>
                <w:p>
                  <w:pPr>
                    <w:pStyle w:val="53"/>
                    <w:adjustRightInd/>
                    <w:snapToGrid/>
                    <w:spacing w:line="240" w:lineRule="auto"/>
                    <w:ind w:firstLine="0" w:firstLineChars="0"/>
                    <w:rPr>
                      <w:rFonts w:hint="eastAsia"/>
                      <w:b w:val="0"/>
                      <w:bCs w:val="0"/>
                      <w:color w:val="auto"/>
                      <w:sz w:val="21"/>
                      <w:szCs w:val="21"/>
                    </w:rPr>
                  </w:pPr>
                  <w:r>
                    <w:rPr>
                      <w:rFonts w:hint="eastAsia"/>
                      <w:b w:val="0"/>
                      <w:bCs w:val="0"/>
                      <w:color w:val="auto"/>
                      <w:sz w:val="21"/>
                      <w:szCs w:val="21"/>
                    </w:rPr>
                    <w:t>厂区</w:t>
                  </w:r>
                  <w:r>
                    <w:rPr>
                      <w:rFonts w:hint="eastAsia"/>
                      <w:b w:val="0"/>
                      <w:bCs w:val="0"/>
                      <w:color w:val="auto"/>
                      <w:sz w:val="21"/>
                      <w:szCs w:val="21"/>
                      <w:lang w:eastAsia="zh-CN"/>
                    </w:rPr>
                    <w:t>东北</w:t>
                  </w:r>
                  <w:r>
                    <w:rPr>
                      <w:rFonts w:hint="eastAsia"/>
                      <w:b w:val="0"/>
                      <w:bCs w:val="0"/>
                      <w:color w:val="auto"/>
                      <w:sz w:val="21"/>
                      <w:szCs w:val="21"/>
                    </w:rPr>
                    <w:t>面</w:t>
                  </w:r>
                </w:p>
              </w:tc>
              <w:tc>
                <w:tcPr>
                  <w:tcW w:w="934" w:type="pct"/>
                  <w:vAlign w:val="center"/>
                </w:tcPr>
                <w:p>
                  <w:pPr>
                    <w:pStyle w:val="53"/>
                    <w:adjustRightInd/>
                    <w:snapToGrid/>
                    <w:spacing w:line="240" w:lineRule="auto"/>
                    <w:ind w:firstLine="0" w:firstLineChars="0"/>
                    <w:rPr>
                      <w:b w:val="0"/>
                      <w:bCs w:val="0"/>
                      <w:color w:val="auto"/>
                      <w:sz w:val="21"/>
                      <w:szCs w:val="21"/>
                    </w:rPr>
                  </w:pPr>
                  <w:r>
                    <w:rPr>
                      <w:b w:val="0"/>
                      <w:bCs w:val="0"/>
                      <w:color w:val="auto"/>
                      <w:sz w:val="21"/>
                      <w:szCs w:val="21"/>
                    </w:rPr>
                    <w:t>与</w:t>
                  </w:r>
                  <w:r>
                    <w:rPr>
                      <w:rFonts w:hint="eastAsia"/>
                      <w:b w:val="0"/>
                      <w:bCs w:val="0"/>
                      <w:color w:val="auto"/>
                      <w:sz w:val="21"/>
                      <w:szCs w:val="21"/>
                    </w:rPr>
                    <w:t>厂区</w:t>
                  </w:r>
                  <w:r>
                    <w:rPr>
                      <w:b w:val="0"/>
                      <w:bCs w:val="0"/>
                      <w:color w:val="auto"/>
                      <w:sz w:val="21"/>
                      <w:szCs w:val="21"/>
                    </w:rPr>
                    <w:t>距离</w:t>
                  </w:r>
                  <w:r>
                    <w:rPr>
                      <w:rFonts w:hint="eastAsia"/>
                      <w:b w:val="0"/>
                      <w:bCs w:val="0"/>
                      <w:color w:val="auto"/>
                      <w:sz w:val="21"/>
                      <w:szCs w:val="21"/>
                      <w:lang w:val="en-US" w:eastAsia="zh-CN"/>
                    </w:rPr>
                    <w:t>1870</w:t>
                  </w:r>
                  <w:r>
                    <w:rPr>
                      <w:b w:val="0"/>
                      <w:bCs w:val="0"/>
                      <w:color w:val="auto"/>
                      <w:sz w:val="21"/>
                      <w:szCs w:val="21"/>
                    </w:rPr>
                    <w:t>m</w:t>
                  </w:r>
                </w:p>
              </w:tc>
              <w:tc>
                <w:tcPr>
                  <w:tcW w:w="814" w:type="pct"/>
                  <w:tcBorders>
                    <w:right w:val="single" w:color="auto" w:sz="4" w:space="0"/>
                  </w:tcBorders>
                  <w:vAlign w:val="center"/>
                </w:tcPr>
                <w:p>
                  <w:pPr>
                    <w:pStyle w:val="53"/>
                    <w:adjustRightInd/>
                    <w:snapToGrid/>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102.283192</w:t>
                  </w:r>
                </w:p>
              </w:tc>
              <w:tc>
                <w:tcPr>
                  <w:tcW w:w="714" w:type="pct"/>
                  <w:tcBorders>
                    <w:left w:val="single" w:color="auto" w:sz="4" w:space="0"/>
                    <w:right w:val="single" w:color="auto" w:sz="4" w:space="0"/>
                  </w:tcBorders>
                  <w:vAlign w:val="center"/>
                </w:tcPr>
                <w:p>
                  <w:pPr>
                    <w:pStyle w:val="53"/>
                    <w:adjustRightInd/>
                    <w:snapToGrid/>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25.165493</w:t>
                  </w:r>
                </w:p>
              </w:tc>
              <w:tc>
                <w:tcPr>
                  <w:tcW w:w="755" w:type="pct"/>
                  <w:vMerge w:val="continue"/>
                  <w:tcBorders>
                    <w:left w:val="single" w:color="auto" w:sz="4" w:space="0"/>
                  </w:tcBorders>
                  <w:vAlign w:val="center"/>
                </w:tcPr>
                <w:p>
                  <w:pPr>
                    <w:pStyle w:val="53"/>
                    <w:adjustRightInd/>
                    <w:snapToGrid/>
                    <w:spacing w:line="240" w:lineRule="auto"/>
                    <w:rPr>
                      <w:b w:val="0"/>
                      <w:bCs w:val="0"/>
                      <w:color w:val="auto"/>
                      <w:sz w:val="21"/>
                      <w:szCs w:val="21"/>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270" w:type="pct"/>
                  <w:vMerge w:val="continue"/>
                  <w:vAlign w:val="center"/>
                </w:tcPr>
                <w:p>
                  <w:pPr>
                    <w:pStyle w:val="53"/>
                    <w:adjustRightInd/>
                    <w:snapToGrid/>
                    <w:spacing w:line="240" w:lineRule="auto"/>
                    <w:rPr>
                      <w:b w:val="0"/>
                      <w:bCs w:val="0"/>
                      <w:color w:val="auto"/>
                      <w:sz w:val="21"/>
                      <w:szCs w:val="21"/>
                    </w:rPr>
                  </w:pPr>
                </w:p>
              </w:tc>
              <w:tc>
                <w:tcPr>
                  <w:tcW w:w="435" w:type="pct"/>
                  <w:vAlign w:val="center"/>
                </w:tcPr>
                <w:p>
                  <w:pPr>
                    <w:pStyle w:val="53"/>
                    <w:adjustRightInd/>
                    <w:snapToGrid/>
                    <w:spacing w:line="240" w:lineRule="auto"/>
                    <w:rPr>
                      <w:rFonts w:hint="eastAsia"/>
                      <w:b w:val="0"/>
                      <w:bCs w:val="0"/>
                      <w:sz w:val="21"/>
                      <w:szCs w:val="21"/>
                      <w:lang w:eastAsia="zh-CN"/>
                    </w:rPr>
                  </w:pPr>
                  <w:r>
                    <w:rPr>
                      <w:rFonts w:hint="eastAsia"/>
                      <w:b w:val="0"/>
                      <w:bCs w:val="0"/>
                      <w:sz w:val="21"/>
                      <w:szCs w:val="21"/>
                      <w:lang w:eastAsia="zh-CN"/>
                    </w:rPr>
                    <w:t>牧羊场</w:t>
                  </w:r>
                </w:p>
              </w:tc>
              <w:tc>
                <w:tcPr>
                  <w:tcW w:w="538" w:type="pct"/>
                  <w:vAlign w:val="center"/>
                </w:tcPr>
                <w:p>
                  <w:pPr>
                    <w:pStyle w:val="53"/>
                    <w:adjustRightInd/>
                    <w:snapToGrid/>
                    <w:spacing w:line="240" w:lineRule="auto"/>
                    <w:ind w:firstLine="0" w:firstLineChars="0"/>
                    <w:rPr>
                      <w:rFonts w:hint="eastAsia"/>
                      <w:b w:val="0"/>
                      <w:bCs w:val="0"/>
                      <w:color w:val="auto"/>
                      <w:sz w:val="21"/>
                      <w:szCs w:val="21"/>
                    </w:rPr>
                  </w:pPr>
                  <w:r>
                    <w:rPr>
                      <w:rFonts w:hint="eastAsia"/>
                      <w:b w:val="0"/>
                      <w:bCs w:val="0"/>
                      <w:color w:val="auto"/>
                      <w:sz w:val="21"/>
                      <w:szCs w:val="21"/>
                    </w:rPr>
                    <w:t>约</w:t>
                  </w:r>
                  <w:r>
                    <w:rPr>
                      <w:rFonts w:hint="eastAsia"/>
                      <w:b w:val="0"/>
                      <w:bCs w:val="0"/>
                      <w:color w:val="auto"/>
                      <w:sz w:val="21"/>
                      <w:szCs w:val="21"/>
                      <w:lang w:val="en-US" w:eastAsia="zh-CN"/>
                    </w:rPr>
                    <w:t>6</w:t>
                  </w:r>
                  <w:r>
                    <w:rPr>
                      <w:rFonts w:hint="eastAsia"/>
                      <w:b w:val="0"/>
                      <w:bCs w:val="0"/>
                      <w:color w:val="auto"/>
                      <w:sz w:val="21"/>
                      <w:szCs w:val="21"/>
                    </w:rPr>
                    <w:t>00</w:t>
                  </w:r>
                  <w:r>
                    <w:rPr>
                      <w:b w:val="0"/>
                      <w:bCs w:val="0"/>
                      <w:color w:val="auto"/>
                      <w:sz w:val="21"/>
                      <w:szCs w:val="21"/>
                    </w:rPr>
                    <w:t>人</w:t>
                  </w:r>
                </w:p>
              </w:tc>
              <w:tc>
                <w:tcPr>
                  <w:tcW w:w="537" w:type="pct"/>
                  <w:vAlign w:val="center"/>
                </w:tcPr>
                <w:p>
                  <w:pPr>
                    <w:pStyle w:val="53"/>
                    <w:adjustRightInd/>
                    <w:snapToGrid/>
                    <w:spacing w:line="240" w:lineRule="auto"/>
                    <w:ind w:firstLine="0" w:firstLineChars="0"/>
                    <w:rPr>
                      <w:rFonts w:hint="eastAsia"/>
                      <w:b w:val="0"/>
                      <w:bCs w:val="0"/>
                      <w:color w:val="auto"/>
                      <w:sz w:val="21"/>
                      <w:szCs w:val="21"/>
                    </w:rPr>
                  </w:pPr>
                  <w:r>
                    <w:rPr>
                      <w:rFonts w:hint="eastAsia"/>
                      <w:b w:val="0"/>
                      <w:bCs w:val="0"/>
                      <w:color w:val="auto"/>
                      <w:sz w:val="21"/>
                      <w:szCs w:val="21"/>
                    </w:rPr>
                    <w:t>厂区</w:t>
                  </w:r>
                  <w:r>
                    <w:rPr>
                      <w:rFonts w:hint="eastAsia"/>
                      <w:b w:val="0"/>
                      <w:bCs w:val="0"/>
                      <w:color w:val="auto"/>
                      <w:sz w:val="21"/>
                      <w:szCs w:val="21"/>
                      <w:lang w:eastAsia="zh-CN"/>
                    </w:rPr>
                    <w:t>东南</w:t>
                  </w:r>
                  <w:r>
                    <w:rPr>
                      <w:rFonts w:hint="eastAsia"/>
                      <w:b w:val="0"/>
                      <w:bCs w:val="0"/>
                      <w:color w:val="auto"/>
                      <w:sz w:val="21"/>
                      <w:szCs w:val="21"/>
                    </w:rPr>
                    <w:t>面</w:t>
                  </w:r>
                </w:p>
              </w:tc>
              <w:tc>
                <w:tcPr>
                  <w:tcW w:w="934" w:type="pct"/>
                  <w:vAlign w:val="center"/>
                </w:tcPr>
                <w:p>
                  <w:pPr>
                    <w:pStyle w:val="53"/>
                    <w:adjustRightInd/>
                    <w:snapToGrid/>
                    <w:spacing w:line="240" w:lineRule="auto"/>
                    <w:ind w:firstLine="0" w:firstLineChars="0"/>
                    <w:rPr>
                      <w:b w:val="0"/>
                      <w:bCs w:val="0"/>
                      <w:color w:val="auto"/>
                      <w:sz w:val="21"/>
                      <w:szCs w:val="21"/>
                    </w:rPr>
                  </w:pPr>
                  <w:r>
                    <w:rPr>
                      <w:b w:val="0"/>
                      <w:bCs w:val="0"/>
                      <w:color w:val="auto"/>
                      <w:sz w:val="21"/>
                      <w:szCs w:val="21"/>
                    </w:rPr>
                    <w:t>与</w:t>
                  </w:r>
                  <w:r>
                    <w:rPr>
                      <w:rFonts w:hint="eastAsia"/>
                      <w:b w:val="0"/>
                      <w:bCs w:val="0"/>
                      <w:color w:val="auto"/>
                      <w:sz w:val="21"/>
                      <w:szCs w:val="21"/>
                    </w:rPr>
                    <w:t>厂区</w:t>
                  </w:r>
                  <w:r>
                    <w:rPr>
                      <w:b w:val="0"/>
                      <w:bCs w:val="0"/>
                      <w:color w:val="auto"/>
                      <w:sz w:val="21"/>
                      <w:szCs w:val="21"/>
                    </w:rPr>
                    <w:t>距离</w:t>
                  </w:r>
                  <w:r>
                    <w:rPr>
                      <w:rFonts w:hint="eastAsia"/>
                      <w:b w:val="0"/>
                      <w:bCs w:val="0"/>
                      <w:color w:val="auto"/>
                      <w:sz w:val="21"/>
                      <w:szCs w:val="21"/>
                      <w:lang w:val="en-US" w:eastAsia="zh-CN"/>
                    </w:rPr>
                    <w:t>1950</w:t>
                  </w:r>
                  <w:r>
                    <w:rPr>
                      <w:rFonts w:hint="eastAsia"/>
                      <w:b w:val="0"/>
                      <w:bCs w:val="0"/>
                      <w:color w:val="auto"/>
                      <w:sz w:val="21"/>
                      <w:szCs w:val="21"/>
                    </w:rPr>
                    <w:t>m</w:t>
                  </w:r>
                </w:p>
              </w:tc>
              <w:tc>
                <w:tcPr>
                  <w:tcW w:w="814" w:type="pct"/>
                  <w:tcBorders>
                    <w:right w:val="single" w:color="auto" w:sz="4" w:space="0"/>
                  </w:tcBorders>
                  <w:vAlign w:val="center"/>
                </w:tcPr>
                <w:p>
                  <w:pPr>
                    <w:pStyle w:val="53"/>
                    <w:adjustRightInd/>
                    <w:snapToGrid/>
                    <w:spacing w:line="240" w:lineRule="auto"/>
                    <w:rPr>
                      <w:rFonts w:hint="default" w:eastAsia="宋体"/>
                      <w:b w:val="0"/>
                      <w:bCs w:val="0"/>
                      <w:color w:val="auto"/>
                      <w:sz w:val="21"/>
                      <w:szCs w:val="21"/>
                      <w:lang w:val="en-US" w:eastAsia="zh-CN"/>
                    </w:rPr>
                  </w:pPr>
                  <w:r>
                    <w:rPr>
                      <w:rFonts w:hint="eastAsia"/>
                      <w:b w:val="0"/>
                      <w:bCs w:val="0"/>
                      <w:color w:val="auto"/>
                      <w:sz w:val="21"/>
                      <w:szCs w:val="21"/>
                      <w:lang w:val="en-US" w:eastAsia="zh-CN"/>
                    </w:rPr>
                    <w:t>102.285204</w:t>
                  </w:r>
                </w:p>
              </w:tc>
              <w:tc>
                <w:tcPr>
                  <w:tcW w:w="714" w:type="pct"/>
                  <w:tcBorders>
                    <w:left w:val="single" w:color="auto" w:sz="4" w:space="0"/>
                    <w:right w:val="single" w:color="auto" w:sz="4" w:space="0"/>
                  </w:tcBorders>
                  <w:vAlign w:val="center"/>
                </w:tcPr>
                <w:p>
                  <w:pPr>
                    <w:pStyle w:val="53"/>
                    <w:adjustRightInd/>
                    <w:snapToGrid/>
                    <w:spacing w:line="240" w:lineRule="auto"/>
                    <w:rPr>
                      <w:rFonts w:hint="default" w:eastAsia="宋体"/>
                      <w:b w:val="0"/>
                      <w:bCs w:val="0"/>
                      <w:color w:val="auto"/>
                      <w:sz w:val="21"/>
                      <w:szCs w:val="21"/>
                      <w:lang w:val="en-US" w:eastAsia="zh-CN"/>
                    </w:rPr>
                  </w:pPr>
                  <w:r>
                    <w:rPr>
                      <w:rFonts w:hint="eastAsia"/>
                      <w:b w:val="0"/>
                      <w:bCs w:val="0"/>
                      <w:color w:val="auto"/>
                      <w:sz w:val="21"/>
                      <w:szCs w:val="21"/>
                      <w:lang w:val="en-US" w:eastAsia="zh-CN"/>
                    </w:rPr>
                    <w:t>25.151273</w:t>
                  </w:r>
                </w:p>
              </w:tc>
              <w:tc>
                <w:tcPr>
                  <w:tcW w:w="755" w:type="pct"/>
                  <w:vMerge w:val="continue"/>
                  <w:tcBorders>
                    <w:left w:val="single" w:color="auto" w:sz="4" w:space="0"/>
                  </w:tcBorders>
                  <w:vAlign w:val="center"/>
                </w:tcPr>
                <w:p>
                  <w:pPr>
                    <w:pStyle w:val="53"/>
                    <w:adjustRightInd/>
                    <w:snapToGrid/>
                    <w:spacing w:line="240" w:lineRule="auto"/>
                    <w:rPr>
                      <w:b w:val="0"/>
                      <w:bCs w:val="0"/>
                      <w:color w:val="auto"/>
                      <w:sz w:val="21"/>
                      <w:szCs w:val="21"/>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270" w:type="pct"/>
                  <w:vMerge w:val="continue"/>
                  <w:vAlign w:val="center"/>
                </w:tcPr>
                <w:p>
                  <w:pPr>
                    <w:pStyle w:val="53"/>
                    <w:adjustRightInd/>
                    <w:snapToGrid/>
                    <w:spacing w:line="240" w:lineRule="auto"/>
                    <w:rPr>
                      <w:b w:val="0"/>
                      <w:bCs w:val="0"/>
                      <w:color w:val="auto"/>
                      <w:sz w:val="21"/>
                      <w:szCs w:val="21"/>
                    </w:rPr>
                  </w:pPr>
                </w:p>
              </w:tc>
              <w:tc>
                <w:tcPr>
                  <w:tcW w:w="435" w:type="pct"/>
                  <w:vAlign w:val="center"/>
                </w:tcPr>
                <w:p>
                  <w:pPr>
                    <w:pStyle w:val="53"/>
                    <w:adjustRightInd/>
                    <w:snapToGrid/>
                    <w:spacing w:line="240" w:lineRule="auto"/>
                    <w:ind w:firstLine="0" w:firstLineChars="0"/>
                    <w:rPr>
                      <w:rFonts w:hint="eastAsia"/>
                      <w:b w:val="0"/>
                      <w:bCs w:val="0"/>
                      <w:sz w:val="21"/>
                      <w:szCs w:val="21"/>
                      <w:lang w:eastAsia="zh-CN"/>
                    </w:rPr>
                  </w:pPr>
                  <w:r>
                    <w:rPr>
                      <w:rFonts w:hint="eastAsia"/>
                      <w:b w:val="0"/>
                      <w:bCs w:val="0"/>
                      <w:sz w:val="21"/>
                      <w:szCs w:val="21"/>
                      <w:lang w:eastAsia="zh-CN"/>
                    </w:rPr>
                    <w:t>大村</w:t>
                  </w:r>
                </w:p>
              </w:tc>
              <w:tc>
                <w:tcPr>
                  <w:tcW w:w="538" w:type="pct"/>
                  <w:vAlign w:val="center"/>
                </w:tcPr>
                <w:p>
                  <w:pPr>
                    <w:pStyle w:val="53"/>
                    <w:adjustRightInd/>
                    <w:snapToGrid/>
                    <w:spacing w:line="240" w:lineRule="auto"/>
                    <w:ind w:firstLine="0" w:firstLineChars="0"/>
                    <w:rPr>
                      <w:rFonts w:hint="eastAsia"/>
                      <w:b w:val="0"/>
                      <w:bCs w:val="0"/>
                      <w:color w:val="auto"/>
                      <w:sz w:val="21"/>
                      <w:szCs w:val="21"/>
                    </w:rPr>
                  </w:pPr>
                  <w:r>
                    <w:rPr>
                      <w:rFonts w:hint="eastAsia"/>
                      <w:b w:val="0"/>
                      <w:bCs w:val="0"/>
                      <w:color w:val="auto"/>
                      <w:sz w:val="21"/>
                      <w:szCs w:val="21"/>
                    </w:rPr>
                    <w:t>约</w:t>
                  </w:r>
                  <w:r>
                    <w:rPr>
                      <w:b w:val="0"/>
                      <w:bCs w:val="0"/>
                      <w:color w:val="auto"/>
                      <w:sz w:val="21"/>
                      <w:szCs w:val="21"/>
                    </w:rPr>
                    <w:t>1</w:t>
                  </w:r>
                  <w:r>
                    <w:rPr>
                      <w:rFonts w:hint="eastAsia"/>
                      <w:b w:val="0"/>
                      <w:bCs w:val="0"/>
                      <w:color w:val="auto"/>
                      <w:sz w:val="21"/>
                      <w:szCs w:val="21"/>
                      <w:lang w:val="en-US" w:eastAsia="zh-CN"/>
                    </w:rPr>
                    <w:t>5</w:t>
                  </w:r>
                  <w:r>
                    <w:rPr>
                      <w:rFonts w:hint="eastAsia"/>
                      <w:b w:val="0"/>
                      <w:bCs w:val="0"/>
                      <w:color w:val="auto"/>
                      <w:sz w:val="21"/>
                      <w:szCs w:val="21"/>
                    </w:rPr>
                    <w:t>00</w:t>
                  </w:r>
                  <w:r>
                    <w:rPr>
                      <w:rFonts w:hint="eastAsia"/>
                      <w:b w:val="0"/>
                      <w:bCs w:val="0"/>
                      <w:color w:val="auto"/>
                      <w:sz w:val="21"/>
                      <w:szCs w:val="21"/>
                      <w:lang w:eastAsia="zh-CN"/>
                    </w:rPr>
                    <w:t>人</w:t>
                  </w:r>
                </w:p>
              </w:tc>
              <w:tc>
                <w:tcPr>
                  <w:tcW w:w="537" w:type="pct"/>
                  <w:vAlign w:val="center"/>
                </w:tcPr>
                <w:p>
                  <w:pPr>
                    <w:pStyle w:val="53"/>
                    <w:adjustRightInd/>
                    <w:snapToGrid/>
                    <w:spacing w:line="240" w:lineRule="auto"/>
                    <w:ind w:firstLine="0" w:firstLineChars="0"/>
                    <w:rPr>
                      <w:rFonts w:hint="eastAsia"/>
                      <w:b w:val="0"/>
                      <w:bCs w:val="0"/>
                      <w:color w:val="auto"/>
                      <w:sz w:val="21"/>
                      <w:szCs w:val="21"/>
                    </w:rPr>
                  </w:pPr>
                  <w:r>
                    <w:rPr>
                      <w:rFonts w:hint="eastAsia"/>
                      <w:b w:val="0"/>
                      <w:bCs w:val="0"/>
                      <w:color w:val="auto"/>
                      <w:sz w:val="21"/>
                      <w:szCs w:val="21"/>
                    </w:rPr>
                    <w:t>厂区</w:t>
                  </w:r>
                  <w:r>
                    <w:rPr>
                      <w:rFonts w:hint="eastAsia"/>
                      <w:b w:val="0"/>
                      <w:bCs w:val="0"/>
                      <w:color w:val="auto"/>
                      <w:sz w:val="21"/>
                      <w:szCs w:val="21"/>
                      <w:lang w:eastAsia="zh-CN"/>
                    </w:rPr>
                    <w:t>西</w:t>
                  </w:r>
                  <w:r>
                    <w:rPr>
                      <w:rFonts w:hint="eastAsia"/>
                      <w:b w:val="0"/>
                      <w:bCs w:val="0"/>
                      <w:color w:val="auto"/>
                      <w:sz w:val="21"/>
                      <w:szCs w:val="21"/>
                    </w:rPr>
                    <w:t>北面</w:t>
                  </w:r>
                </w:p>
              </w:tc>
              <w:tc>
                <w:tcPr>
                  <w:tcW w:w="934" w:type="pct"/>
                  <w:vAlign w:val="center"/>
                </w:tcPr>
                <w:p>
                  <w:pPr>
                    <w:pStyle w:val="53"/>
                    <w:adjustRightInd/>
                    <w:snapToGrid/>
                    <w:spacing w:line="240" w:lineRule="auto"/>
                    <w:ind w:firstLine="0" w:firstLineChars="0"/>
                    <w:rPr>
                      <w:b w:val="0"/>
                      <w:bCs w:val="0"/>
                      <w:color w:val="auto"/>
                      <w:sz w:val="21"/>
                      <w:szCs w:val="21"/>
                    </w:rPr>
                  </w:pPr>
                  <w:r>
                    <w:rPr>
                      <w:b w:val="0"/>
                      <w:bCs w:val="0"/>
                      <w:color w:val="auto"/>
                      <w:sz w:val="21"/>
                      <w:szCs w:val="21"/>
                    </w:rPr>
                    <w:t>与</w:t>
                  </w:r>
                  <w:r>
                    <w:rPr>
                      <w:rFonts w:hint="eastAsia"/>
                      <w:b w:val="0"/>
                      <w:bCs w:val="0"/>
                      <w:color w:val="auto"/>
                      <w:sz w:val="21"/>
                      <w:szCs w:val="21"/>
                    </w:rPr>
                    <w:t>厂区</w:t>
                  </w:r>
                  <w:r>
                    <w:rPr>
                      <w:b w:val="0"/>
                      <w:bCs w:val="0"/>
                      <w:color w:val="auto"/>
                      <w:sz w:val="21"/>
                      <w:szCs w:val="21"/>
                    </w:rPr>
                    <w:t>距离</w:t>
                  </w:r>
                  <w:r>
                    <w:rPr>
                      <w:rFonts w:hint="eastAsia"/>
                      <w:b w:val="0"/>
                      <w:bCs w:val="0"/>
                      <w:color w:val="auto"/>
                      <w:sz w:val="21"/>
                      <w:szCs w:val="21"/>
                      <w:lang w:val="en-US" w:eastAsia="zh-CN"/>
                    </w:rPr>
                    <w:t>2100</w:t>
                  </w:r>
                  <w:r>
                    <w:rPr>
                      <w:b w:val="0"/>
                      <w:bCs w:val="0"/>
                      <w:color w:val="auto"/>
                      <w:sz w:val="21"/>
                      <w:szCs w:val="21"/>
                    </w:rPr>
                    <w:t>m</w:t>
                  </w:r>
                </w:p>
              </w:tc>
              <w:tc>
                <w:tcPr>
                  <w:tcW w:w="814" w:type="pct"/>
                  <w:tcBorders>
                    <w:right w:val="single" w:color="auto" w:sz="4" w:space="0"/>
                  </w:tcBorders>
                  <w:vAlign w:val="center"/>
                </w:tcPr>
                <w:p>
                  <w:pPr>
                    <w:pStyle w:val="53"/>
                    <w:adjustRightInd/>
                    <w:snapToGrid/>
                    <w:spacing w:line="240" w:lineRule="auto"/>
                    <w:ind w:firstLine="0" w:firstLineChars="0"/>
                    <w:rPr>
                      <w:rFonts w:hint="eastAsia"/>
                      <w:b w:val="0"/>
                      <w:bCs w:val="0"/>
                      <w:color w:val="auto"/>
                      <w:sz w:val="21"/>
                      <w:szCs w:val="21"/>
                      <w:lang w:val="en-US" w:eastAsia="zh-CN"/>
                    </w:rPr>
                  </w:pPr>
                  <w:r>
                    <w:rPr>
                      <w:rFonts w:hint="eastAsia"/>
                      <w:b w:val="0"/>
                      <w:bCs w:val="0"/>
                      <w:color w:val="auto"/>
                      <w:sz w:val="21"/>
                      <w:szCs w:val="21"/>
                      <w:lang w:val="en-US" w:eastAsia="zh-CN"/>
                    </w:rPr>
                    <w:t>102.272599</w:t>
                  </w:r>
                </w:p>
              </w:tc>
              <w:tc>
                <w:tcPr>
                  <w:tcW w:w="714" w:type="pct"/>
                  <w:tcBorders>
                    <w:left w:val="single" w:color="auto" w:sz="4" w:space="0"/>
                    <w:right w:val="single" w:color="auto" w:sz="4" w:space="0"/>
                  </w:tcBorders>
                  <w:vAlign w:val="center"/>
                </w:tcPr>
                <w:p>
                  <w:pPr>
                    <w:pStyle w:val="53"/>
                    <w:adjustRightInd/>
                    <w:snapToGrid/>
                    <w:spacing w:line="240" w:lineRule="auto"/>
                    <w:ind w:firstLine="0" w:firstLineChars="0"/>
                    <w:rPr>
                      <w:rFonts w:hint="eastAsia"/>
                      <w:b w:val="0"/>
                      <w:bCs w:val="0"/>
                      <w:color w:val="auto"/>
                      <w:sz w:val="21"/>
                      <w:szCs w:val="21"/>
                      <w:lang w:val="en-US" w:eastAsia="zh-CN"/>
                    </w:rPr>
                  </w:pPr>
                  <w:r>
                    <w:rPr>
                      <w:rFonts w:hint="eastAsia"/>
                      <w:b w:val="0"/>
                      <w:bCs w:val="0"/>
                      <w:color w:val="auto"/>
                      <w:sz w:val="21"/>
                      <w:szCs w:val="21"/>
                      <w:lang w:val="en-US" w:eastAsia="zh-CN"/>
                    </w:rPr>
                    <w:t>25.170114</w:t>
                  </w:r>
                </w:p>
              </w:tc>
              <w:tc>
                <w:tcPr>
                  <w:tcW w:w="755" w:type="pct"/>
                  <w:vMerge w:val="continue"/>
                  <w:tcBorders>
                    <w:left w:val="single" w:color="auto" w:sz="4" w:space="0"/>
                  </w:tcBorders>
                  <w:vAlign w:val="center"/>
                </w:tcPr>
                <w:p>
                  <w:pPr>
                    <w:pStyle w:val="53"/>
                    <w:adjustRightInd/>
                    <w:snapToGrid/>
                    <w:spacing w:line="240" w:lineRule="auto"/>
                    <w:rPr>
                      <w:b w:val="0"/>
                      <w:bCs w:val="0"/>
                      <w:color w:val="auto"/>
                      <w:sz w:val="21"/>
                      <w:szCs w:val="21"/>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270" w:type="pct"/>
                  <w:vMerge w:val="continue"/>
                  <w:vAlign w:val="center"/>
                </w:tcPr>
                <w:p>
                  <w:pPr>
                    <w:pStyle w:val="53"/>
                    <w:adjustRightInd/>
                    <w:snapToGrid/>
                    <w:spacing w:line="240" w:lineRule="auto"/>
                    <w:rPr>
                      <w:b w:val="0"/>
                      <w:bCs w:val="0"/>
                      <w:color w:val="auto"/>
                      <w:sz w:val="21"/>
                      <w:szCs w:val="21"/>
                    </w:rPr>
                  </w:pPr>
                </w:p>
              </w:tc>
              <w:tc>
                <w:tcPr>
                  <w:tcW w:w="435" w:type="pct"/>
                  <w:vAlign w:val="center"/>
                </w:tcPr>
                <w:p>
                  <w:pPr>
                    <w:pStyle w:val="53"/>
                    <w:adjustRightInd/>
                    <w:snapToGrid/>
                    <w:spacing w:line="240" w:lineRule="auto"/>
                    <w:ind w:firstLine="0" w:firstLineChars="0"/>
                    <w:rPr>
                      <w:rFonts w:hint="eastAsia"/>
                      <w:b w:val="0"/>
                      <w:bCs w:val="0"/>
                      <w:sz w:val="21"/>
                      <w:szCs w:val="21"/>
                      <w:lang w:eastAsia="zh-CN"/>
                    </w:rPr>
                  </w:pPr>
                  <w:r>
                    <w:rPr>
                      <w:rFonts w:hint="eastAsia"/>
                      <w:b w:val="0"/>
                      <w:bCs w:val="0"/>
                      <w:sz w:val="21"/>
                      <w:szCs w:val="21"/>
                      <w:lang w:eastAsia="zh-CN"/>
                    </w:rPr>
                    <w:t>下白泥塘</w:t>
                  </w:r>
                </w:p>
              </w:tc>
              <w:tc>
                <w:tcPr>
                  <w:tcW w:w="538" w:type="pct"/>
                  <w:vAlign w:val="center"/>
                </w:tcPr>
                <w:p>
                  <w:pPr>
                    <w:pStyle w:val="53"/>
                    <w:adjustRightInd/>
                    <w:snapToGrid/>
                    <w:spacing w:line="240" w:lineRule="auto"/>
                    <w:ind w:firstLine="0" w:firstLineChars="0"/>
                    <w:rPr>
                      <w:rFonts w:hint="eastAsia"/>
                      <w:b w:val="0"/>
                      <w:bCs w:val="0"/>
                      <w:color w:val="auto"/>
                      <w:sz w:val="21"/>
                      <w:szCs w:val="21"/>
                    </w:rPr>
                  </w:pPr>
                  <w:r>
                    <w:rPr>
                      <w:rFonts w:hint="eastAsia"/>
                      <w:b w:val="0"/>
                      <w:bCs w:val="0"/>
                      <w:color w:val="auto"/>
                      <w:sz w:val="21"/>
                      <w:szCs w:val="21"/>
                    </w:rPr>
                    <w:t>约</w:t>
                  </w:r>
                  <w:r>
                    <w:rPr>
                      <w:rFonts w:hint="eastAsia"/>
                      <w:b w:val="0"/>
                      <w:bCs w:val="0"/>
                      <w:color w:val="auto"/>
                      <w:sz w:val="21"/>
                      <w:szCs w:val="21"/>
                      <w:lang w:val="en-US" w:eastAsia="zh-CN"/>
                    </w:rPr>
                    <w:t>1</w:t>
                  </w:r>
                  <w:r>
                    <w:rPr>
                      <w:rFonts w:hint="eastAsia"/>
                      <w:b w:val="0"/>
                      <w:bCs w:val="0"/>
                      <w:color w:val="auto"/>
                      <w:sz w:val="21"/>
                      <w:szCs w:val="21"/>
                    </w:rPr>
                    <w:t>00人</w:t>
                  </w:r>
                </w:p>
              </w:tc>
              <w:tc>
                <w:tcPr>
                  <w:tcW w:w="537" w:type="pct"/>
                  <w:vAlign w:val="center"/>
                </w:tcPr>
                <w:p>
                  <w:pPr>
                    <w:pStyle w:val="53"/>
                    <w:adjustRightInd/>
                    <w:snapToGrid/>
                    <w:spacing w:line="240" w:lineRule="auto"/>
                    <w:ind w:firstLine="0" w:firstLineChars="0"/>
                    <w:rPr>
                      <w:rFonts w:hint="eastAsia"/>
                      <w:b w:val="0"/>
                      <w:bCs w:val="0"/>
                      <w:color w:val="auto"/>
                      <w:sz w:val="21"/>
                      <w:szCs w:val="21"/>
                    </w:rPr>
                  </w:pPr>
                  <w:r>
                    <w:rPr>
                      <w:rFonts w:hint="eastAsia"/>
                      <w:b w:val="0"/>
                      <w:bCs w:val="0"/>
                      <w:color w:val="auto"/>
                      <w:sz w:val="21"/>
                      <w:szCs w:val="21"/>
                    </w:rPr>
                    <w:t>厂区</w:t>
                  </w:r>
                  <w:r>
                    <w:rPr>
                      <w:rFonts w:hint="eastAsia"/>
                      <w:b w:val="0"/>
                      <w:bCs w:val="0"/>
                      <w:color w:val="auto"/>
                      <w:sz w:val="21"/>
                      <w:szCs w:val="21"/>
                      <w:lang w:eastAsia="zh-CN"/>
                    </w:rPr>
                    <w:t>西</w:t>
                  </w:r>
                  <w:r>
                    <w:rPr>
                      <w:rFonts w:hint="eastAsia"/>
                      <w:b w:val="0"/>
                      <w:bCs w:val="0"/>
                      <w:color w:val="auto"/>
                      <w:sz w:val="21"/>
                      <w:szCs w:val="21"/>
                    </w:rPr>
                    <w:t>面</w:t>
                  </w:r>
                </w:p>
              </w:tc>
              <w:tc>
                <w:tcPr>
                  <w:tcW w:w="934" w:type="pct"/>
                  <w:vAlign w:val="center"/>
                </w:tcPr>
                <w:p>
                  <w:pPr>
                    <w:pStyle w:val="53"/>
                    <w:adjustRightInd/>
                    <w:snapToGrid/>
                    <w:spacing w:line="240" w:lineRule="auto"/>
                    <w:ind w:firstLine="0" w:firstLineChars="0"/>
                    <w:rPr>
                      <w:b w:val="0"/>
                      <w:bCs w:val="0"/>
                      <w:color w:val="auto"/>
                      <w:sz w:val="21"/>
                      <w:szCs w:val="21"/>
                    </w:rPr>
                  </w:pPr>
                  <w:r>
                    <w:rPr>
                      <w:b w:val="0"/>
                      <w:bCs w:val="0"/>
                      <w:color w:val="auto"/>
                      <w:sz w:val="21"/>
                      <w:szCs w:val="21"/>
                    </w:rPr>
                    <w:t>与</w:t>
                  </w:r>
                  <w:r>
                    <w:rPr>
                      <w:rFonts w:hint="eastAsia"/>
                      <w:b w:val="0"/>
                      <w:bCs w:val="0"/>
                      <w:color w:val="auto"/>
                      <w:sz w:val="21"/>
                      <w:szCs w:val="21"/>
                    </w:rPr>
                    <w:t>厂区</w:t>
                  </w:r>
                  <w:r>
                    <w:rPr>
                      <w:b w:val="0"/>
                      <w:bCs w:val="0"/>
                      <w:color w:val="auto"/>
                      <w:sz w:val="21"/>
                      <w:szCs w:val="21"/>
                    </w:rPr>
                    <w:t>距离</w:t>
                  </w:r>
                  <w:r>
                    <w:rPr>
                      <w:rFonts w:hint="eastAsia"/>
                      <w:b w:val="0"/>
                      <w:bCs w:val="0"/>
                      <w:color w:val="auto"/>
                      <w:sz w:val="21"/>
                      <w:szCs w:val="21"/>
                      <w:lang w:val="en-US" w:eastAsia="zh-CN"/>
                    </w:rPr>
                    <w:t>2200</w:t>
                  </w:r>
                  <w:r>
                    <w:rPr>
                      <w:b w:val="0"/>
                      <w:bCs w:val="0"/>
                      <w:color w:val="auto"/>
                      <w:sz w:val="21"/>
                      <w:szCs w:val="21"/>
                    </w:rPr>
                    <w:t>m</w:t>
                  </w:r>
                </w:p>
              </w:tc>
              <w:tc>
                <w:tcPr>
                  <w:tcW w:w="814" w:type="pct"/>
                  <w:tcBorders>
                    <w:right w:val="single" w:color="auto" w:sz="4" w:space="0"/>
                  </w:tcBorders>
                  <w:vAlign w:val="center"/>
                </w:tcPr>
                <w:p>
                  <w:pPr>
                    <w:pStyle w:val="53"/>
                    <w:adjustRightInd/>
                    <w:snapToGrid/>
                    <w:spacing w:line="240" w:lineRule="auto"/>
                    <w:ind w:firstLine="0" w:firstLineChars="0"/>
                    <w:rPr>
                      <w:rFonts w:hint="default"/>
                      <w:b w:val="0"/>
                      <w:bCs w:val="0"/>
                      <w:color w:val="auto"/>
                      <w:sz w:val="21"/>
                      <w:szCs w:val="21"/>
                      <w:lang w:val="en-US" w:eastAsia="zh-CN"/>
                    </w:rPr>
                  </w:pPr>
                  <w:r>
                    <w:rPr>
                      <w:rFonts w:hint="eastAsia"/>
                      <w:b w:val="0"/>
                      <w:bCs w:val="0"/>
                      <w:color w:val="auto"/>
                      <w:sz w:val="21"/>
                      <w:szCs w:val="21"/>
                      <w:lang w:val="en-US" w:eastAsia="zh-CN"/>
                    </w:rPr>
                    <w:t>102.263396</w:t>
                  </w:r>
                </w:p>
              </w:tc>
              <w:tc>
                <w:tcPr>
                  <w:tcW w:w="714" w:type="pct"/>
                  <w:tcBorders>
                    <w:left w:val="single" w:color="auto" w:sz="4" w:space="0"/>
                    <w:right w:val="single" w:color="auto" w:sz="4" w:space="0"/>
                  </w:tcBorders>
                  <w:vAlign w:val="center"/>
                </w:tcPr>
                <w:p>
                  <w:pPr>
                    <w:pStyle w:val="53"/>
                    <w:adjustRightInd/>
                    <w:snapToGrid/>
                    <w:spacing w:line="240" w:lineRule="auto"/>
                    <w:ind w:firstLine="0" w:firstLineChars="0"/>
                    <w:rPr>
                      <w:rFonts w:hint="default"/>
                      <w:b w:val="0"/>
                      <w:bCs w:val="0"/>
                      <w:color w:val="auto"/>
                      <w:sz w:val="21"/>
                      <w:szCs w:val="21"/>
                      <w:lang w:val="en-US" w:eastAsia="zh-CN"/>
                    </w:rPr>
                  </w:pPr>
                  <w:r>
                    <w:rPr>
                      <w:rFonts w:hint="eastAsia"/>
                      <w:b w:val="0"/>
                      <w:bCs w:val="0"/>
                      <w:color w:val="auto"/>
                      <w:sz w:val="21"/>
                      <w:szCs w:val="21"/>
                      <w:lang w:val="en-US" w:eastAsia="zh-CN"/>
                    </w:rPr>
                    <w:t>25.152914</w:t>
                  </w:r>
                </w:p>
              </w:tc>
              <w:tc>
                <w:tcPr>
                  <w:tcW w:w="755" w:type="pct"/>
                  <w:vMerge w:val="continue"/>
                  <w:tcBorders>
                    <w:left w:val="single" w:color="auto" w:sz="4" w:space="0"/>
                  </w:tcBorders>
                  <w:vAlign w:val="center"/>
                </w:tcPr>
                <w:p>
                  <w:pPr>
                    <w:pStyle w:val="53"/>
                    <w:adjustRightInd/>
                    <w:snapToGrid/>
                    <w:spacing w:line="240" w:lineRule="auto"/>
                    <w:rPr>
                      <w:b w:val="0"/>
                      <w:bCs w:val="0"/>
                      <w:color w:val="auto"/>
                      <w:sz w:val="21"/>
                      <w:szCs w:val="21"/>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270" w:type="pct"/>
                  <w:vMerge w:val="continue"/>
                  <w:vAlign w:val="center"/>
                </w:tcPr>
                <w:p>
                  <w:pPr>
                    <w:pStyle w:val="53"/>
                    <w:adjustRightInd/>
                    <w:snapToGrid/>
                    <w:spacing w:line="240" w:lineRule="auto"/>
                    <w:rPr>
                      <w:b w:val="0"/>
                      <w:bCs w:val="0"/>
                      <w:color w:val="auto"/>
                      <w:sz w:val="21"/>
                      <w:szCs w:val="21"/>
                    </w:rPr>
                  </w:pPr>
                </w:p>
              </w:tc>
              <w:tc>
                <w:tcPr>
                  <w:tcW w:w="435" w:type="pct"/>
                  <w:vAlign w:val="center"/>
                </w:tcPr>
                <w:p>
                  <w:pPr>
                    <w:pStyle w:val="53"/>
                    <w:adjustRightInd/>
                    <w:snapToGrid/>
                    <w:spacing w:line="240" w:lineRule="auto"/>
                    <w:rPr>
                      <w:rFonts w:hint="eastAsia"/>
                      <w:b w:val="0"/>
                      <w:bCs w:val="0"/>
                      <w:sz w:val="21"/>
                      <w:szCs w:val="21"/>
                      <w:lang w:eastAsia="zh-CN"/>
                    </w:rPr>
                  </w:pPr>
                  <w:r>
                    <w:rPr>
                      <w:rFonts w:hint="eastAsia"/>
                      <w:b w:val="0"/>
                      <w:bCs w:val="0"/>
                      <w:sz w:val="21"/>
                      <w:szCs w:val="21"/>
                      <w:lang w:eastAsia="zh-CN"/>
                    </w:rPr>
                    <w:t>双龙湾</w:t>
                  </w:r>
                </w:p>
              </w:tc>
              <w:tc>
                <w:tcPr>
                  <w:tcW w:w="538" w:type="pct"/>
                  <w:vAlign w:val="center"/>
                </w:tcPr>
                <w:p>
                  <w:pPr>
                    <w:pStyle w:val="53"/>
                    <w:adjustRightInd/>
                    <w:snapToGrid/>
                    <w:spacing w:line="240" w:lineRule="auto"/>
                    <w:ind w:firstLine="0" w:firstLineChars="0"/>
                    <w:rPr>
                      <w:rFonts w:hint="eastAsia"/>
                      <w:b w:val="0"/>
                      <w:bCs w:val="0"/>
                      <w:color w:val="auto"/>
                      <w:sz w:val="21"/>
                      <w:szCs w:val="21"/>
                    </w:rPr>
                  </w:pPr>
                  <w:r>
                    <w:rPr>
                      <w:b w:val="0"/>
                      <w:bCs w:val="0"/>
                      <w:color w:val="auto"/>
                      <w:sz w:val="21"/>
                      <w:szCs w:val="21"/>
                    </w:rPr>
                    <w:t>约</w:t>
                  </w:r>
                  <w:r>
                    <w:rPr>
                      <w:rFonts w:hint="eastAsia"/>
                      <w:b w:val="0"/>
                      <w:bCs w:val="0"/>
                      <w:color w:val="auto"/>
                      <w:sz w:val="21"/>
                      <w:szCs w:val="21"/>
                      <w:lang w:val="en-US" w:eastAsia="zh-CN"/>
                    </w:rPr>
                    <w:t>2</w:t>
                  </w:r>
                  <w:r>
                    <w:rPr>
                      <w:rFonts w:hint="eastAsia"/>
                      <w:b w:val="0"/>
                      <w:bCs w:val="0"/>
                      <w:color w:val="auto"/>
                      <w:sz w:val="21"/>
                      <w:szCs w:val="21"/>
                    </w:rPr>
                    <w:t>00</w:t>
                  </w:r>
                  <w:r>
                    <w:rPr>
                      <w:b w:val="0"/>
                      <w:bCs w:val="0"/>
                      <w:color w:val="auto"/>
                      <w:sz w:val="21"/>
                      <w:szCs w:val="21"/>
                    </w:rPr>
                    <w:t>人</w:t>
                  </w:r>
                </w:p>
              </w:tc>
              <w:tc>
                <w:tcPr>
                  <w:tcW w:w="537" w:type="pct"/>
                  <w:vAlign w:val="center"/>
                </w:tcPr>
                <w:p>
                  <w:pPr>
                    <w:pStyle w:val="53"/>
                    <w:adjustRightInd/>
                    <w:snapToGrid/>
                    <w:spacing w:line="240" w:lineRule="auto"/>
                    <w:ind w:firstLine="0" w:firstLineChars="0"/>
                    <w:rPr>
                      <w:rFonts w:hint="eastAsia"/>
                      <w:b w:val="0"/>
                      <w:bCs w:val="0"/>
                      <w:color w:val="auto"/>
                      <w:sz w:val="21"/>
                      <w:szCs w:val="21"/>
                    </w:rPr>
                  </w:pPr>
                  <w:r>
                    <w:rPr>
                      <w:rFonts w:hint="eastAsia"/>
                      <w:b w:val="0"/>
                      <w:bCs w:val="0"/>
                      <w:color w:val="auto"/>
                      <w:sz w:val="21"/>
                      <w:szCs w:val="21"/>
                    </w:rPr>
                    <w:t>厂区</w:t>
                  </w:r>
                  <w:r>
                    <w:rPr>
                      <w:rFonts w:hint="eastAsia"/>
                      <w:b w:val="0"/>
                      <w:bCs w:val="0"/>
                      <w:color w:val="auto"/>
                      <w:sz w:val="21"/>
                      <w:szCs w:val="21"/>
                      <w:lang w:eastAsia="zh-CN"/>
                    </w:rPr>
                    <w:t>东北</w:t>
                  </w:r>
                  <w:r>
                    <w:rPr>
                      <w:rFonts w:hint="eastAsia"/>
                      <w:b w:val="0"/>
                      <w:bCs w:val="0"/>
                      <w:color w:val="auto"/>
                      <w:sz w:val="21"/>
                      <w:szCs w:val="21"/>
                    </w:rPr>
                    <w:t>面</w:t>
                  </w:r>
                </w:p>
              </w:tc>
              <w:tc>
                <w:tcPr>
                  <w:tcW w:w="934" w:type="pct"/>
                  <w:vAlign w:val="center"/>
                </w:tcPr>
                <w:p>
                  <w:pPr>
                    <w:pStyle w:val="53"/>
                    <w:adjustRightInd/>
                    <w:snapToGrid/>
                    <w:spacing w:line="240" w:lineRule="auto"/>
                    <w:ind w:firstLine="0" w:firstLineChars="0"/>
                    <w:rPr>
                      <w:b w:val="0"/>
                      <w:bCs w:val="0"/>
                      <w:color w:val="auto"/>
                      <w:sz w:val="21"/>
                      <w:szCs w:val="21"/>
                    </w:rPr>
                  </w:pPr>
                  <w:r>
                    <w:rPr>
                      <w:b w:val="0"/>
                      <w:bCs w:val="0"/>
                      <w:color w:val="auto"/>
                      <w:sz w:val="21"/>
                      <w:szCs w:val="21"/>
                    </w:rPr>
                    <w:t>与</w:t>
                  </w:r>
                  <w:r>
                    <w:rPr>
                      <w:rFonts w:hint="eastAsia"/>
                      <w:b w:val="0"/>
                      <w:bCs w:val="0"/>
                      <w:color w:val="auto"/>
                      <w:sz w:val="21"/>
                      <w:szCs w:val="21"/>
                    </w:rPr>
                    <w:t>厂区</w:t>
                  </w:r>
                  <w:r>
                    <w:rPr>
                      <w:b w:val="0"/>
                      <w:bCs w:val="0"/>
                      <w:color w:val="auto"/>
                      <w:sz w:val="21"/>
                      <w:szCs w:val="21"/>
                    </w:rPr>
                    <w:t>距离</w:t>
                  </w:r>
                  <w:r>
                    <w:rPr>
                      <w:rFonts w:hint="eastAsia"/>
                      <w:b w:val="0"/>
                      <w:bCs w:val="0"/>
                      <w:color w:val="auto"/>
                      <w:sz w:val="21"/>
                      <w:szCs w:val="21"/>
                      <w:lang w:val="en-US" w:eastAsia="zh-CN"/>
                    </w:rPr>
                    <w:t>2210</w:t>
                  </w:r>
                  <w:r>
                    <w:rPr>
                      <w:rFonts w:hint="eastAsia"/>
                      <w:b w:val="0"/>
                      <w:bCs w:val="0"/>
                      <w:color w:val="auto"/>
                      <w:sz w:val="21"/>
                      <w:szCs w:val="21"/>
                    </w:rPr>
                    <w:t>m</w:t>
                  </w:r>
                </w:p>
              </w:tc>
              <w:tc>
                <w:tcPr>
                  <w:tcW w:w="814" w:type="pct"/>
                  <w:tcBorders>
                    <w:right w:val="single" w:color="auto" w:sz="4" w:space="0"/>
                  </w:tcBorders>
                  <w:vAlign w:val="center"/>
                </w:tcPr>
                <w:p>
                  <w:pPr>
                    <w:pStyle w:val="53"/>
                    <w:adjustRightInd/>
                    <w:snapToGrid/>
                    <w:spacing w:line="240" w:lineRule="auto"/>
                    <w:rPr>
                      <w:rFonts w:hint="default" w:eastAsia="宋体"/>
                      <w:b w:val="0"/>
                      <w:bCs w:val="0"/>
                      <w:color w:val="auto"/>
                      <w:sz w:val="21"/>
                      <w:szCs w:val="21"/>
                      <w:lang w:val="en-US" w:eastAsia="zh-CN"/>
                    </w:rPr>
                  </w:pPr>
                  <w:r>
                    <w:rPr>
                      <w:rFonts w:hint="eastAsia"/>
                      <w:b w:val="0"/>
                      <w:bCs w:val="0"/>
                      <w:color w:val="auto"/>
                      <w:sz w:val="21"/>
                      <w:szCs w:val="21"/>
                      <w:lang w:val="en-US" w:eastAsia="zh-CN"/>
                    </w:rPr>
                    <w:t>102.290502</w:t>
                  </w:r>
                </w:p>
              </w:tc>
              <w:tc>
                <w:tcPr>
                  <w:tcW w:w="714" w:type="pct"/>
                  <w:tcBorders>
                    <w:left w:val="single" w:color="auto" w:sz="4" w:space="0"/>
                    <w:right w:val="single" w:color="auto" w:sz="4" w:space="0"/>
                  </w:tcBorders>
                  <w:vAlign w:val="center"/>
                </w:tcPr>
                <w:p>
                  <w:pPr>
                    <w:pStyle w:val="53"/>
                    <w:adjustRightInd/>
                    <w:snapToGrid/>
                    <w:spacing w:line="240" w:lineRule="auto"/>
                    <w:rPr>
                      <w:rFonts w:hint="default" w:eastAsia="宋体"/>
                      <w:b w:val="0"/>
                      <w:bCs w:val="0"/>
                      <w:color w:val="auto"/>
                      <w:sz w:val="21"/>
                      <w:szCs w:val="21"/>
                      <w:lang w:val="en-US" w:eastAsia="zh-CN"/>
                    </w:rPr>
                  </w:pPr>
                  <w:r>
                    <w:rPr>
                      <w:rFonts w:hint="eastAsia"/>
                      <w:b w:val="0"/>
                      <w:bCs w:val="0"/>
                      <w:color w:val="auto"/>
                      <w:sz w:val="21"/>
                      <w:szCs w:val="21"/>
                      <w:lang w:val="en-US" w:eastAsia="zh-CN"/>
                    </w:rPr>
                    <w:t>25.151649</w:t>
                  </w:r>
                </w:p>
              </w:tc>
              <w:tc>
                <w:tcPr>
                  <w:tcW w:w="755" w:type="pct"/>
                  <w:vMerge w:val="continue"/>
                  <w:tcBorders>
                    <w:left w:val="single" w:color="auto" w:sz="4" w:space="0"/>
                  </w:tcBorders>
                  <w:vAlign w:val="center"/>
                </w:tcPr>
                <w:p>
                  <w:pPr>
                    <w:pStyle w:val="53"/>
                    <w:adjustRightInd/>
                    <w:snapToGrid/>
                    <w:spacing w:line="240" w:lineRule="auto"/>
                    <w:rPr>
                      <w:b w:val="0"/>
                      <w:bCs w:val="0"/>
                      <w:color w:val="auto"/>
                      <w:sz w:val="21"/>
                      <w:szCs w:val="21"/>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270" w:type="pct"/>
                  <w:vMerge w:val="continue"/>
                  <w:vAlign w:val="center"/>
                </w:tcPr>
                <w:p>
                  <w:pPr>
                    <w:pStyle w:val="53"/>
                    <w:adjustRightInd/>
                    <w:snapToGrid/>
                    <w:spacing w:line="240" w:lineRule="auto"/>
                    <w:rPr>
                      <w:b w:val="0"/>
                      <w:bCs w:val="0"/>
                      <w:color w:val="auto"/>
                      <w:sz w:val="21"/>
                      <w:szCs w:val="21"/>
                    </w:rPr>
                  </w:pPr>
                </w:p>
              </w:tc>
              <w:tc>
                <w:tcPr>
                  <w:tcW w:w="435" w:type="pct"/>
                  <w:vAlign w:val="center"/>
                </w:tcPr>
                <w:p>
                  <w:pPr>
                    <w:pStyle w:val="53"/>
                    <w:adjustRightInd/>
                    <w:snapToGrid/>
                    <w:spacing w:line="240" w:lineRule="auto"/>
                    <w:rPr>
                      <w:rFonts w:hint="eastAsia"/>
                      <w:b w:val="0"/>
                      <w:bCs w:val="0"/>
                      <w:sz w:val="21"/>
                      <w:szCs w:val="21"/>
                      <w:lang w:eastAsia="zh-CN"/>
                    </w:rPr>
                  </w:pPr>
                  <w:r>
                    <w:rPr>
                      <w:rFonts w:hint="eastAsia"/>
                      <w:b w:val="0"/>
                      <w:bCs w:val="0"/>
                      <w:sz w:val="21"/>
                      <w:szCs w:val="21"/>
                      <w:lang w:eastAsia="zh-CN"/>
                    </w:rPr>
                    <w:t>马拉</w:t>
                  </w:r>
                </w:p>
              </w:tc>
              <w:tc>
                <w:tcPr>
                  <w:tcW w:w="538" w:type="pct"/>
                  <w:vAlign w:val="center"/>
                </w:tcPr>
                <w:p>
                  <w:pPr>
                    <w:pStyle w:val="53"/>
                    <w:adjustRightInd/>
                    <w:snapToGrid/>
                    <w:spacing w:line="240" w:lineRule="auto"/>
                    <w:ind w:firstLine="0" w:firstLineChars="0"/>
                    <w:rPr>
                      <w:rFonts w:hint="default" w:eastAsia="宋体"/>
                      <w:b w:val="0"/>
                      <w:bCs w:val="0"/>
                      <w:color w:val="auto"/>
                      <w:sz w:val="21"/>
                      <w:szCs w:val="21"/>
                      <w:lang w:val="en-US" w:eastAsia="zh-CN"/>
                    </w:rPr>
                  </w:pPr>
                  <w:r>
                    <w:rPr>
                      <w:rFonts w:hint="eastAsia"/>
                      <w:b w:val="0"/>
                      <w:bCs w:val="0"/>
                      <w:color w:val="auto"/>
                      <w:sz w:val="21"/>
                      <w:szCs w:val="21"/>
                      <w:lang w:eastAsia="zh-CN"/>
                    </w:rPr>
                    <w:t>约</w:t>
                  </w:r>
                  <w:r>
                    <w:rPr>
                      <w:rFonts w:hint="eastAsia"/>
                      <w:b w:val="0"/>
                      <w:bCs w:val="0"/>
                      <w:color w:val="auto"/>
                      <w:sz w:val="21"/>
                      <w:szCs w:val="21"/>
                      <w:lang w:val="en-US" w:eastAsia="zh-CN"/>
                    </w:rPr>
                    <w:t>300人</w:t>
                  </w:r>
                </w:p>
              </w:tc>
              <w:tc>
                <w:tcPr>
                  <w:tcW w:w="537" w:type="pct"/>
                  <w:vAlign w:val="center"/>
                </w:tcPr>
                <w:p>
                  <w:pPr>
                    <w:pStyle w:val="53"/>
                    <w:adjustRightInd/>
                    <w:snapToGrid/>
                    <w:spacing w:line="240" w:lineRule="auto"/>
                    <w:ind w:firstLine="0" w:firstLineChars="0"/>
                    <w:rPr>
                      <w:rFonts w:hint="eastAsia" w:eastAsia="宋体"/>
                      <w:b w:val="0"/>
                      <w:bCs w:val="0"/>
                      <w:color w:val="auto"/>
                      <w:sz w:val="21"/>
                      <w:szCs w:val="21"/>
                      <w:lang w:eastAsia="zh-CN"/>
                    </w:rPr>
                  </w:pPr>
                  <w:r>
                    <w:rPr>
                      <w:rFonts w:hint="eastAsia"/>
                      <w:b w:val="0"/>
                      <w:bCs w:val="0"/>
                      <w:color w:val="auto"/>
                      <w:sz w:val="21"/>
                      <w:szCs w:val="21"/>
                      <w:lang w:eastAsia="zh-CN"/>
                    </w:rPr>
                    <w:t>厂区西北面</w:t>
                  </w:r>
                </w:p>
              </w:tc>
              <w:tc>
                <w:tcPr>
                  <w:tcW w:w="934" w:type="pct"/>
                  <w:vAlign w:val="center"/>
                </w:tcPr>
                <w:p>
                  <w:pPr>
                    <w:pStyle w:val="53"/>
                    <w:adjustRightInd/>
                    <w:snapToGrid/>
                    <w:spacing w:line="240" w:lineRule="auto"/>
                    <w:ind w:firstLine="0" w:firstLineChars="0"/>
                    <w:rPr>
                      <w:b w:val="0"/>
                      <w:bCs w:val="0"/>
                      <w:color w:val="auto"/>
                      <w:sz w:val="21"/>
                      <w:szCs w:val="21"/>
                    </w:rPr>
                  </w:pPr>
                  <w:r>
                    <w:rPr>
                      <w:b w:val="0"/>
                      <w:bCs w:val="0"/>
                      <w:color w:val="auto"/>
                      <w:sz w:val="21"/>
                      <w:szCs w:val="21"/>
                    </w:rPr>
                    <w:t>与</w:t>
                  </w:r>
                  <w:r>
                    <w:rPr>
                      <w:rFonts w:hint="eastAsia"/>
                      <w:b w:val="0"/>
                      <w:bCs w:val="0"/>
                      <w:color w:val="auto"/>
                      <w:sz w:val="21"/>
                      <w:szCs w:val="21"/>
                    </w:rPr>
                    <w:t>厂区</w:t>
                  </w:r>
                  <w:r>
                    <w:rPr>
                      <w:b w:val="0"/>
                      <w:bCs w:val="0"/>
                      <w:color w:val="auto"/>
                      <w:sz w:val="21"/>
                      <w:szCs w:val="21"/>
                    </w:rPr>
                    <w:t>距离</w:t>
                  </w:r>
                  <w:r>
                    <w:rPr>
                      <w:rFonts w:hint="eastAsia"/>
                      <w:b w:val="0"/>
                      <w:bCs w:val="0"/>
                      <w:color w:val="auto"/>
                      <w:sz w:val="21"/>
                      <w:szCs w:val="21"/>
                      <w:lang w:val="en-US" w:eastAsia="zh-CN"/>
                    </w:rPr>
                    <w:t>2319</w:t>
                  </w:r>
                  <w:r>
                    <w:rPr>
                      <w:rFonts w:hint="eastAsia"/>
                      <w:b w:val="0"/>
                      <w:bCs w:val="0"/>
                      <w:color w:val="auto"/>
                      <w:sz w:val="21"/>
                      <w:szCs w:val="21"/>
                    </w:rPr>
                    <w:t>m</w:t>
                  </w:r>
                </w:p>
              </w:tc>
              <w:tc>
                <w:tcPr>
                  <w:tcW w:w="814" w:type="pct"/>
                  <w:tcBorders>
                    <w:right w:val="single" w:color="auto" w:sz="4" w:space="0"/>
                  </w:tcBorders>
                  <w:vAlign w:val="center"/>
                </w:tcPr>
                <w:p>
                  <w:pPr>
                    <w:pStyle w:val="53"/>
                    <w:adjustRightInd/>
                    <w:snapToGrid/>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102.264639</w:t>
                  </w:r>
                </w:p>
              </w:tc>
              <w:tc>
                <w:tcPr>
                  <w:tcW w:w="714" w:type="pct"/>
                  <w:tcBorders>
                    <w:left w:val="single" w:color="auto" w:sz="4" w:space="0"/>
                    <w:right w:val="single" w:color="auto" w:sz="4" w:space="0"/>
                  </w:tcBorders>
                  <w:vAlign w:val="center"/>
                </w:tcPr>
                <w:p>
                  <w:pPr>
                    <w:pStyle w:val="53"/>
                    <w:adjustRightInd/>
                    <w:snapToGrid/>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25.164188</w:t>
                  </w:r>
                </w:p>
              </w:tc>
              <w:tc>
                <w:tcPr>
                  <w:tcW w:w="755" w:type="pct"/>
                  <w:tcBorders>
                    <w:left w:val="single" w:color="auto" w:sz="4" w:space="0"/>
                  </w:tcBorders>
                  <w:vAlign w:val="center"/>
                </w:tcPr>
                <w:p>
                  <w:pPr>
                    <w:pStyle w:val="53"/>
                    <w:adjustRightInd/>
                    <w:snapToGrid/>
                    <w:spacing w:line="240" w:lineRule="auto"/>
                    <w:rPr>
                      <w:b w:val="0"/>
                      <w:bCs w:val="0"/>
                      <w:color w:val="auto"/>
                      <w:sz w:val="21"/>
                      <w:szCs w:val="21"/>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270" w:type="pct"/>
                  <w:vAlign w:val="center"/>
                </w:tcPr>
                <w:p>
                  <w:pPr>
                    <w:pStyle w:val="53"/>
                    <w:adjustRightInd/>
                    <w:snapToGrid/>
                    <w:spacing w:line="240" w:lineRule="auto"/>
                    <w:rPr>
                      <w:b w:val="0"/>
                      <w:bCs w:val="0"/>
                      <w:color w:val="auto"/>
                      <w:sz w:val="21"/>
                      <w:szCs w:val="21"/>
                    </w:rPr>
                  </w:pPr>
                  <w:r>
                    <w:rPr>
                      <w:rFonts w:hint="eastAsia"/>
                      <w:b w:val="0"/>
                      <w:bCs w:val="0"/>
                      <w:color w:val="auto"/>
                      <w:sz w:val="21"/>
                      <w:szCs w:val="21"/>
                    </w:rPr>
                    <w:t>声环境</w:t>
                  </w:r>
                </w:p>
              </w:tc>
              <w:tc>
                <w:tcPr>
                  <w:tcW w:w="3974" w:type="pct"/>
                  <w:gridSpan w:val="6"/>
                  <w:tcBorders>
                    <w:right w:val="single" w:color="auto" w:sz="4" w:space="0"/>
                  </w:tcBorders>
                  <w:vAlign w:val="center"/>
                </w:tcPr>
                <w:p>
                  <w:pPr>
                    <w:pStyle w:val="53"/>
                    <w:adjustRightInd/>
                    <w:snapToGrid/>
                    <w:spacing w:line="240" w:lineRule="auto"/>
                    <w:rPr>
                      <w:b w:val="0"/>
                      <w:bCs w:val="0"/>
                      <w:color w:val="auto"/>
                      <w:sz w:val="21"/>
                      <w:szCs w:val="21"/>
                    </w:rPr>
                  </w:pPr>
                  <w:r>
                    <w:rPr>
                      <w:rFonts w:hint="eastAsia"/>
                      <w:b w:val="0"/>
                      <w:bCs w:val="0"/>
                      <w:color w:val="auto"/>
                      <w:sz w:val="21"/>
                      <w:szCs w:val="21"/>
                    </w:rPr>
                    <w:t>项目区周边200m范围内无声环境保护目标。</w:t>
                  </w:r>
                </w:p>
              </w:tc>
              <w:tc>
                <w:tcPr>
                  <w:tcW w:w="755" w:type="pct"/>
                  <w:tcBorders>
                    <w:left w:val="single" w:color="auto" w:sz="4" w:space="0"/>
                  </w:tcBorders>
                  <w:vAlign w:val="center"/>
                </w:tcPr>
                <w:p>
                  <w:pPr>
                    <w:pStyle w:val="53"/>
                    <w:adjustRightInd/>
                    <w:snapToGrid/>
                    <w:spacing w:line="240" w:lineRule="auto"/>
                    <w:rPr>
                      <w:rFonts w:hint="eastAsia" w:eastAsia="宋体"/>
                      <w:b w:val="0"/>
                      <w:bCs w:val="0"/>
                      <w:color w:val="auto"/>
                      <w:sz w:val="21"/>
                      <w:szCs w:val="21"/>
                      <w:lang w:eastAsia="zh-CN"/>
                    </w:rPr>
                  </w:pPr>
                  <w:r>
                    <w:rPr>
                      <w:b w:val="0"/>
                      <w:bCs w:val="0"/>
                      <w:color w:val="auto"/>
                      <w:sz w:val="21"/>
                      <w:szCs w:val="21"/>
                    </w:rPr>
                    <w:t>《声环境质量标准》</w:t>
                  </w:r>
                  <w:r>
                    <w:rPr>
                      <w:rFonts w:hint="eastAsia"/>
                      <w:b w:val="0"/>
                      <w:bCs w:val="0"/>
                      <w:color w:val="auto"/>
                      <w:sz w:val="21"/>
                      <w:szCs w:val="21"/>
                    </w:rPr>
                    <w:t>（</w:t>
                  </w:r>
                  <w:r>
                    <w:rPr>
                      <w:b w:val="0"/>
                      <w:bCs w:val="0"/>
                      <w:color w:val="auto"/>
                      <w:sz w:val="21"/>
                      <w:szCs w:val="21"/>
                    </w:rPr>
                    <w:t>GB3096-2008</w:t>
                  </w:r>
                  <w:r>
                    <w:rPr>
                      <w:rFonts w:hint="eastAsia"/>
                      <w:b w:val="0"/>
                      <w:bCs w:val="0"/>
                      <w:color w:val="auto"/>
                      <w:sz w:val="21"/>
                      <w:szCs w:val="21"/>
                    </w:rPr>
                    <w:t>）</w:t>
                  </w:r>
                  <w:r>
                    <w:rPr>
                      <w:b w:val="0"/>
                      <w:bCs w:val="0"/>
                      <w:color w:val="auto"/>
                      <w:sz w:val="21"/>
                      <w:szCs w:val="21"/>
                    </w:rPr>
                    <w:t>中的</w:t>
                  </w:r>
                  <w:r>
                    <w:rPr>
                      <w:rFonts w:hint="eastAsia"/>
                      <w:b w:val="0"/>
                      <w:bCs w:val="0"/>
                      <w:color w:val="auto"/>
                      <w:sz w:val="21"/>
                      <w:szCs w:val="21"/>
                      <w:lang w:val="en-US" w:eastAsia="zh-CN"/>
                    </w:rPr>
                    <w:t>3</w:t>
                  </w:r>
                  <w:r>
                    <w:rPr>
                      <w:rFonts w:hint="eastAsia"/>
                      <w:b w:val="0"/>
                      <w:bCs w:val="0"/>
                      <w:color w:val="auto"/>
                      <w:sz w:val="21"/>
                      <w:szCs w:val="21"/>
                      <w:lang w:eastAsia="zh-CN"/>
                    </w:rPr>
                    <w:t>类标准</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726" w:hRule="atLeast"/>
                <w:jc w:val="center"/>
              </w:trPr>
              <w:tc>
                <w:tcPr>
                  <w:tcW w:w="270" w:type="pct"/>
                  <w:vMerge w:val="restart"/>
                  <w:vAlign w:val="center"/>
                </w:tcPr>
                <w:p>
                  <w:pPr>
                    <w:pStyle w:val="53"/>
                    <w:adjustRightInd/>
                    <w:snapToGrid/>
                    <w:spacing w:line="240" w:lineRule="auto"/>
                    <w:rPr>
                      <w:b w:val="0"/>
                      <w:bCs w:val="0"/>
                      <w:color w:val="auto"/>
                      <w:sz w:val="21"/>
                      <w:szCs w:val="21"/>
                    </w:rPr>
                  </w:pPr>
                  <w:r>
                    <w:rPr>
                      <w:rFonts w:hint="eastAsia"/>
                      <w:b w:val="0"/>
                      <w:bCs w:val="0"/>
                      <w:color w:val="auto"/>
                      <w:sz w:val="21"/>
                      <w:szCs w:val="21"/>
                    </w:rPr>
                    <w:t>地表水环境</w:t>
                  </w:r>
                </w:p>
              </w:tc>
              <w:tc>
                <w:tcPr>
                  <w:tcW w:w="973" w:type="pct"/>
                  <w:gridSpan w:val="2"/>
                  <w:vAlign w:val="center"/>
                </w:tcPr>
                <w:p>
                  <w:pPr>
                    <w:pStyle w:val="53"/>
                    <w:adjustRightInd/>
                    <w:snapToGrid/>
                    <w:spacing w:line="240" w:lineRule="auto"/>
                    <w:rPr>
                      <w:rFonts w:hint="eastAsia" w:eastAsia="宋体"/>
                      <w:b w:val="0"/>
                      <w:bCs w:val="0"/>
                      <w:color w:val="auto"/>
                      <w:sz w:val="21"/>
                      <w:szCs w:val="21"/>
                      <w:lang w:eastAsia="zh-CN"/>
                    </w:rPr>
                  </w:pPr>
                  <w:r>
                    <w:rPr>
                      <w:rFonts w:hint="eastAsia"/>
                      <w:b w:val="0"/>
                      <w:bCs w:val="0"/>
                      <w:color w:val="auto"/>
                      <w:sz w:val="21"/>
                      <w:szCs w:val="21"/>
                      <w:lang w:eastAsia="zh-CN"/>
                    </w:rPr>
                    <w:t>螳螂川</w:t>
                  </w:r>
                </w:p>
              </w:tc>
              <w:tc>
                <w:tcPr>
                  <w:tcW w:w="537" w:type="pct"/>
                  <w:vAlign w:val="center"/>
                </w:tcPr>
                <w:p>
                  <w:pPr>
                    <w:pStyle w:val="53"/>
                    <w:adjustRightInd/>
                    <w:snapToGrid/>
                    <w:spacing w:line="240" w:lineRule="auto"/>
                    <w:rPr>
                      <w:b w:val="0"/>
                      <w:bCs w:val="0"/>
                      <w:color w:val="auto"/>
                      <w:sz w:val="21"/>
                      <w:szCs w:val="21"/>
                    </w:rPr>
                  </w:pPr>
                  <w:r>
                    <w:rPr>
                      <w:rFonts w:hint="eastAsia"/>
                      <w:b w:val="0"/>
                      <w:bCs w:val="0"/>
                      <w:color w:val="auto"/>
                      <w:sz w:val="21"/>
                      <w:szCs w:val="21"/>
                      <w:lang w:eastAsia="zh-CN"/>
                    </w:rPr>
                    <w:t>东北</w:t>
                  </w:r>
                  <w:r>
                    <w:rPr>
                      <w:b w:val="0"/>
                      <w:bCs w:val="0"/>
                      <w:color w:val="auto"/>
                      <w:sz w:val="21"/>
                      <w:szCs w:val="21"/>
                    </w:rPr>
                    <w:t>面</w:t>
                  </w:r>
                </w:p>
              </w:tc>
              <w:tc>
                <w:tcPr>
                  <w:tcW w:w="2463" w:type="pct"/>
                  <w:gridSpan w:val="3"/>
                  <w:vAlign w:val="center"/>
                </w:tcPr>
                <w:p>
                  <w:pPr>
                    <w:pStyle w:val="53"/>
                    <w:adjustRightInd/>
                    <w:snapToGrid/>
                    <w:spacing w:line="240" w:lineRule="auto"/>
                    <w:rPr>
                      <w:b w:val="0"/>
                      <w:bCs w:val="0"/>
                      <w:color w:val="auto"/>
                      <w:sz w:val="21"/>
                      <w:szCs w:val="21"/>
                    </w:rPr>
                  </w:pPr>
                  <w:r>
                    <w:rPr>
                      <w:b w:val="0"/>
                      <w:bCs w:val="0"/>
                      <w:color w:val="auto"/>
                      <w:sz w:val="21"/>
                      <w:szCs w:val="21"/>
                    </w:rPr>
                    <w:t>与</w:t>
                  </w:r>
                  <w:r>
                    <w:rPr>
                      <w:rFonts w:hint="eastAsia"/>
                      <w:b w:val="0"/>
                      <w:bCs w:val="0"/>
                      <w:color w:val="auto"/>
                      <w:sz w:val="21"/>
                      <w:szCs w:val="21"/>
                    </w:rPr>
                    <w:t>厂区</w:t>
                  </w:r>
                  <w:r>
                    <w:rPr>
                      <w:b w:val="0"/>
                      <w:bCs w:val="0"/>
                      <w:color w:val="auto"/>
                      <w:sz w:val="21"/>
                      <w:szCs w:val="21"/>
                    </w:rPr>
                    <w:t>距离</w:t>
                  </w:r>
                  <w:r>
                    <w:rPr>
                      <w:rFonts w:hint="eastAsia"/>
                      <w:b w:val="0"/>
                      <w:bCs w:val="0"/>
                      <w:color w:val="auto"/>
                      <w:sz w:val="21"/>
                      <w:szCs w:val="21"/>
                      <w:lang w:val="en-US" w:eastAsia="zh-CN"/>
                    </w:rPr>
                    <w:t>1360</w:t>
                  </w:r>
                  <w:r>
                    <w:rPr>
                      <w:b w:val="0"/>
                      <w:bCs w:val="0"/>
                      <w:color w:val="auto"/>
                      <w:sz w:val="21"/>
                      <w:szCs w:val="21"/>
                    </w:rPr>
                    <w:t>m</w:t>
                  </w:r>
                </w:p>
              </w:tc>
              <w:tc>
                <w:tcPr>
                  <w:tcW w:w="755" w:type="pct"/>
                  <w:vMerge w:val="restart"/>
                  <w:tcBorders>
                    <w:top w:val="single" w:color="auto" w:sz="4" w:space="0"/>
                    <w:left w:val="single" w:color="auto" w:sz="4" w:space="0"/>
                  </w:tcBorders>
                  <w:vAlign w:val="center"/>
                </w:tcPr>
                <w:p>
                  <w:pPr>
                    <w:pStyle w:val="53"/>
                    <w:adjustRightInd/>
                    <w:snapToGrid/>
                    <w:spacing w:line="240" w:lineRule="auto"/>
                    <w:rPr>
                      <w:b w:val="0"/>
                      <w:bCs w:val="0"/>
                      <w:color w:val="auto"/>
                      <w:sz w:val="21"/>
                      <w:szCs w:val="21"/>
                    </w:rPr>
                  </w:pPr>
                  <w:r>
                    <w:rPr>
                      <w:b w:val="0"/>
                      <w:bCs w:val="0"/>
                      <w:color w:val="auto"/>
                      <w:sz w:val="21"/>
                      <w:szCs w:val="21"/>
                    </w:rPr>
                    <w:t>《地表水环境质量标准》（GB3838-2002）</w:t>
                  </w:r>
                  <w:r>
                    <w:rPr>
                      <w:rFonts w:hint="eastAsia" w:ascii="微软雅黑" w:hAnsi="微软雅黑" w:eastAsia="微软雅黑" w:cs="微软雅黑"/>
                      <w:b w:val="0"/>
                      <w:bCs w:val="0"/>
                      <w:color w:val="auto"/>
                      <w:sz w:val="21"/>
                      <w:szCs w:val="21"/>
                    </w:rPr>
                    <w:t>Ⅳ</w:t>
                  </w:r>
                  <w:r>
                    <w:rPr>
                      <w:b w:val="0"/>
                      <w:bCs w:val="0"/>
                      <w:color w:val="auto"/>
                      <w:sz w:val="21"/>
                      <w:szCs w:val="21"/>
                    </w:rPr>
                    <w:t>类标准</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726" w:hRule="atLeast"/>
                <w:jc w:val="center"/>
              </w:trPr>
              <w:tc>
                <w:tcPr>
                  <w:tcW w:w="270" w:type="pct"/>
                  <w:vMerge w:val="continue"/>
                  <w:vAlign w:val="center"/>
                </w:tcPr>
                <w:p>
                  <w:pPr>
                    <w:pStyle w:val="53"/>
                    <w:adjustRightInd/>
                    <w:snapToGrid/>
                    <w:spacing w:line="240" w:lineRule="auto"/>
                  </w:pPr>
                </w:p>
              </w:tc>
              <w:tc>
                <w:tcPr>
                  <w:tcW w:w="973" w:type="pct"/>
                  <w:gridSpan w:val="2"/>
                  <w:vAlign w:val="center"/>
                </w:tcPr>
                <w:p>
                  <w:pPr>
                    <w:pStyle w:val="53"/>
                    <w:adjustRightInd/>
                    <w:snapToGrid/>
                    <w:spacing w:line="240" w:lineRule="auto"/>
                    <w:rPr>
                      <w:rFonts w:hint="eastAsia"/>
                      <w:b w:val="0"/>
                      <w:bCs w:val="0"/>
                      <w:color w:val="auto"/>
                      <w:sz w:val="21"/>
                      <w:szCs w:val="21"/>
                      <w:lang w:eastAsia="zh-CN"/>
                    </w:rPr>
                  </w:pPr>
                  <w:r>
                    <w:rPr>
                      <w:rFonts w:hint="eastAsia"/>
                      <w:b w:val="0"/>
                      <w:bCs w:val="0"/>
                      <w:color w:val="auto"/>
                      <w:sz w:val="21"/>
                      <w:szCs w:val="21"/>
                      <w:lang w:eastAsia="zh-CN"/>
                    </w:rPr>
                    <w:t>马拉河</w:t>
                  </w:r>
                </w:p>
              </w:tc>
              <w:tc>
                <w:tcPr>
                  <w:tcW w:w="537" w:type="pct"/>
                  <w:vAlign w:val="center"/>
                </w:tcPr>
                <w:p>
                  <w:pPr>
                    <w:pStyle w:val="53"/>
                    <w:adjustRightInd/>
                    <w:snapToGrid/>
                    <w:spacing w:line="240" w:lineRule="auto"/>
                    <w:rPr>
                      <w:rFonts w:hint="eastAsia"/>
                      <w:b w:val="0"/>
                      <w:bCs w:val="0"/>
                      <w:color w:val="auto"/>
                      <w:sz w:val="21"/>
                      <w:szCs w:val="21"/>
                      <w:lang w:eastAsia="zh-CN"/>
                    </w:rPr>
                  </w:pPr>
                  <w:r>
                    <w:rPr>
                      <w:rFonts w:hint="eastAsia"/>
                      <w:b w:val="0"/>
                      <w:bCs w:val="0"/>
                      <w:color w:val="auto"/>
                      <w:sz w:val="21"/>
                      <w:szCs w:val="21"/>
                      <w:lang w:eastAsia="zh-CN"/>
                    </w:rPr>
                    <w:t>北面</w:t>
                  </w:r>
                </w:p>
              </w:tc>
              <w:tc>
                <w:tcPr>
                  <w:tcW w:w="2463" w:type="pct"/>
                  <w:gridSpan w:val="3"/>
                  <w:vAlign w:val="center"/>
                </w:tcPr>
                <w:p>
                  <w:pPr>
                    <w:pStyle w:val="53"/>
                    <w:adjustRightInd/>
                    <w:snapToGrid/>
                    <w:spacing w:line="240" w:lineRule="auto"/>
                    <w:rPr>
                      <w:rFonts w:hint="default"/>
                      <w:b w:val="0"/>
                      <w:bCs w:val="0"/>
                      <w:color w:val="auto"/>
                      <w:sz w:val="21"/>
                      <w:szCs w:val="21"/>
                      <w:lang w:val="en-US" w:eastAsia="zh-CN"/>
                    </w:rPr>
                  </w:pPr>
                  <w:r>
                    <w:rPr>
                      <w:b w:val="0"/>
                      <w:bCs w:val="0"/>
                      <w:color w:val="auto"/>
                      <w:sz w:val="21"/>
                      <w:szCs w:val="21"/>
                    </w:rPr>
                    <w:t>与</w:t>
                  </w:r>
                  <w:r>
                    <w:rPr>
                      <w:rFonts w:hint="eastAsia"/>
                      <w:b w:val="0"/>
                      <w:bCs w:val="0"/>
                      <w:color w:val="auto"/>
                      <w:sz w:val="21"/>
                      <w:szCs w:val="21"/>
                    </w:rPr>
                    <w:t>厂区</w:t>
                  </w:r>
                  <w:r>
                    <w:rPr>
                      <w:b w:val="0"/>
                      <w:bCs w:val="0"/>
                      <w:color w:val="auto"/>
                      <w:sz w:val="21"/>
                      <w:szCs w:val="21"/>
                    </w:rPr>
                    <w:t>距离</w:t>
                  </w:r>
                  <w:r>
                    <w:rPr>
                      <w:rFonts w:hint="eastAsia"/>
                      <w:b w:val="0"/>
                      <w:bCs w:val="0"/>
                      <w:color w:val="auto"/>
                      <w:sz w:val="21"/>
                      <w:szCs w:val="21"/>
                      <w:lang w:val="en-US" w:eastAsia="zh-CN"/>
                    </w:rPr>
                    <w:t>1260m</w:t>
                  </w:r>
                </w:p>
              </w:tc>
              <w:tc>
                <w:tcPr>
                  <w:tcW w:w="755" w:type="pct"/>
                  <w:vMerge w:val="continue"/>
                  <w:tcBorders>
                    <w:left w:val="single" w:color="auto" w:sz="4" w:space="0"/>
                  </w:tcBorders>
                  <w:vAlign w:val="center"/>
                </w:tcPr>
                <w:p>
                  <w:pPr>
                    <w:pStyle w:val="53"/>
                    <w:adjustRightInd/>
                    <w:snapToGrid/>
                    <w:spacing w:line="240" w:lineRule="auto"/>
                    <w:rPr>
                      <w:rFonts w:hint="eastAsia"/>
                      <w:b w:val="0"/>
                      <w:bCs w:val="0"/>
                      <w:color w:val="auto"/>
                      <w:sz w:val="21"/>
                      <w:szCs w:val="21"/>
                      <w:lang w:eastAsia="zh-CN"/>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726" w:hRule="atLeast"/>
                <w:jc w:val="center"/>
              </w:trPr>
              <w:tc>
                <w:tcPr>
                  <w:tcW w:w="270" w:type="pct"/>
                  <w:vMerge w:val="continue"/>
                  <w:vAlign w:val="center"/>
                </w:tcPr>
                <w:p>
                  <w:pPr>
                    <w:pStyle w:val="53"/>
                    <w:adjustRightInd/>
                    <w:snapToGrid/>
                    <w:spacing w:line="240" w:lineRule="auto"/>
                    <w:rPr>
                      <w:rFonts w:hint="eastAsia"/>
                      <w:b w:val="0"/>
                      <w:bCs w:val="0"/>
                      <w:color w:val="auto"/>
                      <w:sz w:val="21"/>
                      <w:szCs w:val="21"/>
                      <w:lang w:eastAsia="zh-CN"/>
                    </w:rPr>
                  </w:pPr>
                </w:p>
              </w:tc>
              <w:tc>
                <w:tcPr>
                  <w:tcW w:w="973" w:type="pct"/>
                  <w:gridSpan w:val="2"/>
                  <w:vAlign w:val="center"/>
                </w:tcPr>
                <w:p>
                  <w:pPr>
                    <w:pStyle w:val="53"/>
                    <w:adjustRightInd/>
                    <w:snapToGrid/>
                    <w:spacing w:line="240" w:lineRule="auto"/>
                    <w:rPr>
                      <w:rFonts w:hint="eastAsia"/>
                      <w:b w:val="0"/>
                      <w:bCs w:val="0"/>
                      <w:color w:val="auto"/>
                      <w:sz w:val="21"/>
                      <w:szCs w:val="21"/>
                      <w:lang w:eastAsia="zh-CN"/>
                    </w:rPr>
                  </w:pPr>
                  <w:r>
                    <w:rPr>
                      <w:rFonts w:hint="eastAsia"/>
                      <w:b w:val="0"/>
                      <w:bCs w:val="0"/>
                      <w:color w:val="auto"/>
                      <w:sz w:val="21"/>
                      <w:szCs w:val="21"/>
                      <w:lang w:eastAsia="zh-CN"/>
                    </w:rPr>
                    <w:t>清水河</w:t>
                  </w:r>
                </w:p>
              </w:tc>
              <w:tc>
                <w:tcPr>
                  <w:tcW w:w="537" w:type="pct"/>
                  <w:vAlign w:val="center"/>
                </w:tcPr>
                <w:p>
                  <w:pPr>
                    <w:pStyle w:val="53"/>
                    <w:adjustRightInd/>
                    <w:snapToGrid/>
                    <w:spacing w:line="240" w:lineRule="auto"/>
                    <w:rPr>
                      <w:rFonts w:hint="eastAsia"/>
                      <w:b w:val="0"/>
                      <w:bCs w:val="0"/>
                      <w:color w:val="auto"/>
                      <w:sz w:val="21"/>
                      <w:szCs w:val="21"/>
                      <w:lang w:eastAsia="zh-CN"/>
                    </w:rPr>
                  </w:pPr>
                  <w:r>
                    <w:rPr>
                      <w:rFonts w:hint="eastAsia"/>
                      <w:b w:val="0"/>
                      <w:bCs w:val="0"/>
                      <w:color w:val="auto"/>
                      <w:sz w:val="21"/>
                      <w:szCs w:val="21"/>
                      <w:lang w:eastAsia="zh-CN"/>
                    </w:rPr>
                    <w:t>南面</w:t>
                  </w:r>
                </w:p>
              </w:tc>
              <w:tc>
                <w:tcPr>
                  <w:tcW w:w="2463" w:type="pct"/>
                  <w:gridSpan w:val="3"/>
                  <w:vAlign w:val="center"/>
                </w:tcPr>
                <w:p>
                  <w:pPr>
                    <w:pStyle w:val="53"/>
                    <w:adjustRightInd/>
                    <w:snapToGrid/>
                    <w:spacing w:line="240" w:lineRule="auto"/>
                    <w:rPr>
                      <w:rFonts w:hint="default"/>
                      <w:b w:val="0"/>
                      <w:bCs w:val="0"/>
                      <w:color w:val="auto"/>
                      <w:sz w:val="21"/>
                      <w:szCs w:val="21"/>
                      <w:lang w:val="en-US" w:eastAsia="zh-CN"/>
                    </w:rPr>
                  </w:pPr>
                  <w:r>
                    <w:rPr>
                      <w:b w:val="0"/>
                      <w:bCs w:val="0"/>
                      <w:color w:val="auto"/>
                      <w:sz w:val="21"/>
                      <w:szCs w:val="21"/>
                    </w:rPr>
                    <w:t>与</w:t>
                  </w:r>
                  <w:r>
                    <w:rPr>
                      <w:rFonts w:hint="eastAsia"/>
                      <w:b w:val="0"/>
                      <w:bCs w:val="0"/>
                      <w:color w:val="auto"/>
                      <w:sz w:val="21"/>
                      <w:szCs w:val="21"/>
                    </w:rPr>
                    <w:t>厂区</w:t>
                  </w:r>
                  <w:r>
                    <w:rPr>
                      <w:b w:val="0"/>
                      <w:bCs w:val="0"/>
                      <w:color w:val="auto"/>
                      <w:sz w:val="21"/>
                      <w:szCs w:val="21"/>
                    </w:rPr>
                    <w:t>距离</w:t>
                  </w:r>
                  <w:r>
                    <w:rPr>
                      <w:rFonts w:hint="eastAsia"/>
                      <w:b w:val="0"/>
                      <w:bCs w:val="0"/>
                      <w:color w:val="auto"/>
                      <w:sz w:val="21"/>
                      <w:szCs w:val="21"/>
                      <w:lang w:val="en-US" w:eastAsia="zh-CN"/>
                    </w:rPr>
                    <w:t>1600m</w:t>
                  </w:r>
                </w:p>
              </w:tc>
              <w:tc>
                <w:tcPr>
                  <w:tcW w:w="755" w:type="pct"/>
                  <w:vMerge w:val="continue"/>
                  <w:tcBorders>
                    <w:left w:val="single" w:color="auto" w:sz="4" w:space="0"/>
                  </w:tcBorders>
                  <w:vAlign w:val="center"/>
                </w:tcPr>
                <w:p>
                  <w:pPr>
                    <w:pStyle w:val="53"/>
                    <w:adjustRightInd/>
                    <w:snapToGrid/>
                    <w:spacing w:line="240" w:lineRule="auto"/>
                    <w:rPr>
                      <w:rFonts w:hint="eastAsia"/>
                      <w:b w:val="0"/>
                      <w:bCs w:val="0"/>
                      <w:color w:val="auto"/>
                      <w:sz w:val="21"/>
                      <w:szCs w:val="21"/>
                      <w:lang w:eastAsia="zh-CN"/>
                    </w:rPr>
                  </w:pPr>
                </w:p>
              </w:tc>
            </w:tr>
          </w:tbl>
          <w:p>
            <w:pPr>
              <w:pStyle w:val="18"/>
              <w:rPr>
                <w:rFonts w:ascii="Times New Roman" w:hAnsi="Times New Roman"/>
                <w:color w:val="000000"/>
              </w:rPr>
            </w:pPr>
          </w:p>
          <w:p>
            <w:pPr>
              <w:pStyle w:val="18"/>
              <w:rPr>
                <w:rFonts w:ascii="Times New Roman" w:hAnsi="Times New Roman"/>
                <w:color w:val="000000"/>
              </w:rPr>
            </w:pPr>
          </w:p>
          <w:p>
            <w:pPr>
              <w:pStyle w:val="18"/>
              <w:jc w:val="both"/>
              <w:rPr>
                <w:rFonts w:ascii="Times New Roman" w:hAnsi="Times New Roman"/>
                <w:color w:val="000000"/>
              </w:rPr>
            </w:pPr>
          </w:p>
          <w:p>
            <w:pPr>
              <w:pStyle w:val="51"/>
              <w:ind w:left="0" w:leftChars="0" w:firstLine="0" w:firstLineChars="0"/>
              <w:rPr>
                <w:rFonts w:ascii="Times New Roman" w:hAnsi="Times New Roman"/>
                <w:color w:val="000000"/>
              </w:rPr>
            </w:pPr>
          </w:p>
          <w:p>
            <w:pPr>
              <w:pStyle w:val="51"/>
              <w:rPr>
                <w:rFonts w:ascii="Times New Roman" w:hAnsi="Times New Roman"/>
                <w:color w:val="000000"/>
              </w:rPr>
            </w:pPr>
          </w:p>
          <w:p>
            <w:pPr>
              <w:pStyle w:val="51"/>
              <w:rPr>
                <w:rFonts w:ascii="Times New Roman" w:hAnsi="Times New Roman"/>
                <w:color w:val="000000"/>
              </w:rPr>
            </w:pPr>
          </w:p>
          <w:p>
            <w:pPr>
              <w:pStyle w:val="51"/>
              <w:rPr>
                <w:rFonts w:ascii="Times New Roman" w:hAnsi="Times New Roman"/>
                <w:color w:val="000000"/>
              </w:rPr>
            </w:pPr>
          </w:p>
          <w:p>
            <w:pPr>
              <w:pStyle w:val="51"/>
              <w:rPr>
                <w:rFonts w:ascii="Times New Roman" w:hAnsi="Times New Roman"/>
                <w:color w:val="000000"/>
              </w:rPr>
            </w:pPr>
          </w:p>
          <w:p>
            <w:pPr>
              <w:pStyle w:val="51"/>
              <w:rPr>
                <w:rFonts w:ascii="Times New Roman" w:hAnsi="Times New Roman"/>
                <w:color w:val="000000"/>
              </w:rPr>
            </w:pPr>
          </w:p>
          <w:p>
            <w:pPr>
              <w:pStyle w:val="51"/>
              <w:rPr>
                <w:rFonts w:ascii="Times New Roman" w:hAnsi="Times New Roman"/>
                <w:color w:val="000000"/>
              </w:rPr>
            </w:pPr>
          </w:p>
          <w:p>
            <w:pPr>
              <w:pStyle w:val="51"/>
              <w:rPr>
                <w:rFonts w:ascii="Times New Roman" w:hAnsi="Times New Roman"/>
                <w:color w:val="000000"/>
              </w:rPr>
            </w:pPr>
          </w:p>
          <w:p>
            <w:pPr>
              <w:pStyle w:val="51"/>
              <w:rPr>
                <w:rFonts w:ascii="Times New Roman" w:hAnsi="Times New Roman"/>
                <w:color w:val="000000"/>
              </w:rPr>
            </w:pPr>
          </w:p>
          <w:p>
            <w:pPr>
              <w:pStyle w:val="51"/>
              <w:rPr>
                <w:rFonts w:ascii="Times New Roman" w:hAnsi="Times New Roman"/>
                <w:color w:val="000000"/>
              </w:rPr>
            </w:pPr>
          </w:p>
          <w:p>
            <w:pPr>
              <w:pStyle w:val="51"/>
              <w:rPr>
                <w:rFonts w:ascii="Times New Roman" w:hAnsi="Times New Roman"/>
                <w:color w:val="000000"/>
              </w:rPr>
            </w:pPr>
          </w:p>
          <w:p>
            <w:pPr>
              <w:pStyle w:val="51"/>
              <w:rPr>
                <w:rFonts w:ascii="Times New Roman" w:hAnsi="Times New Roman"/>
                <w:color w:val="000000"/>
              </w:rPr>
            </w:pPr>
          </w:p>
          <w:p>
            <w:pPr>
              <w:pStyle w:val="51"/>
              <w:rPr>
                <w:rFonts w:ascii="Times New Roman" w:hAnsi="Times New Roman"/>
                <w:color w:val="000000"/>
              </w:rPr>
            </w:pPr>
          </w:p>
          <w:p>
            <w:pPr>
              <w:pStyle w:val="51"/>
              <w:rPr>
                <w:rFonts w:ascii="Times New Roman" w:hAnsi="Times New Roman"/>
                <w:color w:val="000000"/>
              </w:rPr>
            </w:pPr>
          </w:p>
          <w:p>
            <w:pPr>
              <w:pStyle w:val="51"/>
              <w:rPr>
                <w:rFonts w:ascii="Times New Roman" w:hAnsi="Times New Roman"/>
                <w:color w:val="000000"/>
              </w:rPr>
            </w:pPr>
          </w:p>
          <w:p>
            <w:pPr>
              <w:pStyle w:val="51"/>
              <w:rPr>
                <w:rFonts w:ascii="Times New Roman" w:hAnsi="Times New Roman"/>
                <w:color w:val="000000"/>
              </w:rPr>
            </w:pPr>
          </w:p>
          <w:p>
            <w:pPr>
              <w:pStyle w:val="51"/>
              <w:rPr>
                <w:rFonts w:ascii="Times New Roman" w:hAnsi="Times New Roman"/>
                <w:color w:val="000000"/>
              </w:rPr>
            </w:pPr>
          </w:p>
          <w:p>
            <w:pPr>
              <w:pStyle w:val="51"/>
              <w:rPr>
                <w:rFonts w:ascii="Times New Roman" w:hAnsi="Times New Roman"/>
                <w:color w:val="000000"/>
              </w:rPr>
            </w:pPr>
          </w:p>
          <w:p>
            <w:pPr>
              <w:pStyle w:val="51"/>
              <w:rPr>
                <w:rFonts w:ascii="Times New Roman" w:hAnsi="Times New Roman"/>
                <w:color w:val="000000"/>
              </w:rPr>
            </w:pPr>
          </w:p>
          <w:p>
            <w:pPr>
              <w:pStyle w:val="51"/>
              <w:rPr>
                <w:rFonts w:ascii="Times New Roman" w:hAnsi="Times New Roman"/>
                <w:color w:val="000000"/>
              </w:rPr>
            </w:pPr>
          </w:p>
          <w:p>
            <w:pPr>
              <w:pStyle w:val="51"/>
              <w:rPr>
                <w:rFonts w:ascii="Times New Roman" w:hAnsi="Times New Roman"/>
                <w:color w:val="000000"/>
              </w:rPr>
            </w:pPr>
          </w:p>
          <w:p>
            <w:pPr>
              <w:pStyle w:val="51"/>
              <w:rPr>
                <w:rFonts w:ascii="Times New Roman" w:hAnsi="Times New Roman"/>
                <w:color w:val="000000"/>
              </w:rPr>
            </w:pPr>
          </w:p>
          <w:p>
            <w:pPr>
              <w:pStyle w:val="51"/>
              <w:ind w:left="0" w:leftChars="0" w:firstLine="0" w:firstLineChars="0"/>
              <w:rPr>
                <w:rFonts w:ascii="Times New Roman" w:hAnsi="Times New Roman"/>
                <w:color w:val="000000"/>
              </w:rPr>
            </w:pPr>
          </w:p>
          <w:p>
            <w:pPr>
              <w:pStyle w:val="18"/>
              <w:jc w:val="both"/>
              <w:rPr>
                <w:rFonts w:ascii="Times New Roman" w:hAnsi="Times New Roman"/>
                <w:color w:val="000000"/>
              </w:rPr>
            </w:pPr>
          </w:p>
        </w:tc>
      </w:tr>
    </w:tbl>
    <w:p>
      <w:pPr>
        <w:rPr>
          <w:rFonts w:ascii="Times New Roman" w:hAnsi="Times New Roman"/>
          <w:b/>
          <w:color w:val="000000"/>
          <w:sz w:val="30"/>
          <w:szCs w:val="30"/>
        </w:rPr>
      </w:pPr>
      <w:r>
        <w:rPr>
          <w:rFonts w:ascii="Times New Roman" w:hAnsi="Times New Roman"/>
          <w:b/>
          <w:color w:val="000000"/>
          <w:sz w:val="30"/>
          <w:szCs w:val="30"/>
        </w:rPr>
        <w:br w:type="page"/>
      </w:r>
    </w:p>
    <w:p>
      <w:pPr>
        <w:outlineLvl w:val="0"/>
        <w:rPr>
          <w:rFonts w:ascii="Times New Roman" w:hAnsi="Times New Roman"/>
          <w:b/>
          <w:color w:val="000000"/>
          <w:sz w:val="30"/>
          <w:szCs w:val="30"/>
        </w:rPr>
      </w:pPr>
      <w:bookmarkStart w:id="87" w:name="_Toc24475"/>
      <w:bookmarkStart w:id="88" w:name="_Toc2353"/>
      <w:r>
        <w:rPr>
          <w:rFonts w:ascii="Times New Roman" w:hAnsi="Times New Roman"/>
          <w:b/>
          <w:color w:val="000000"/>
          <w:sz w:val="30"/>
          <w:szCs w:val="30"/>
        </w:rPr>
        <w:t>表四  评价适用标准</w:t>
      </w:r>
      <w:bookmarkEnd w:id="87"/>
      <w:bookmarkEnd w:id="88"/>
    </w:p>
    <w:tbl>
      <w:tblPr>
        <w:tblStyle w:val="37"/>
        <w:tblW w:w="8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9" w:hRule="atLeast"/>
        </w:trPr>
        <w:tc>
          <w:tcPr>
            <w:tcW w:w="811" w:type="dxa"/>
            <w:vAlign w:val="center"/>
          </w:tcPr>
          <w:p>
            <w:pPr>
              <w:spacing w:line="360" w:lineRule="auto"/>
              <w:jc w:val="center"/>
              <w:rPr>
                <w:rFonts w:ascii="Times New Roman" w:hAnsi="Times New Roman"/>
                <w:b/>
                <w:color w:val="000000"/>
                <w:sz w:val="24"/>
                <w:szCs w:val="24"/>
              </w:rPr>
            </w:pPr>
          </w:p>
          <w:p>
            <w:pPr>
              <w:spacing w:line="360" w:lineRule="auto"/>
              <w:jc w:val="center"/>
              <w:rPr>
                <w:rFonts w:ascii="Times New Roman" w:hAnsi="Times New Roman"/>
                <w:b/>
                <w:color w:val="000000"/>
                <w:sz w:val="24"/>
                <w:szCs w:val="24"/>
              </w:rPr>
            </w:pPr>
          </w:p>
          <w:p>
            <w:pPr>
              <w:spacing w:line="360" w:lineRule="auto"/>
              <w:jc w:val="center"/>
              <w:rPr>
                <w:rFonts w:ascii="Times New Roman" w:hAnsi="Times New Roman"/>
                <w:b/>
                <w:color w:val="000000"/>
                <w:sz w:val="24"/>
                <w:szCs w:val="24"/>
              </w:rPr>
            </w:pPr>
          </w:p>
          <w:p>
            <w:pPr>
              <w:spacing w:line="360" w:lineRule="auto"/>
              <w:jc w:val="center"/>
              <w:rPr>
                <w:rFonts w:ascii="Times New Roman" w:hAnsi="Times New Roman"/>
                <w:b/>
                <w:color w:val="000000"/>
                <w:sz w:val="24"/>
                <w:szCs w:val="24"/>
              </w:rPr>
            </w:pPr>
          </w:p>
          <w:p>
            <w:pPr>
              <w:spacing w:line="360" w:lineRule="auto"/>
              <w:jc w:val="center"/>
              <w:rPr>
                <w:rFonts w:ascii="Times New Roman" w:hAnsi="Times New Roman"/>
                <w:b/>
                <w:color w:val="000000"/>
                <w:sz w:val="24"/>
                <w:szCs w:val="24"/>
              </w:rPr>
            </w:pPr>
          </w:p>
          <w:p>
            <w:pPr>
              <w:spacing w:line="360" w:lineRule="auto"/>
              <w:jc w:val="center"/>
              <w:rPr>
                <w:rFonts w:ascii="Times New Roman" w:hAnsi="Times New Roman"/>
                <w:b/>
                <w:color w:val="000000"/>
                <w:sz w:val="24"/>
                <w:szCs w:val="24"/>
              </w:rPr>
            </w:pPr>
          </w:p>
          <w:p>
            <w:pPr>
              <w:spacing w:line="360" w:lineRule="auto"/>
              <w:jc w:val="center"/>
              <w:rPr>
                <w:rFonts w:ascii="Times New Roman" w:hAnsi="Times New Roman"/>
                <w:b/>
                <w:color w:val="000000"/>
                <w:sz w:val="24"/>
                <w:szCs w:val="24"/>
              </w:rPr>
            </w:pPr>
          </w:p>
          <w:p>
            <w:pPr>
              <w:spacing w:line="360" w:lineRule="auto"/>
              <w:jc w:val="center"/>
              <w:rPr>
                <w:rFonts w:ascii="Times New Roman" w:hAnsi="Times New Roman"/>
                <w:b/>
                <w:color w:val="000000"/>
                <w:sz w:val="24"/>
                <w:szCs w:val="24"/>
              </w:rPr>
            </w:pPr>
          </w:p>
          <w:p>
            <w:pPr>
              <w:spacing w:line="360" w:lineRule="auto"/>
              <w:jc w:val="center"/>
              <w:rPr>
                <w:rFonts w:ascii="Times New Roman" w:hAnsi="Times New Roman"/>
                <w:b/>
                <w:color w:val="000000"/>
                <w:sz w:val="24"/>
                <w:szCs w:val="24"/>
              </w:rPr>
            </w:pPr>
          </w:p>
          <w:p>
            <w:pPr>
              <w:spacing w:line="360" w:lineRule="auto"/>
              <w:jc w:val="center"/>
              <w:rPr>
                <w:rFonts w:ascii="Times New Roman" w:hAnsi="Times New Roman"/>
                <w:b/>
                <w:color w:val="000000"/>
                <w:sz w:val="24"/>
                <w:szCs w:val="24"/>
              </w:rPr>
            </w:pPr>
            <w:r>
              <w:rPr>
                <w:rFonts w:ascii="Times New Roman" w:hAnsi="Times New Roman"/>
                <w:b/>
                <w:color w:val="000000"/>
                <w:sz w:val="24"/>
                <w:szCs w:val="24"/>
              </w:rPr>
              <w:t>环</w:t>
            </w:r>
          </w:p>
          <w:p>
            <w:pPr>
              <w:spacing w:line="360" w:lineRule="auto"/>
              <w:jc w:val="center"/>
              <w:rPr>
                <w:rFonts w:ascii="Times New Roman" w:hAnsi="Times New Roman"/>
                <w:b/>
                <w:color w:val="000000"/>
                <w:sz w:val="24"/>
                <w:szCs w:val="24"/>
              </w:rPr>
            </w:pPr>
            <w:r>
              <w:rPr>
                <w:rFonts w:ascii="Times New Roman" w:hAnsi="Times New Roman"/>
                <w:b/>
                <w:color w:val="000000"/>
                <w:sz w:val="24"/>
                <w:szCs w:val="24"/>
              </w:rPr>
              <w:t>境</w:t>
            </w:r>
          </w:p>
          <w:p>
            <w:pPr>
              <w:spacing w:line="360" w:lineRule="auto"/>
              <w:jc w:val="center"/>
              <w:rPr>
                <w:rFonts w:ascii="Times New Roman" w:hAnsi="Times New Roman"/>
                <w:b/>
                <w:color w:val="000000"/>
                <w:sz w:val="24"/>
                <w:szCs w:val="24"/>
              </w:rPr>
            </w:pPr>
            <w:r>
              <w:rPr>
                <w:rFonts w:ascii="Times New Roman" w:hAnsi="Times New Roman"/>
                <w:b/>
                <w:color w:val="000000"/>
                <w:sz w:val="24"/>
                <w:szCs w:val="24"/>
              </w:rPr>
              <w:t>质</w:t>
            </w:r>
          </w:p>
          <w:p>
            <w:pPr>
              <w:spacing w:line="360" w:lineRule="auto"/>
              <w:jc w:val="center"/>
              <w:rPr>
                <w:rFonts w:ascii="Times New Roman" w:hAnsi="Times New Roman"/>
                <w:b/>
                <w:color w:val="000000"/>
                <w:sz w:val="24"/>
                <w:szCs w:val="24"/>
              </w:rPr>
            </w:pPr>
            <w:r>
              <w:rPr>
                <w:rFonts w:ascii="Times New Roman" w:hAnsi="Times New Roman"/>
                <w:b/>
                <w:color w:val="000000"/>
                <w:sz w:val="24"/>
                <w:szCs w:val="24"/>
              </w:rPr>
              <w:t>量</w:t>
            </w:r>
          </w:p>
          <w:p>
            <w:pPr>
              <w:spacing w:line="360" w:lineRule="auto"/>
              <w:jc w:val="center"/>
              <w:rPr>
                <w:rFonts w:ascii="Times New Roman" w:hAnsi="Times New Roman"/>
                <w:b/>
                <w:color w:val="000000"/>
                <w:sz w:val="24"/>
                <w:szCs w:val="24"/>
              </w:rPr>
            </w:pPr>
            <w:r>
              <w:rPr>
                <w:rFonts w:ascii="Times New Roman" w:hAnsi="Times New Roman"/>
                <w:b/>
                <w:color w:val="000000"/>
                <w:sz w:val="24"/>
                <w:szCs w:val="24"/>
              </w:rPr>
              <w:t>标</w:t>
            </w:r>
          </w:p>
          <w:p>
            <w:pPr>
              <w:spacing w:line="360" w:lineRule="auto"/>
              <w:jc w:val="center"/>
              <w:rPr>
                <w:rFonts w:ascii="Times New Roman" w:hAnsi="Times New Roman"/>
                <w:b/>
                <w:color w:val="000000"/>
                <w:sz w:val="24"/>
                <w:szCs w:val="24"/>
              </w:rPr>
            </w:pPr>
            <w:r>
              <w:rPr>
                <w:rFonts w:ascii="Times New Roman" w:hAnsi="Times New Roman"/>
                <w:b/>
                <w:color w:val="000000"/>
                <w:sz w:val="24"/>
                <w:szCs w:val="24"/>
              </w:rPr>
              <w:t>准</w:t>
            </w:r>
          </w:p>
        </w:tc>
        <w:tc>
          <w:tcPr>
            <w:tcW w:w="7509" w:type="dxa"/>
            <w:vAlign w:val="top"/>
          </w:tcPr>
          <w:p>
            <w:pPr>
              <w:widowControl/>
              <w:spacing w:line="360" w:lineRule="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环境质量标准：</w:t>
            </w:r>
          </w:p>
          <w:p>
            <w:pPr>
              <w:widowControl/>
              <w:spacing w:line="360" w:lineRule="auto"/>
              <w:ind w:firstLine="482" w:firstLineChars="20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1、环境空气质量</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kern w:val="0"/>
                <w:sz w:val="24"/>
              </w:rPr>
              <w:t>本项目建设地点位于</w:t>
            </w:r>
            <w:r>
              <w:rPr>
                <w:rFonts w:hint="default" w:ascii="Times New Roman" w:hAnsi="Times New Roman" w:cs="Times New Roman"/>
                <w:color w:val="auto"/>
                <w:sz w:val="24"/>
                <w:szCs w:val="24"/>
              </w:rPr>
              <w:t>富民工业园区</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rPr>
              <w:t>属于规划工业园区</w:t>
            </w:r>
            <w:r>
              <w:rPr>
                <w:rFonts w:hint="default" w:ascii="Times New Roman" w:hAnsi="Times New Roman" w:cs="Times New Roman"/>
                <w:bCs/>
                <w:color w:val="auto"/>
                <w:sz w:val="24"/>
                <w:szCs w:val="24"/>
              </w:rPr>
              <w:t>，</w:t>
            </w:r>
            <w:r>
              <w:rPr>
                <w:rFonts w:hint="default" w:ascii="Times New Roman" w:hAnsi="Times New Roman" w:cs="Times New Roman"/>
                <w:color w:val="auto"/>
                <w:sz w:val="24"/>
                <w:szCs w:val="24"/>
              </w:rPr>
              <w:t>所在区域环境空气质量功能区划为二类区，环境空气质量执行GB3095-2012《环境空气质量标准》二级浓度限值。</w:t>
            </w:r>
          </w:p>
          <w:p>
            <w:pPr>
              <w:pStyle w:val="52"/>
              <w:bidi w:val="0"/>
              <w:spacing w:line="240" w:lineRule="auto"/>
              <w:rPr>
                <w:rFonts w:hint="default"/>
                <w:color w:val="auto"/>
              </w:rPr>
            </w:pPr>
            <w:r>
              <w:rPr>
                <w:rFonts w:hint="default"/>
                <w:color w:val="auto"/>
              </w:rPr>
              <w:t>表4-1  环境空气质量标准  （单位：μg/m</w:t>
            </w:r>
            <w:r>
              <w:rPr>
                <w:rFonts w:hint="default"/>
                <w:color w:val="auto"/>
                <w:vertAlign w:val="superscript"/>
              </w:rPr>
              <w:t>3</w:t>
            </w:r>
            <w:r>
              <w:rPr>
                <w:rFonts w:hint="default"/>
                <w:color w:val="auto"/>
              </w:rPr>
              <w:t>）</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9"/>
              <w:gridCol w:w="686"/>
              <w:gridCol w:w="569"/>
              <w:gridCol w:w="629"/>
              <w:gridCol w:w="727"/>
              <w:gridCol w:w="683"/>
              <w:gridCol w:w="618"/>
              <w:gridCol w:w="621"/>
              <w:gridCol w:w="1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1917" w:type="dxa"/>
                  <w:noWrap w:val="0"/>
                  <w:vAlign w:val="center"/>
                </w:tcPr>
                <w:p>
                  <w:pPr>
                    <w:pStyle w:val="53"/>
                    <w:bidi w:val="0"/>
                    <w:spacing w:line="240" w:lineRule="auto"/>
                    <w:rPr>
                      <w:rFonts w:hint="eastAsia"/>
                      <w:b w:val="0"/>
                      <w:bCs w:val="0"/>
                      <w:color w:val="auto"/>
                      <w:sz w:val="21"/>
                      <w:szCs w:val="21"/>
                      <w:lang w:eastAsia="zh-CN"/>
                    </w:rPr>
                  </w:pPr>
                  <w:r>
                    <w:rPr>
                      <w:rFonts w:hint="eastAsia"/>
                      <w:b w:val="0"/>
                      <w:bCs w:val="0"/>
                      <w:color w:val="auto"/>
                      <w:sz w:val="21"/>
                      <w:szCs w:val="21"/>
                      <w:lang w:eastAsia="zh-CN"/>
                    </w:rPr>
                    <w:t>取值时间</w:t>
                  </w:r>
                </w:p>
              </w:tc>
              <w:tc>
                <w:tcPr>
                  <w:tcW w:w="723"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SO</w:t>
                  </w:r>
                  <w:r>
                    <w:rPr>
                      <w:rFonts w:hint="eastAsia"/>
                      <w:b w:val="0"/>
                      <w:bCs w:val="0"/>
                      <w:color w:val="auto"/>
                      <w:sz w:val="21"/>
                      <w:szCs w:val="21"/>
                      <w:vertAlign w:val="subscript"/>
                      <w:lang w:val="en-US" w:eastAsia="zh-CN"/>
                    </w:rPr>
                    <w:t>2</w:t>
                  </w:r>
                </w:p>
              </w:tc>
              <w:tc>
                <w:tcPr>
                  <w:tcW w:w="586"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CO</w:t>
                  </w:r>
                </w:p>
              </w:tc>
              <w:tc>
                <w:tcPr>
                  <w:tcW w:w="641"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NO</w:t>
                  </w:r>
                  <w:r>
                    <w:rPr>
                      <w:rFonts w:hint="eastAsia"/>
                      <w:b w:val="0"/>
                      <w:bCs w:val="0"/>
                      <w:color w:val="auto"/>
                      <w:sz w:val="21"/>
                      <w:szCs w:val="21"/>
                      <w:vertAlign w:val="subscript"/>
                      <w:lang w:val="en-US" w:eastAsia="zh-CN"/>
                    </w:rPr>
                    <w:t>2</w:t>
                  </w:r>
                </w:p>
              </w:tc>
              <w:tc>
                <w:tcPr>
                  <w:tcW w:w="737"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PM</w:t>
                  </w:r>
                  <w:r>
                    <w:rPr>
                      <w:rFonts w:hint="eastAsia"/>
                      <w:b w:val="0"/>
                      <w:bCs w:val="0"/>
                      <w:color w:val="auto"/>
                      <w:sz w:val="21"/>
                      <w:szCs w:val="21"/>
                      <w:vertAlign w:val="subscript"/>
                      <w:lang w:val="en-US" w:eastAsia="zh-CN"/>
                    </w:rPr>
                    <w:t>2.5</w:t>
                  </w:r>
                </w:p>
              </w:tc>
              <w:tc>
                <w:tcPr>
                  <w:tcW w:w="691"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PM</w:t>
                  </w:r>
                  <w:r>
                    <w:rPr>
                      <w:rFonts w:hint="eastAsia"/>
                      <w:b w:val="0"/>
                      <w:bCs w:val="0"/>
                      <w:color w:val="auto"/>
                      <w:sz w:val="21"/>
                      <w:szCs w:val="21"/>
                      <w:vertAlign w:val="subscript"/>
                      <w:lang w:val="en-US" w:eastAsia="zh-CN"/>
                    </w:rPr>
                    <w:t>10</w:t>
                  </w:r>
                </w:p>
              </w:tc>
              <w:tc>
                <w:tcPr>
                  <w:tcW w:w="629"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TSP</w:t>
                  </w:r>
                </w:p>
              </w:tc>
              <w:tc>
                <w:tcPr>
                  <w:tcW w:w="646"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O</w:t>
                  </w:r>
                  <w:r>
                    <w:rPr>
                      <w:rFonts w:hint="eastAsia"/>
                      <w:b w:val="0"/>
                      <w:bCs w:val="0"/>
                      <w:color w:val="auto"/>
                      <w:sz w:val="21"/>
                      <w:szCs w:val="21"/>
                      <w:vertAlign w:val="subscript"/>
                      <w:lang w:val="en-US" w:eastAsia="zh-CN"/>
                    </w:rPr>
                    <w:t>3</w:t>
                  </w:r>
                </w:p>
              </w:tc>
              <w:tc>
                <w:tcPr>
                  <w:tcW w:w="1266"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TVOC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1917"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年平均</w:t>
                  </w:r>
                </w:p>
              </w:tc>
              <w:tc>
                <w:tcPr>
                  <w:tcW w:w="723"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60</w:t>
                  </w:r>
                </w:p>
              </w:tc>
              <w:tc>
                <w:tcPr>
                  <w:tcW w:w="586"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w:t>
                  </w:r>
                </w:p>
              </w:tc>
              <w:tc>
                <w:tcPr>
                  <w:tcW w:w="641"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40</w:t>
                  </w:r>
                </w:p>
              </w:tc>
              <w:tc>
                <w:tcPr>
                  <w:tcW w:w="737"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35</w:t>
                  </w:r>
                </w:p>
              </w:tc>
              <w:tc>
                <w:tcPr>
                  <w:tcW w:w="691"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70</w:t>
                  </w:r>
                </w:p>
              </w:tc>
              <w:tc>
                <w:tcPr>
                  <w:tcW w:w="629"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200</w:t>
                  </w:r>
                </w:p>
              </w:tc>
              <w:tc>
                <w:tcPr>
                  <w:tcW w:w="646"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w:t>
                  </w:r>
                </w:p>
              </w:tc>
              <w:tc>
                <w:tcPr>
                  <w:tcW w:w="1266"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1917"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24小时平均浓度</w:t>
                  </w:r>
                </w:p>
              </w:tc>
              <w:tc>
                <w:tcPr>
                  <w:tcW w:w="723"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150</w:t>
                  </w:r>
                </w:p>
              </w:tc>
              <w:tc>
                <w:tcPr>
                  <w:tcW w:w="586"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4</w:t>
                  </w:r>
                </w:p>
              </w:tc>
              <w:tc>
                <w:tcPr>
                  <w:tcW w:w="641"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80</w:t>
                  </w:r>
                </w:p>
              </w:tc>
              <w:tc>
                <w:tcPr>
                  <w:tcW w:w="737"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75</w:t>
                  </w:r>
                </w:p>
              </w:tc>
              <w:tc>
                <w:tcPr>
                  <w:tcW w:w="691"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150</w:t>
                  </w:r>
                </w:p>
              </w:tc>
              <w:tc>
                <w:tcPr>
                  <w:tcW w:w="629"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300</w:t>
                  </w:r>
                </w:p>
              </w:tc>
              <w:tc>
                <w:tcPr>
                  <w:tcW w:w="646"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w:t>
                  </w:r>
                </w:p>
              </w:tc>
              <w:tc>
                <w:tcPr>
                  <w:tcW w:w="1266"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1917"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1小时平均浓度</w:t>
                  </w:r>
                </w:p>
              </w:tc>
              <w:tc>
                <w:tcPr>
                  <w:tcW w:w="723"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500</w:t>
                  </w:r>
                </w:p>
              </w:tc>
              <w:tc>
                <w:tcPr>
                  <w:tcW w:w="586"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10</w:t>
                  </w:r>
                </w:p>
              </w:tc>
              <w:tc>
                <w:tcPr>
                  <w:tcW w:w="641"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200</w:t>
                  </w:r>
                </w:p>
              </w:tc>
              <w:tc>
                <w:tcPr>
                  <w:tcW w:w="737"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w:t>
                  </w:r>
                </w:p>
              </w:tc>
              <w:tc>
                <w:tcPr>
                  <w:tcW w:w="691"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w:t>
                  </w:r>
                </w:p>
              </w:tc>
              <w:tc>
                <w:tcPr>
                  <w:tcW w:w="629"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w:t>
                  </w:r>
                </w:p>
              </w:tc>
              <w:tc>
                <w:tcPr>
                  <w:tcW w:w="646"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200</w:t>
                  </w:r>
                </w:p>
              </w:tc>
              <w:tc>
                <w:tcPr>
                  <w:tcW w:w="1266"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1917"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日最大8小时平均</w:t>
                  </w:r>
                </w:p>
              </w:tc>
              <w:tc>
                <w:tcPr>
                  <w:tcW w:w="723"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w:t>
                  </w:r>
                </w:p>
              </w:tc>
              <w:tc>
                <w:tcPr>
                  <w:tcW w:w="586"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w:t>
                  </w:r>
                </w:p>
              </w:tc>
              <w:tc>
                <w:tcPr>
                  <w:tcW w:w="641"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w:t>
                  </w:r>
                </w:p>
              </w:tc>
              <w:tc>
                <w:tcPr>
                  <w:tcW w:w="737"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w:t>
                  </w:r>
                </w:p>
              </w:tc>
              <w:tc>
                <w:tcPr>
                  <w:tcW w:w="691"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w:t>
                  </w:r>
                </w:p>
              </w:tc>
              <w:tc>
                <w:tcPr>
                  <w:tcW w:w="629"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w:t>
                  </w:r>
                </w:p>
              </w:tc>
              <w:tc>
                <w:tcPr>
                  <w:tcW w:w="646"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160</w:t>
                  </w:r>
                </w:p>
              </w:tc>
              <w:tc>
                <w:tcPr>
                  <w:tcW w:w="1266"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600</w:t>
                  </w:r>
                </w:p>
              </w:tc>
            </w:tr>
          </w:tbl>
          <w:p>
            <w:pPr>
              <w:adjustRightInd w:val="0"/>
              <w:snapToGrid w:val="0"/>
              <w:spacing w:line="360" w:lineRule="auto"/>
              <w:ind w:firstLine="480" w:firstLineChars="200"/>
              <w:rPr>
                <w:rFonts w:hint="default" w:ascii="Times New Roman" w:hAnsi="Times New Roman" w:cs="Times New Roman"/>
                <w:color w:val="auto"/>
                <w:kern w:val="0"/>
                <w:sz w:val="24"/>
                <w:szCs w:val="22"/>
                <w:lang w:val="en-US" w:eastAsia="zh-CN"/>
              </w:rPr>
            </w:pPr>
            <w:r>
              <w:rPr>
                <w:rFonts w:hint="eastAsia" w:ascii="Times New Roman" w:hAnsi="Times New Roman" w:cs="Times New Roman"/>
                <w:color w:val="auto"/>
                <w:kern w:val="0"/>
                <w:sz w:val="24"/>
                <w:szCs w:val="22"/>
                <w:lang w:eastAsia="zh-CN"/>
              </w:rPr>
              <w:t>备注：</w:t>
            </w:r>
            <w:r>
              <w:rPr>
                <w:rFonts w:hint="eastAsia" w:ascii="Times New Roman" w:hAnsi="Times New Roman" w:cs="Times New Roman"/>
                <w:color w:val="auto"/>
                <w:kern w:val="0"/>
                <w:sz w:val="24"/>
                <w:szCs w:val="22"/>
                <w:lang w:val="en-US" w:eastAsia="zh-CN"/>
              </w:rPr>
              <w:t>本项目产生的TOVC执行《环境影响评价技术导则-大气环境》HJ2.2-2018附录D中的浓度限值</w:t>
            </w:r>
            <w:r>
              <w:rPr>
                <w:rFonts w:hint="eastAsia" w:ascii="Times New Roman" w:hAnsi="Times New Roman" w:cs="Times New Roman"/>
                <w:color w:val="auto"/>
                <w:kern w:val="0"/>
                <w:sz w:val="24"/>
                <w:szCs w:val="22"/>
                <w:lang w:eastAsia="zh-CN"/>
              </w:rPr>
              <w:t>。</w:t>
            </w:r>
          </w:p>
          <w:p>
            <w:pPr>
              <w:spacing w:line="360" w:lineRule="auto"/>
              <w:ind w:right="118" w:firstLine="482" w:firstLineChars="200"/>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2、地表水环境质量标准</w:t>
            </w:r>
          </w:p>
          <w:p>
            <w:pPr>
              <w:pageBreakBefore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kern w:val="0"/>
                <w:sz w:val="24"/>
                <w:szCs w:val="22"/>
                <w:lang w:eastAsia="zh-CN"/>
              </w:rPr>
            </w:pPr>
            <w:r>
              <w:rPr>
                <w:rFonts w:hint="default" w:ascii="Times New Roman" w:hAnsi="Times New Roman" w:cs="Times New Roman"/>
                <w:color w:val="000000"/>
                <w:kern w:val="2"/>
                <w:sz w:val="24"/>
                <w:szCs w:val="24"/>
                <w:lang w:val="en-US" w:eastAsia="zh-CN" w:bidi="ar-SA"/>
              </w:rPr>
              <w:t>据现场调查，</w:t>
            </w:r>
            <w:r>
              <w:rPr>
                <w:rFonts w:hint="eastAsia" w:ascii="Times New Roman" w:hAnsi="Times New Roman" w:cs="Times New Roman"/>
                <w:color w:val="auto"/>
                <w:sz w:val="24"/>
                <w:szCs w:val="24"/>
                <w:lang w:val="en-US" w:eastAsia="zh-CN"/>
              </w:rPr>
              <w:t>与</w:t>
            </w:r>
            <w:r>
              <w:rPr>
                <w:rFonts w:hint="default" w:ascii="Times New Roman" w:hAnsi="Times New Roman" w:cs="Times New Roman"/>
                <w:color w:val="auto"/>
                <w:sz w:val="24"/>
                <w:szCs w:val="24"/>
                <w:lang w:val="en-US" w:eastAsia="zh-CN"/>
              </w:rPr>
              <w:t>本项目有关的地表水体主要</w:t>
            </w:r>
            <w:r>
              <w:rPr>
                <w:rFonts w:hint="eastAsia" w:ascii="Times New Roman" w:hAnsi="Times New Roman" w:cs="Times New Roman"/>
                <w:color w:val="auto"/>
                <w:sz w:val="24"/>
                <w:szCs w:val="24"/>
                <w:lang w:val="en-US" w:eastAsia="zh-CN"/>
              </w:rPr>
              <w:t>是</w:t>
            </w:r>
            <w:r>
              <w:rPr>
                <w:rFonts w:hint="eastAsia" w:cs="Times New Roman"/>
                <w:color w:val="auto"/>
                <w:sz w:val="24"/>
                <w:szCs w:val="24"/>
                <w:lang w:val="en-US" w:eastAsia="zh-CN"/>
              </w:rPr>
              <w:t>螳螂川及其支流马拉河、清水河</w:t>
            </w:r>
            <w:r>
              <w:rPr>
                <w:rFonts w:hint="default" w:ascii="Times New Roman" w:hAnsi="Times New Roman" w:cs="Times New Roman"/>
                <w:color w:val="auto"/>
                <w:sz w:val="24"/>
                <w:szCs w:val="24"/>
                <w:lang w:val="en-US" w:eastAsia="zh-CN"/>
              </w:rPr>
              <w:t>。</w:t>
            </w:r>
            <w:r>
              <w:rPr>
                <w:rFonts w:hint="eastAsia" w:cs="Times New Roman"/>
                <w:color w:val="auto"/>
                <w:sz w:val="24"/>
                <w:szCs w:val="24"/>
                <w:lang w:val="en-US" w:eastAsia="zh-CN"/>
              </w:rPr>
              <w:t>清水河位于本项目南侧1600m，马拉河位于项目区北侧1260m，螳螂川位于项目区东北侧1250m</w:t>
            </w:r>
            <w:r>
              <w:rPr>
                <w:rFonts w:hint="eastAsia" w:cs="Times New Roman"/>
                <w:color w:val="000000"/>
                <w:kern w:val="2"/>
                <w:sz w:val="24"/>
                <w:szCs w:val="24"/>
                <w:lang w:val="en-US" w:eastAsia="zh-CN" w:bidi="ar-SA"/>
              </w:rPr>
              <w:t>，</w:t>
            </w:r>
            <w:r>
              <w:rPr>
                <w:rFonts w:hint="default" w:ascii="Times New Roman" w:hAnsi="Times New Roman" w:cs="Times New Roman"/>
                <w:color w:val="auto"/>
                <w:sz w:val="24"/>
                <w:szCs w:val="24"/>
                <w:lang w:val="zh-CN"/>
              </w:rPr>
              <w:t>根据</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eastAsia="zh-CN"/>
              </w:rPr>
              <w:t>云南省地表水水环境功能区划</w:t>
            </w:r>
            <w:r>
              <w:rPr>
                <w:rFonts w:hint="default" w:ascii="Times New Roman" w:hAnsi="Times New Roman" w:cs="Times New Roman"/>
                <w:color w:val="auto"/>
                <w:sz w:val="24"/>
                <w:szCs w:val="24"/>
              </w:rPr>
              <w:t>》（2010~2020年），</w:t>
            </w:r>
            <w:r>
              <w:rPr>
                <w:rFonts w:hint="default" w:ascii="Times New Roman" w:hAnsi="Times New Roman" w:cs="Times New Roman"/>
                <w:color w:val="auto"/>
                <w:sz w:val="24"/>
                <w:szCs w:val="24"/>
                <w:lang w:eastAsia="zh-CN"/>
              </w:rPr>
              <w:t>螳螂川流经项目所在区域为（富民大桥—普渡河桥）河段，该河段</w:t>
            </w:r>
            <w:r>
              <w:rPr>
                <w:rFonts w:hint="default" w:ascii="Times New Roman" w:hAnsi="Times New Roman" w:cs="Times New Roman"/>
                <w:color w:val="auto"/>
                <w:sz w:val="24"/>
                <w:szCs w:val="24"/>
              </w:rPr>
              <w:t>水环境功能为工业用水，水质类别为Ⅳ类水体</w:t>
            </w:r>
            <w:r>
              <w:rPr>
                <w:rFonts w:hint="default" w:ascii="Times New Roman" w:hAnsi="Times New Roman" w:cs="Times New Roman"/>
                <w:color w:val="auto"/>
                <w:kern w:val="0"/>
                <w:sz w:val="24"/>
                <w:szCs w:val="22"/>
                <w:lang w:eastAsia="zh-CN"/>
              </w:rPr>
              <w:t>，执行《地表水环境质量标准》（GB3838-2002）Ⅳ类标准。标准值见表4-</w:t>
            </w:r>
            <w:r>
              <w:rPr>
                <w:rFonts w:hint="eastAsia" w:ascii="Times New Roman" w:hAnsi="Times New Roman" w:cs="Times New Roman"/>
                <w:color w:val="auto"/>
                <w:kern w:val="0"/>
                <w:sz w:val="24"/>
                <w:szCs w:val="22"/>
                <w:lang w:val="en-US" w:eastAsia="zh-CN"/>
              </w:rPr>
              <w:t>2</w:t>
            </w:r>
            <w:r>
              <w:rPr>
                <w:rFonts w:hint="default" w:ascii="Times New Roman" w:hAnsi="Times New Roman" w:cs="Times New Roman"/>
                <w:color w:val="auto"/>
                <w:kern w:val="0"/>
                <w:sz w:val="24"/>
                <w:szCs w:val="22"/>
                <w:lang w:eastAsia="zh-CN"/>
              </w:rPr>
              <w:t>。</w:t>
            </w:r>
          </w:p>
          <w:p>
            <w:pPr>
              <w:pStyle w:val="52"/>
              <w:bidi w:val="0"/>
              <w:spacing w:line="240" w:lineRule="auto"/>
              <w:rPr>
                <w:rFonts w:hint="default"/>
                <w:color w:val="auto"/>
              </w:rPr>
            </w:pPr>
            <w:r>
              <w:rPr>
                <w:rFonts w:hint="default"/>
                <w:color w:val="auto"/>
              </w:rPr>
              <w:t>表4-</w:t>
            </w:r>
            <w:r>
              <w:rPr>
                <w:rFonts w:hint="eastAsia"/>
                <w:color w:val="auto"/>
                <w:lang w:val="en-US" w:eastAsia="zh-CN"/>
              </w:rPr>
              <w:t>2</w:t>
            </w:r>
            <w:r>
              <w:rPr>
                <w:rFonts w:hint="default"/>
                <w:color w:val="auto"/>
              </w:rPr>
              <w:t xml:space="preserve">  地表水环境质量标准   单位：mg/L</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2"/>
              <w:gridCol w:w="1002"/>
              <w:gridCol w:w="961"/>
              <w:gridCol w:w="947"/>
              <w:gridCol w:w="970"/>
              <w:gridCol w:w="1018"/>
              <w:gridCol w:w="1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22" w:type="dxa"/>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项目</w:t>
                  </w:r>
                </w:p>
              </w:tc>
              <w:tc>
                <w:tcPr>
                  <w:tcW w:w="1104" w:type="dxa"/>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pH</w:t>
                  </w:r>
                </w:p>
                <w:p>
                  <w:pPr>
                    <w:pStyle w:val="53"/>
                    <w:bidi w:val="0"/>
                    <w:spacing w:line="240" w:lineRule="auto"/>
                    <w:rPr>
                      <w:rFonts w:hint="default"/>
                      <w:b w:val="0"/>
                      <w:bCs w:val="0"/>
                      <w:color w:val="auto"/>
                      <w:sz w:val="21"/>
                      <w:szCs w:val="21"/>
                    </w:rPr>
                  </w:pPr>
                  <w:r>
                    <w:rPr>
                      <w:rFonts w:hint="default"/>
                      <w:b w:val="0"/>
                      <w:bCs w:val="0"/>
                      <w:color w:val="auto"/>
                      <w:sz w:val="21"/>
                      <w:szCs w:val="21"/>
                    </w:rPr>
                    <w:t>(无量纲)</w:t>
                  </w:r>
                </w:p>
              </w:tc>
              <w:tc>
                <w:tcPr>
                  <w:tcW w:w="1003" w:type="dxa"/>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COD</w:t>
                  </w:r>
                  <w:r>
                    <w:rPr>
                      <w:rFonts w:hint="default"/>
                      <w:b w:val="0"/>
                      <w:bCs w:val="0"/>
                      <w:color w:val="auto"/>
                      <w:sz w:val="21"/>
                      <w:szCs w:val="21"/>
                      <w:vertAlign w:val="subscript"/>
                    </w:rPr>
                    <w:t>cr</w:t>
                  </w:r>
                </w:p>
              </w:tc>
              <w:tc>
                <w:tcPr>
                  <w:tcW w:w="995" w:type="dxa"/>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BOD</w:t>
                  </w:r>
                  <w:r>
                    <w:rPr>
                      <w:rFonts w:hint="default"/>
                      <w:b w:val="0"/>
                      <w:bCs w:val="0"/>
                      <w:color w:val="auto"/>
                      <w:sz w:val="21"/>
                      <w:szCs w:val="21"/>
                      <w:vertAlign w:val="subscript"/>
                    </w:rPr>
                    <w:t>5</w:t>
                  </w:r>
                </w:p>
              </w:tc>
              <w:tc>
                <w:tcPr>
                  <w:tcW w:w="1005" w:type="dxa"/>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NH</w:t>
                  </w:r>
                  <w:r>
                    <w:rPr>
                      <w:rFonts w:hint="default"/>
                      <w:b w:val="0"/>
                      <w:bCs w:val="0"/>
                      <w:color w:val="auto"/>
                      <w:sz w:val="21"/>
                      <w:szCs w:val="21"/>
                      <w:vertAlign w:val="subscript"/>
                    </w:rPr>
                    <w:t>4</w:t>
                  </w:r>
                  <w:r>
                    <w:rPr>
                      <w:rFonts w:hint="default"/>
                      <w:b w:val="0"/>
                      <w:bCs w:val="0"/>
                      <w:color w:val="auto"/>
                      <w:sz w:val="21"/>
                      <w:szCs w:val="21"/>
                    </w:rPr>
                    <w:t>-N</w:t>
                  </w:r>
                </w:p>
              </w:tc>
              <w:tc>
                <w:tcPr>
                  <w:tcW w:w="1110" w:type="dxa"/>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 xml:space="preserve">总磷 </w:t>
                  </w:r>
                </w:p>
              </w:tc>
              <w:tc>
                <w:tcPr>
                  <w:tcW w:w="1400" w:type="dxa"/>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粪大肠杆菌</w:t>
                  </w:r>
                </w:p>
                <w:p>
                  <w:pPr>
                    <w:pStyle w:val="53"/>
                    <w:bidi w:val="0"/>
                    <w:spacing w:line="240" w:lineRule="auto"/>
                    <w:rPr>
                      <w:rFonts w:hint="default"/>
                      <w:b w:val="0"/>
                      <w:bCs w:val="0"/>
                      <w:color w:val="auto"/>
                      <w:sz w:val="21"/>
                      <w:szCs w:val="21"/>
                    </w:rPr>
                  </w:pPr>
                  <w:r>
                    <w:rPr>
                      <w:rFonts w:hint="default"/>
                      <w:b w:val="0"/>
                      <w:bCs w:val="0"/>
                      <w:color w:val="auto"/>
                      <w:sz w:val="21"/>
                      <w:szCs w:val="21"/>
                    </w:rPr>
                    <w:t>(个/L)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22" w:type="dxa"/>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fldChar w:fldCharType="begin"/>
                  </w:r>
                  <w:r>
                    <w:rPr>
                      <w:rFonts w:hint="default"/>
                      <w:b w:val="0"/>
                      <w:bCs w:val="0"/>
                      <w:color w:val="auto"/>
                      <w:sz w:val="21"/>
                      <w:szCs w:val="21"/>
                    </w:rPr>
                    <w:instrText xml:space="preserve"> = 4 \* ROMAN \* MERGEFORMAT </w:instrText>
                  </w:r>
                  <w:r>
                    <w:rPr>
                      <w:rFonts w:hint="default"/>
                      <w:b w:val="0"/>
                      <w:bCs w:val="0"/>
                      <w:color w:val="auto"/>
                      <w:sz w:val="21"/>
                      <w:szCs w:val="21"/>
                    </w:rPr>
                    <w:fldChar w:fldCharType="separate"/>
                  </w:r>
                  <w:r>
                    <w:rPr>
                      <w:rFonts w:hint="default"/>
                      <w:b w:val="0"/>
                      <w:bCs w:val="0"/>
                      <w:color w:val="auto"/>
                      <w:sz w:val="21"/>
                      <w:szCs w:val="21"/>
                    </w:rPr>
                    <w:t>IV</w:t>
                  </w:r>
                  <w:r>
                    <w:rPr>
                      <w:rFonts w:hint="default"/>
                      <w:b w:val="0"/>
                      <w:bCs w:val="0"/>
                      <w:color w:val="auto"/>
                      <w:sz w:val="21"/>
                      <w:szCs w:val="21"/>
                    </w:rPr>
                    <w:fldChar w:fldCharType="end"/>
                  </w:r>
                  <w:r>
                    <w:rPr>
                      <w:rFonts w:hint="default"/>
                      <w:b w:val="0"/>
                      <w:bCs w:val="0"/>
                      <w:color w:val="auto"/>
                      <w:sz w:val="21"/>
                      <w:szCs w:val="21"/>
                    </w:rPr>
                    <w:t>类标准</w:t>
                  </w:r>
                </w:p>
              </w:tc>
              <w:tc>
                <w:tcPr>
                  <w:tcW w:w="1104" w:type="dxa"/>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6～9</w:t>
                  </w:r>
                </w:p>
              </w:tc>
              <w:tc>
                <w:tcPr>
                  <w:tcW w:w="1003" w:type="dxa"/>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≤30</w:t>
                  </w:r>
                </w:p>
              </w:tc>
              <w:tc>
                <w:tcPr>
                  <w:tcW w:w="995" w:type="dxa"/>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≤6</w:t>
                  </w:r>
                </w:p>
              </w:tc>
              <w:tc>
                <w:tcPr>
                  <w:tcW w:w="1005" w:type="dxa"/>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≤1.5</w:t>
                  </w:r>
                </w:p>
              </w:tc>
              <w:tc>
                <w:tcPr>
                  <w:tcW w:w="1110" w:type="dxa"/>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≤0.3</w:t>
                  </w:r>
                </w:p>
              </w:tc>
              <w:tc>
                <w:tcPr>
                  <w:tcW w:w="1400" w:type="dxa"/>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≤20000</w:t>
                  </w:r>
                </w:p>
              </w:tc>
            </w:tr>
          </w:tbl>
          <w:p>
            <w:pPr>
              <w:spacing w:line="360" w:lineRule="auto"/>
              <w:ind w:firstLine="482" w:firstLineChars="20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3、声环境质量</w:t>
            </w:r>
          </w:p>
          <w:p>
            <w:pPr>
              <w:adjustRightInd w:val="0"/>
              <w:snapToGrid w:val="0"/>
              <w:spacing w:line="360" w:lineRule="auto"/>
              <w:ind w:firstLine="480" w:firstLineChars="200"/>
              <w:rPr>
                <w:rFonts w:hint="default"/>
                <w:color w:val="auto"/>
              </w:rPr>
            </w:pPr>
            <w:r>
              <w:rPr>
                <w:rFonts w:hint="default" w:ascii="Times New Roman" w:hAnsi="Times New Roman" w:cs="Times New Roman"/>
                <w:color w:val="auto"/>
                <w:kern w:val="0"/>
                <w:sz w:val="24"/>
                <w:szCs w:val="22"/>
                <w:lang w:eastAsia="zh-CN"/>
              </w:rPr>
              <w:t>本项目建设地点位于富民工业园区，属于规划工业园区，</w:t>
            </w:r>
            <w:r>
              <w:rPr>
                <w:rFonts w:hint="eastAsia"/>
                <w:color w:val="000000"/>
                <w:sz w:val="24"/>
                <w:szCs w:val="24"/>
                <w:lang w:eastAsia="zh-CN"/>
              </w:rPr>
              <w:t>生产厂房</w:t>
            </w:r>
            <w:r>
              <w:rPr>
                <w:rFonts w:hint="eastAsia" w:ascii="Times New Roman" w:hAnsi="Times New Roman"/>
                <w:color w:val="000000"/>
                <w:sz w:val="24"/>
                <w:szCs w:val="24"/>
              </w:rPr>
              <w:t>声环境</w:t>
            </w:r>
            <w:r>
              <w:rPr>
                <w:rFonts w:hint="eastAsia" w:ascii="Times New Roman" w:hAnsi="Times New Roman"/>
                <w:color w:val="000000"/>
                <w:sz w:val="24"/>
                <w:szCs w:val="24"/>
                <w:lang w:eastAsia="zh-CN"/>
              </w:rPr>
              <w:t>执行</w:t>
            </w:r>
            <w:r>
              <w:rPr>
                <w:rFonts w:ascii="Times New Roman" w:hAnsi="Times New Roman"/>
                <w:color w:val="000000"/>
                <w:sz w:val="24"/>
                <w:szCs w:val="24"/>
              </w:rPr>
              <w:t>《声环境质量标准》（GB3096-2008）标准中</w:t>
            </w:r>
            <w:r>
              <w:rPr>
                <w:rFonts w:hint="eastAsia"/>
                <w:color w:val="000000"/>
                <w:sz w:val="24"/>
                <w:szCs w:val="24"/>
                <w:lang w:val="en-US" w:eastAsia="zh-CN"/>
              </w:rPr>
              <w:t>3</w:t>
            </w:r>
            <w:r>
              <w:rPr>
                <w:rFonts w:hint="eastAsia"/>
                <w:sz w:val="24"/>
                <w:szCs w:val="24"/>
                <w:lang w:eastAsia="zh-CN"/>
              </w:rPr>
              <w:t>类</w:t>
            </w:r>
            <w:r>
              <w:rPr>
                <w:rFonts w:ascii="Times New Roman" w:hAnsi="Times New Roman"/>
                <w:color w:val="000000"/>
                <w:sz w:val="24"/>
                <w:szCs w:val="24"/>
              </w:rPr>
              <w:t>标准</w:t>
            </w:r>
            <w:r>
              <w:rPr>
                <w:rFonts w:hint="eastAsia"/>
                <w:color w:val="000000"/>
                <w:sz w:val="24"/>
                <w:szCs w:val="24"/>
                <w:lang w:eastAsia="zh-CN"/>
              </w:rPr>
              <w:t>，办公生活区距</w:t>
            </w:r>
            <w:r>
              <w:rPr>
                <w:rFonts w:hint="eastAsia"/>
                <w:color w:val="000000"/>
                <w:sz w:val="24"/>
                <w:szCs w:val="24"/>
                <w:lang w:val="en-US" w:eastAsia="zh-CN"/>
              </w:rPr>
              <w:t>G108</w:t>
            </w:r>
            <w:r>
              <w:rPr>
                <w:rFonts w:hint="eastAsia"/>
                <w:color w:val="000000"/>
                <w:sz w:val="24"/>
                <w:szCs w:val="24"/>
                <w:lang w:eastAsia="zh-CN"/>
              </w:rPr>
              <w:t>国道</w:t>
            </w:r>
            <w:r>
              <w:rPr>
                <w:rFonts w:hint="eastAsia"/>
                <w:color w:val="000000"/>
                <w:sz w:val="24"/>
                <w:szCs w:val="24"/>
                <w:lang w:val="en-US" w:eastAsia="zh-CN"/>
              </w:rPr>
              <w:t>25m，</w:t>
            </w:r>
            <w:r>
              <w:rPr>
                <w:rFonts w:hint="eastAsia" w:ascii="Times New Roman" w:hAnsi="Times New Roman"/>
                <w:color w:val="000000"/>
                <w:sz w:val="24"/>
                <w:szCs w:val="24"/>
                <w:lang w:eastAsia="zh-CN"/>
              </w:rPr>
              <w:t>执行</w:t>
            </w:r>
            <w:r>
              <w:rPr>
                <w:rFonts w:ascii="Times New Roman" w:hAnsi="Times New Roman"/>
                <w:color w:val="000000"/>
                <w:sz w:val="24"/>
                <w:szCs w:val="24"/>
              </w:rPr>
              <w:t>《声环境质量标准》（GB3096-2008）标准中</w:t>
            </w:r>
            <w:r>
              <w:rPr>
                <w:rFonts w:hint="eastAsia"/>
                <w:color w:val="000000"/>
                <w:sz w:val="24"/>
                <w:szCs w:val="24"/>
                <w:lang w:val="en-US" w:eastAsia="zh-CN"/>
              </w:rPr>
              <w:t>4a</w:t>
            </w:r>
            <w:r>
              <w:rPr>
                <w:rFonts w:hint="eastAsia"/>
                <w:sz w:val="24"/>
                <w:szCs w:val="24"/>
                <w:lang w:eastAsia="zh-CN"/>
              </w:rPr>
              <w:t>类</w:t>
            </w:r>
            <w:r>
              <w:rPr>
                <w:rFonts w:ascii="Times New Roman" w:hAnsi="Times New Roman"/>
                <w:color w:val="000000"/>
                <w:sz w:val="24"/>
                <w:szCs w:val="24"/>
              </w:rPr>
              <w:t>标准</w:t>
            </w:r>
            <w:r>
              <w:rPr>
                <w:rFonts w:hint="eastAsia" w:ascii="Times New Roman" w:hAnsi="Times New Roman"/>
                <w:color w:val="000000"/>
                <w:sz w:val="24"/>
                <w:szCs w:val="24"/>
                <w:lang w:eastAsia="zh-CN"/>
              </w:rPr>
              <w:t>。</w:t>
            </w:r>
          </w:p>
          <w:p>
            <w:pPr>
              <w:pStyle w:val="52"/>
              <w:shd w:val="clear"/>
              <w:bidi w:val="0"/>
              <w:spacing w:line="240" w:lineRule="auto"/>
              <w:rPr>
                <w:rFonts w:hint="default"/>
                <w:color w:val="auto"/>
              </w:rPr>
            </w:pPr>
            <w:r>
              <w:rPr>
                <w:rFonts w:hint="default"/>
                <w:color w:val="auto"/>
              </w:rPr>
              <w:t>表4-</w:t>
            </w:r>
            <w:r>
              <w:rPr>
                <w:rFonts w:hint="eastAsia"/>
                <w:color w:val="auto"/>
                <w:lang w:val="en-US" w:eastAsia="zh-CN"/>
              </w:rPr>
              <w:t>3</w:t>
            </w:r>
            <w:r>
              <w:rPr>
                <w:rFonts w:hint="default"/>
                <w:color w:val="auto"/>
              </w:rPr>
              <w:t xml:space="preserve"> 声环境质量标准限值  单位：dB(A)</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1"/>
              <w:gridCol w:w="2842"/>
              <w:gridCol w:w="2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764" w:type="dxa"/>
                  <w:vMerge w:val="restart"/>
                  <w:tcBorders>
                    <w:top w:val="single" w:color="auto" w:sz="4" w:space="0"/>
                    <w:left w:val="single" w:color="auto" w:sz="4" w:space="0"/>
                    <w:bottom w:val="single" w:color="auto" w:sz="4" w:space="0"/>
                    <w:right w:val="single" w:color="auto" w:sz="4" w:space="0"/>
                  </w:tcBorders>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类别</w:t>
                  </w:r>
                </w:p>
              </w:tc>
              <w:tc>
                <w:tcPr>
                  <w:tcW w:w="6075" w:type="dxa"/>
                  <w:gridSpan w:val="2"/>
                  <w:tcBorders>
                    <w:top w:val="single" w:color="auto" w:sz="4" w:space="0"/>
                    <w:left w:val="single" w:color="auto" w:sz="4" w:space="0"/>
                    <w:bottom w:val="single" w:color="auto" w:sz="4" w:space="0"/>
                    <w:right w:val="single" w:color="auto" w:sz="4" w:space="0"/>
                  </w:tcBorders>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标准值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64" w:type="dxa"/>
                  <w:vMerge w:val="continue"/>
                  <w:tcBorders>
                    <w:top w:val="single" w:color="auto" w:sz="4" w:space="0"/>
                    <w:left w:val="single" w:color="auto" w:sz="4" w:space="0"/>
                    <w:bottom w:val="single" w:color="auto" w:sz="4" w:space="0"/>
                    <w:right w:val="single" w:color="auto" w:sz="4" w:space="0"/>
                  </w:tcBorders>
                  <w:noWrap w:val="0"/>
                  <w:vAlign w:val="center"/>
                </w:tcPr>
                <w:p>
                  <w:pPr>
                    <w:pStyle w:val="53"/>
                    <w:bidi w:val="0"/>
                    <w:spacing w:line="240" w:lineRule="auto"/>
                    <w:rPr>
                      <w:rFonts w:hint="default"/>
                      <w:b w:val="0"/>
                      <w:bCs w:val="0"/>
                      <w:color w:val="auto"/>
                      <w:sz w:val="21"/>
                      <w:szCs w:val="21"/>
                    </w:rPr>
                  </w:pPr>
                </w:p>
              </w:tc>
              <w:tc>
                <w:tcPr>
                  <w:tcW w:w="3066" w:type="dxa"/>
                  <w:tcBorders>
                    <w:top w:val="single" w:color="auto" w:sz="4" w:space="0"/>
                    <w:left w:val="single" w:color="auto" w:sz="4" w:space="0"/>
                    <w:bottom w:val="single" w:color="auto" w:sz="4" w:space="0"/>
                    <w:right w:val="single" w:color="auto" w:sz="4" w:space="0"/>
                  </w:tcBorders>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昼间</w:t>
                  </w:r>
                </w:p>
              </w:tc>
              <w:tc>
                <w:tcPr>
                  <w:tcW w:w="3009" w:type="dxa"/>
                  <w:tcBorders>
                    <w:top w:val="single" w:color="auto" w:sz="4" w:space="0"/>
                    <w:left w:val="single" w:color="auto" w:sz="4" w:space="0"/>
                    <w:bottom w:val="single" w:color="auto" w:sz="4" w:space="0"/>
                    <w:right w:val="single" w:color="auto" w:sz="4" w:space="0"/>
                  </w:tcBorders>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64" w:type="dxa"/>
                  <w:tcBorders>
                    <w:top w:val="single" w:color="auto" w:sz="4" w:space="0"/>
                    <w:left w:val="single" w:color="auto" w:sz="4" w:space="0"/>
                    <w:bottom w:val="single" w:color="auto" w:sz="4" w:space="0"/>
                    <w:right w:val="single" w:color="auto" w:sz="4" w:space="0"/>
                  </w:tcBorders>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3</w:t>
                  </w:r>
                </w:p>
              </w:tc>
              <w:tc>
                <w:tcPr>
                  <w:tcW w:w="3066" w:type="dxa"/>
                  <w:tcBorders>
                    <w:top w:val="single" w:color="auto" w:sz="4" w:space="0"/>
                    <w:left w:val="single" w:color="auto" w:sz="4" w:space="0"/>
                    <w:bottom w:val="single" w:color="auto" w:sz="4" w:space="0"/>
                    <w:right w:val="single" w:color="auto" w:sz="4" w:space="0"/>
                  </w:tcBorders>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65</w:t>
                  </w:r>
                </w:p>
              </w:tc>
              <w:tc>
                <w:tcPr>
                  <w:tcW w:w="3009" w:type="dxa"/>
                  <w:tcBorders>
                    <w:top w:val="single" w:color="auto" w:sz="4" w:space="0"/>
                    <w:left w:val="single" w:color="auto" w:sz="4" w:space="0"/>
                    <w:bottom w:val="single" w:color="auto" w:sz="4" w:space="0"/>
                    <w:right w:val="single" w:color="auto" w:sz="4" w:space="0"/>
                  </w:tcBorders>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64" w:type="dxa"/>
                  <w:tcBorders>
                    <w:top w:val="single" w:color="auto" w:sz="4" w:space="0"/>
                    <w:left w:val="single" w:color="auto" w:sz="4" w:space="0"/>
                    <w:bottom w:val="single" w:color="auto" w:sz="4" w:space="0"/>
                    <w:right w:val="single" w:color="auto" w:sz="4" w:space="0"/>
                  </w:tcBorders>
                  <w:noWrap w:val="0"/>
                  <w:vAlign w:val="center"/>
                </w:tcPr>
                <w:p>
                  <w:pPr>
                    <w:pStyle w:val="53"/>
                    <w:bidi w:val="0"/>
                    <w:spacing w:line="240" w:lineRule="auto"/>
                    <w:rPr>
                      <w:rFonts w:hint="default" w:eastAsia="宋体"/>
                      <w:b w:val="0"/>
                      <w:bCs w:val="0"/>
                      <w:color w:val="auto"/>
                      <w:sz w:val="21"/>
                      <w:szCs w:val="21"/>
                      <w:lang w:val="en-US" w:eastAsia="zh-CN"/>
                    </w:rPr>
                  </w:pPr>
                  <w:r>
                    <w:rPr>
                      <w:rFonts w:hint="eastAsia"/>
                      <w:b w:val="0"/>
                      <w:bCs w:val="0"/>
                      <w:color w:val="auto"/>
                      <w:sz w:val="21"/>
                      <w:szCs w:val="21"/>
                      <w:lang w:val="en-US" w:eastAsia="zh-CN"/>
                    </w:rPr>
                    <w:t>4a</w:t>
                  </w:r>
                </w:p>
              </w:tc>
              <w:tc>
                <w:tcPr>
                  <w:tcW w:w="3066" w:type="dxa"/>
                  <w:tcBorders>
                    <w:top w:val="single" w:color="auto" w:sz="4" w:space="0"/>
                    <w:left w:val="single" w:color="auto" w:sz="4" w:space="0"/>
                    <w:bottom w:val="single" w:color="auto" w:sz="4" w:space="0"/>
                    <w:right w:val="single" w:color="auto" w:sz="4" w:space="0"/>
                  </w:tcBorders>
                  <w:noWrap w:val="0"/>
                  <w:vAlign w:val="center"/>
                </w:tcPr>
                <w:p>
                  <w:pPr>
                    <w:pStyle w:val="53"/>
                    <w:bidi w:val="0"/>
                    <w:spacing w:line="240" w:lineRule="auto"/>
                    <w:rPr>
                      <w:rFonts w:hint="default" w:eastAsia="宋体"/>
                      <w:b w:val="0"/>
                      <w:bCs w:val="0"/>
                      <w:color w:val="auto"/>
                      <w:sz w:val="21"/>
                      <w:szCs w:val="21"/>
                      <w:lang w:val="en-US" w:eastAsia="zh-CN"/>
                    </w:rPr>
                  </w:pPr>
                  <w:r>
                    <w:rPr>
                      <w:rFonts w:hint="eastAsia"/>
                      <w:b w:val="0"/>
                      <w:bCs w:val="0"/>
                      <w:color w:val="auto"/>
                      <w:sz w:val="21"/>
                      <w:szCs w:val="21"/>
                      <w:lang w:val="en-US" w:eastAsia="zh-CN"/>
                    </w:rPr>
                    <w:t>70</w:t>
                  </w:r>
                </w:p>
              </w:tc>
              <w:tc>
                <w:tcPr>
                  <w:tcW w:w="3009" w:type="dxa"/>
                  <w:tcBorders>
                    <w:top w:val="single" w:color="auto" w:sz="4" w:space="0"/>
                    <w:left w:val="single" w:color="auto" w:sz="4" w:space="0"/>
                    <w:bottom w:val="single" w:color="auto" w:sz="4" w:space="0"/>
                    <w:right w:val="single" w:color="auto" w:sz="4" w:space="0"/>
                  </w:tcBorders>
                  <w:noWrap w:val="0"/>
                  <w:vAlign w:val="center"/>
                </w:tcPr>
                <w:p>
                  <w:pPr>
                    <w:pStyle w:val="53"/>
                    <w:bidi w:val="0"/>
                    <w:spacing w:line="240" w:lineRule="auto"/>
                    <w:rPr>
                      <w:rFonts w:hint="default" w:eastAsia="宋体"/>
                      <w:b w:val="0"/>
                      <w:bCs w:val="0"/>
                      <w:color w:val="auto"/>
                      <w:sz w:val="21"/>
                      <w:szCs w:val="21"/>
                      <w:lang w:val="en-US" w:eastAsia="zh-CN"/>
                    </w:rPr>
                  </w:pPr>
                  <w:r>
                    <w:rPr>
                      <w:rFonts w:hint="eastAsia"/>
                      <w:b w:val="0"/>
                      <w:bCs w:val="0"/>
                      <w:color w:val="auto"/>
                      <w:sz w:val="21"/>
                      <w:szCs w:val="21"/>
                      <w:lang w:val="en-US" w:eastAsia="zh-CN"/>
                    </w:rPr>
                    <w:t>55</w:t>
                  </w:r>
                </w:p>
              </w:tc>
            </w:tr>
          </w:tbl>
          <w:p>
            <w:pPr>
              <w:spacing w:line="360" w:lineRule="auto"/>
              <w:rPr>
                <w:rFonts w:ascii="Times New Roman" w:hAnsi="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7" w:hRule="atLeast"/>
        </w:trPr>
        <w:tc>
          <w:tcPr>
            <w:tcW w:w="811" w:type="dxa"/>
            <w:vAlign w:val="center"/>
          </w:tcPr>
          <w:p>
            <w:pPr>
              <w:spacing w:line="360" w:lineRule="auto"/>
            </w:pPr>
          </w:p>
          <w:p>
            <w:pPr>
              <w:spacing w:line="360" w:lineRule="auto"/>
              <w:jc w:val="center"/>
            </w:pPr>
          </w:p>
          <w:p>
            <w:pPr>
              <w:spacing w:line="360" w:lineRule="auto"/>
            </w:pPr>
          </w:p>
          <w:p>
            <w:pPr>
              <w:spacing w:line="360" w:lineRule="auto"/>
            </w:pPr>
          </w:p>
          <w:p>
            <w:pPr>
              <w:pStyle w:val="18"/>
            </w:pPr>
          </w:p>
          <w:p/>
          <w:p>
            <w:pPr>
              <w:pStyle w:val="18"/>
            </w:pPr>
          </w:p>
          <w:p/>
          <w:p>
            <w:pPr>
              <w:pStyle w:val="18"/>
            </w:pPr>
          </w:p>
          <w:p/>
          <w:p>
            <w:pPr>
              <w:pStyle w:val="18"/>
            </w:pPr>
          </w:p>
          <w:p/>
          <w:p>
            <w:pPr>
              <w:pStyle w:val="18"/>
            </w:pPr>
          </w:p>
          <w:p/>
          <w:p>
            <w:pPr>
              <w:pStyle w:val="18"/>
            </w:pPr>
          </w:p>
          <w:p/>
          <w:p>
            <w:pPr>
              <w:pStyle w:val="18"/>
            </w:pPr>
          </w:p>
          <w:p/>
          <w:p>
            <w:pPr>
              <w:pStyle w:val="18"/>
            </w:pPr>
          </w:p>
          <w:p/>
          <w:p>
            <w:pPr>
              <w:pStyle w:val="18"/>
            </w:pPr>
          </w:p>
          <w:p/>
          <w:p>
            <w:pPr>
              <w:pStyle w:val="18"/>
            </w:pPr>
          </w:p>
          <w:p/>
          <w:p>
            <w:pPr>
              <w:pStyle w:val="18"/>
            </w:pPr>
          </w:p>
          <w:p/>
          <w:p>
            <w:pPr>
              <w:pStyle w:val="18"/>
              <w:jc w:val="both"/>
              <w:rPr>
                <w:b/>
                <w:bCs/>
                <w:sz w:val="24"/>
                <w:szCs w:val="24"/>
              </w:rPr>
            </w:pPr>
          </w:p>
          <w:p>
            <w:pPr>
              <w:spacing w:line="360" w:lineRule="auto"/>
              <w:jc w:val="center"/>
              <w:rPr>
                <w:b/>
                <w:bCs/>
                <w:sz w:val="24"/>
                <w:szCs w:val="24"/>
              </w:rPr>
            </w:pPr>
            <w:r>
              <w:rPr>
                <w:b/>
                <w:bCs/>
                <w:sz w:val="24"/>
                <w:szCs w:val="24"/>
              </w:rPr>
              <w:t>污</w:t>
            </w:r>
          </w:p>
          <w:p>
            <w:pPr>
              <w:spacing w:line="360" w:lineRule="auto"/>
              <w:jc w:val="center"/>
              <w:rPr>
                <w:b/>
                <w:bCs/>
                <w:sz w:val="24"/>
                <w:szCs w:val="24"/>
              </w:rPr>
            </w:pPr>
            <w:r>
              <w:rPr>
                <w:b/>
                <w:bCs/>
                <w:sz w:val="24"/>
                <w:szCs w:val="24"/>
              </w:rPr>
              <w:t>染</w:t>
            </w:r>
          </w:p>
          <w:p>
            <w:pPr>
              <w:spacing w:line="360" w:lineRule="auto"/>
              <w:jc w:val="center"/>
              <w:rPr>
                <w:b/>
                <w:bCs/>
                <w:sz w:val="24"/>
                <w:szCs w:val="24"/>
              </w:rPr>
            </w:pPr>
            <w:r>
              <w:rPr>
                <w:b/>
                <w:bCs/>
                <w:sz w:val="24"/>
                <w:szCs w:val="24"/>
              </w:rPr>
              <w:t>物</w:t>
            </w:r>
          </w:p>
          <w:p>
            <w:pPr>
              <w:spacing w:line="360" w:lineRule="auto"/>
              <w:jc w:val="center"/>
              <w:rPr>
                <w:b/>
                <w:bCs/>
                <w:sz w:val="24"/>
                <w:szCs w:val="24"/>
              </w:rPr>
            </w:pPr>
            <w:r>
              <w:rPr>
                <w:b/>
                <w:bCs/>
                <w:sz w:val="24"/>
                <w:szCs w:val="24"/>
              </w:rPr>
              <w:t>排</w:t>
            </w:r>
          </w:p>
          <w:p>
            <w:pPr>
              <w:spacing w:line="360" w:lineRule="auto"/>
              <w:jc w:val="center"/>
              <w:rPr>
                <w:b/>
                <w:bCs/>
                <w:sz w:val="24"/>
                <w:szCs w:val="24"/>
              </w:rPr>
            </w:pPr>
            <w:r>
              <w:rPr>
                <w:b/>
                <w:bCs/>
                <w:sz w:val="24"/>
                <w:szCs w:val="24"/>
              </w:rPr>
              <w:t>放</w:t>
            </w:r>
          </w:p>
          <w:p>
            <w:pPr>
              <w:spacing w:line="360" w:lineRule="auto"/>
              <w:jc w:val="center"/>
              <w:rPr>
                <w:b/>
                <w:bCs/>
                <w:sz w:val="24"/>
                <w:szCs w:val="24"/>
              </w:rPr>
            </w:pPr>
            <w:r>
              <w:rPr>
                <w:b/>
                <w:bCs/>
                <w:sz w:val="24"/>
                <w:szCs w:val="24"/>
              </w:rPr>
              <w:t>标</w:t>
            </w:r>
          </w:p>
          <w:p>
            <w:pPr>
              <w:spacing w:line="360" w:lineRule="auto"/>
              <w:jc w:val="center"/>
              <w:rPr>
                <w:b/>
                <w:bCs/>
                <w:sz w:val="24"/>
                <w:szCs w:val="24"/>
              </w:rPr>
            </w:pPr>
            <w:r>
              <w:rPr>
                <w:b/>
                <w:bCs/>
                <w:sz w:val="24"/>
                <w:szCs w:val="24"/>
              </w:rPr>
              <w:t>准</w:t>
            </w:r>
          </w:p>
          <w:p>
            <w:pPr>
              <w:spacing w:line="360" w:lineRule="auto"/>
              <w:jc w:val="center"/>
            </w:pPr>
          </w:p>
          <w:p>
            <w:pPr>
              <w:spacing w:line="360" w:lineRule="auto"/>
            </w:pPr>
          </w:p>
          <w:p>
            <w:pPr>
              <w:spacing w:line="360" w:lineRule="auto"/>
            </w:pPr>
          </w:p>
          <w:p>
            <w:pPr>
              <w:spacing w:line="360" w:lineRule="auto"/>
            </w:pPr>
          </w:p>
          <w:p>
            <w:pPr>
              <w:spacing w:line="360" w:lineRule="auto"/>
            </w:pPr>
          </w:p>
          <w:p>
            <w:pPr>
              <w:pStyle w:val="18"/>
            </w:pPr>
          </w:p>
          <w:p/>
          <w:p>
            <w:pPr>
              <w:pStyle w:val="18"/>
            </w:pPr>
          </w:p>
          <w:p/>
          <w:p>
            <w:pPr>
              <w:pStyle w:val="18"/>
            </w:pPr>
          </w:p>
          <w:p/>
          <w:p>
            <w:pPr>
              <w:pStyle w:val="18"/>
            </w:pPr>
          </w:p>
          <w:p/>
          <w:p>
            <w:pPr>
              <w:pStyle w:val="18"/>
            </w:pPr>
          </w:p>
          <w:p/>
          <w:p>
            <w:pPr>
              <w:pStyle w:val="49"/>
              <w:ind w:left="0" w:leftChars="0" w:firstLine="0" w:firstLineChars="0"/>
              <w:jc w:val="both"/>
            </w:pPr>
          </w:p>
          <w:p>
            <w:pPr>
              <w:pStyle w:val="51"/>
              <w:ind w:left="0" w:leftChars="0" w:firstLine="0" w:firstLineChars="0"/>
            </w:pPr>
            <w:r>
              <w:rPr>
                <w:sz w:val="21"/>
              </w:rPr>
              <mc:AlternateContent>
                <mc:Choice Requires="wps">
                  <w:drawing>
                    <wp:anchor distT="0" distB="0" distL="114300" distR="114300" simplePos="0" relativeHeight="251718656" behindDoc="0" locked="0" layoutInCell="1" allowOverlap="1">
                      <wp:simplePos x="0" y="0"/>
                      <wp:positionH relativeFrom="column">
                        <wp:posOffset>-59690</wp:posOffset>
                      </wp:positionH>
                      <wp:positionV relativeFrom="paragraph">
                        <wp:posOffset>222885</wp:posOffset>
                      </wp:positionV>
                      <wp:extent cx="5281930" cy="8255"/>
                      <wp:effectExtent l="0" t="0" r="0" b="0"/>
                      <wp:wrapNone/>
                      <wp:docPr id="1" name="直接连接符 1"/>
                      <wp:cNvGraphicFramePr/>
                      <a:graphic xmlns:a="http://schemas.openxmlformats.org/drawingml/2006/main">
                        <a:graphicData uri="http://schemas.microsoft.com/office/word/2010/wordprocessingShape">
                          <wps:wsp>
                            <wps:cNvCnPr/>
                            <wps:spPr>
                              <a:xfrm flipV="1">
                                <a:off x="1083310" y="1603375"/>
                                <a:ext cx="5281930" cy="8255"/>
                              </a:xfrm>
                              <a:prstGeom prst="line">
                                <a:avLst/>
                              </a:prstGeom>
                              <a:ln>
                                <a:no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4.7pt;margin-top:17.55pt;height:0.65pt;width:415.9pt;z-index:251718656;mso-width-relative:page;mso-height-relative:page;" filled="f" stroked="f" coordsize="21600,21600" o:gfxdata="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CR1Ne9cAAAAIAQAADwAA&#10;AAAAAAABACAAAAAiAAAAZHJzL2Rvd25yZXYueG1sUEsBAhQAFAAAAAgAh07iQB03vP/eAQAAigMA&#10;AA4AAAAAAAAAAQAgAAAAJgEAAGRycy9lMm9Eb2MueG1sUEsFBgAAAAAGAAYAWQEAAHYFAAAAAA==&#10;">
                      <v:fill on="f" focussize="0,0"/>
                      <v:stroke on="f"/>
                      <v:imagedata o:title=""/>
                      <o:lock v:ext="edit" aspectratio="f"/>
                    </v:line>
                  </w:pict>
                </mc:Fallback>
              </mc:AlternateContent>
            </w:r>
          </w:p>
          <w:p/>
          <w:p>
            <w:pPr>
              <w:pStyle w:val="18"/>
            </w:pPr>
          </w:p>
          <w:p>
            <w:pPr>
              <w:pStyle w:val="18"/>
              <w:jc w:val="both"/>
            </w:pPr>
          </w:p>
          <w:p/>
        </w:tc>
        <w:tc>
          <w:tcPr>
            <w:tcW w:w="7509" w:type="dxa"/>
            <w:vAlign w:val="top"/>
          </w:tcPr>
          <w:p>
            <w:pPr>
              <w:adjustRightInd w:val="0"/>
              <w:snapToGrid w:val="0"/>
              <w:spacing w:line="360" w:lineRule="auto"/>
              <w:ind w:firstLine="482" w:firstLineChars="200"/>
              <w:jc w:val="both"/>
              <w:rPr>
                <w:rFonts w:hint="default" w:ascii="Times New Roman" w:hAnsi="Times New Roman" w:cs="Times New Roman"/>
                <w:b/>
                <w:color w:val="auto"/>
                <w:sz w:val="24"/>
              </w:rPr>
            </w:pPr>
            <w:r>
              <w:rPr>
                <w:rFonts w:hint="default" w:ascii="Times New Roman" w:hAnsi="Times New Roman" w:cs="Times New Roman"/>
                <w:b/>
                <w:color w:val="auto"/>
                <w:sz w:val="24"/>
              </w:rPr>
              <w:t>1、施工期</w:t>
            </w:r>
          </w:p>
          <w:p>
            <w:pPr>
              <w:spacing w:line="360" w:lineRule="auto"/>
              <w:ind w:right="119"/>
              <w:rPr>
                <w:rFonts w:hint="default" w:ascii="Times New Roman" w:hAnsi="Times New Roman" w:cs="Times New Roman"/>
                <w:bCs/>
                <w:color w:val="auto"/>
                <w:sz w:val="24"/>
              </w:rPr>
            </w:pPr>
            <w:r>
              <w:rPr>
                <w:rFonts w:hint="default" w:ascii="Times New Roman" w:hAnsi="Times New Roman" w:cs="Times New Roman"/>
                <w:b/>
                <w:bCs w:val="0"/>
                <w:color w:val="auto"/>
                <w:sz w:val="24"/>
              </w:rPr>
              <w:t>（1）施工扬尘</w:t>
            </w:r>
          </w:p>
          <w:p>
            <w:pPr>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sz w:val="24"/>
                <w:lang w:val="en-US" w:eastAsia="zh-CN"/>
              </w:rPr>
              <w:t>本项目</w:t>
            </w:r>
            <w:r>
              <w:rPr>
                <w:rFonts w:hint="default" w:ascii="Times New Roman" w:hAnsi="Times New Roman" w:cs="Times New Roman"/>
                <w:color w:val="auto"/>
                <w:sz w:val="24"/>
              </w:rPr>
              <w:t>施工扬尘执行《大气污染物综合排放标准》</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GB16297-1996</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表2中的无组织排放监控浓度限值</w:t>
            </w:r>
            <w:r>
              <w:rPr>
                <w:rFonts w:hint="eastAsia" w:ascii="Times New Roman" w:hAnsi="Times New Roman" w:cs="Times New Roman"/>
                <w:color w:val="auto"/>
                <w:sz w:val="24"/>
                <w:lang w:eastAsia="zh-CN"/>
              </w:rPr>
              <w:t>，</w:t>
            </w:r>
            <w:r>
              <w:rPr>
                <w:rFonts w:hint="default" w:ascii="Times New Roman" w:hAnsi="Times New Roman" w:cs="Times New Roman"/>
                <w:color w:val="auto"/>
                <w:sz w:val="24"/>
              </w:rPr>
              <w:t>标准值见表</w:t>
            </w:r>
            <w:r>
              <w:rPr>
                <w:rFonts w:hint="default" w:ascii="Times New Roman" w:hAnsi="Times New Roman" w:cs="Times New Roman"/>
                <w:color w:val="auto"/>
                <w:sz w:val="24"/>
                <w:lang w:val="en-US" w:eastAsia="zh-CN"/>
              </w:rPr>
              <w:t>4-</w:t>
            </w:r>
            <w:r>
              <w:rPr>
                <w:rFonts w:hint="eastAsia" w:cs="Times New Roman"/>
                <w:color w:val="auto"/>
                <w:sz w:val="24"/>
                <w:lang w:val="en-US" w:eastAsia="zh-CN"/>
              </w:rPr>
              <w:t>4</w:t>
            </w:r>
            <w:r>
              <w:rPr>
                <w:rFonts w:hint="default" w:ascii="Times New Roman" w:hAnsi="Times New Roman" w:cs="Times New Roman"/>
                <w:color w:val="auto"/>
                <w:sz w:val="24"/>
              </w:rPr>
              <w:t>。</w:t>
            </w:r>
          </w:p>
          <w:p>
            <w:pPr>
              <w:pStyle w:val="52"/>
              <w:bidi w:val="0"/>
              <w:spacing w:line="240" w:lineRule="auto"/>
              <w:rPr>
                <w:rFonts w:hint="default" w:ascii="Times New Roman" w:hAnsi="Times New Roman" w:eastAsia="宋体" w:cs="Times New Roman"/>
                <w:b/>
                <w:bCs/>
                <w:color w:val="auto"/>
                <w:sz w:val="21"/>
                <w:szCs w:val="21"/>
                <w:lang w:val="en-US" w:eastAsia="zh-CN"/>
              </w:rPr>
            </w:pPr>
            <w:r>
              <w:rPr>
                <w:rFonts w:hint="default"/>
                <w:color w:val="auto"/>
              </w:rPr>
              <w:t>表</w:t>
            </w:r>
            <w:r>
              <w:rPr>
                <w:rFonts w:hint="default"/>
                <w:color w:val="auto"/>
                <w:lang w:val="en-US" w:eastAsia="zh-CN"/>
              </w:rPr>
              <w:t>4-</w:t>
            </w:r>
            <w:r>
              <w:rPr>
                <w:rFonts w:hint="eastAsia"/>
                <w:color w:val="auto"/>
                <w:lang w:val="en-US" w:eastAsia="zh-CN"/>
              </w:rPr>
              <w:t>4</w:t>
            </w:r>
            <w:r>
              <w:rPr>
                <w:rFonts w:hint="default"/>
                <w:color w:val="auto"/>
              </w:rPr>
              <w:t xml:space="preserve"> 大气污染物综合排放标准</w:t>
            </w:r>
            <w:r>
              <w:rPr>
                <w:rFonts w:hint="eastAsia"/>
                <w:color w:val="auto"/>
                <w:lang w:val="en-US" w:eastAsia="zh-CN"/>
              </w:rPr>
              <w:t xml:space="preserve"> 单位：mg/m</w:t>
            </w:r>
            <w:r>
              <w:rPr>
                <w:rFonts w:hint="eastAsia"/>
                <w:color w:val="auto"/>
                <w:vertAlign w:val="superscript"/>
                <w:lang w:val="en-US" w:eastAsia="zh-CN"/>
              </w:rPr>
              <w:t>3</w:t>
            </w:r>
            <w:r>
              <w:rPr>
                <w:rFonts w:hint="eastAsia"/>
                <w:color w:val="auto"/>
                <w:lang w:val="en-US" w:eastAsia="zh-CN"/>
              </w:rPr>
              <w:t xml:space="preserve">  </w:t>
            </w:r>
            <w:r>
              <w:rPr>
                <w:rFonts w:hint="eastAsia" w:ascii="Times New Roman" w:hAnsi="Times New Roman" w:eastAsia="宋体" w:cs="Times New Roman"/>
                <w:b/>
                <w:bCs/>
                <w:color w:val="auto"/>
                <w:sz w:val="21"/>
                <w:szCs w:val="21"/>
                <w:lang w:val="en-US" w:eastAsia="zh-CN"/>
              </w:rPr>
              <w:t xml:space="preserve"> </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39"/>
              <w:gridCol w:w="3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3918" w:type="dxa"/>
                  <w:noWrap w:val="0"/>
                  <w:vAlign w:val="center"/>
                </w:tcPr>
                <w:p>
                  <w:pPr>
                    <w:pStyle w:val="53"/>
                    <w:bidi w:val="0"/>
                    <w:spacing w:line="240" w:lineRule="auto"/>
                    <w:rPr>
                      <w:rFonts w:hint="default"/>
                      <w:b w:val="0"/>
                      <w:bCs w:val="0"/>
                      <w:color w:val="auto"/>
                    </w:rPr>
                  </w:pPr>
                  <w:r>
                    <w:rPr>
                      <w:rFonts w:hint="default"/>
                      <w:b w:val="0"/>
                      <w:bCs w:val="0"/>
                      <w:color w:val="auto"/>
                    </w:rPr>
                    <w:t>项目</w:t>
                  </w:r>
                </w:p>
              </w:tc>
              <w:tc>
                <w:tcPr>
                  <w:tcW w:w="3919" w:type="dxa"/>
                  <w:noWrap w:val="0"/>
                  <w:vAlign w:val="center"/>
                </w:tcPr>
                <w:p>
                  <w:pPr>
                    <w:pStyle w:val="53"/>
                    <w:bidi w:val="0"/>
                    <w:spacing w:line="240" w:lineRule="auto"/>
                    <w:rPr>
                      <w:rFonts w:hint="default"/>
                      <w:b w:val="0"/>
                      <w:bCs w:val="0"/>
                      <w:color w:val="auto"/>
                    </w:rPr>
                  </w:pPr>
                  <w:r>
                    <w:rPr>
                      <w:rFonts w:hint="default"/>
                      <w:b w:val="0"/>
                      <w:bCs w:val="0"/>
                      <w:color w:val="auto"/>
                    </w:rPr>
                    <w:t>无组织排放监控浓度限值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jc w:val="center"/>
              </w:trPr>
              <w:tc>
                <w:tcPr>
                  <w:tcW w:w="3918" w:type="dxa"/>
                  <w:noWrap w:val="0"/>
                  <w:vAlign w:val="top"/>
                </w:tcPr>
                <w:p>
                  <w:pPr>
                    <w:pStyle w:val="53"/>
                    <w:bidi w:val="0"/>
                    <w:spacing w:line="240" w:lineRule="auto"/>
                    <w:rPr>
                      <w:rFonts w:hint="default"/>
                      <w:b w:val="0"/>
                      <w:bCs w:val="0"/>
                      <w:color w:val="auto"/>
                    </w:rPr>
                  </w:pPr>
                  <w:r>
                    <w:rPr>
                      <w:rFonts w:hint="default"/>
                      <w:b w:val="0"/>
                      <w:bCs w:val="0"/>
                      <w:color w:val="auto"/>
                    </w:rPr>
                    <w:t>颗粒物</w:t>
                  </w:r>
                </w:p>
              </w:tc>
              <w:tc>
                <w:tcPr>
                  <w:tcW w:w="3919" w:type="dxa"/>
                  <w:noWrap w:val="0"/>
                  <w:vAlign w:val="top"/>
                </w:tcPr>
                <w:p>
                  <w:pPr>
                    <w:pStyle w:val="53"/>
                    <w:bidi w:val="0"/>
                    <w:spacing w:line="240" w:lineRule="auto"/>
                    <w:rPr>
                      <w:rFonts w:hint="default"/>
                      <w:b w:val="0"/>
                      <w:bCs w:val="0"/>
                      <w:color w:val="auto"/>
                    </w:rPr>
                  </w:pPr>
                  <w:r>
                    <w:rPr>
                      <w:rFonts w:hint="default"/>
                      <w:b w:val="0"/>
                      <w:bCs w:val="0"/>
                      <w:color w:val="auto"/>
                    </w:rPr>
                    <w:t>1.0</w:t>
                  </w:r>
                </w:p>
              </w:tc>
            </w:tr>
          </w:tbl>
          <w:p>
            <w:pPr>
              <w:spacing w:line="360" w:lineRule="auto"/>
              <w:ind w:right="119" w:firstLine="482" w:firstLineChars="200"/>
              <w:rPr>
                <w:rFonts w:hint="default" w:ascii="Times New Roman" w:hAnsi="Times New Roman" w:cs="Times New Roman"/>
                <w:bCs/>
                <w:color w:val="auto"/>
                <w:sz w:val="24"/>
              </w:rPr>
            </w:pPr>
            <w:r>
              <w:rPr>
                <w:rFonts w:hint="default" w:ascii="Times New Roman" w:hAnsi="Times New Roman" w:cs="Times New Roman"/>
                <w:b/>
                <w:bCs w:val="0"/>
                <w:color w:val="auto"/>
                <w:sz w:val="24"/>
              </w:rPr>
              <w:t>（2）施工噪声</w:t>
            </w:r>
          </w:p>
          <w:p>
            <w:pPr>
              <w:pStyle w:val="8"/>
              <w:adjustRightInd w:val="0"/>
              <w:spacing w:line="360" w:lineRule="auto"/>
              <w:ind w:firstLine="480"/>
              <w:rPr>
                <w:rFonts w:hint="default"/>
                <w:color w:val="auto"/>
              </w:rPr>
            </w:pPr>
            <w:r>
              <w:rPr>
                <w:rFonts w:hint="default" w:ascii="Times New Roman" w:hAnsi="Times New Roman" w:cs="Times New Roman"/>
                <w:color w:val="auto"/>
                <w:sz w:val="24"/>
              </w:rPr>
              <w:t>施工期噪声执行《建筑施工场界环境噪声排放标准》（GB12523-2011）</w:t>
            </w:r>
            <w:r>
              <w:rPr>
                <w:rFonts w:hint="default" w:ascii="Times New Roman" w:hAnsi="Times New Roman" w:cs="Times New Roman"/>
                <w:bCs/>
                <w:color w:val="auto"/>
                <w:sz w:val="24"/>
              </w:rPr>
              <w:t>中的标准，标准限值见表4-</w:t>
            </w:r>
            <w:r>
              <w:rPr>
                <w:rFonts w:hint="eastAsia" w:cs="Times New Roman"/>
                <w:bCs/>
                <w:color w:val="auto"/>
                <w:sz w:val="24"/>
                <w:lang w:val="en-US" w:eastAsia="zh-CN"/>
              </w:rPr>
              <w:t>5</w:t>
            </w:r>
            <w:r>
              <w:rPr>
                <w:rFonts w:hint="default" w:ascii="Times New Roman" w:hAnsi="Times New Roman" w:cs="Times New Roman"/>
                <w:bCs/>
                <w:color w:val="auto"/>
                <w:sz w:val="24"/>
                <w:lang w:val="en-US" w:eastAsia="zh-CN"/>
              </w:rPr>
              <w:t>。</w:t>
            </w:r>
          </w:p>
          <w:p>
            <w:pPr>
              <w:pStyle w:val="52"/>
              <w:bidi w:val="0"/>
              <w:spacing w:line="240" w:lineRule="auto"/>
              <w:rPr>
                <w:rFonts w:hint="default"/>
                <w:color w:val="auto"/>
              </w:rPr>
            </w:pPr>
            <w:r>
              <w:rPr>
                <w:rFonts w:hint="default"/>
                <w:color w:val="auto"/>
              </w:rPr>
              <w:t>表4-</w:t>
            </w:r>
            <w:r>
              <w:rPr>
                <w:rFonts w:hint="eastAsia"/>
                <w:color w:val="auto"/>
                <w:lang w:val="en-US" w:eastAsia="zh-CN"/>
              </w:rPr>
              <w:t>5</w:t>
            </w:r>
            <w:r>
              <w:rPr>
                <w:rFonts w:hint="default"/>
                <w:color w:val="auto"/>
              </w:rPr>
              <w:t xml:space="preserve"> 建筑施工场界环境噪声排放限值 [Leq：dB（A）]</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42"/>
              <w:gridCol w:w="3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20" w:type="dxa"/>
                  <w:tcBorders>
                    <w:top w:val="single" w:color="auto" w:sz="4" w:space="0"/>
                    <w:left w:val="single" w:color="auto" w:sz="4" w:space="0"/>
                    <w:bottom w:val="single" w:color="auto" w:sz="4" w:space="0"/>
                    <w:right w:val="single" w:color="auto" w:sz="4" w:space="0"/>
                  </w:tcBorders>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昼 间</w:t>
                  </w:r>
                </w:p>
              </w:tc>
              <w:tc>
                <w:tcPr>
                  <w:tcW w:w="3919" w:type="dxa"/>
                  <w:tcBorders>
                    <w:top w:val="single" w:color="auto" w:sz="4" w:space="0"/>
                    <w:left w:val="single" w:color="auto" w:sz="4" w:space="0"/>
                    <w:bottom w:val="single" w:color="auto" w:sz="4" w:space="0"/>
                    <w:right w:val="single" w:color="auto" w:sz="4" w:space="0"/>
                  </w:tcBorders>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夜 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20" w:type="dxa"/>
                  <w:tcBorders>
                    <w:top w:val="single" w:color="auto" w:sz="4" w:space="0"/>
                    <w:left w:val="single" w:color="auto" w:sz="4" w:space="0"/>
                    <w:bottom w:val="single" w:color="auto" w:sz="4" w:space="0"/>
                    <w:right w:val="single" w:color="auto" w:sz="4" w:space="0"/>
                  </w:tcBorders>
                  <w:noWrap w:val="0"/>
                  <w:vAlign w:val="center"/>
                </w:tcPr>
                <w:p>
                  <w:pPr>
                    <w:pStyle w:val="53"/>
                    <w:bidi w:val="0"/>
                    <w:spacing w:line="240" w:lineRule="auto"/>
                    <w:rPr>
                      <w:rFonts w:hint="default"/>
                      <w:b w:val="0"/>
                      <w:bCs w:val="0"/>
                      <w:color w:val="auto"/>
                      <w:sz w:val="21"/>
                      <w:szCs w:val="21"/>
                      <w:lang w:val="en-US" w:eastAsia="zh-CN"/>
                    </w:rPr>
                  </w:pPr>
                  <w:r>
                    <w:rPr>
                      <w:rFonts w:hint="default"/>
                      <w:b w:val="0"/>
                      <w:bCs w:val="0"/>
                      <w:color w:val="auto"/>
                      <w:sz w:val="21"/>
                      <w:szCs w:val="21"/>
                      <w:lang w:val="en-US" w:eastAsia="zh-CN"/>
                    </w:rPr>
                    <w:t xml:space="preserve">70 </w:t>
                  </w:r>
                </w:p>
              </w:tc>
              <w:tc>
                <w:tcPr>
                  <w:tcW w:w="3919" w:type="dxa"/>
                  <w:tcBorders>
                    <w:top w:val="single" w:color="auto" w:sz="4" w:space="0"/>
                    <w:left w:val="single" w:color="auto" w:sz="4" w:space="0"/>
                    <w:bottom w:val="single" w:color="auto" w:sz="4" w:space="0"/>
                    <w:right w:val="single" w:color="auto" w:sz="4" w:space="0"/>
                  </w:tcBorders>
                  <w:noWrap w:val="0"/>
                  <w:vAlign w:val="center"/>
                </w:tcPr>
                <w:p>
                  <w:pPr>
                    <w:pStyle w:val="53"/>
                    <w:bidi w:val="0"/>
                    <w:spacing w:line="240" w:lineRule="auto"/>
                    <w:rPr>
                      <w:rFonts w:hint="default"/>
                      <w:b w:val="0"/>
                      <w:bCs w:val="0"/>
                      <w:color w:val="auto"/>
                      <w:sz w:val="21"/>
                      <w:szCs w:val="21"/>
                      <w:lang w:val="en-US" w:eastAsia="zh-CN"/>
                    </w:rPr>
                  </w:pPr>
                  <w:r>
                    <w:rPr>
                      <w:rFonts w:hint="default"/>
                      <w:b w:val="0"/>
                      <w:bCs w:val="0"/>
                      <w:color w:val="auto"/>
                      <w:sz w:val="21"/>
                      <w:szCs w:val="21"/>
                      <w:lang w:val="en-US" w:eastAsia="zh-CN"/>
                    </w:rPr>
                    <w:t>55</w:t>
                  </w:r>
                </w:p>
              </w:tc>
            </w:tr>
          </w:tbl>
          <w:p>
            <w:pPr>
              <w:spacing w:line="360" w:lineRule="auto"/>
              <w:ind w:firstLine="482" w:firstLineChars="20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lang w:val="en-US" w:eastAsia="zh-CN"/>
              </w:rPr>
              <w:t>2、</w:t>
            </w:r>
            <w:r>
              <w:rPr>
                <w:rFonts w:hint="default" w:ascii="Times New Roman" w:hAnsi="Times New Roman" w:cs="Times New Roman"/>
                <w:b/>
                <w:bCs/>
                <w:color w:val="auto"/>
                <w:sz w:val="24"/>
                <w:szCs w:val="24"/>
              </w:rPr>
              <w:t>营运期</w:t>
            </w:r>
          </w:p>
          <w:p>
            <w:pPr>
              <w:bidi w:val="0"/>
              <w:rPr>
                <w:rFonts w:hint="default"/>
                <w:b/>
                <w:bCs/>
                <w:color w:val="auto"/>
                <w:sz w:val="24"/>
                <w:szCs w:val="24"/>
              </w:rPr>
            </w:pPr>
            <w:r>
              <w:rPr>
                <w:rFonts w:hint="default"/>
                <w:b/>
                <w:bCs/>
                <w:color w:val="auto"/>
                <w:sz w:val="24"/>
                <w:szCs w:val="24"/>
              </w:rPr>
              <w:t>（1）废气</w:t>
            </w:r>
          </w:p>
          <w:p>
            <w:pPr>
              <w:tabs>
                <w:tab w:val="left" w:pos="720"/>
              </w:tabs>
              <w:adjustRightInd w:val="0"/>
              <w:snapToGrid w:val="0"/>
              <w:spacing w:line="360" w:lineRule="auto"/>
              <w:ind w:firstLine="480" w:firstLineChars="200"/>
              <w:jc w:val="both"/>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①有组织废气</w:t>
            </w:r>
          </w:p>
          <w:p>
            <w:pPr>
              <w:tabs>
                <w:tab w:val="left" w:pos="720"/>
              </w:tabs>
              <w:adjustRightInd w:val="0"/>
              <w:snapToGrid w:val="0"/>
              <w:spacing w:line="360" w:lineRule="auto"/>
              <w:ind w:firstLine="480" w:firstLineChars="200"/>
              <w:jc w:val="both"/>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本项目喷漆车间有组织排放漆雾</w:t>
            </w:r>
            <w:r>
              <w:rPr>
                <w:rFonts w:hint="default" w:ascii="Times New Roman" w:hAnsi="Times New Roman" w:cs="Times New Roman"/>
                <w:color w:val="auto"/>
                <w:sz w:val="24"/>
                <w:szCs w:val="24"/>
                <w:highlight w:val="none"/>
              </w:rPr>
              <w:t>执行《大气污染物综合排放标准》（GB16297-1996）表2中</w:t>
            </w:r>
            <w:r>
              <w:rPr>
                <w:rFonts w:hint="eastAsia" w:ascii="Times New Roman" w:hAnsi="Times New Roman" w:cs="Times New Roman"/>
                <w:color w:val="auto"/>
                <w:sz w:val="24"/>
                <w:szCs w:val="24"/>
                <w:highlight w:val="none"/>
                <w:lang w:eastAsia="zh-CN"/>
              </w:rPr>
              <w:t>颗粒物</w:t>
            </w:r>
            <w:r>
              <w:rPr>
                <w:rFonts w:hint="default" w:ascii="Times New Roman" w:hAnsi="Times New Roman" w:cs="Times New Roman"/>
                <w:color w:val="auto"/>
                <w:sz w:val="24"/>
                <w:szCs w:val="24"/>
                <w:highlight w:val="none"/>
              </w:rPr>
              <w:t>控制标准</w:t>
            </w:r>
            <w:r>
              <w:rPr>
                <w:rFonts w:hint="eastAsia"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eastAsia="zh-CN"/>
              </w:rPr>
              <w:t>有组织排放挥发性有机物由于暂无国家及地方标准，本次评价参照《大气污染物综合排放标准》</w:t>
            </w:r>
            <w:r>
              <w:rPr>
                <w:rFonts w:hint="default" w:ascii="Times New Roman" w:hAnsi="Times New Roman" w:cs="Times New Roman"/>
                <w:color w:val="auto"/>
                <w:sz w:val="24"/>
                <w:szCs w:val="24"/>
                <w:highlight w:val="none"/>
              </w:rPr>
              <w:t>（GB16297-1996）表2中</w:t>
            </w:r>
            <w:r>
              <w:rPr>
                <w:rFonts w:hint="eastAsia" w:ascii="Times New Roman" w:hAnsi="Times New Roman" w:cs="Times New Roman"/>
                <w:color w:val="auto"/>
                <w:sz w:val="24"/>
                <w:szCs w:val="24"/>
                <w:highlight w:val="none"/>
                <w:lang w:eastAsia="zh-CN"/>
              </w:rPr>
              <w:t>非甲烷总烃标准执行</w:t>
            </w:r>
            <w:r>
              <w:rPr>
                <w:rFonts w:hint="default" w:ascii="Times New Roman" w:hAnsi="Times New Roman" w:cs="Times New Roman"/>
                <w:color w:val="auto"/>
                <w:sz w:val="24"/>
                <w:szCs w:val="24"/>
                <w:highlight w:val="none"/>
              </w:rPr>
              <w:t>。</w:t>
            </w:r>
          </w:p>
          <w:tbl>
            <w:tblPr>
              <w:tblStyle w:val="37"/>
              <w:tblpPr w:leftFromText="180" w:rightFromText="180" w:vertAnchor="text" w:horzAnchor="page" w:tblpX="85" w:tblpY="31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2"/>
              <w:gridCol w:w="1242"/>
              <w:gridCol w:w="1208"/>
              <w:gridCol w:w="1028"/>
              <w:gridCol w:w="1273"/>
              <w:gridCol w:w="1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2" w:type="dxa"/>
                  <w:vMerge w:val="restart"/>
                  <w:noWrap w:val="0"/>
                  <w:vAlign w:val="center"/>
                </w:tcPr>
                <w:p>
                  <w:pPr>
                    <w:pStyle w:val="53"/>
                    <w:bidi w:val="0"/>
                    <w:spacing w:line="240" w:lineRule="auto"/>
                    <w:rPr>
                      <w:b w:val="0"/>
                      <w:bCs w:val="0"/>
                      <w:color w:val="auto"/>
                      <w:sz w:val="21"/>
                      <w:szCs w:val="21"/>
                    </w:rPr>
                  </w:pPr>
                  <w:r>
                    <w:rPr>
                      <w:b w:val="0"/>
                      <w:bCs w:val="0"/>
                      <w:color w:val="auto"/>
                      <w:sz w:val="21"/>
                      <w:szCs w:val="21"/>
                    </w:rPr>
                    <w:t>污染物</w:t>
                  </w:r>
                </w:p>
              </w:tc>
              <w:tc>
                <w:tcPr>
                  <w:tcW w:w="1242" w:type="dxa"/>
                  <w:vMerge w:val="restart"/>
                  <w:noWrap w:val="0"/>
                  <w:vAlign w:val="center"/>
                </w:tcPr>
                <w:p>
                  <w:pPr>
                    <w:pStyle w:val="53"/>
                    <w:bidi w:val="0"/>
                    <w:spacing w:line="240" w:lineRule="auto"/>
                    <w:rPr>
                      <w:b w:val="0"/>
                      <w:bCs w:val="0"/>
                      <w:color w:val="auto"/>
                      <w:sz w:val="21"/>
                      <w:szCs w:val="21"/>
                    </w:rPr>
                  </w:pPr>
                  <w:r>
                    <w:rPr>
                      <w:b w:val="0"/>
                      <w:bCs w:val="0"/>
                      <w:color w:val="auto"/>
                      <w:sz w:val="21"/>
                      <w:szCs w:val="21"/>
                    </w:rPr>
                    <w:t>最高允许排放浓度（mg/m</w:t>
                  </w:r>
                  <w:r>
                    <w:rPr>
                      <w:b w:val="0"/>
                      <w:bCs w:val="0"/>
                      <w:color w:val="auto"/>
                      <w:sz w:val="21"/>
                      <w:szCs w:val="21"/>
                      <w:vertAlign w:val="superscript"/>
                    </w:rPr>
                    <w:t>3</w:t>
                  </w:r>
                  <w:r>
                    <w:rPr>
                      <w:b w:val="0"/>
                      <w:bCs w:val="0"/>
                      <w:color w:val="auto"/>
                      <w:sz w:val="21"/>
                      <w:szCs w:val="21"/>
                    </w:rPr>
                    <w:t>）</w:t>
                  </w:r>
                </w:p>
              </w:tc>
              <w:tc>
                <w:tcPr>
                  <w:tcW w:w="2236" w:type="dxa"/>
                  <w:gridSpan w:val="2"/>
                  <w:noWrap w:val="0"/>
                  <w:vAlign w:val="center"/>
                </w:tcPr>
                <w:p>
                  <w:pPr>
                    <w:pStyle w:val="53"/>
                    <w:bidi w:val="0"/>
                    <w:spacing w:line="240" w:lineRule="auto"/>
                    <w:rPr>
                      <w:b w:val="0"/>
                      <w:bCs w:val="0"/>
                      <w:color w:val="auto"/>
                      <w:sz w:val="21"/>
                      <w:szCs w:val="21"/>
                    </w:rPr>
                  </w:pPr>
                  <w:r>
                    <w:rPr>
                      <w:b w:val="0"/>
                      <w:bCs w:val="0"/>
                      <w:color w:val="auto"/>
                      <w:sz w:val="21"/>
                      <w:szCs w:val="21"/>
                    </w:rPr>
                    <w:t>最高排放速率（kg/h）</w:t>
                  </w:r>
                </w:p>
              </w:tc>
              <w:tc>
                <w:tcPr>
                  <w:tcW w:w="2493" w:type="dxa"/>
                  <w:gridSpan w:val="2"/>
                  <w:noWrap w:val="0"/>
                  <w:vAlign w:val="center"/>
                </w:tcPr>
                <w:p>
                  <w:pPr>
                    <w:pStyle w:val="53"/>
                    <w:bidi w:val="0"/>
                    <w:spacing w:line="240" w:lineRule="auto"/>
                    <w:rPr>
                      <w:b w:val="0"/>
                      <w:bCs w:val="0"/>
                      <w:color w:val="auto"/>
                      <w:sz w:val="21"/>
                      <w:szCs w:val="21"/>
                    </w:rPr>
                  </w:pPr>
                  <w:r>
                    <w:rPr>
                      <w:b w:val="0"/>
                      <w:bCs w:val="0"/>
                      <w:color w:val="auto"/>
                      <w:sz w:val="21"/>
                      <w:szCs w:val="21"/>
                    </w:rPr>
                    <w:t>无组织排放监控点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312" w:type="dxa"/>
                  <w:vMerge w:val="continue"/>
                  <w:noWrap w:val="0"/>
                  <w:vAlign w:val="center"/>
                </w:tcPr>
                <w:p>
                  <w:pPr>
                    <w:pStyle w:val="53"/>
                    <w:bidi w:val="0"/>
                    <w:spacing w:line="240" w:lineRule="auto"/>
                    <w:rPr>
                      <w:b w:val="0"/>
                      <w:bCs w:val="0"/>
                      <w:color w:val="auto"/>
                      <w:sz w:val="21"/>
                      <w:szCs w:val="21"/>
                    </w:rPr>
                  </w:pPr>
                </w:p>
              </w:tc>
              <w:tc>
                <w:tcPr>
                  <w:tcW w:w="1242" w:type="dxa"/>
                  <w:vMerge w:val="continue"/>
                  <w:noWrap w:val="0"/>
                  <w:vAlign w:val="center"/>
                </w:tcPr>
                <w:p>
                  <w:pPr>
                    <w:pStyle w:val="53"/>
                    <w:bidi w:val="0"/>
                    <w:spacing w:line="240" w:lineRule="auto"/>
                    <w:rPr>
                      <w:b w:val="0"/>
                      <w:bCs w:val="0"/>
                      <w:color w:val="auto"/>
                      <w:sz w:val="21"/>
                      <w:szCs w:val="21"/>
                    </w:rPr>
                  </w:pPr>
                </w:p>
              </w:tc>
              <w:tc>
                <w:tcPr>
                  <w:tcW w:w="1208" w:type="dxa"/>
                  <w:noWrap w:val="0"/>
                  <w:vAlign w:val="center"/>
                </w:tcPr>
                <w:p>
                  <w:pPr>
                    <w:pStyle w:val="53"/>
                    <w:bidi w:val="0"/>
                    <w:spacing w:line="240" w:lineRule="auto"/>
                    <w:rPr>
                      <w:b w:val="0"/>
                      <w:bCs w:val="0"/>
                      <w:color w:val="auto"/>
                      <w:sz w:val="21"/>
                      <w:szCs w:val="21"/>
                    </w:rPr>
                  </w:pPr>
                  <w:r>
                    <w:rPr>
                      <w:b w:val="0"/>
                      <w:bCs w:val="0"/>
                      <w:color w:val="auto"/>
                      <w:sz w:val="21"/>
                      <w:szCs w:val="21"/>
                    </w:rPr>
                    <w:t>排气筒（m）</w:t>
                  </w:r>
                </w:p>
              </w:tc>
              <w:tc>
                <w:tcPr>
                  <w:tcW w:w="1028" w:type="dxa"/>
                  <w:noWrap w:val="0"/>
                  <w:vAlign w:val="center"/>
                </w:tcPr>
                <w:p>
                  <w:pPr>
                    <w:pStyle w:val="53"/>
                    <w:bidi w:val="0"/>
                    <w:spacing w:line="240" w:lineRule="auto"/>
                    <w:rPr>
                      <w:b w:val="0"/>
                      <w:bCs w:val="0"/>
                      <w:color w:val="auto"/>
                      <w:sz w:val="21"/>
                      <w:szCs w:val="21"/>
                    </w:rPr>
                  </w:pPr>
                  <w:r>
                    <w:rPr>
                      <w:b w:val="0"/>
                      <w:bCs w:val="0"/>
                      <w:color w:val="auto"/>
                      <w:sz w:val="21"/>
                      <w:szCs w:val="21"/>
                    </w:rPr>
                    <w:t>二级标准</w:t>
                  </w:r>
                </w:p>
              </w:tc>
              <w:tc>
                <w:tcPr>
                  <w:tcW w:w="1273" w:type="dxa"/>
                  <w:noWrap w:val="0"/>
                  <w:vAlign w:val="center"/>
                </w:tcPr>
                <w:p>
                  <w:pPr>
                    <w:pStyle w:val="53"/>
                    <w:bidi w:val="0"/>
                    <w:spacing w:line="240" w:lineRule="auto"/>
                    <w:rPr>
                      <w:b w:val="0"/>
                      <w:bCs w:val="0"/>
                      <w:color w:val="auto"/>
                      <w:sz w:val="21"/>
                      <w:szCs w:val="21"/>
                    </w:rPr>
                  </w:pPr>
                  <w:r>
                    <w:rPr>
                      <w:b w:val="0"/>
                      <w:bCs w:val="0"/>
                      <w:color w:val="auto"/>
                      <w:sz w:val="21"/>
                      <w:szCs w:val="21"/>
                    </w:rPr>
                    <w:t>监控点</w:t>
                  </w:r>
                </w:p>
              </w:tc>
              <w:tc>
                <w:tcPr>
                  <w:tcW w:w="1220" w:type="dxa"/>
                  <w:noWrap w:val="0"/>
                  <w:vAlign w:val="center"/>
                </w:tcPr>
                <w:p>
                  <w:pPr>
                    <w:pStyle w:val="53"/>
                    <w:bidi w:val="0"/>
                    <w:spacing w:line="240" w:lineRule="auto"/>
                    <w:rPr>
                      <w:b w:val="0"/>
                      <w:bCs w:val="0"/>
                      <w:color w:val="auto"/>
                      <w:sz w:val="21"/>
                      <w:szCs w:val="21"/>
                    </w:rPr>
                  </w:pPr>
                  <w:r>
                    <w:rPr>
                      <w:b w:val="0"/>
                      <w:bCs w:val="0"/>
                      <w:color w:val="auto"/>
                      <w:sz w:val="21"/>
                      <w:szCs w:val="21"/>
                    </w:rPr>
                    <w:t>浓度（mg/m</w:t>
                  </w:r>
                  <w:r>
                    <w:rPr>
                      <w:b w:val="0"/>
                      <w:bCs w:val="0"/>
                      <w:color w:val="auto"/>
                      <w:sz w:val="21"/>
                      <w:szCs w:val="21"/>
                      <w:vertAlign w:val="superscript"/>
                    </w:rPr>
                    <w:t>3</w:t>
                  </w:r>
                  <w:r>
                    <w:rPr>
                      <w:b w:val="0"/>
                      <w:bCs w:val="0"/>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2" w:type="dxa"/>
                  <w:noWrap w:val="0"/>
                  <w:vAlign w:val="center"/>
                </w:tcPr>
                <w:p>
                  <w:pPr>
                    <w:pStyle w:val="53"/>
                    <w:bidi w:val="0"/>
                    <w:spacing w:line="240" w:lineRule="auto"/>
                    <w:rPr>
                      <w:rFonts w:hint="eastAsia" w:eastAsia="宋体"/>
                      <w:b w:val="0"/>
                      <w:bCs w:val="0"/>
                      <w:color w:val="auto"/>
                      <w:sz w:val="21"/>
                      <w:szCs w:val="21"/>
                      <w:lang w:val="en-US" w:eastAsia="zh-CN"/>
                    </w:rPr>
                  </w:pPr>
                  <w:r>
                    <w:rPr>
                      <w:rFonts w:hint="eastAsia"/>
                      <w:b w:val="0"/>
                      <w:bCs w:val="0"/>
                      <w:color w:val="auto"/>
                      <w:sz w:val="21"/>
                      <w:szCs w:val="21"/>
                      <w:lang w:eastAsia="zh-CN"/>
                    </w:rPr>
                    <w:t>非甲烷总烃</w:t>
                  </w:r>
                </w:p>
              </w:tc>
              <w:tc>
                <w:tcPr>
                  <w:tcW w:w="1242" w:type="dxa"/>
                  <w:noWrap w:val="0"/>
                  <w:vAlign w:val="center"/>
                </w:tcPr>
                <w:p>
                  <w:pPr>
                    <w:pStyle w:val="53"/>
                    <w:bidi w:val="0"/>
                    <w:spacing w:line="240" w:lineRule="auto"/>
                    <w:rPr>
                      <w:b w:val="0"/>
                      <w:bCs w:val="0"/>
                      <w:color w:val="auto"/>
                      <w:sz w:val="21"/>
                      <w:szCs w:val="21"/>
                    </w:rPr>
                  </w:pPr>
                  <w:r>
                    <w:rPr>
                      <w:b w:val="0"/>
                      <w:bCs w:val="0"/>
                      <w:color w:val="auto"/>
                      <w:sz w:val="21"/>
                      <w:szCs w:val="21"/>
                    </w:rPr>
                    <w:t>120</w:t>
                  </w:r>
                </w:p>
              </w:tc>
              <w:tc>
                <w:tcPr>
                  <w:tcW w:w="1208" w:type="dxa"/>
                  <w:noWrap w:val="0"/>
                  <w:vAlign w:val="center"/>
                </w:tcPr>
                <w:p>
                  <w:pPr>
                    <w:pStyle w:val="53"/>
                    <w:bidi w:val="0"/>
                    <w:spacing w:line="240" w:lineRule="auto"/>
                    <w:rPr>
                      <w:b w:val="0"/>
                      <w:bCs w:val="0"/>
                      <w:color w:val="auto"/>
                      <w:sz w:val="21"/>
                      <w:szCs w:val="21"/>
                    </w:rPr>
                  </w:pPr>
                  <w:r>
                    <w:rPr>
                      <w:b w:val="0"/>
                      <w:bCs w:val="0"/>
                      <w:color w:val="auto"/>
                      <w:sz w:val="21"/>
                      <w:szCs w:val="21"/>
                    </w:rPr>
                    <w:t>15</w:t>
                  </w:r>
                </w:p>
              </w:tc>
              <w:tc>
                <w:tcPr>
                  <w:tcW w:w="1028" w:type="dxa"/>
                  <w:noWrap w:val="0"/>
                  <w:vAlign w:val="center"/>
                </w:tcPr>
                <w:p>
                  <w:pPr>
                    <w:pStyle w:val="53"/>
                    <w:bidi w:val="0"/>
                    <w:spacing w:line="240" w:lineRule="auto"/>
                    <w:rPr>
                      <w:b w:val="0"/>
                      <w:bCs w:val="0"/>
                      <w:color w:val="auto"/>
                      <w:sz w:val="21"/>
                      <w:szCs w:val="21"/>
                    </w:rPr>
                  </w:pPr>
                  <w:r>
                    <w:rPr>
                      <w:b w:val="0"/>
                      <w:bCs w:val="0"/>
                      <w:color w:val="auto"/>
                      <w:sz w:val="21"/>
                      <w:szCs w:val="21"/>
                    </w:rPr>
                    <w:t>10</w:t>
                  </w:r>
                </w:p>
              </w:tc>
              <w:tc>
                <w:tcPr>
                  <w:tcW w:w="1273" w:type="dxa"/>
                  <w:vMerge w:val="restart"/>
                  <w:noWrap w:val="0"/>
                  <w:vAlign w:val="center"/>
                </w:tcPr>
                <w:p>
                  <w:pPr>
                    <w:pStyle w:val="53"/>
                    <w:bidi w:val="0"/>
                    <w:spacing w:line="240" w:lineRule="auto"/>
                    <w:rPr>
                      <w:b w:val="0"/>
                      <w:bCs w:val="0"/>
                      <w:color w:val="auto"/>
                      <w:sz w:val="21"/>
                      <w:szCs w:val="21"/>
                    </w:rPr>
                  </w:pPr>
                  <w:r>
                    <w:rPr>
                      <w:b w:val="0"/>
                      <w:bCs w:val="0"/>
                      <w:color w:val="auto"/>
                      <w:sz w:val="21"/>
                      <w:szCs w:val="21"/>
                    </w:rPr>
                    <w:t>周界外浓度最高点</w:t>
                  </w:r>
                </w:p>
              </w:tc>
              <w:tc>
                <w:tcPr>
                  <w:tcW w:w="1220" w:type="dxa"/>
                  <w:noWrap w:val="0"/>
                  <w:vAlign w:val="center"/>
                </w:tcPr>
                <w:p>
                  <w:pPr>
                    <w:pStyle w:val="53"/>
                    <w:bidi w:val="0"/>
                    <w:spacing w:line="240" w:lineRule="auto"/>
                    <w:rPr>
                      <w:b w:val="0"/>
                      <w:bCs w:val="0"/>
                      <w:color w:val="auto"/>
                      <w:sz w:val="21"/>
                      <w:szCs w:val="21"/>
                    </w:rPr>
                  </w:pPr>
                  <w:r>
                    <w:rPr>
                      <w:b w:val="0"/>
                      <w:bCs w:val="0"/>
                      <w:color w:val="auto"/>
                      <w:sz w:val="21"/>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2" w:type="dxa"/>
                  <w:noWrap w:val="0"/>
                  <w:vAlign w:val="center"/>
                </w:tcPr>
                <w:p>
                  <w:pPr>
                    <w:pStyle w:val="53"/>
                    <w:bidi w:val="0"/>
                    <w:spacing w:line="240" w:lineRule="auto"/>
                    <w:rPr>
                      <w:rFonts w:hint="eastAsia"/>
                      <w:b w:val="0"/>
                      <w:bCs w:val="0"/>
                      <w:color w:val="auto"/>
                      <w:sz w:val="21"/>
                      <w:szCs w:val="21"/>
                      <w:lang w:eastAsia="zh-CN"/>
                    </w:rPr>
                  </w:pPr>
                  <w:r>
                    <w:rPr>
                      <w:rFonts w:hint="eastAsia"/>
                      <w:b w:val="0"/>
                      <w:bCs w:val="0"/>
                      <w:color w:val="auto"/>
                      <w:sz w:val="21"/>
                      <w:szCs w:val="21"/>
                      <w:lang w:eastAsia="zh-CN"/>
                    </w:rPr>
                    <w:t>颗粒物</w:t>
                  </w:r>
                </w:p>
              </w:tc>
              <w:tc>
                <w:tcPr>
                  <w:tcW w:w="1242"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120</w:t>
                  </w:r>
                </w:p>
              </w:tc>
              <w:tc>
                <w:tcPr>
                  <w:tcW w:w="1208"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15</w:t>
                  </w:r>
                </w:p>
              </w:tc>
              <w:tc>
                <w:tcPr>
                  <w:tcW w:w="1028"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3.5</w:t>
                  </w:r>
                </w:p>
              </w:tc>
              <w:tc>
                <w:tcPr>
                  <w:tcW w:w="1273" w:type="dxa"/>
                  <w:vMerge w:val="continue"/>
                  <w:noWrap w:val="0"/>
                  <w:vAlign w:val="center"/>
                </w:tcPr>
                <w:p>
                  <w:pPr>
                    <w:pStyle w:val="53"/>
                    <w:bidi w:val="0"/>
                    <w:spacing w:line="240" w:lineRule="auto"/>
                    <w:rPr>
                      <w:b w:val="0"/>
                      <w:bCs w:val="0"/>
                      <w:color w:val="auto"/>
                      <w:sz w:val="21"/>
                      <w:szCs w:val="21"/>
                    </w:rPr>
                  </w:pPr>
                </w:p>
              </w:tc>
              <w:tc>
                <w:tcPr>
                  <w:tcW w:w="1220"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1.0</w:t>
                  </w:r>
                </w:p>
              </w:tc>
            </w:tr>
          </w:tbl>
          <w:p>
            <w:pPr>
              <w:pStyle w:val="52"/>
              <w:bidi w:val="0"/>
              <w:spacing w:line="240" w:lineRule="auto"/>
              <w:rPr>
                <w:color w:val="auto"/>
              </w:rPr>
            </w:pPr>
            <w:r>
              <w:rPr>
                <w:color w:val="auto"/>
              </w:rPr>
              <w:t>表4-</w:t>
            </w:r>
            <w:r>
              <w:rPr>
                <w:rFonts w:hint="eastAsia"/>
                <w:color w:val="auto"/>
                <w:lang w:val="en-US" w:eastAsia="zh-CN"/>
              </w:rPr>
              <w:t>6</w:t>
            </w:r>
            <w:r>
              <w:rPr>
                <w:color w:val="auto"/>
              </w:rPr>
              <w:t xml:space="preserve">  大气污染物综合排放标准</w:t>
            </w:r>
          </w:p>
          <w:p>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sz w:val="24"/>
                <w:szCs w:val="24"/>
              </w:rPr>
            </w:pPr>
            <w:r>
              <w:rPr>
                <w:sz w:val="24"/>
                <w:szCs w:val="22"/>
              </w:rPr>
              <w:t>本项目食堂设置</w:t>
            </w:r>
            <w:r>
              <w:rPr>
                <w:rFonts w:hint="eastAsia"/>
                <w:sz w:val="24"/>
                <w:szCs w:val="22"/>
                <w:lang w:val="en-US" w:eastAsia="zh-CN"/>
              </w:rPr>
              <w:t>1</w:t>
            </w:r>
            <w:r>
              <w:rPr>
                <w:sz w:val="24"/>
                <w:szCs w:val="22"/>
              </w:rPr>
              <w:t>个灶头，为</w:t>
            </w:r>
            <w:r>
              <w:rPr>
                <w:rFonts w:hint="eastAsia"/>
                <w:sz w:val="24"/>
                <w:szCs w:val="22"/>
              </w:rPr>
              <w:t>小</w:t>
            </w:r>
            <w:r>
              <w:rPr>
                <w:sz w:val="24"/>
                <w:szCs w:val="22"/>
              </w:rPr>
              <w:t>型食堂，因此项目食堂油烟排放执行《饮食业油烟排放标准》（GB18483-2001）表2</w:t>
            </w:r>
            <w:r>
              <w:rPr>
                <w:rFonts w:hint="eastAsia"/>
                <w:sz w:val="24"/>
                <w:szCs w:val="22"/>
              </w:rPr>
              <w:t>，小</w:t>
            </w:r>
            <w:r>
              <w:rPr>
                <w:sz w:val="24"/>
                <w:szCs w:val="22"/>
              </w:rPr>
              <w:t>型排放标准，标准值见表4-</w:t>
            </w:r>
            <w:r>
              <w:rPr>
                <w:rFonts w:hint="eastAsia"/>
                <w:sz w:val="24"/>
                <w:szCs w:val="22"/>
              </w:rPr>
              <w:t>7</w:t>
            </w:r>
            <w:r>
              <w:rPr>
                <w:sz w:val="24"/>
                <w:szCs w:val="22"/>
              </w:rPr>
              <w:t>。</w:t>
            </w:r>
          </w:p>
          <w:p>
            <w:pPr>
              <w:autoSpaceDE w:val="0"/>
              <w:autoSpaceDN w:val="0"/>
              <w:adjustRightInd w:val="0"/>
              <w:snapToGrid w:val="0"/>
              <w:spacing w:line="240" w:lineRule="auto"/>
              <w:ind w:firstLine="0" w:firstLineChars="0"/>
              <w:jc w:val="center"/>
              <w:rPr>
                <w:b/>
                <w:kern w:val="0"/>
                <w:sz w:val="21"/>
                <w:szCs w:val="21"/>
              </w:rPr>
            </w:pPr>
            <w:r>
              <w:rPr>
                <w:b/>
                <w:kern w:val="0"/>
                <w:sz w:val="21"/>
                <w:szCs w:val="21"/>
              </w:rPr>
              <w:t>表4-</w:t>
            </w:r>
            <w:r>
              <w:rPr>
                <w:rFonts w:hint="eastAsia"/>
                <w:b/>
                <w:kern w:val="0"/>
                <w:sz w:val="21"/>
                <w:szCs w:val="21"/>
              </w:rPr>
              <w:t>7</w:t>
            </w:r>
            <w:r>
              <w:rPr>
                <w:b/>
                <w:kern w:val="0"/>
                <w:sz w:val="21"/>
                <w:szCs w:val="21"/>
              </w:rPr>
              <w:t xml:space="preserve">  饮食业油烟排放标准</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016"/>
              <w:gridCol w:w="324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4337" w:type="dxa"/>
                  <w:tcBorders>
                    <w:top w:val="single" w:color="auto" w:sz="6" w:space="0"/>
                    <w:left w:val="single" w:color="auto" w:sz="6" w:space="0"/>
                  </w:tcBorders>
                  <w:vAlign w:val="center"/>
                </w:tcPr>
                <w:p>
                  <w:pPr>
                    <w:spacing w:line="240" w:lineRule="auto"/>
                    <w:ind w:firstLine="422"/>
                    <w:jc w:val="center"/>
                    <w:rPr>
                      <w:b/>
                      <w:bCs/>
                      <w:sz w:val="21"/>
                      <w:szCs w:val="21"/>
                    </w:rPr>
                  </w:pPr>
                  <w:r>
                    <w:rPr>
                      <w:b/>
                      <w:bCs/>
                      <w:sz w:val="21"/>
                      <w:szCs w:val="21"/>
                    </w:rPr>
                    <w:t>规模</w:t>
                  </w:r>
                </w:p>
              </w:tc>
              <w:tc>
                <w:tcPr>
                  <w:tcW w:w="3496" w:type="dxa"/>
                  <w:tcBorders>
                    <w:top w:val="single" w:color="auto" w:sz="6" w:space="0"/>
                    <w:right w:val="single" w:color="auto" w:sz="6" w:space="0"/>
                  </w:tcBorders>
                  <w:vAlign w:val="center"/>
                </w:tcPr>
                <w:p>
                  <w:pPr>
                    <w:spacing w:line="240" w:lineRule="auto"/>
                    <w:ind w:firstLine="422"/>
                    <w:jc w:val="center"/>
                    <w:rPr>
                      <w:b/>
                      <w:bCs/>
                      <w:sz w:val="21"/>
                      <w:szCs w:val="21"/>
                    </w:rPr>
                  </w:pPr>
                  <w:r>
                    <w:rPr>
                      <w:rFonts w:hint="eastAsia"/>
                      <w:b/>
                      <w:bCs/>
                      <w:sz w:val="21"/>
                      <w:szCs w:val="21"/>
                    </w:rPr>
                    <w:t>小</w:t>
                  </w:r>
                  <w:r>
                    <w:rPr>
                      <w:b/>
                      <w:bCs/>
                      <w:sz w:val="21"/>
                      <w:szCs w:val="21"/>
                    </w:rPr>
                    <w:t>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4337" w:type="dxa"/>
                  <w:tcBorders>
                    <w:left w:val="single" w:color="auto" w:sz="6" w:space="0"/>
                  </w:tcBorders>
                  <w:vAlign w:val="center"/>
                </w:tcPr>
                <w:p>
                  <w:pPr>
                    <w:spacing w:line="240" w:lineRule="auto"/>
                    <w:ind w:firstLine="420"/>
                    <w:jc w:val="center"/>
                    <w:rPr>
                      <w:sz w:val="21"/>
                      <w:szCs w:val="21"/>
                    </w:rPr>
                  </w:pPr>
                  <w:r>
                    <w:rPr>
                      <w:sz w:val="21"/>
                      <w:szCs w:val="21"/>
                    </w:rPr>
                    <w:t>基准灶头数</w:t>
                  </w:r>
                </w:p>
              </w:tc>
              <w:tc>
                <w:tcPr>
                  <w:tcW w:w="3496" w:type="dxa"/>
                  <w:tcBorders>
                    <w:right w:val="single" w:color="auto" w:sz="6" w:space="0"/>
                  </w:tcBorders>
                  <w:vAlign w:val="center"/>
                </w:tcPr>
                <w:p>
                  <w:pPr>
                    <w:spacing w:line="240" w:lineRule="auto"/>
                    <w:ind w:firstLine="420"/>
                    <w:jc w:val="center"/>
                    <w:rPr>
                      <w:sz w:val="21"/>
                      <w:szCs w:val="21"/>
                    </w:rPr>
                  </w:pPr>
                  <w:r>
                    <w:rPr>
                      <w:rFonts w:eastAsia="Times New Roman"/>
                      <w:sz w:val="21"/>
                      <w:szCs w:val="21"/>
                    </w:rPr>
                    <w:t>≥1</w:t>
                  </w:r>
                  <w:r>
                    <w:rPr>
                      <w:rFonts w:ascii="宋体" w:hAnsi="宋体" w:cs="宋体"/>
                      <w:sz w:val="21"/>
                      <w:szCs w:val="21"/>
                    </w:rPr>
                    <w:t>，＜</w:t>
                  </w:r>
                  <w:r>
                    <w:rPr>
                      <w:rFonts w:eastAsia="Times New Roman"/>
                      <w:sz w:val="21"/>
                      <w:szCs w:val="21"/>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4337" w:type="dxa"/>
                  <w:tcBorders>
                    <w:left w:val="single" w:color="auto" w:sz="6" w:space="0"/>
                  </w:tcBorders>
                  <w:vAlign w:val="center"/>
                </w:tcPr>
                <w:p>
                  <w:pPr>
                    <w:spacing w:line="240" w:lineRule="auto"/>
                    <w:ind w:firstLine="420"/>
                    <w:jc w:val="center"/>
                    <w:rPr>
                      <w:sz w:val="21"/>
                      <w:szCs w:val="21"/>
                    </w:rPr>
                  </w:pPr>
                  <w:r>
                    <w:rPr>
                      <w:sz w:val="21"/>
                      <w:szCs w:val="21"/>
                    </w:rPr>
                    <w:t>最高允许排放浓度（mg/m</w:t>
                  </w:r>
                  <w:r>
                    <w:rPr>
                      <w:sz w:val="21"/>
                      <w:szCs w:val="21"/>
                      <w:vertAlign w:val="superscript"/>
                    </w:rPr>
                    <w:t>3</w:t>
                  </w:r>
                  <w:r>
                    <w:rPr>
                      <w:sz w:val="21"/>
                      <w:szCs w:val="21"/>
                    </w:rPr>
                    <w:t>）</w:t>
                  </w:r>
                </w:p>
              </w:tc>
              <w:tc>
                <w:tcPr>
                  <w:tcW w:w="3496" w:type="dxa"/>
                  <w:tcBorders>
                    <w:right w:val="single" w:color="auto" w:sz="6" w:space="0"/>
                  </w:tcBorders>
                  <w:vAlign w:val="center"/>
                </w:tcPr>
                <w:p>
                  <w:pPr>
                    <w:spacing w:line="240" w:lineRule="auto"/>
                    <w:ind w:firstLine="420"/>
                    <w:jc w:val="center"/>
                    <w:rPr>
                      <w:sz w:val="21"/>
                      <w:szCs w:val="21"/>
                    </w:rPr>
                  </w:pPr>
                  <w:r>
                    <w:rPr>
                      <w:sz w:val="21"/>
                      <w:szCs w:val="21"/>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4337" w:type="dxa"/>
                  <w:tcBorders>
                    <w:left w:val="single" w:color="auto" w:sz="6" w:space="0"/>
                    <w:bottom w:val="single" w:color="auto" w:sz="6" w:space="0"/>
                  </w:tcBorders>
                  <w:vAlign w:val="center"/>
                </w:tcPr>
                <w:p>
                  <w:pPr>
                    <w:spacing w:line="240" w:lineRule="auto"/>
                    <w:ind w:firstLine="420"/>
                    <w:jc w:val="center"/>
                    <w:rPr>
                      <w:sz w:val="21"/>
                      <w:szCs w:val="21"/>
                    </w:rPr>
                  </w:pPr>
                  <w:r>
                    <w:rPr>
                      <w:sz w:val="21"/>
                      <w:szCs w:val="21"/>
                    </w:rPr>
                    <w:t>设施最低去除率（%）</w:t>
                  </w:r>
                </w:p>
              </w:tc>
              <w:tc>
                <w:tcPr>
                  <w:tcW w:w="3496" w:type="dxa"/>
                  <w:tcBorders>
                    <w:bottom w:val="single" w:color="auto" w:sz="6" w:space="0"/>
                    <w:right w:val="single" w:color="auto" w:sz="6" w:space="0"/>
                  </w:tcBorders>
                  <w:vAlign w:val="center"/>
                </w:tcPr>
                <w:p>
                  <w:pPr>
                    <w:spacing w:line="240" w:lineRule="auto"/>
                    <w:ind w:firstLine="420"/>
                    <w:jc w:val="center"/>
                    <w:rPr>
                      <w:sz w:val="21"/>
                      <w:szCs w:val="21"/>
                    </w:rPr>
                  </w:pPr>
                  <w:r>
                    <w:rPr>
                      <w:rFonts w:hint="eastAsia"/>
                      <w:sz w:val="21"/>
                      <w:szCs w:val="21"/>
                    </w:rPr>
                    <w:t>60</w:t>
                  </w:r>
                </w:p>
              </w:tc>
            </w:tr>
          </w:tbl>
          <w:p>
            <w:pPr>
              <w:tabs>
                <w:tab w:val="left" w:pos="720"/>
              </w:tabs>
              <w:adjustRightInd w:val="0"/>
              <w:snapToGrid w:val="0"/>
              <w:spacing w:line="360" w:lineRule="auto"/>
              <w:ind w:firstLine="480" w:firstLineChars="200"/>
              <w:jc w:val="both"/>
              <w:rPr>
                <w:rFonts w:hint="eastAsia" w:ascii="Times New Roman" w:hAnsi="Times New Roman" w:cs="Times New Roman"/>
                <w:color w:val="auto"/>
                <w:sz w:val="24"/>
                <w:szCs w:val="22"/>
                <w:highlight w:val="none"/>
                <w:lang w:val="en-US" w:eastAsia="zh-CN"/>
              </w:rPr>
            </w:pPr>
          </w:p>
          <w:p>
            <w:pPr>
              <w:tabs>
                <w:tab w:val="left" w:pos="720"/>
              </w:tabs>
              <w:adjustRightInd w:val="0"/>
              <w:snapToGrid w:val="0"/>
              <w:spacing w:line="360" w:lineRule="auto"/>
              <w:ind w:firstLine="480" w:firstLineChars="200"/>
              <w:jc w:val="both"/>
              <w:rPr>
                <w:rFonts w:hint="eastAsia" w:ascii="Times New Roman" w:hAnsi="Times New Roman" w:cs="Times New Roman"/>
                <w:color w:val="auto"/>
                <w:sz w:val="24"/>
                <w:szCs w:val="22"/>
                <w:highlight w:val="none"/>
                <w:lang w:val="en-US" w:eastAsia="zh-CN"/>
              </w:rPr>
            </w:pPr>
            <w:r>
              <w:rPr>
                <w:rFonts w:hint="eastAsia" w:ascii="Times New Roman" w:hAnsi="Times New Roman" w:cs="Times New Roman"/>
                <w:color w:val="auto"/>
                <w:sz w:val="24"/>
                <w:szCs w:val="22"/>
                <w:highlight w:val="none"/>
                <w:lang w:val="en-US" w:eastAsia="zh-CN"/>
              </w:rPr>
              <w:t>②无组织排放</w:t>
            </w:r>
          </w:p>
          <w:p>
            <w:pPr>
              <w:tabs>
                <w:tab w:val="left" w:pos="720"/>
              </w:tabs>
              <w:adjustRightInd w:val="0"/>
              <w:snapToGrid w:val="0"/>
              <w:spacing w:line="360" w:lineRule="auto"/>
              <w:ind w:firstLine="480" w:firstLineChars="200"/>
              <w:jc w:val="both"/>
              <w:rPr>
                <w:rFonts w:hint="eastAsia" w:ascii="Times New Roman" w:hAnsi="Times New Roman" w:cs="Times New Roman"/>
                <w:color w:val="auto"/>
                <w:sz w:val="24"/>
                <w:szCs w:val="22"/>
                <w:highlight w:val="none"/>
                <w:lang w:val="en-US" w:eastAsia="zh-CN"/>
              </w:rPr>
            </w:pPr>
            <w:r>
              <w:rPr>
                <w:rFonts w:hint="eastAsia" w:ascii="Times New Roman" w:hAnsi="Times New Roman" w:cs="Times New Roman"/>
                <w:color w:val="auto"/>
                <w:sz w:val="24"/>
                <w:szCs w:val="22"/>
                <w:highlight w:val="none"/>
                <w:lang w:val="en-US" w:eastAsia="zh-CN"/>
              </w:rPr>
              <w:t>本项目无组织排放颗粒物执行（GB16297-1996）《大气污染物综合排放标准》表2中无组织排放监控浓度限值要求（周界外浓度最高点：1.0mg/m</w:t>
            </w:r>
            <w:r>
              <w:rPr>
                <w:rFonts w:hint="eastAsia" w:ascii="Times New Roman" w:hAnsi="Times New Roman" w:cs="Times New Roman"/>
                <w:color w:val="auto"/>
                <w:sz w:val="24"/>
                <w:szCs w:val="22"/>
                <w:highlight w:val="none"/>
                <w:vertAlign w:val="superscript"/>
                <w:lang w:val="en-US" w:eastAsia="zh-CN"/>
              </w:rPr>
              <w:t>3</w:t>
            </w:r>
            <w:r>
              <w:rPr>
                <w:rFonts w:hint="eastAsia" w:ascii="Times New Roman" w:hAnsi="Times New Roman" w:cs="Times New Roman"/>
                <w:color w:val="auto"/>
                <w:sz w:val="24"/>
                <w:szCs w:val="22"/>
                <w:highlight w:val="none"/>
                <w:lang w:val="en-US" w:eastAsia="zh-CN"/>
              </w:rPr>
              <w:t>），无组织排放VOCs执行《挥发性有机物无组织排放控制标准》（GB37822-2019）附录A表A.1中规定的排放限值要求；</w:t>
            </w:r>
          </w:p>
          <w:p>
            <w:pPr>
              <w:pStyle w:val="52"/>
              <w:bidi w:val="0"/>
              <w:spacing w:line="240" w:lineRule="auto"/>
              <w:rPr>
                <w:rFonts w:hint="eastAsia"/>
                <w:lang w:val="en-US" w:eastAsia="zh-CN"/>
              </w:rPr>
            </w:pPr>
            <w:r>
              <w:rPr>
                <w:rFonts w:hint="eastAsia"/>
                <w:lang w:val="en-US" w:eastAsia="zh-CN"/>
              </w:rPr>
              <w:t>表4-8 厂区内VOCs无组织排放限值 （单位：mg/m</w:t>
            </w:r>
            <w:r>
              <w:rPr>
                <w:rFonts w:hint="eastAsia"/>
                <w:vertAlign w:val="superscript"/>
                <w:lang w:val="en-US" w:eastAsia="zh-CN"/>
              </w:rPr>
              <w:t>3</w:t>
            </w:r>
            <w:r>
              <w:rPr>
                <w:rFonts w:hint="eastAsia"/>
                <w:lang w:val="en-US" w:eastAsia="zh-CN"/>
              </w:rPr>
              <w:t>）</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3"/>
              <w:gridCol w:w="1029"/>
              <w:gridCol w:w="1074"/>
              <w:gridCol w:w="2337"/>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8" w:type="dxa"/>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污染物项目</w:t>
                  </w:r>
                </w:p>
              </w:tc>
              <w:tc>
                <w:tcPr>
                  <w:tcW w:w="1100" w:type="dxa"/>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排放限值</w:t>
                  </w:r>
                </w:p>
              </w:tc>
              <w:tc>
                <w:tcPr>
                  <w:tcW w:w="1150" w:type="dxa"/>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特别排放限值</w:t>
                  </w:r>
                </w:p>
              </w:tc>
              <w:tc>
                <w:tcPr>
                  <w:tcW w:w="2562" w:type="dxa"/>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限值含义</w:t>
                  </w:r>
                </w:p>
              </w:tc>
              <w:tc>
                <w:tcPr>
                  <w:tcW w:w="2129" w:type="dxa"/>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无组织排放监控位置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8" w:type="dxa"/>
                  <w:vMerge w:val="restart"/>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NMHC</w:t>
                  </w:r>
                </w:p>
              </w:tc>
              <w:tc>
                <w:tcPr>
                  <w:tcW w:w="1100" w:type="dxa"/>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10</w:t>
                  </w:r>
                </w:p>
              </w:tc>
              <w:tc>
                <w:tcPr>
                  <w:tcW w:w="1150" w:type="dxa"/>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6</w:t>
                  </w:r>
                </w:p>
              </w:tc>
              <w:tc>
                <w:tcPr>
                  <w:tcW w:w="2562" w:type="dxa"/>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监控点处1h评价浓度值</w:t>
                  </w:r>
                </w:p>
              </w:tc>
              <w:tc>
                <w:tcPr>
                  <w:tcW w:w="2129" w:type="dxa"/>
                  <w:vMerge w:val="restart"/>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在厂房外设置监控点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8" w:type="dxa"/>
                  <w:vMerge w:val="continue"/>
                  <w:vAlign w:val="center"/>
                </w:tcPr>
                <w:p>
                  <w:pPr>
                    <w:pStyle w:val="53"/>
                    <w:bidi w:val="0"/>
                    <w:spacing w:line="240" w:lineRule="auto"/>
                    <w:rPr>
                      <w:rFonts w:hint="default"/>
                      <w:b w:val="0"/>
                      <w:bCs w:val="0"/>
                      <w:sz w:val="21"/>
                      <w:szCs w:val="21"/>
                      <w:lang w:val="en-US" w:eastAsia="zh-CN"/>
                    </w:rPr>
                  </w:pPr>
                </w:p>
              </w:tc>
              <w:tc>
                <w:tcPr>
                  <w:tcW w:w="1100" w:type="dxa"/>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30</w:t>
                  </w:r>
                </w:p>
              </w:tc>
              <w:tc>
                <w:tcPr>
                  <w:tcW w:w="1150" w:type="dxa"/>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20</w:t>
                  </w:r>
                </w:p>
              </w:tc>
              <w:tc>
                <w:tcPr>
                  <w:tcW w:w="2562" w:type="dxa"/>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监控点处任意一次浓度值</w:t>
                  </w:r>
                </w:p>
              </w:tc>
              <w:tc>
                <w:tcPr>
                  <w:tcW w:w="2129" w:type="dxa"/>
                  <w:vMerge w:val="continue"/>
                  <w:vAlign w:val="center"/>
                </w:tcPr>
                <w:p>
                  <w:pPr>
                    <w:pStyle w:val="53"/>
                    <w:bidi w:val="0"/>
                    <w:spacing w:line="240" w:lineRule="auto"/>
                    <w:rPr>
                      <w:rFonts w:hint="default"/>
                      <w:b w:val="0"/>
                      <w:bCs w:val="0"/>
                      <w:sz w:val="21"/>
                      <w:szCs w:val="21"/>
                      <w:lang w:val="en-US" w:eastAsia="zh-CN"/>
                    </w:rPr>
                  </w:pPr>
                </w:p>
              </w:tc>
            </w:tr>
          </w:tbl>
          <w:p>
            <w:pPr>
              <w:keepNext w:val="0"/>
              <w:keepLines w:val="0"/>
              <w:pageBreakBefore w:val="0"/>
              <w:kinsoku/>
              <w:wordWrap/>
              <w:overflowPunct/>
              <w:topLinePunct w:val="0"/>
              <w:bidi w:val="0"/>
              <w:snapToGrid/>
              <w:ind w:left="0" w:leftChars="0" w:firstLine="482" w:firstLineChars="200"/>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lang w:eastAsia="zh-CN"/>
              </w:rPr>
              <w:t>（</w:t>
            </w:r>
            <w:r>
              <w:rPr>
                <w:rFonts w:hint="default" w:ascii="Times New Roman" w:hAnsi="Times New Roman" w:cs="Times New Roman"/>
                <w:b/>
                <w:bCs/>
                <w:color w:val="auto"/>
                <w:sz w:val="24"/>
                <w:szCs w:val="24"/>
                <w:lang w:val="en-US" w:eastAsia="zh-CN"/>
              </w:rPr>
              <w:t>2</w:t>
            </w:r>
            <w:r>
              <w:rPr>
                <w:rFonts w:hint="default" w:ascii="Times New Roman" w:hAnsi="Times New Roman" w:cs="Times New Roman"/>
                <w:b/>
                <w:bCs/>
                <w:color w:val="auto"/>
                <w:sz w:val="24"/>
                <w:szCs w:val="24"/>
                <w:lang w:eastAsia="zh-CN"/>
              </w:rPr>
              <w:t>）</w:t>
            </w:r>
            <w:r>
              <w:rPr>
                <w:rFonts w:hint="default" w:ascii="Times New Roman" w:hAnsi="Times New Roman" w:cs="Times New Roman"/>
                <w:b/>
                <w:bCs/>
                <w:color w:val="auto"/>
                <w:sz w:val="24"/>
                <w:szCs w:val="24"/>
              </w:rPr>
              <w:t>废水</w:t>
            </w:r>
          </w:p>
          <w:p>
            <w:pPr>
              <w:spacing w:line="360" w:lineRule="auto"/>
              <w:ind w:right="119" w:firstLine="480" w:firstLineChars="200"/>
              <w:rPr>
                <w:rFonts w:hint="eastAsia"/>
                <w:sz w:val="24"/>
                <w:szCs w:val="24"/>
                <w:lang w:eastAsia="zh-CN"/>
              </w:rPr>
            </w:pPr>
            <w:r>
              <w:rPr>
                <w:rFonts w:hint="default" w:ascii="Times New Roman" w:hAnsi="Times New Roman" w:cs="Times New Roman"/>
                <w:b w:val="0"/>
                <w:bCs w:val="0"/>
                <w:sz w:val="24"/>
                <w:szCs w:val="22"/>
                <w:lang w:val="en-US" w:eastAsia="zh-CN"/>
              </w:rPr>
              <w:t>项目营运期</w:t>
            </w:r>
            <w:r>
              <w:rPr>
                <w:rFonts w:hint="eastAsia" w:ascii="Times New Roman" w:hAnsi="Times New Roman" w:cs="Times New Roman"/>
                <w:b w:val="0"/>
                <w:bCs w:val="0"/>
                <w:sz w:val="24"/>
                <w:szCs w:val="22"/>
                <w:lang w:val="en-US" w:eastAsia="zh-CN"/>
              </w:rPr>
              <w:t>生活</w:t>
            </w:r>
            <w:r>
              <w:rPr>
                <w:rFonts w:hint="eastAsia" w:cs="Times New Roman"/>
                <w:b w:val="0"/>
                <w:bCs w:val="0"/>
                <w:sz w:val="24"/>
                <w:szCs w:val="22"/>
                <w:lang w:val="en-US" w:eastAsia="zh-CN"/>
              </w:rPr>
              <w:t>废</w:t>
            </w:r>
            <w:r>
              <w:rPr>
                <w:rFonts w:hint="eastAsia" w:ascii="Times New Roman" w:hAnsi="Times New Roman" w:cs="Times New Roman"/>
                <w:b w:val="0"/>
                <w:bCs w:val="0"/>
                <w:sz w:val="24"/>
                <w:szCs w:val="22"/>
                <w:lang w:val="en-US" w:eastAsia="zh-CN"/>
              </w:rPr>
              <w:t>水、</w:t>
            </w:r>
            <w:r>
              <w:rPr>
                <w:rFonts w:hint="eastAsia" w:cs="Times New Roman"/>
                <w:b w:val="0"/>
                <w:bCs w:val="0"/>
                <w:sz w:val="24"/>
                <w:szCs w:val="22"/>
                <w:lang w:val="en-US" w:eastAsia="zh-CN"/>
              </w:rPr>
              <w:t>冲厕废水</w:t>
            </w:r>
            <w:r>
              <w:rPr>
                <w:rFonts w:hint="default" w:ascii="Times New Roman" w:hAnsi="Times New Roman" w:cs="Times New Roman"/>
                <w:b w:val="0"/>
                <w:bCs w:val="0"/>
                <w:sz w:val="24"/>
                <w:szCs w:val="22"/>
                <w:lang w:val="en-US" w:eastAsia="zh-CN"/>
              </w:rPr>
              <w:t>排入化粪池处理</w:t>
            </w:r>
            <w:r>
              <w:rPr>
                <w:rFonts w:hint="eastAsia" w:cs="Times New Roman"/>
                <w:b w:val="0"/>
                <w:bCs w:val="0"/>
                <w:sz w:val="24"/>
                <w:szCs w:val="22"/>
                <w:highlight w:val="none"/>
                <w:lang w:val="en-US" w:eastAsia="zh-CN"/>
              </w:rPr>
              <w:t>，</w:t>
            </w:r>
            <w:r>
              <w:rPr>
                <w:rFonts w:hint="eastAsia" w:cs="Times New Roman"/>
                <w:b w:val="0"/>
                <w:bCs w:val="0"/>
                <w:sz w:val="24"/>
                <w:szCs w:val="22"/>
                <w:lang w:val="en-US" w:eastAsia="zh-CN"/>
              </w:rPr>
              <w:t>冲厕废水</w:t>
            </w:r>
            <w:r>
              <w:rPr>
                <w:rFonts w:hint="default" w:ascii="Times New Roman" w:hAnsi="Times New Roman" w:cs="Times New Roman"/>
                <w:b w:val="0"/>
                <w:bCs w:val="0"/>
                <w:sz w:val="24"/>
                <w:szCs w:val="22"/>
                <w:lang w:val="en-US" w:eastAsia="zh-CN"/>
              </w:rPr>
              <w:t>及</w:t>
            </w:r>
            <w:r>
              <w:rPr>
                <w:rFonts w:hint="eastAsia" w:ascii="Times New Roman" w:hAnsi="Times New Roman" w:cs="Times New Roman"/>
                <w:b w:val="0"/>
                <w:bCs w:val="0"/>
                <w:sz w:val="24"/>
                <w:szCs w:val="22"/>
                <w:lang w:val="en-US" w:eastAsia="zh-CN"/>
              </w:rPr>
              <w:t>生活污水</w:t>
            </w:r>
            <w:r>
              <w:rPr>
                <w:rFonts w:hint="default" w:ascii="Times New Roman" w:hAnsi="Times New Roman" w:cs="Times New Roman"/>
                <w:b w:val="0"/>
                <w:bCs w:val="0"/>
                <w:sz w:val="24"/>
                <w:szCs w:val="22"/>
                <w:lang w:val="en-US" w:eastAsia="zh-CN"/>
              </w:rPr>
              <w:t>经</w:t>
            </w:r>
            <w:r>
              <w:rPr>
                <w:rFonts w:hint="default" w:ascii="Times New Roman" w:hAnsi="Times New Roman" w:cs="Times New Roman"/>
                <w:bCs/>
                <w:color w:val="auto"/>
                <w:sz w:val="24"/>
              </w:rPr>
              <w:t>化粪池处理</w:t>
            </w:r>
            <w:r>
              <w:rPr>
                <w:rFonts w:hint="eastAsia"/>
                <w:sz w:val="24"/>
                <w:szCs w:val="24"/>
                <w:lang w:val="en-US" w:eastAsia="zh-CN"/>
              </w:rPr>
              <w:t>后</w:t>
            </w:r>
            <w:r>
              <w:rPr>
                <w:rFonts w:hint="default" w:ascii="Times New Roman" w:hAnsi="Times New Roman" w:cs="Times New Roman"/>
                <w:bCs/>
                <w:color w:val="auto"/>
                <w:sz w:val="24"/>
                <w:lang w:val="en-US" w:eastAsia="zh-CN"/>
              </w:rPr>
              <w:t>达到</w:t>
            </w:r>
            <w:r>
              <w:rPr>
                <w:rFonts w:ascii="Times New Roman"/>
                <w:sz w:val="24"/>
                <w:szCs w:val="24"/>
              </w:rPr>
              <w:t>《污水排入城镇下水道水质标准》（</w:t>
            </w:r>
            <w:r>
              <w:rPr>
                <w:rFonts w:ascii="Times New Roman" w:hAnsi="Times New Roman"/>
                <w:sz w:val="24"/>
                <w:szCs w:val="24"/>
              </w:rPr>
              <w:t>GB/T31962-2015</w:t>
            </w:r>
            <w:r>
              <w:rPr>
                <w:rFonts w:ascii="Times New Roman"/>
                <w:sz w:val="24"/>
                <w:szCs w:val="24"/>
              </w:rPr>
              <w:t>）</w:t>
            </w:r>
            <w:r>
              <w:rPr>
                <w:rFonts w:ascii="Times New Roman" w:hAnsi="Times New Roman"/>
                <w:sz w:val="24"/>
                <w:szCs w:val="24"/>
              </w:rPr>
              <w:t>表1中</w:t>
            </w:r>
            <w:r>
              <w:rPr>
                <w:rFonts w:hint="eastAsia"/>
                <w:sz w:val="24"/>
                <w:szCs w:val="24"/>
                <w:lang w:val="en-US" w:eastAsia="zh-CN"/>
              </w:rPr>
              <w:t>A</w:t>
            </w:r>
            <w:r>
              <w:rPr>
                <w:rFonts w:ascii="Times New Roman" w:hAnsi="Times New Roman"/>
                <w:sz w:val="24"/>
                <w:szCs w:val="24"/>
              </w:rPr>
              <w:t>级标准</w:t>
            </w:r>
            <w:r>
              <w:rPr>
                <w:rFonts w:hint="eastAsia"/>
                <w:sz w:val="24"/>
                <w:szCs w:val="24"/>
                <w:lang w:val="en-US" w:eastAsia="zh-CN"/>
              </w:rPr>
              <w:t>后</w:t>
            </w:r>
            <w:r>
              <w:rPr>
                <w:rFonts w:hint="eastAsia" w:ascii="Times New Roman" w:hAnsi="Times New Roman"/>
                <w:sz w:val="24"/>
                <w:szCs w:val="24"/>
                <w:lang w:eastAsia="zh-CN"/>
              </w:rPr>
              <w:t>排入园区污水管网</w:t>
            </w:r>
            <w:r>
              <w:rPr>
                <w:rFonts w:hint="eastAsia"/>
                <w:sz w:val="24"/>
                <w:szCs w:val="24"/>
                <w:lang w:eastAsia="zh-CN"/>
              </w:rPr>
              <w:t>，</w:t>
            </w:r>
            <w:r>
              <w:rPr>
                <w:rFonts w:hint="eastAsia"/>
                <w:sz w:val="24"/>
                <w:szCs w:val="24"/>
                <w:lang w:val="en-US" w:eastAsia="zh-CN"/>
              </w:rPr>
              <w:t>最终进入</w:t>
            </w:r>
            <w:r>
              <w:rPr>
                <w:rFonts w:hint="eastAsia" w:ascii="Times New Roman" w:hAnsi="Times New Roman"/>
                <w:sz w:val="24"/>
                <w:szCs w:val="24"/>
                <w:lang w:eastAsia="zh-CN"/>
              </w:rPr>
              <w:t>工业园区污水处理厂处理。排入园区污水管网</w:t>
            </w:r>
            <w:r>
              <w:rPr>
                <w:rFonts w:hint="eastAsia"/>
                <w:sz w:val="24"/>
                <w:szCs w:val="24"/>
                <w:lang w:eastAsia="zh-CN"/>
              </w:rPr>
              <w:t>，</w:t>
            </w:r>
            <w:r>
              <w:rPr>
                <w:rFonts w:hint="eastAsia"/>
                <w:sz w:val="24"/>
                <w:szCs w:val="24"/>
                <w:lang w:val="en-US" w:eastAsia="zh-CN"/>
              </w:rPr>
              <w:t>最终进入</w:t>
            </w:r>
            <w:r>
              <w:rPr>
                <w:rFonts w:hint="eastAsia" w:ascii="Times New Roman" w:hAnsi="Times New Roman"/>
                <w:sz w:val="24"/>
                <w:szCs w:val="24"/>
                <w:lang w:eastAsia="zh-CN"/>
              </w:rPr>
              <w:t>工业园区污水处理厂处理</w:t>
            </w:r>
            <w:r>
              <w:rPr>
                <w:rFonts w:hint="eastAsia"/>
                <w:sz w:val="24"/>
                <w:szCs w:val="24"/>
                <w:lang w:eastAsia="zh-CN"/>
              </w:rPr>
              <w:t>。</w:t>
            </w:r>
          </w:p>
          <w:p>
            <w:pPr>
              <w:pStyle w:val="52"/>
              <w:rPr>
                <w:color w:val="000000"/>
              </w:rPr>
            </w:pPr>
            <w:r>
              <w:rPr>
                <w:rFonts w:hint="eastAsia"/>
                <w:color w:val="000000"/>
              </w:rPr>
              <w:t>表4</w:t>
            </w:r>
            <w:r>
              <w:rPr>
                <w:color w:val="000000"/>
              </w:rPr>
              <w:t>-</w:t>
            </w:r>
            <w:r>
              <w:rPr>
                <w:rFonts w:hint="eastAsia"/>
                <w:color w:val="000000"/>
                <w:lang w:val="en-US" w:eastAsia="zh-CN"/>
              </w:rPr>
              <w:t>9</w:t>
            </w:r>
            <w:r>
              <w:rPr>
                <w:color w:val="000000"/>
              </w:rPr>
              <w:t xml:space="preserve">  </w:t>
            </w:r>
            <w:r>
              <w:rPr>
                <w:rFonts w:hint="eastAsia"/>
                <w:color w:val="000000"/>
              </w:rPr>
              <w:t>水污染物排放标准限值</w:t>
            </w:r>
          </w:p>
          <w:tbl>
            <w:tblPr>
              <w:tblStyle w:val="37"/>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070"/>
              <w:gridCol w:w="520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422" w:type="pct"/>
                  <w:tcBorders>
                    <w:tl2br w:val="nil"/>
                    <w:tr2bl w:val="nil"/>
                  </w:tcBorders>
                  <w:noWrap w:val="0"/>
                  <w:vAlign w:val="center"/>
                </w:tcPr>
                <w:p>
                  <w:pPr>
                    <w:pStyle w:val="53"/>
                    <w:rPr>
                      <w:b w:val="0"/>
                      <w:bCs w:val="0"/>
                      <w:color w:val="000000"/>
                      <w:sz w:val="21"/>
                      <w:szCs w:val="21"/>
                      <w:lang w:val="en-US" w:eastAsia="zh-CN"/>
                    </w:rPr>
                  </w:pPr>
                  <w:r>
                    <w:rPr>
                      <w:rFonts w:hint="eastAsia"/>
                      <w:b w:val="0"/>
                      <w:bCs w:val="0"/>
                      <w:color w:val="000000"/>
                      <w:sz w:val="21"/>
                      <w:szCs w:val="21"/>
                      <w:lang w:val="en-US" w:eastAsia="zh-CN"/>
                    </w:rPr>
                    <w:t>指标</w:t>
                  </w:r>
                </w:p>
              </w:tc>
              <w:tc>
                <w:tcPr>
                  <w:tcW w:w="3578" w:type="pct"/>
                  <w:tcBorders>
                    <w:tl2br w:val="nil"/>
                    <w:tr2bl w:val="nil"/>
                  </w:tcBorders>
                  <w:noWrap w:val="0"/>
                  <w:vAlign w:val="center"/>
                </w:tcPr>
                <w:p>
                  <w:pPr>
                    <w:pStyle w:val="53"/>
                    <w:rPr>
                      <w:b w:val="0"/>
                      <w:bCs w:val="0"/>
                      <w:color w:val="000000"/>
                      <w:sz w:val="21"/>
                      <w:szCs w:val="21"/>
                      <w:lang w:val="en-US" w:eastAsia="zh-CN"/>
                    </w:rPr>
                  </w:pPr>
                  <w:r>
                    <w:rPr>
                      <w:b w:val="0"/>
                      <w:bCs w:val="0"/>
                      <w:color w:val="000000"/>
                      <w:sz w:val="21"/>
                      <w:szCs w:val="21"/>
                      <w:lang w:val="en-US" w:eastAsia="zh-CN"/>
                    </w:rPr>
                    <w:t>GB/T31962-2015</w:t>
                  </w:r>
                  <w:r>
                    <w:rPr>
                      <w:rFonts w:hint="eastAsia"/>
                      <w:b w:val="0"/>
                      <w:bCs w:val="0"/>
                      <w:color w:val="000000"/>
                      <w:sz w:val="21"/>
                      <w:szCs w:val="21"/>
                      <w:lang w:val="en-US" w:eastAsia="zh-CN"/>
                    </w:rPr>
                    <w:t xml:space="preserve"> A等级标准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422" w:type="pct"/>
                  <w:tcBorders>
                    <w:tl2br w:val="nil"/>
                    <w:tr2bl w:val="nil"/>
                  </w:tcBorders>
                  <w:noWrap w:val="0"/>
                  <w:vAlign w:val="center"/>
                </w:tcPr>
                <w:p>
                  <w:pPr>
                    <w:pStyle w:val="53"/>
                    <w:rPr>
                      <w:b w:val="0"/>
                      <w:bCs w:val="0"/>
                      <w:color w:val="000000"/>
                      <w:sz w:val="21"/>
                      <w:szCs w:val="21"/>
                      <w:lang w:val="en-US" w:eastAsia="zh-CN"/>
                    </w:rPr>
                  </w:pPr>
                  <w:r>
                    <w:rPr>
                      <w:rFonts w:hint="eastAsia"/>
                      <w:b w:val="0"/>
                      <w:bCs w:val="0"/>
                      <w:color w:val="000000"/>
                      <w:sz w:val="21"/>
                      <w:szCs w:val="21"/>
                      <w:lang w:val="en-US" w:eastAsia="zh-CN"/>
                    </w:rPr>
                    <w:t>pH</w:t>
                  </w:r>
                </w:p>
              </w:tc>
              <w:tc>
                <w:tcPr>
                  <w:tcW w:w="3578" w:type="pct"/>
                  <w:tcBorders>
                    <w:tl2br w:val="nil"/>
                    <w:tr2bl w:val="nil"/>
                  </w:tcBorders>
                  <w:noWrap w:val="0"/>
                  <w:vAlign w:val="center"/>
                </w:tcPr>
                <w:p>
                  <w:pPr>
                    <w:pStyle w:val="53"/>
                    <w:rPr>
                      <w:b w:val="0"/>
                      <w:bCs w:val="0"/>
                      <w:color w:val="000000"/>
                      <w:sz w:val="21"/>
                      <w:szCs w:val="21"/>
                      <w:lang w:val="en-US" w:eastAsia="zh-CN"/>
                    </w:rPr>
                  </w:pPr>
                  <w:r>
                    <w:rPr>
                      <w:rFonts w:hint="eastAsia"/>
                      <w:b w:val="0"/>
                      <w:bCs w:val="0"/>
                      <w:color w:val="000000"/>
                      <w:sz w:val="21"/>
                      <w:szCs w:val="21"/>
                      <w:lang w:val="en-US" w:eastAsia="zh-CN"/>
                    </w:rPr>
                    <w:t>6.5～9.5（无量纲）</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422" w:type="pct"/>
                  <w:tcBorders>
                    <w:tl2br w:val="nil"/>
                    <w:tr2bl w:val="nil"/>
                  </w:tcBorders>
                  <w:noWrap w:val="0"/>
                  <w:vAlign w:val="center"/>
                </w:tcPr>
                <w:p>
                  <w:pPr>
                    <w:pStyle w:val="53"/>
                    <w:rPr>
                      <w:b w:val="0"/>
                      <w:bCs w:val="0"/>
                      <w:color w:val="000000"/>
                      <w:sz w:val="21"/>
                      <w:szCs w:val="21"/>
                      <w:lang w:val="en-US" w:eastAsia="zh-CN"/>
                    </w:rPr>
                  </w:pPr>
                  <w:r>
                    <w:rPr>
                      <w:b w:val="0"/>
                      <w:bCs w:val="0"/>
                      <w:color w:val="000000"/>
                      <w:sz w:val="21"/>
                      <w:szCs w:val="21"/>
                      <w:lang w:val="en-US" w:eastAsia="zh-CN"/>
                    </w:rPr>
                    <w:t>SS</w:t>
                  </w:r>
                </w:p>
              </w:tc>
              <w:tc>
                <w:tcPr>
                  <w:tcW w:w="3578" w:type="pct"/>
                  <w:tcBorders>
                    <w:tl2br w:val="nil"/>
                    <w:tr2bl w:val="nil"/>
                  </w:tcBorders>
                  <w:noWrap w:val="0"/>
                  <w:vAlign w:val="center"/>
                </w:tcPr>
                <w:p>
                  <w:pPr>
                    <w:pStyle w:val="53"/>
                    <w:rPr>
                      <w:b w:val="0"/>
                      <w:bCs w:val="0"/>
                      <w:color w:val="000000"/>
                      <w:sz w:val="21"/>
                      <w:szCs w:val="21"/>
                      <w:lang w:val="en-US" w:eastAsia="zh-CN"/>
                    </w:rPr>
                  </w:pPr>
                  <w:r>
                    <w:rPr>
                      <w:b w:val="0"/>
                      <w:bCs w:val="0"/>
                      <w:color w:val="000000"/>
                      <w:sz w:val="21"/>
                      <w:szCs w:val="21"/>
                      <w:lang w:val="en-US" w:eastAsia="zh-CN"/>
                    </w:rPr>
                    <w:t>≤</w:t>
                  </w:r>
                  <w:r>
                    <w:rPr>
                      <w:rFonts w:hint="eastAsia"/>
                      <w:b w:val="0"/>
                      <w:bCs w:val="0"/>
                      <w:color w:val="000000"/>
                      <w:sz w:val="21"/>
                      <w:szCs w:val="21"/>
                      <w:lang w:val="en-US" w:eastAsia="zh-CN"/>
                    </w:rPr>
                    <w:t>400mg/L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422" w:type="pct"/>
                  <w:tcBorders>
                    <w:tl2br w:val="nil"/>
                    <w:tr2bl w:val="nil"/>
                  </w:tcBorders>
                  <w:noWrap w:val="0"/>
                  <w:vAlign w:val="center"/>
                </w:tcPr>
                <w:p>
                  <w:pPr>
                    <w:pStyle w:val="53"/>
                    <w:rPr>
                      <w:b w:val="0"/>
                      <w:bCs w:val="0"/>
                      <w:color w:val="000000"/>
                      <w:sz w:val="21"/>
                      <w:szCs w:val="21"/>
                      <w:lang w:val="en-US" w:eastAsia="zh-CN"/>
                    </w:rPr>
                  </w:pPr>
                  <w:r>
                    <w:rPr>
                      <w:rFonts w:hint="eastAsia"/>
                      <w:b w:val="0"/>
                      <w:bCs w:val="0"/>
                      <w:color w:val="000000"/>
                      <w:sz w:val="21"/>
                      <w:szCs w:val="21"/>
                      <w:lang w:val="en-US" w:eastAsia="zh-CN"/>
                    </w:rPr>
                    <w:t>CODcr</w:t>
                  </w:r>
                </w:p>
              </w:tc>
              <w:tc>
                <w:tcPr>
                  <w:tcW w:w="3578" w:type="pct"/>
                  <w:tcBorders>
                    <w:tl2br w:val="nil"/>
                    <w:tr2bl w:val="nil"/>
                  </w:tcBorders>
                  <w:noWrap w:val="0"/>
                  <w:vAlign w:val="center"/>
                </w:tcPr>
                <w:p>
                  <w:pPr>
                    <w:pStyle w:val="53"/>
                    <w:rPr>
                      <w:b w:val="0"/>
                      <w:bCs w:val="0"/>
                      <w:color w:val="000000"/>
                      <w:sz w:val="21"/>
                      <w:szCs w:val="21"/>
                      <w:lang w:val="en-US" w:eastAsia="zh-CN"/>
                    </w:rPr>
                  </w:pPr>
                  <w:r>
                    <w:rPr>
                      <w:b w:val="0"/>
                      <w:bCs w:val="0"/>
                      <w:color w:val="000000"/>
                      <w:sz w:val="21"/>
                      <w:szCs w:val="21"/>
                      <w:lang w:val="en-US" w:eastAsia="zh-CN"/>
                    </w:rPr>
                    <w:t>≤</w:t>
                  </w:r>
                  <w:r>
                    <w:rPr>
                      <w:rFonts w:hint="eastAsia"/>
                      <w:b w:val="0"/>
                      <w:bCs w:val="0"/>
                      <w:color w:val="000000"/>
                      <w:sz w:val="21"/>
                      <w:szCs w:val="21"/>
                      <w:lang w:val="en-US" w:eastAsia="zh-CN"/>
                    </w:rPr>
                    <w:t>500mg/L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422" w:type="pct"/>
                  <w:tcBorders>
                    <w:tl2br w:val="nil"/>
                    <w:tr2bl w:val="nil"/>
                  </w:tcBorders>
                  <w:noWrap w:val="0"/>
                  <w:vAlign w:val="center"/>
                </w:tcPr>
                <w:p>
                  <w:pPr>
                    <w:pStyle w:val="53"/>
                    <w:rPr>
                      <w:b w:val="0"/>
                      <w:bCs w:val="0"/>
                      <w:color w:val="000000"/>
                      <w:sz w:val="21"/>
                      <w:szCs w:val="21"/>
                      <w:lang w:val="en-US" w:eastAsia="zh-CN"/>
                    </w:rPr>
                  </w:pPr>
                  <w:r>
                    <w:rPr>
                      <w:rFonts w:hint="eastAsia"/>
                      <w:b w:val="0"/>
                      <w:bCs w:val="0"/>
                      <w:color w:val="000000"/>
                      <w:sz w:val="21"/>
                      <w:szCs w:val="21"/>
                      <w:lang w:val="en-US" w:eastAsia="zh-CN"/>
                    </w:rPr>
                    <w:t>BOD</w:t>
                  </w:r>
                  <w:r>
                    <w:rPr>
                      <w:rFonts w:hint="eastAsia"/>
                      <w:b w:val="0"/>
                      <w:bCs w:val="0"/>
                      <w:color w:val="000000"/>
                      <w:sz w:val="21"/>
                      <w:szCs w:val="21"/>
                      <w:vertAlign w:val="subscript"/>
                      <w:lang w:val="en-US" w:eastAsia="zh-CN"/>
                    </w:rPr>
                    <w:t>5</w:t>
                  </w:r>
                </w:p>
              </w:tc>
              <w:tc>
                <w:tcPr>
                  <w:tcW w:w="3578" w:type="pct"/>
                  <w:tcBorders>
                    <w:tl2br w:val="nil"/>
                    <w:tr2bl w:val="nil"/>
                  </w:tcBorders>
                  <w:noWrap w:val="0"/>
                  <w:vAlign w:val="center"/>
                </w:tcPr>
                <w:p>
                  <w:pPr>
                    <w:pStyle w:val="53"/>
                    <w:rPr>
                      <w:b w:val="0"/>
                      <w:bCs w:val="0"/>
                      <w:color w:val="000000"/>
                      <w:sz w:val="21"/>
                      <w:szCs w:val="21"/>
                      <w:lang w:val="en-US" w:eastAsia="zh-CN"/>
                    </w:rPr>
                  </w:pPr>
                  <w:r>
                    <w:rPr>
                      <w:b w:val="0"/>
                      <w:bCs w:val="0"/>
                      <w:color w:val="000000"/>
                      <w:sz w:val="21"/>
                      <w:szCs w:val="21"/>
                      <w:lang w:val="en-US" w:eastAsia="zh-CN"/>
                    </w:rPr>
                    <w:t>≤</w:t>
                  </w:r>
                  <w:r>
                    <w:rPr>
                      <w:rFonts w:hint="eastAsia"/>
                      <w:b w:val="0"/>
                      <w:bCs w:val="0"/>
                      <w:color w:val="000000"/>
                      <w:sz w:val="21"/>
                      <w:szCs w:val="21"/>
                      <w:lang w:val="en-US" w:eastAsia="zh-CN"/>
                    </w:rPr>
                    <w:t>350mg/L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8" w:hRule="atLeast"/>
                <w:jc w:val="center"/>
              </w:trPr>
              <w:tc>
                <w:tcPr>
                  <w:tcW w:w="1422" w:type="pct"/>
                  <w:tcBorders>
                    <w:tl2br w:val="nil"/>
                    <w:tr2bl w:val="nil"/>
                  </w:tcBorders>
                  <w:noWrap w:val="0"/>
                  <w:vAlign w:val="center"/>
                </w:tcPr>
                <w:p>
                  <w:pPr>
                    <w:pStyle w:val="53"/>
                    <w:rPr>
                      <w:b w:val="0"/>
                      <w:bCs w:val="0"/>
                      <w:color w:val="000000"/>
                      <w:sz w:val="21"/>
                      <w:szCs w:val="21"/>
                      <w:lang w:val="en-US" w:eastAsia="zh-CN"/>
                    </w:rPr>
                  </w:pPr>
                  <w:r>
                    <w:rPr>
                      <w:rFonts w:hint="eastAsia"/>
                      <w:b w:val="0"/>
                      <w:bCs w:val="0"/>
                      <w:color w:val="000000"/>
                      <w:sz w:val="21"/>
                      <w:szCs w:val="21"/>
                      <w:lang w:val="en-US" w:eastAsia="zh-CN"/>
                    </w:rPr>
                    <w:t>TP</w:t>
                  </w:r>
                </w:p>
              </w:tc>
              <w:tc>
                <w:tcPr>
                  <w:tcW w:w="3578" w:type="pct"/>
                  <w:tcBorders>
                    <w:tl2br w:val="nil"/>
                    <w:tr2bl w:val="nil"/>
                  </w:tcBorders>
                  <w:noWrap w:val="0"/>
                  <w:vAlign w:val="center"/>
                </w:tcPr>
                <w:p>
                  <w:pPr>
                    <w:pStyle w:val="53"/>
                    <w:rPr>
                      <w:b w:val="0"/>
                      <w:bCs w:val="0"/>
                      <w:color w:val="000000"/>
                      <w:sz w:val="21"/>
                      <w:szCs w:val="21"/>
                      <w:lang w:val="en-US" w:eastAsia="zh-CN"/>
                    </w:rPr>
                  </w:pPr>
                  <w:r>
                    <w:rPr>
                      <w:b w:val="0"/>
                      <w:bCs w:val="0"/>
                      <w:color w:val="000000"/>
                      <w:sz w:val="21"/>
                      <w:szCs w:val="21"/>
                      <w:lang w:val="en-US" w:eastAsia="zh-CN"/>
                    </w:rPr>
                    <w:t>≤</w:t>
                  </w:r>
                  <w:r>
                    <w:rPr>
                      <w:rFonts w:hint="eastAsia"/>
                      <w:b w:val="0"/>
                      <w:bCs w:val="0"/>
                      <w:color w:val="000000"/>
                      <w:sz w:val="21"/>
                      <w:szCs w:val="21"/>
                      <w:lang w:val="en-US" w:eastAsia="zh-CN"/>
                    </w:rPr>
                    <w:t>8mg/L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422" w:type="pct"/>
                  <w:tcBorders>
                    <w:tl2br w:val="nil"/>
                    <w:tr2bl w:val="nil"/>
                  </w:tcBorders>
                  <w:noWrap w:val="0"/>
                  <w:vAlign w:val="center"/>
                </w:tcPr>
                <w:p>
                  <w:pPr>
                    <w:pStyle w:val="53"/>
                    <w:rPr>
                      <w:b w:val="0"/>
                      <w:bCs w:val="0"/>
                      <w:color w:val="000000"/>
                      <w:sz w:val="21"/>
                      <w:szCs w:val="21"/>
                      <w:lang w:val="en-US" w:eastAsia="zh-CN"/>
                    </w:rPr>
                  </w:pPr>
                  <w:r>
                    <w:rPr>
                      <w:b w:val="0"/>
                      <w:bCs w:val="0"/>
                      <w:color w:val="000000"/>
                      <w:sz w:val="21"/>
                      <w:szCs w:val="21"/>
                      <w:lang w:val="en-US" w:eastAsia="zh-CN"/>
                    </w:rPr>
                    <w:t>NH</w:t>
                  </w:r>
                  <w:r>
                    <w:rPr>
                      <w:b w:val="0"/>
                      <w:bCs w:val="0"/>
                      <w:color w:val="000000"/>
                      <w:sz w:val="21"/>
                      <w:szCs w:val="21"/>
                      <w:vertAlign w:val="subscript"/>
                      <w:lang w:val="en-US" w:eastAsia="zh-CN"/>
                    </w:rPr>
                    <w:t>3</w:t>
                  </w:r>
                  <w:r>
                    <w:rPr>
                      <w:b w:val="0"/>
                      <w:bCs w:val="0"/>
                      <w:color w:val="000000"/>
                      <w:sz w:val="21"/>
                      <w:szCs w:val="21"/>
                      <w:lang w:val="en-US" w:eastAsia="zh-CN"/>
                    </w:rPr>
                    <w:t>-N</w:t>
                  </w:r>
                </w:p>
              </w:tc>
              <w:tc>
                <w:tcPr>
                  <w:tcW w:w="3578" w:type="pct"/>
                  <w:tcBorders>
                    <w:tl2br w:val="nil"/>
                    <w:tr2bl w:val="nil"/>
                  </w:tcBorders>
                  <w:noWrap w:val="0"/>
                  <w:vAlign w:val="center"/>
                </w:tcPr>
                <w:p>
                  <w:pPr>
                    <w:pStyle w:val="53"/>
                    <w:rPr>
                      <w:b w:val="0"/>
                      <w:bCs w:val="0"/>
                      <w:color w:val="000000"/>
                      <w:sz w:val="21"/>
                      <w:szCs w:val="21"/>
                      <w:lang w:val="en-US" w:eastAsia="zh-CN"/>
                    </w:rPr>
                  </w:pPr>
                  <w:r>
                    <w:rPr>
                      <w:b w:val="0"/>
                      <w:bCs w:val="0"/>
                      <w:color w:val="000000"/>
                      <w:sz w:val="21"/>
                      <w:szCs w:val="21"/>
                      <w:lang w:val="en-US" w:eastAsia="zh-CN"/>
                    </w:rPr>
                    <w:t>≤</w:t>
                  </w:r>
                  <w:r>
                    <w:rPr>
                      <w:rFonts w:hint="eastAsia"/>
                      <w:b w:val="0"/>
                      <w:bCs w:val="0"/>
                      <w:color w:val="000000"/>
                      <w:sz w:val="21"/>
                      <w:szCs w:val="21"/>
                      <w:lang w:val="en-US" w:eastAsia="zh-CN"/>
                    </w:rPr>
                    <w:t>45mg/L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422" w:type="pct"/>
                  <w:tcBorders>
                    <w:tl2br w:val="nil"/>
                    <w:tr2bl w:val="nil"/>
                  </w:tcBorders>
                  <w:noWrap w:val="0"/>
                  <w:vAlign w:val="center"/>
                </w:tcPr>
                <w:p>
                  <w:pPr>
                    <w:pStyle w:val="53"/>
                    <w:rPr>
                      <w:b w:val="0"/>
                      <w:bCs w:val="0"/>
                      <w:color w:val="000000"/>
                      <w:sz w:val="21"/>
                      <w:szCs w:val="21"/>
                      <w:lang w:val="en-US" w:eastAsia="zh-CN"/>
                    </w:rPr>
                  </w:pPr>
                  <w:r>
                    <w:rPr>
                      <w:b w:val="0"/>
                      <w:bCs w:val="0"/>
                      <w:color w:val="000000"/>
                      <w:sz w:val="21"/>
                      <w:szCs w:val="21"/>
                      <w:lang w:val="en-US" w:eastAsia="zh-CN"/>
                    </w:rPr>
                    <w:t>LAS</w:t>
                  </w:r>
                </w:p>
              </w:tc>
              <w:tc>
                <w:tcPr>
                  <w:tcW w:w="3578" w:type="pct"/>
                  <w:tcBorders>
                    <w:tl2br w:val="nil"/>
                    <w:tr2bl w:val="nil"/>
                  </w:tcBorders>
                  <w:noWrap w:val="0"/>
                  <w:vAlign w:val="center"/>
                </w:tcPr>
                <w:p>
                  <w:pPr>
                    <w:pStyle w:val="53"/>
                    <w:rPr>
                      <w:b w:val="0"/>
                      <w:bCs w:val="0"/>
                      <w:color w:val="000000"/>
                      <w:sz w:val="21"/>
                      <w:szCs w:val="21"/>
                      <w:lang w:val="en-US" w:eastAsia="zh-CN"/>
                    </w:rPr>
                  </w:pPr>
                  <w:r>
                    <w:rPr>
                      <w:b w:val="0"/>
                      <w:bCs w:val="0"/>
                      <w:color w:val="000000"/>
                      <w:sz w:val="21"/>
                      <w:szCs w:val="21"/>
                      <w:lang w:val="en-US" w:eastAsia="zh-CN"/>
                    </w:rPr>
                    <w:t>≤</w:t>
                  </w:r>
                  <w:r>
                    <w:rPr>
                      <w:rFonts w:hint="eastAsia"/>
                      <w:b w:val="0"/>
                      <w:bCs w:val="0"/>
                      <w:color w:val="000000"/>
                      <w:sz w:val="21"/>
                      <w:szCs w:val="21"/>
                      <w:lang w:val="en-US" w:eastAsia="zh-CN"/>
                    </w:rPr>
                    <w:t>20mg/L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422" w:type="pct"/>
                  <w:tcBorders>
                    <w:tl2br w:val="nil"/>
                    <w:tr2bl w:val="nil"/>
                  </w:tcBorders>
                  <w:noWrap w:val="0"/>
                  <w:vAlign w:val="center"/>
                </w:tcPr>
                <w:p>
                  <w:pPr>
                    <w:pStyle w:val="53"/>
                    <w:rPr>
                      <w:b w:val="0"/>
                      <w:bCs w:val="0"/>
                      <w:color w:val="000000"/>
                      <w:sz w:val="21"/>
                      <w:szCs w:val="21"/>
                      <w:lang w:val="en-US" w:eastAsia="zh-CN"/>
                    </w:rPr>
                  </w:pPr>
                  <w:r>
                    <w:rPr>
                      <w:rFonts w:hint="eastAsia"/>
                      <w:b w:val="0"/>
                      <w:bCs w:val="0"/>
                      <w:color w:val="000000"/>
                      <w:sz w:val="21"/>
                      <w:szCs w:val="21"/>
                      <w:lang w:val="en-US" w:eastAsia="zh-CN"/>
                    </w:rPr>
                    <w:t>动植物油</w:t>
                  </w:r>
                </w:p>
              </w:tc>
              <w:tc>
                <w:tcPr>
                  <w:tcW w:w="3578" w:type="pct"/>
                  <w:tcBorders>
                    <w:tl2br w:val="nil"/>
                    <w:tr2bl w:val="nil"/>
                  </w:tcBorders>
                  <w:noWrap w:val="0"/>
                  <w:vAlign w:val="center"/>
                </w:tcPr>
                <w:p>
                  <w:pPr>
                    <w:pStyle w:val="53"/>
                    <w:rPr>
                      <w:b w:val="0"/>
                      <w:bCs w:val="0"/>
                      <w:color w:val="000000"/>
                      <w:sz w:val="21"/>
                      <w:szCs w:val="21"/>
                      <w:lang w:val="en-US" w:eastAsia="zh-CN"/>
                    </w:rPr>
                  </w:pPr>
                  <w:r>
                    <w:rPr>
                      <w:b w:val="0"/>
                      <w:bCs w:val="0"/>
                      <w:color w:val="000000"/>
                      <w:sz w:val="21"/>
                      <w:szCs w:val="21"/>
                      <w:lang w:val="en-US" w:eastAsia="zh-CN"/>
                    </w:rPr>
                    <w:t>≤</w:t>
                  </w:r>
                  <w:r>
                    <w:rPr>
                      <w:rFonts w:hint="eastAsia"/>
                      <w:b w:val="0"/>
                      <w:bCs w:val="0"/>
                      <w:color w:val="000000"/>
                      <w:sz w:val="21"/>
                      <w:szCs w:val="21"/>
                      <w:lang w:val="en-US" w:eastAsia="zh-CN"/>
                    </w:rPr>
                    <w:t>100mg/L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422" w:type="pct"/>
                  <w:tcBorders>
                    <w:tl2br w:val="nil"/>
                    <w:tr2bl w:val="nil"/>
                  </w:tcBorders>
                  <w:noWrap w:val="0"/>
                  <w:vAlign w:val="center"/>
                </w:tcPr>
                <w:p>
                  <w:pPr>
                    <w:pStyle w:val="53"/>
                    <w:rPr>
                      <w:b w:val="0"/>
                      <w:bCs w:val="0"/>
                      <w:color w:val="000000"/>
                      <w:sz w:val="21"/>
                      <w:szCs w:val="21"/>
                      <w:lang w:val="en-US" w:eastAsia="zh-CN"/>
                    </w:rPr>
                  </w:pPr>
                  <w:r>
                    <w:rPr>
                      <w:rFonts w:hint="eastAsia"/>
                      <w:b w:val="0"/>
                      <w:bCs w:val="0"/>
                      <w:color w:val="000000"/>
                      <w:sz w:val="21"/>
                      <w:szCs w:val="21"/>
                      <w:lang w:val="en-US" w:eastAsia="zh-CN"/>
                    </w:rPr>
                    <w:t>石油类</w:t>
                  </w:r>
                </w:p>
              </w:tc>
              <w:tc>
                <w:tcPr>
                  <w:tcW w:w="3578" w:type="pct"/>
                  <w:tcBorders>
                    <w:tl2br w:val="nil"/>
                    <w:tr2bl w:val="nil"/>
                  </w:tcBorders>
                  <w:noWrap w:val="0"/>
                  <w:vAlign w:val="center"/>
                </w:tcPr>
                <w:p>
                  <w:pPr>
                    <w:pStyle w:val="53"/>
                    <w:rPr>
                      <w:b w:val="0"/>
                      <w:bCs w:val="0"/>
                      <w:color w:val="000000"/>
                      <w:sz w:val="21"/>
                      <w:szCs w:val="21"/>
                      <w:lang w:val="en-US" w:eastAsia="zh-CN"/>
                    </w:rPr>
                  </w:pPr>
                  <w:r>
                    <w:rPr>
                      <w:rFonts w:hint="eastAsia"/>
                      <w:b w:val="0"/>
                      <w:bCs w:val="0"/>
                      <w:color w:val="000000"/>
                      <w:sz w:val="21"/>
                      <w:szCs w:val="21"/>
                      <w:lang w:val="en-US" w:eastAsia="zh-CN"/>
                    </w:rPr>
                    <w:t>≤15</w:t>
                  </w:r>
                  <w:r>
                    <w:rPr>
                      <w:b w:val="0"/>
                      <w:bCs w:val="0"/>
                      <w:color w:val="000000"/>
                      <w:sz w:val="21"/>
                      <w:szCs w:val="21"/>
                      <w:lang w:val="en-US" w:eastAsia="zh-CN"/>
                    </w:rPr>
                    <w:t>mg/L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422" w:type="pct"/>
                  <w:tcBorders>
                    <w:tl2br w:val="nil"/>
                    <w:tr2bl w:val="nil"/>
                  </w:tcBorders>
                  <w:noWrap w:val="0"/>
                  <w:vAlign w:val="center"/>
                </w:tcPr>
                <w:p>
                  <w:pPr>
                    <w:pStyle w:val="53"/>
                    <w:rPr>
                      <w:b w:val="0"/>
                      <w:bCs w:val="0"/>
                      <w:color w:val="000000"/>
                      <w:sz w:val="21"/>
                      <w:szCs w:val="21"/>
                      <w:lang w:val="en-US" w:eastAsia="zh-CN"/>
                    </w:rPr>
                  </w:pPr>
                  <w:r>
                    <w:rPr>
                      <w:rFonts w:hint="eastAsia"/>
                      <w:b w:val="0"/>
                      <w:bCs w:val="0"/>
                      <w:color w:val="000000"/>
                      <w:sz w:val="21"/>
                      <w:szCs w:val="21"/>
                      <w:lang w:val="en-US" w:eastAsia="zh-CN"/>
                    </w:rPr>
                    <w:t>总氮</w:t>
                  </w:r>
                </w:p>
              </w:tc>
              <w:tc>
                <w:tcPr>
                  <w:tcW w:w="3578" w:type="pct"/>
                  <w:tcBorders>
                    <w:tl2br w:val="nil"/>
                    <w:tr2bl w:val="nil"/>
                  </w:tcBorders>
                  <w:noWrap w:val="0"/>
                  <w:vAlign w:val="center"/>
                </w:tcPr>
                <w:p>
                  <w:pPr>
                    <w:pStyle w:val="53"/>
                    <w:rPr>
                      <w:b w:val="0"/>
                      <w:bCs w:val="0"/>
                      <w:color w:val="000000"/>
                      <w:sz w:val="21"/>
                      <w:szCs w:val="21"/>
                      <w:lang w:val="en-US" w:eastAsia="zh-CN"/>
                    </w:rPr>
                  </w:pPr>
                  <w:r>
                    <w:rPr>
                      <w:rFonts w:hint="eastAsia"/>
                      <w:b w:val="0"/>
                      <w:bCs w:val="0"/>
                      <w:color w:val="000000"/>
                      <w:sz w:val="21"/>
                      <w:szCs w:val="21"/>
                      <w:lang w:val="en-US" w:eastAsia="zh-CN"/>
                    </w:rPr>
                    <w:t>≤70</w:t>
                  </w:r>
                  <w:r>
                    <w:rPr>
                      <w:b w:val="0"/>
                      <w:bCs w:val="0"/>
                      <w:color w:val="000000"/>
                      <w:sz w:val="21"/>
                      <w:szCs w:val="21"/>
                      <w:lang w:val="en-US" w:eastAsia="zh-CN"/>
                    </w:rPr>
                    <w:t>mg/L</w:t>
                  </w:r>
                </w:p>
              </w:tc>
            </w:tr>
          </w:tbl>
          <w:p>
            <w:pPr>
              <w:pStyle w:val="2"/>
              <w:rPr>
                <w:rFonts w:hint="eastAsia"/>
                <w:lang w:eastAsia="zh-CN"/>
              </w:rPr>
            </w:pPr>
          </w:p>
          <w:p>
            <w:pPr>
              <w:spacing w:line="360" w:lineRule="auto"/>
              <w:ind w:right="119" w:firstLine="482" w:firstLineChars="200"/>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w:t>
            </w:r>
            <w:r>
              <w:rPr>
                <w:rFonts w:hint="default" w:ascii="Times New Roman" w:hAnsi="Times New Roman" w:cs="Times New Roman"/>
                <w:b/>
                <w:bCs/>
                <w:color w:val="auto"/>
                <w:sz w:val="24"/>
                <w:szCs w:val="24"/>
                <w:lang w:val="en-US" w:eastAsia="zh-CN"/>
              </w:rPr>
              <w:t>3</w:t>
            </w:r>
            <w:r>
              <w:rPr>
                <w:rFonts w:hint="default" w:ascii="Times New Roman" w:hAnsi="Times New Roman" w:cs="Times New Roman"/>
                <w:b/>
                <w:bCs/>
                <w:color w:val="auto"/>
                <w:sz w:val="24"/>
                <w:szCs w:val="24"/>
              </w:rPr>
              <w:t>）噪声</w:t>
            </w:r>
          </w:p>
          <w:p>
            <w:pPr>
              <w:tabs>
                <w:tab w:val="left" w:pos="720"/>
              </w:tabs>
              <w:adjustRightInd w:val="0"/>
              <w:snapToGrid w:val="0"/>
              <w:spacing w:line="360" w:lineRule="auto"/>
              <w:ind w:firstLine="480" w:firstLineChars="200"/>
              <w:jc w:val="both"/>
              <w:rPr>
                <w:rFonts w:hint="default" w:ascii="Times New Roman" w:hAnsi="Times New Roman" w:cs="Times New Roman"/>
                <w:color w:val="auto"/>
                <w:sz w:val="24"/>
                <w:szCs w:val="22"/>
                <w:highlight w:val="none"/>
                <w:lang w:val="en-US" w:eastAsia="zh-CN"/>
              </w:rPr>
            </w:pPr>
            <w:r>
              <w:rPr>
                <w:rFonts w:hint="default" w:ascii="Times New Roman" w:hAnsi="Times New Roman" w:cs="Times New Roman"/>
                <w:color w:val="auto"/>
                <w:sz w:val="24"/>
                <w:szCs w:val="22"/>
                <w:highlight w:val="none"/>
                <w:lang w:val="en-US" w:eastAsia="zh-CN"/>
              </w:rPr>
              <w:t>本项目位于富民工业园区，属于规划工业园区，项目噪声排放标准执行GB3096-2008《工业企业厂界环境噪声排放标准》3类标准。</w:t>
            </w:r>
            <w:r>
              <w:rPr>
                <w:rFonts w:hint="eastAsia" w:cs="Times New Roman"/>
                <w:color w:val="auto"/>
                <w:sz w:val="24"/>
                <w:szCs w:val="22"/>
                <w:highlight w:val="none"/>
                <w:lang w:val="en-US" w:eastAsia="zh-CN"/>
              </w:rPr>
              <w:t>办公生活区</w:t>
            </w:r>
            <w:r>
              <w:rPr>
                <w:rFonts w:hint="default" w:ascii="Times New Roman" w:hAnsi="Times New Roman" w:cs="Times New Roman"/>
                <w:color w:val="auto"/>
                <w:sz w:val="24"/>
                <w:szCs w:val="22"/>
                <w:highlight w:val="none"/>
                <w:lang w:val="en-US" w:eastAsia="zh-CN"/>
              </w:rPr>
              <w:t>执行《工业企业厂界环境噪声排放标准》4a类标准。其具体标准值详见表4-</w:t>
            </w:r>
            <w:r>
              <w:rPr>
                <w:rFonts w:hint="eastAsia" w:cs="Times New Roman"/>
                <w:color w:val="auto"/>
                <w:sz w:val="24"/>
                <w:szCs w:val="22"/>
                <w:highlight w:val="none"/>
                <w:lang w:val="en-US" w:eastAsia="zh-CN"/>
              </w:rPr>
              <w:t>10</w:t>
            </w:r>
            <w:r>
              <w:rPr>
                <w:rFonts w:hint="default" w:ascii="Times New Roman" w:hAnsi="Times New Roman" w:cs="Times New Roman"/>
                <w:color w:val="auto"/>
                <w:sz w:val="24"/>
                <w:szCs w:val="22"/>
                <w:highlight w:val="none"/>
                <w:lang w:val="en-US" w:eastAsia="zh-CN"/>
              </w:rPr>
              <w:t>。</w:t>
            </w:r>
          </w:p>
          <w:p>
            <w:pPr>
              <w:pStyle w:val="52"/>
              <w:bidi w:val="0"/>
              <w:spacing w:line="240" w:lineRule="auto"/>
              <w:rPr>
                <w:rFonts w:hint="default"/>
                <w:color w:val="auto"/>
              </w:rPr>
            </w:pPr>
            <w:r>
              <w:rPr>
                <w:rFonts w:hint="default"/>
                <w:color w:val="auto"/>
              </w:rPr>
              <w:t>表4-</w:t>
            </w:r>
            <w:r>
              <w:rPr>
                <w:rFonts w:hint="eastAsia"/>
                <w:color w:val="auto"/>
                <w:lang w:val="en-US" w:eastAsia="zh-CN"/>
              </w:rPr>
              <w:t>10</w:t>
            </w:r>
            <w:r>
              <w:rPr>
                <w:rFonts w:hint="default"/>
                <w:color w:val="auto"/>
              </w:rPr>
              <w:t xml:space="preserve">  工业企业厂界环境噪声排放限值   单位：dB(A)</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9"/>
              <w:gridCol w:w="3005"/>
              <w:gridCol w:w="1450"/>
              <w:gridCol w:w="1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3" w:type="pct"/>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类别</w:t>
                  </w:r>
                </w:p>
              </w:tc>
              <w:tc>
                <w:tcPr>
                  <w:tcW w:w="2062" w:type="pct"/>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适用区域</w:t>
                  </w:r>
                </w:p>
              </w:tc>
              <w:tc>
                <w:tcPr>
                  <w:tcW w:w="995" w:type="pct"/>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昼间</w:t>
                  </w:r>
                </w:p>
              </w:tc>
              <w:tc>
                <w:tcPr>
                  <w:tcW w:w="1118" w:type="pct"/>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3" w:type="pct"/>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3类</w:t>
                  </w:r>
                </w:p>
              </w:tc>
              <w:tc>
                <w:tcPr>
                  <w:tcW w:w="2062" w:type="pct"/>
                  <w:noWrap w:val="0"/>
                  <w:vAlign w:val="center"/>
                </w:tcPr>
                <w:p>
                  <w:pPr>
                    <w:pStyle w:val="53"/>
                    <w:bidi w:val="0"/>
                    <w:spacing w:line="240" w:lineRule="auto"/>
                    <w:rPr>
                      <w:rFonts w:hint="eastAsia" w:eastAsia="宋体"/>
                      <w:b w:val="0"/>
                      <w:bCs w:val="0"/>
                      <w:color w:val="auto"/>
                      <w:sz w:val="21"/>
                      <w:szCs w:val="21"/>
                      <w:lang w:eastAsia="zh-CN"/>
                    </w:rPr>
                  </w:pPr>
                  <w:r>
                    <w:rPr>
                      <w:rFonts w:hint="eastAsia"/>
                      <w:b w:val="0"/>
                      <w:bCs w:val="0"/>
                      <w:color w:val="auto"/>
                      <w:sz w:val="21"/>
                      <w:szCs w:val="21"/>
                      <w:lang w:eastAsia="zh-CN"/>
                    </w:rPr>
                    <w:t>生产厂房</w:t>
                  </w:r>
                </w:p>
              </w:tc>
              <w:tc>
                <w:tcPr>
                  <w:tcW w:w="995" w:type="pct"/>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65</w:t>
                  </w:r>
                </w:p>
              </w:tc>
              <w:tc>
                <w:tcPr>
                  <w:tcW w:w="1118" w:type="pct"/>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199" w:type="dxa"/>
                  <w:noWrap w:val="0"/>
                  <w:vAlign w:val="center"/>
                </w:tcPr>
                <w:p>
                  <w:pPr>
                    <w:pStyle w:val="53"/>
                    <w:ind w:firstLine="0" w:firstLineChars="0"/>
                    <w:rPr>
                      <w:rFonts w:hint="default"/>
                      <w:b w:val="0"/>
                      <w:bCs w:val="0"/>
                      <w:color w:val="auto"/>
                      <w:sz w:val="21"/>
                      <w:szCs w:val="21"/>
                    </w:rPr>
                  </w:pPr>
                  <w:r>
                    <w:rPr>
                      <w:rFonts w:hint="eastAsia"/>
                      <w:b w:val="0"/>
                      <w:bCs w:val="0"/>
                      <w:color w:val="auto"/>
                    </w:rPr>
                    <w:t>4a</w:t>
                  </w:r>
                </w:p>
              </w:tc>
              <w:tc>
                <w:tcPr>
                  <w:tcW w:w="3005" w:type="dxa"/>
                  <w:noWrap w:val="0"/>
                  <w:vAlign w:val="center"/>
                </w:tcPr>
                <w:p>
                  <w:pPr>
                    <w:pStyle w:val="53"/>
                    <w:ind w:firstLine="0" w:firstLineChars="0"/>
                    <w:rPr>
                      <w:rFonts w:hint="eastAsia" w:eastAsia="宋体"/>
                      <w:b w:val="0"/>
                      <w:bCs w:val="0"/>
                      <w:color w:val="auto"/>
                      <w:sz w:val="21"/>
                      <w:szCs w:val="21"/>
                      <w:lang w:eastAsia="zh-CN"/>
                    </w:rPr>
                  </w:pPr>
                  <w:r>
                    <w:rPr>
                      <w:rFonts w:hint="eastAsia"/>
                      <w:b w:val="0"/>
                      <w:bCs w:val="0"/>
                      <w:color w:val="auto"/>
                      <w:lang w:eastAsia="zh-CN"/>
                    </w:rPr>
                    <w:t>办公生活区</w:t>
                  </w:r>
                </w:p>
              </w:tc>
              <w:tc>
                <w:tcPr>
                  <w:tcW w:w="1450" w:type="dxa"/>
                  <w:noWrap w:val="0"/>
                  <w:vAlign w:val="center"/>
                </w:tcPr>
                <w:p>
                  <w:pPr>
                    <w:pStyle w:val="53"/>
                    <w:ind w:firstLine="0" w:firstLineChars="0"/>
                    <w:rPr>
                      <w:rFonts w:hint="default"/>
                      <w:b w:val="0"/>
                      <w:bCs w:val="0"/>
                      <w:color w:val="auto"/>
                      <w:sz w:val="21"/>
                      <w:szCs w:val="21"/>
                    </w:rPr>
                  </w:pPr>
                  <w:r>
                    <w:rPr>
                      <w:rFonts w:hint="eastAsia"/>
                      <w:b w:val="0"/>
                      <w:bCs w:val="0"/>
                      <w:color w:val="auto"/>
                    </w:rPr>
                    <w:t>70</w:t>
                  </w:r>
                </w:p>
              </w:tc>
              <w:tc>
                <w:tcPr>
                  <w:tcW w:w="1629" w:type="dxa"/>
                  <w:noWrap w:val="0"/>
                  <w:vAlign w:val="center"/>
                </w:tcPr>
                <w:p>
                  <w:pPr>
                    <w:pStyle w:val="53"/>
                    <w:ind w:firstLine="0" w:firstLineChars="0"/>
                    <w:rPr>
                      <w:rFonts w:hint="default"/>
                      <w:b w:val="0"/>
                      <w:bCs w:val="0"/>
                      <w:color w:val="auto"/>
                      <w:sz w:val="21"/>
                      <w:szCs w:val="21"/>
                    </w:rPr>
                  </w:pPr>
                  <w:r>
                    <w:rPr>
                      <w:rFonts w:hint="eastAsia"/>
                      <w:b w:val="0"/>
                      <w:bCs w:val="0"/>
                      <w:color w:val="auto"/>
                    </w:rPr>
                    <w:t>55</w:t>
                  </w:r>
                </w:p>
              </w:tc>
            </w:tr>
          </w:tbl>
          <w:p>
            <w:pPr>
              <w:spacing w:line="360" w:lineRule="auto"/>
              <w:ind w:right="119"/>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（4）固体废物</w:t>
            </w:r>
          </w:p>
          <w:p>
            <w:pPr>
              <w:tabs>
                <w:tab w:val="left" w:pos="720"/>
              </w:tabs>
              <w:adjustRightInd w:val="0"/>
              <w:snapToGrid w:val="0"/>
              <w:spacing w:line="360" w:lineRule="auto"/>
              <w:ind w:firstLine="480" w:firstLineChars="200"/>
              <w:jc w:val="both"/>
              <w:rPr>
                <w:rFonts w:hint="default" w:ascii="Times New Roman" w:hAnsi="Times New Roman" w:cs="Times New Roman"/>
                <w:color w:val="auto"/>
                <w:sz w:val="24"/>
                <w:szCs w:val="22"/>
                <w:highlight w:val="none"/>
                <w:lang w:val="en-US" w:eastAsia="zh-CN"/>
              </w:rPr>
            </w:pPr>
            <w:r>
              <w:rPr>
                <w:rFonts w:hint="default" w:ascii="Times New Roman" w:hAnsi="Times New Roman" w:cs="Times New Roman"/>
                <w:color w:val="auto"/>
                <w:sz w:val="24"/>
                <w:szCs w:val="22"/>
                <w:highlight w:val="none"/>
                <w:lang w:val="en-US" w:eastAsia="zh-CN"/>
              </w:rPr>
              <w:t>①一般固废：执行《一般工业固体废物储存、处置场污染控制标准》（GB18599-2001）及其修改单。可回收部分回收利用，不可回收部分统一收集清运至园区垃圾收集处理后，由环卫部门处置。</w:t>
            </w:r>
          </w:p>
          <w:p>
            <w:pPr>
              <w:tabs>
                <w:tab w:val="left" w:pos="720"/>
              </w:tabs>
              <w:adjustRightInd w:val="0"/>
              <w:snapToGrid w:val="0"/>
              <w:spacing w:line="360" w:lineRule="auto"/>
              <w:ind w:firstLine="480" w:firstLineChars="200"/>
              <w:jc w:val="both"/>
              <w:rPr>
                <w:rFonts w:hint="default" w:ascii="Times New Roman" w:hAnsi="Times New Roman" w:cs="Times New Roman"/>
                <w:sz w:val="24"/>
                <w:lang w:val="en-US" w:eastAsia="zh-CN"/>
              </w:rPr>
            </w:pPr>
            <w:r>
              <w:rPr>
                <w:rFonts w:hint="default" w:ascii="Times New Roman" w:hAnsi="Times New Roman" w:cs="Times New Roman"/>
                <w:color w:val="auto"/>
                <w:sz w:val="24"/>
                <w:szCs w:val="22"/>
                <w:highlight w:val="none"/>
                <w:lang w:val="en-US" w:eastAsia="zh-CN"/>
              </w:rPr>
              <w:t>②危险废物处理和处置执行（GB 18597-2001）《危险废物贮存污染控制标准》（2013年修改单）中的有关规定，妥善处理，不得形成二次污染。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11" w:type="dxa"/>
            <w:vAlign w:val="top"/>
          </w:tcPr>
          <w:p>
            <w:pPr>
              <w:spacing w:line="360" w:lineRule="auto"/>
              <w:jc w:val="center"/>
              <w:rPr>
                <w:b/>
                <w:bCs/>
                <w:sz w:val="24"/>
                <w:szCs w:val="24"/>
              </w:rPr>
            </w:pPr>
            <w:r>
              <w:rPr>
                <w:b/>
                <w:bCs/>
                <w:sz w:val="24"/>
                <w:szCs w:val="24"/>
              </w:rPr>
              <w:t>总</w:t>
            </w:r>
          </w:p>
          <w:p>
            <w:pPr>
              <w:spacing w:line="360" w:lineRule="auto"/>
              <w:jc w:val="center"/>
              <w:rPr>
                <w:b/>
                <w:bCs/>
                <w:sz w:val="24"/>
                <w:szCs w:val="24"/>
              </w:rPr>
            </w:pPr>
            <w:r>
              <w:rPr>
                <w:b/>
                <w:bCs/>
                <w:sz w:val="24"/>
                <w:szCs w:val="24"/>
              </w:rPr>
              <w:t>量</w:t>
            </w:r>
          </w:p>
          <w:p>
            <w:pPr>
              <w:spacing w:line="360" w:lineRule="auto"/>
              <w:jc w:val="center"/>
              <w:rPr>
                <w:b/>
                <w:bCs/>
                <w:sz w:val="24"/>
                <w:szCs w:val="24"/>
              </w:rPr>
            </w:pPr>
            <w:r>
              <w:rPr>
                <w:b/>
                <w:bCs/>
                <w:sz w:val="24"/>
                <w:szCs w:val="24"/>
              </w:rPr>
              <w:t>控</w:t>
            </w:r>
          </w:p>
          <w:p>
            <w:pPr>
              <w:spacing w:line="360" w:lineRule="auto"/>
              <w:jc w:val="center"/>
              <w:rPr>
                <w:b/>
                <w:bCs/>
                <w:sz w:val="24"/>
                <w:szCs w:val="24"/>
              </w:rPr>
            </w:pPr>
            <w:r>
              <w:rPr>
                <w:b/>
                <w:bCs/>
                <w:sz w:val="24"/>
                <w:szCs w:val="24"/>
              </w:rPr>
              <w:t>制</w:t>
            </w:r>
          </w:p>
          <w:p>
            <w:pPr>
              <w:spacing w:line="360" w:lineRule="auto"/>
              <w:jc w:val="center"/>
              <w:rPr>
                <w:b/>
                <w:bCs/>
                <w:sz w:val="24"/>
                <w:szCs w:val="24"/>
              </w:rPr>
            </w:pPr>
            <w:r>
              <w:rPr>
                <w:b/>
                <w:bCs/>
                <w:sz w:val="24"/>
                <w:szCs w:val="24"/>
              </w:rPr>
              <w:t>指</w:t>
            </w:r>
          </w:p>
          <w:p>
            <w:pPr>
              <w:jc w:val="center"/>
            </w:pPr>
            <w:r>
              <w:rPr>
                <w:b/>
                <w:bCs/>
                <w:sz w:val="24"/>
                <w:szCs w:val="24"/>
              </w:rPr>
              <w:t>标</w:t>
            </w:r>
          </w:p>
        </w:tc>
        <w:tc>
          <w:tcPr>
            <w:tcW w:w="7509" w:type="dxa"/>
            <w:vAlign w:val="top"/>
          </w:tcPr>
          <w:p>
            <w:pPr>
              <w:pStyle w:val="17"/>
              <w:spacing w:line="360" w:lineRule="auto"/>
              <w:ind w:left="0" w:right="0" w:firstLine="480" w:firstLineChars="200"/>
              <w:jc w:val="both"/>
              <w:rPr>
                <w:rFonts w:hint="default" w:ascii="Times New Roman" w:hAnsi="Times New Roman" w:cs="Times New Roman"/>
                <w:sz w:val="24"/>
                <w:lang w:val="en-US" w:eastAsia="zh-CN"/>
              </w:rPr>
            </w:pPr>
            <w:r>
              <w:rPr>
                <w:rFonts w:hint="default" w:ascii="Times New Roman" w:hAnsi="Times New Roman" w:cs="Times New Roman"/>
                <w:sz w:val="24"/>
                <w:lang w:val="en-US" w:eastAsia="zh-CN"/>
              </w:rPr>
              <w:t>建议的总量控制指标：</w:t>
            </w:r>
          </w:p>
          <w:p>
            <w:pPr>
              <w:pStyle w:val="17"/>
              <w:spacing w:line="360" w:lineRule="auto"/>
              <w:ind w:left="0" w:right="0" w:firstLine="480" w:firstLineChars="200"/>
              <w:jc w:val="both"/>
              <w:rPr>
                <w:rFonts w:hint="default" w:ascii="Times New Roman" w:hAnsi="Times New Roman" w:cs="Times New Roman"/>
                <w:sz w:val="24"/>
                <w:lang w:val="en-US" w:eastAsia="zh-CN"/>
              </w:rPr>
            </w:pPr>
            <w:r>
              <w:rPr>
                <w:rFonts w:hint="default" w:ascii="Times New Roman" w:hAnsi="Times New Roman" w:cs="Times New Roman"/>
                <w:sz w:val="24"/>
                <w:lang w:val="en-US" w:eastAsia="zh-CN"/>
              </w:rPr>
              <w:t>实施污染物排放总量控制，应立足于实施清洁生产、污染物治理达标排放及区域污染物总量控制等基本控制原则。经环评分析，本项目污染物总量排放控制建议如下：</w:t>
            </w:r>
          </w:p>
          <w:p>
            <w:pPr>
              <w:pStyle w:val="17"/>
              <w:numPr>
                <w:ilvl w:val="0"/>
                <w:numId w:val="2"/>
              </w:numPr>
              <w:spacing w:line="360" w:lineRule="auto"/>
              <w:ind w:left="0" w:right="0" w:firstLine="480" w:firstLineChars="200"/>
              <w:jc w:val="both"/>
              <w:rPr>
                <w:rFonts w:hint="default" w:ascii="Times New Roman" w:hAnsi="Times New Roman" w:cs="Times New Roman"/>
                <w:sz w:val="24"/>
                <w:lang w:val="en-US" w:eastAsia="zh-CN"/>
              </w:rPr>
            </w:pPr>
            <w:r>
              <w:rPr>
                <w:rFonts w:hint="default" w:ascii="Times New Roman" w:hAnsi="Times New Roman" w:cs="Times New Roman"/>
                <w:sz w:val="24"/>
                <w:lang w:val="en-US" w:eastAsia="zh-CN"/>
              </w:rPr>
              <w:t>废水</w:t>
            </w:r>
          </w:p>
          <w:p>
            <w:pPr>
              <w:pStyle w:val="104"/>
              <w:kinsoku w:val="0"/>
              <w:overflowPunct w:val="0"/>
              <w:spacing w:line="360" w:lineRule="auto"/>
              <w:ind w:left="0" w:right="0" w:firstLine="480" w:firstLineChars="200"/>
              <w:jc w:val="both"/>
              <w:rPr>
                <w:rFonts w:hint="eastAsia" w:cs="Times New Roman"/>
                <w:bCs/>
                <w:color w:val="auto"/>
                <w:sz w:val="24"/>
                <w:lang w:val="en-US" w:eastAsia="zh-CN"/>
              </w:rPr>
            </w:pPr>
            <w:r>
              <w:rPr>
                <w:rFonts w:hint="eastAsia" w:cs="Times New Roman"/>
                <w:b w:val="0"/>
                <w:bCs w:val="0"/>
                <w:color w:val="auto"/>
                <w:sz w:val="24"/>
                <w:szCs w:val="22"/>
                <w:lang w:val="en-US" w:eastAsia="zh-CN"/>
              </w:rPr>
              <w:t>项目营运期产生的废水</w:t>
            </w:r>
            <w:r>
              <w:rPr>
                <w:rFonts w:hint="default" w:ascii="Times New Roman" w:hAnsi="Times New Roman" w:cs="Times New Roman"/>
                <w:b w:val="0"/>
                <w:bCs w:val="0"/>
                <w:color w:val="auto"/>
                <w:sz w:val="24"/>
                <w:szCs w:val="22"/>
                <w:lang w:val="en-US" w:eastAsia="zh-CN"/>
              </w:rPr>
              <w:t>经</w:t>
            </w:r>
            <w:r>
              <w:rPr>
                <w:rFonts w:hint="default" w:ascii="Times New Roman" w:hAnsi="Times New Roman" w:cs="Times New Roman"/>
                <w:bCs/>
                <w:color w:val="auto"/>
                <w:sz w:val="24"/>
              </w:rPr>
              <w:t>化粪池处理后</w:t>
            </w:r>
            <w:r>
              <w:rPr>
                <w:rFonts w:hint="default" w:ascii="Times New Roman" w:hAnsi="Times New Roman" w:cs="Times New Roman"/>
                <w:bCs/>
                <w:color w:val="auto"/>
                <w:sz w:val="24"/>
                <w:lang w:val="en-US" w:eastAsia="zh-CN"/>
              </w:rPr>
              <w:t>达到</w:t>
            </w:r>
            <w:r>
              <w:rPr>
                <w:rFonts w:hint="default" w:ascii="Times New Roman" w:hAnsi="Times New Roman" w:cs="Times New Roman"/>
                <w:bCs/>
                <w:color w:val="auto"/>
                <w:sz w:val="24"/>
              </w:rPr>
              <w:t>《污水排入城镇下水道水质标准》（</w:t>
            </w:r>
            <w:r>
              <w:rPr>
                <w:rFonts w:hint="default" w:ascii="Times New Roman" w:hAnsi="Times New Roman" w:eastAsia="宋体" w:cs="Times New Roman"/>
                <w:color w:val="auto"/>
                <w:sz w:val="24"/>
                <w:szCs w:val="24"/>
              </w:rPr>
              <w:t>GB/T31962—2015</w:t>
            </w:r>
            <w:r>
              <w:rPr>
                <w:rFonts w:hint="default" w:ascii="Times New Roman" w:hAnsi="Times New Roman" w:cs="Times New Roman"/>
                <w:bCs/>
                <w:color w:val="auto"/>
                <w:sz w:val="24"/>
              </w:rPr>
              <w:t>）中的B等级标准后外排</w:t>
            </w:r>
            <w:r>
              <w:rPr>
                <w:rFonts w:hint="default" w:ascii="Times New Roman" w:hAnsi="Times New Roman" w:cs="Times New Roman"/>
                <w:bCs/>
                <w:color w:val="auto"/>
                <w:sz w:val="24"/>
                <w:lang w:eastAsia="zh-CN"/>
              </w:rPr>
              <w:t>至</w:t>
            </w:r>
            <w:r>
              <w:rPr>
                <w:rFonts w:hint="eastAsia" w:ascii="Times New Roman" w:hAnsi="Times New Roman" w:cs="Times New Roman"/>
                <w:bCs/>
                <w:color w:val="auto"/>
                <w:sz w:val="24"/>
                <w:lang w:eastAsia="zh-CN"/>
              </w:rPr>
              <w:t>园区污水</w:t>
            </w:r>
            <w:r>
              <w:rPr>
                <w:rFonts w:hint="default" w:ascii="Times New Roman" w:hAnsi="Times New Roman" w:cs="Times New Roman"/>
                <w:bCs/>
                <w:color w:val="auto"/>
                <w:sz w:val="24"/>
              </w:rPr>
              <w:t>管网</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lang w:val="en-US" w:eastAsia="zh-CN"/>
              </w:rPr>
              <w:t>最后汇集至</w:t>
            </w:r>
            <w:r>
              <w:rPr>
                <w:rFonts w:hint="eastAsia" w:ascii="Times New Roman" w:hAnsi="Times New Roman" w:cs="Times New Roman"/>
                <w:bCs/>
                <w:color w:val="auto"/>
                <w:sz w:val="24"/>
                <w:lang w:val="en-US" w:eastAsia="zh-CN"/>
              </w:rPr>
              <w:t>园区</w:t>
            </w:r>
            <w:r>
              <w:rPr>
                <w:rFonts w:hint="default" w:ascii="Times New Roman" w:hAnsi="Times New Roman" w:cs="Times New Roman"/>
                <w:bCs/>
                <w:color w:val="auto"/>
                <w:sz w:val="24"/>
                <w:lang w:val="en-US" w:eastAsia="zh-CN"/>
              </w:rPr>
              <w:t>污水处理厂处理</w:t>
            </w:r>
            <w:r>
              <w:rPr>
                <w:rFonts w:hint="eastAsia" w:cs="Times New Roman"/>
                <w:bCs/>
                <w:color w:val="auto"/>
                <w:sz w:val="24"/>
                <w:lang w:val="en-US" w:eastAsia="zh-CN"/>
              </w:rPr>
              <w:t>。</w:t>
            </w:r>
          </w:p>
          <w:p>
            <w:pPr>
              <w:pStyle w:val="104"/>
              <w:kinsoku w:val="0"/>
              <w:overflowPunct w:val="0"/>
              <w:spacing w:line="360" w:lineRule="auto"/>
              <w:ind w:left="0" w:right="0" w:firstLine="480" w:firstLineChars="200"/>
              <w:jc w:val="both"/>
              <w:rPr>
                <w:rFonts w:hint="default" w:ascii="Times New Roman" w:hAnsi="Times New Roman" w:cs="Times New Roman"/>
                <w:b w:val="0"/>
                <w:bCs w:val="0"/>
                <w:color w:val="auto"/>
                <w:sz w:val="24"/>
                <w:szCs w:val="22"/>
                <w:lang w:val="en-US" w:eastAsia="zh-CN"/>
              </w:rPr>
            </w:pPr>
            <w:r>
              <w:rPr>
                <w:rFonts w:hint="eastAsia" w:ascii="Times New Roman" w:hAnsi="Times New Roman" w:cs="Times New Roman"/>
                <w:b w:val="0"/>
                <w:bCs w:val="0"/>
                <w:color w:val="auto"/>
                <w:sz w:val="24"/>
                <w:szCs w:val="22"/>
                <w:lang w:val="en-US" w:eastAsia="zh-CN"/>
              </w:rPr>
              <w:t>外排污水中的污染物的量为</w:t>
            </w:r>
            <w:r>
              <w:rPr>
                <w:rFonts w:hint="default" w:ascii="Times New Roman" w:hAnsi="Times New Roman" w:cs="Times New Roman"/>
                <w:b w:val="0"/>
                <w:bCs w:val="0"/>
                <w:color w:val="auto"/>
                <w:sz w:val="24"/>
                <w:szCs w:val="22"/>
                <w:lang w:val="en-US" w:eastAsia="zh-CN"/>
              </w:rPr>
              <w:t>污染物产生</w:t>
            </w:r>
            <w:r>
              <w:rPr>
                <w:rFonts w:hint="eastAsia" w:ascii="Times New Roman" w:hAnsi="Times New Roman" w:cs="Times New Roman"/>
                <w:b w:val="0"/>
                <w:bCs w:val="0"/>
                <w:color w:val="auto"/>
                <w:sz w:val="24"/>
                <w:szCs w:val="22"/>
                <w:lang w:val="en-US" w:eastAsia="zh-CN"/>
              </w:rPr>
              <w:t>的量为</w:t>
            </w:r>
            <w:r>
              <w:rPr>
                <w:rFonts w:hint="default" w:ascii="Times New Roman" w:hAnsi="Times New Roman" w:cs="Times New Roman"/>
                <w:b w:val="0"/>
                <w:bCs w:val="0"/>
                <w:color w:val="auto"/>
                <w:sz w:val="24"/>
                <w:szCs w:val="22"/>
                <w:lang w:val="en-US" w:eastAsia="zh-CN"/>
              </w:rPr>
              <w:t>约：COD</w:t>
            </w:r>
            <w:r>
              <w:rPr>
                <w:rFonts w:hint="default" w:ascii="Times New Roman" w:hAnsi="Times New Roman" w:cs="Times New Roman"/>
                <w:b w:val="0"/>
                <w:bCs w:val="0"/>
                <w:color w:val="auto"/>
                <w:sz w:val="24"/>
                <w:szCs w:val="22"/>
                <w:vertAlign w:val="subscript"/>
                <w:lang w:val="en-US" w:eastAsia="zh-CN"/>
              </w:rPr>
              <w:t>Cr</w:t>
            </w:r>
            <w:r>
              <w:rPr>
                <w:rFonts w:hint="eastAsia" w:ascii="Times New Roman" w:hAnsi="Times New Roman" w:cs="Times New Roman"/>
                <w:b w:val="0"/>
                <w:bCs w:val="0"/>
                <w:color w:val="auto"/>
                <w:sz w:val="24"/>
                <w:szCs w:val="22"/>
                <w:lang w:val="en-US" w:eastAsia="zh-CN"/>
              </w:rPr>
              <w:t>144kg/a</w:t>
            </w:r>
            <w:r>
              <w:rPr>
                <w:rFonts w:hint="default" w:ascii="Times New Roman" w:hAnsi="Times New Roman" w:cs="Times New Roman"/>
                <w:b w:val="0"/>
                <w:bCs w:val="0"/>
                <w:color w:val="auto"/>
                <w:sz w:val="24"/>
                <w:szCs w:val="22"/>
                <w:lang w:val="en-US" w:eastAsia="zh-CN"/>
              </w:rPr>
              <w:t>，BOD</w:t>
            </w:r>
            <w:r>
              <w:rPr>
                <w:rFonts w:hint="default" w:ascii="Times New Roman" w:hAnsi="Times New Roman" w:cs="Times New Roman"/>
                <w:b w:val="0"/>
                <w:bCs w:val="0"/>
                <w:color w:val="auto"/>
                <w:sz w:val="24"/>
                <w:szCs w:val="22"/>
                <w:vertAlign w:val="subscript"/>
                <w:lang w:val="en-US" w:eastAsia="zh-CN"/>
              </w:rPr>
              <w:t>5</w:t>
            </w:r>
            <w:r>
              <w:rPr>
                <w:rFonts w:hint="eastAsia" w:ascii="Times New Roman" w:hAnsi="Times New Roman" w:cs="Times New Roman"/>
                <w:b w:val="0"/>
                <w:bCs w:val="0"/>
                <w:color w:val="auto"/>
                <w:sz w:val="24"/>
                <w:szCs w:val="22"/>
                <w:lang w:val="en-US" w:eastAsia="zh-CN"/>
              </w:rPr>
              <w:t>72kg/a</w:t>
            </w:r>
            <w:r>
              <w:rPr>
                <w:rFonts w:hint="default" w:ascii="Times New Roman" w:hAnsi="Times New Roman" w:cs="Times New Roman"/>
                <w:b w:val="0"/>
                <w:bCs w:val="0"/>
                <w:color w:val="auto"/>
                <w:sz w:val="24"/>
                <w:szCs w:val="22"/>
                <w:lang w:val="en-US" w:eastAsia="zh-CN"/>
              </w:rPr>
              <w:t>，SS</w:t>
            </w:r>
            <w:r>
              <w:rPr>
                <w:rFonts w:hint="eastAsia" w:ascii="Times New Roman" w:hAnsi="Times New Roman" w:cs="Times New Roman"/>
                <w:b w:val="0"/>
                <w:bCs w:val="0"/>
                <w:color w:val="auto"/>
                <w:sz w:val="24"/>
                <w:szCs w:val="22"/>
                <w:lang w:val="en-US" w:eastAsia="zh-CN"/>
              </w:rPr>
              <w:t xml:space="preserve"> 48kg/a</w:t>
            </w:r>
            <w:r>
              <w:rPr>
                <w:rFonts w:hint="default" w:ascii="Times New Roman" w:hAnsi="Times New Roman" w:cs="Times New Roman"/>
                <w:b w:val="0"/>
                <w:bCs w:val="0"/>
                <w:color w:val="auto"/>
                <w:sz w:val="24"/>
                <w:szCs w:val="22"/>
                <w:lang w:val="en-US" w:eastAsia="zh-CN"/>
              </w:rPr>
              <w:t>，氨氮</w:t>
            </w:r>
            <w:r>
              <w:rPr>
                <w:rFonts w:hint="eastAsia" w:ascii="Times New Roman" w:hAnsi="Times New Roman" w:cs="Times New Roman"/>
                <w:b w:val="0"/>
                <w:bCs w:val="0"/>
                <w:color w:val="auto"/>
                <w:sz w:val="24"/>
                <w:szCs w:val="22"/>
                <w:lang w:val="en-US" w:eastAsia="zh-CN"/>
              </w:rPr>
              <w:t>19.2kg/a</w:t>
            </w:r>
            <w:r>
              <w:rPr>
                <w:rFonts w:hint="default" w:ascii="Times New Roman" w:hAnsi="Times New Roman" w:cs="Times New Roman"/>
                <w:b w:val="0"/>
                <w:bCs w:val="0"/>
                <w:color w:val="auto"/>
                <w:sz w:val="24"/>
                <w:szCs w:val="22"/>
                <w:lang w:val="en-US" w:eastAsia="zh-CN"/>
              </w:rPr>
              <w:t>，总磷</w:t>
            </w:r>
            <w:r>
              <w:rPr>
                <w:rFonts w:hint="eastAsia" w:ascii="Times New Roman" w:hAnsi="Times New Roman" w:cs="Times New Roman"/>
                <w:b w:val="0"/>
                <w:bCs w:val="0"/>
                <w:color w:val="auto"/>
                <w:sz w:val="24"/>
                <w:szCs w:val="22"/>
                <w:lang w:val="en-US" w:eastAsia="zh-CN"/>
              </w:rPr>
              <w:t>1.44kg/a</w:t>
            </w:r>
            <w:r>
              <w:rPr>
                <w:rFonts w:hint="default" w:ascii="Times New Roman" w:hAnsi="Times New Roman" w:cs="Times New Roman"/>
                <w:b w:val="0"/>
                <w:bCs w:val="0"/>
                <w:color w:val="auto"/>
                <w:sz w:val="24"/>
                <w:szCs w:val="22"/>
                <w:lang w:val="en-US" w:eastAsia="zh-CN"/>
              </w:rPr>
              <w:t>，</w:t>
            </w:r>
            <w:r>
              <w:rPr>
                <w:rFonts w:hint="eastAsia" w:ascii="Times New Roman" w:hAnsi="Times New Roman" w:cs="Times New Roman"/>
                <w:b w:val="0"/>
                <w:bCs w:val="0"/>
                <w:color w:val="auto"/>
                <w:sz w:val="24"/>
                <w:szCs w:val="22"/>
                <w:lang w:val="en-US" w:eastAsia="zh-CN"/>
              </w:rPr>
              <w:t>动植物油9.6kg/a。</w:t>
            </w:r>
            <w:r>
              <w:rPr>
                <w:rFonts w:hint="default" w:ascii="Times New Roman" w:hAnsi="Times New Roman" w:eastAsia="宋体" w:cs="Times New Roman"/>
                <w:color w:val="auto"/>
                <w:sz w:val="24"/>
                <w:szCs w:val="24"/>
                <w:lang w:val="en-US" w:eastAsia="zh-CN"/>
              </w:rPr>
              <w:t>废水各总量指标纳入</w:t>
            </w:r>
            <w:r>
              <w:rPr>
                <w:rFonts w:hint="eastAsia" w:ascii="Times New Roman" w:hAnsi="Times New Roman" w:cs="Times New Roman"/>
                <w:bCs/>
                <w:color w:val="auto"/>
                <w:sz w:val="24"/>
                <w:lang w:val="en-US" w:eastAsia="zh-CN"/>
              </w:rPr>
              <w:t>园区</w:t>
            </w:r>
            <w:r>
              <w:rPr>
                <w:rFonts w:hint="default" w:ascii="Times New Roman" w:hAnsi="Times New Roman" w:cs="Times New Roman"/>
                <w:bCs/>
                <w:color w:val="auto"/>
                <w:sz w:val="24"/>
                <w:lang w:val="en-US" w:eastAsia="zh-CN"/>
              </w:rPr>
              <w:t>污水处理厂</w:t>
            </w:r>
            <w:r>
              <w:rPr>
                <w:rFonts w:hint="eastAsia" w:ascii="Times New Roman" w:hAnsi="Times New Roman" w:cs="Times New Roman"/>
                <w:bCs/>
                <w:color w:val="auto"/>
                <w:sz w:val="24"/>
                <w:lang w:val="en-US" w:eastAsia="zh-CN"/>
              </w:rPr>
              <w:t>考核，因此</w:t>
            </w:r>
            <w:r>
              <w:rPr>
                <w:rFonts w:hint="default" w:ascii="Times New Roman" w:hAnsi="Times New Roman" w:cs="Times New Roman"/>
                <w:color w:val="auto"/>
                <w:sz w:val="24"/>
                <w:szCs w:val="24"/>
              </w:rPr>
              <w:t>本项目废水不设总量控制指标。</w:t>
            </w:r>
          </w:p>
          <w:p>
            <w:pPr>
              <w:pStyle w:val="17"/>
              <w:numPr>
                <w:ilvl w:val="0"/>
                <w:numId w:val="2"/>
              </w:numPr>
              <w:spacing w:line="360" w:lineRule="auto"/>
              <w:ind w:left="0" w:leftChars="0" w:right="0" w:firstLine="480" w:firstLineChars="200"/>
              <w:jc w:val="both"/>
              <w:rPr>
                <w:rFonts w:hint="default" w:ascii="Times New Roman" w:hAnsi="Times New Roman" w:cs="Times New Roman"/>
                <w:sz w:val="24"/>
                <w:lang w:val="en-US" w:eastAsia="zh-CN"/>
              </w:rPr>
            </w:pPr>
            <w:r>
              <w:rPr>
                <w:rFonts w:hint="default" w:ascii="Times New Roman" w:hAnsi="Times New Roman" w:cs="Times New Roman"/>
                <w:sz w:val="24"/>
                <w:lang w:val="en-US" w:eastAsia="zh-CN"/>
              </w:rPr>
              <w:t>废气</w:t>
            </w:r>
          </w:p>
          <w:p>
            <w:pPr>
              <w:pStyle w:val="104"/>
              <w:kinsoku w:val="0"/>
              <w:overflowPunct w:val="0"/>
              <w:spacing w:line="360" w:lineRule="auto"/>
              <w:ind w:left="0" w:right="0" w:firstLine="480" w:firstLineChars="200"/>
              <w:jc w:val="both"/>
              <w:rPr>
                <w:rFonts w:hint="default" w:ascii="Times New Roman" w:hAnsi="Times New Roman" w:cs="Times New Roman"/>
                <w:b w:val="0"/>
                <w:bCs w:val="0"/>
                <w:color w:val="auto"/>
                <w:sz w:val="24"/>
                <w:szCs w:val="22"/>
                <w:lang w:val="en-US" w:eastAsia="zh-CN"/>
              </w:rPr>
            </w:pPr>
            <w:r>
              <w:rPr>
                <w:rFonts w:hint="eastAsia" w:cs="Times New Roman"/>
                <w:b w:val="0"/>
                <w:bCs w:val="0"/>
                <w:color w:val="auto"/>
                <w:sz w:val="24"/>
                <w:szCs w:val="22"/>
                <w:lang w:val="en-US" w:eastAsia="zh-CN"/>
              </w:rPr>
              <w:t>废气量：1440万m</w:t>
            </w:r>
            <w:r>
              <w:rPr>
                <w:rFonts w:hint="eastAsia" w:cs="Times New Roman"/>
                <w:b w:val="0"/>
                <w:bCs w:val="0"/>
                <w:color w:val="auto"/>
                <w:sz w:val="24"/>
                <w:szCs w:val="22"/>
                <w:vertAlign w:val="superscript"/>
                <w:lang w:val="en-US" w:eastAsia="zh-CN"/>
              </w:rPr>
              <w:t>3</w:t>
            </w:r>
            <w:r>
              <w:rPr>
                <w:rFonts w:hint="eastAsia" w:cs="Times New Roman"/>
                <w:b w:val="0"/>
                <w:bCs w:val="0"/>
                <w:color w:val="auto"/>
                <w:sz w:val="24"/>
                <w:szCs w:val="22"/>
                <w:lang w:val="en-US" w:eastAsia="zh-CN"/>
              </w:rPr>
              <w:t>/a；</w:t>
            </w:r>
          </w:p>
          <w:p>
            <w:pPr>
              <w:pStyle w:val="104"/>
              <w:kinsoku w:val="0"/>
              <w:overflowPunct w:val="0"/>
              <w:spacing w:line="360" w:lineRule="auto"/>
              <w:ind w:left="0" w:right="0" w:firstLine="480" w:firstLineChars="200"/>
              <w:jc w:val="both"/>
              <w:rPr>
                <w:rFonts w:hint="default" w:ascii="Times New Roman" w:hAnsi="Times New Roman" w:cs="Times New Roman"/>
                <w:b w:val="0"/>
                <w:bCs w:val="0"/>
                <w:color w:val="auto"/>
                <w:sz w:val="24"/>
                <w:szCs w:val="22"/>
                <w:lang w:val="en-US" w:eastAsia="zh-CN"/>
              </w:rPr>
            </w:pPr>
            <w:r>
              <w:rPr>
                <w:rFonts w:hint="default" w:ascii="Times New Roman" w:hAnsi="Times New Roman" w:cs="Times New Roman"/>
                <w:b w:val="0"/>
                <w:bCs w:val="0"/>
                <w:color w:val="auto"/>
                <w:sz w:val="24"/>
                <w:szCs w:val="22"/>
                <w:lang w:val="en-US" w:eastAsia="zh-CN"/>
              </w:rPr>
              <w:t>项目废气主要为TSP：</w:t>
            </w:r>
            <w:r>
              <w:rPr>
                <w:rFonts w:hint="eastAsia" w:cs="Times New Roman"/>
                <w:b w:val="0"/>
                <w:bCs w:val="0"/>
                <w:color w:val="auto"/>
                <w:sz w:val="24"/>
                <w:szCs w:val="22"/>
                <w:lang w:val="en-US" w:eastAsia="zh-CN"/>
              </w:rPr>
              <w:t>0.102</w:t>
            </w:r>
            <w:r>
              <w:rPr>
                <w:rFonts w:hint="default" w:ascii="Times New Roman" w:hAnsi="Times New Roman" w:cs="Times New Roman"/>
                <w:b w:val="0"/>
                <w:bCs w:val="0"/>
                <w:color w:val="auto"/>
                <w:sz w:val="24"/>
                <w:szCs w:val="22"/>
                <w:lang w:val="en-US" w:eastAsia="zh-CN"/>
              </w:rPr>
              <w:t>t/a、VOCs：</w:t>
            </w:r>
            <w:r>
              <w:rPr>
                <w:rFonts w:hint="eastAsia" w:cs="Times New Roman"/>
                <w:b w:val="0"/>
                <w:bCs w:val="0"/>
                <w:color w:val="auto"/>
                <w:sz w:val="24"/>
                <w:szCs w:val="22"/>
                <w:lang w:val="en-US" w:eastAsia="zh-CN"/>
              </w:rPr>
              <w:t>0.235</w:t>
            </w:r>
            <w:r>
              <w:rPr>
                <w:rFonts w:hint="default" w:ascii="Times New Roman" w:hAnsi="Times New Roman" w:cs="Times New Roman"/>
                <w:b w:val="0"/>
                <w:bCs w:val="0"/>
                <w:color w:val="auto"/>
                <w:sz w:val="24"/>
                <w:szCs w:val="22"/>
                <w:lang w:val="en-US" w:eastAsia="zh-CN"/>
              </w:rPr>
              <w:t>t/a</w:t>
            </w:r>
            <w:r>
              <w:rPr>
                <w:rFonts w:hint="default" w:ascii="Times New Roman" w:hAnsi="Times New Roman" w:cs="Times New Roman"/>
                <w:color w:val="auto"/>
                <w:sz w:val="24"/>
                <w:szCs w:val="24"/>
              </w:rPr>
              <w:t>。</w:t>
            </w:r>
          </w:p>
          <w:p>
            <w:pPr>
              <w:pStyle w:val="17"/>
              <w:numPr>
                <w:ilvl w:val="0"/>
                <w:numId w:val="2"/>
              </w:numPr>
              <w:spacing w:line="360" w:lineRule="auto"/>
              <w:ind w:left="0" w:leftChars="0" w:right="0" w:firstLine="480" w:firstLineChars="200"/>
              <w:jc w:val="both"/>
              <w:rPr>
                <w:rFonts w:hint="default" w:ascii="Times New Roman" w:hAnsi="Times New Roman" w:cs="Times New Roman"/>
                <w:sz w:val="24"/>
                <w:lang w:val="en-US" w:eastAsia="zh-CN"/>
              </w:rPr>
            </w:pPr>
            <w:r>
              <w:rPr>
                <w:rFonts w:hint="default" w:ascii="Times New Roman" w:hAnsi="Times New Roman" w:cs="Times New Roman"/>
                <w:sz w:val="24"/>
                <w:lang w:val="en-US" w:eastAsia="zh-CN"/>
              </w:rPr>
              <w:t>固体废弃物</w:t>
            </w:r>
          </w:p>
          <w:p>
            <w:pPr>
              <w:pStyle w:val="17"/>
              <w:numPr>
                <w:ilvl w:val="0"/>
                <w:numId w:val="0"/>
              </w:numPr>
              <w:spacing w:line="360" w:lineRule="auto"/>
              <w:ind w:leftChars="200" w:right="0" w:rightChars="0"/>
              <w:jc w:val="both"/>
              <w:rPr>
                <w:rFonts w:hint="eastAsia" w:ascii="Times New Roman" w:hAnsi="Times New Roman" w:cs="Times New Roman"/>
                <w:sz w:val="24"/>
                <w:szCs w:val="22"/>
                <w:lang w:val="en-US" w:eastAsia="zh-CN"/>
              </w:rPr>
            </w:pPr>
            <w:r>
              <w:rPr>
                <w:rFonts w:hint="eastAsia" w:ascii="Times New Roman" w:hAnsi="Times New Roman" w:cs="Times New Roman"/>
                <w:b w:val="0"/>
                <w:bCs w:val="0"/>
                <w:color w:val="auto"/>
                <w:kern w:val="2"/>
                <w:sz w:val="24"/>
                <w:szCs w:val="22"/>
                <w:lang w:val="en-US" w:eastAsia="zh-CN" w:bidi="ar-SA"/>
              </w:rPr>
              <w:t>生活垃圾：</w:t>
            </w:r>
            <w:r>
              <w:rPr>
                <w:rFonts w:hint="default" w:ascii="Times New Roman" w:hAnsi="Times New Roman" w:cs="Times New Roman"/>
                <w:sz w:val="24"/>
                <w:szCs w:val="22"/>
                <w:lang w:val="en-US" w:eastAsia="zh-CN"/>
              </w:rPr>
              <w:t>项目生活垃圾产生量为</w:t>
            </w:r>
            <w:r>
              <w:rPr>
                <w:rFonts w:hint="eastAsia" w:ascii="Times New Roman" w:hAnsi="Times New Roman" w:cs="Times New Roman"/>
                <w:sz w:val="24"/>
                <w:szCs w:val="22"/>
                <w:lang w:val="en-US" w:eastAsia="zh-CN"/>
              </w:rPr>
              <w:t>10</w:t>
            </w:r>
            <w:r>
              <w:rPr>
                <w:rFonts w:hint="default" w:ascii="Times New Roman" w:hAnsi="Times New Roman" w:cs="Times New Roman"/>
                <w:sz w:val="24"/>
                <w:szCs w:val="22"/>
                <w:lang w:val="en-US" w:eastAsia="zh-CN"/>
              </w:rPr>
              <w:t>kg/d，年产生垃圾量为</w:t>
            </w:r>
            <w:r>
              <w:rPr>
                <w:rFonts w:hint="eastAsia" w:ascii="Times New Roman" w:hAnsi="Times New Roman" w:cs="Times New Roman"/>
                <w:sz w:val="24"/>
                <w:szCs w:val="22"/>
                <w:lang w:val="en-US" w:eastAsia="zh-CN"/>
              </w:rPr>
              <w:t>3</w:t>
            </w:r>
            <w:r>
              <w:rPr>
                <w:rFonts w:hint="default" w:ascii="Times New Roman" w:hAnsi="Times New Roman" w:cs="Times New Roman"/>
                <w:sz w:val="24"/>
                <w:szCs w:val="22"/>
                <w:lang w:val="en-US" w:eastAsia="zh-CN"/>
              </w:rPr>
              <w:t>t/a</w:t>
            </w:r>
            <w:r>
              <w:rPr>
                <w:rFonts w:hint="eastAsia" w:ascii="Times New Roman" w:hAnsi="Times New Roman" w:cs="Times New Roman"/>
                <w:sz w:val="24"/>
                <w:szCs w:val="22"/>
                <w:lang w:val="en-US" w:eastAsia="zh-CN"/>
              </w:rPr>
              <w:t>。</w:t>
            </w:r>
          </w:p>
          <w:p>
            <w:pPr>
              <w:spacing w:line="360" w:lineRule="auto"/>
              <w:ind w:firstLine="489" w:firstLineChars="204"/>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一般工业固废：边角余料为</w:t>
            </w:r>
            <w:r>
              <w:rPr>
                <w:rFonts w:hint="eastAsia" w:cs="Times New Roman"/>
                <w:sz w:val="24"/>
                <w:szCs w:val="22"/>
                <w:lang w:val="en-US" w:eastAsia="zh-CN"/>
              </w:rPr>
              <w:t>34t/a</w:t>
            </w:r>
            <w:r>
              <w:rPr>
                <w:rFonts w:hint="eastAsia" w:ascii="Times New Roman" w:hAnsi="Times New Roman" w:cs="Times New Roman"/>
                <w:sz w:val="24"/>
                <w:szCs w:val="22"/>
                <w:lang w:val="en-US" w:eastAsia="zh-CN"/>
              </w:rPr>
              <w:t>，包装材料</w:t>
            </w:r>
            <w:r>
              <w:rPr>
                <w:rFonts w:hint="default" w:ascii="Times New Roman" w:hAnsi="Times New Roman" w:cs="Times New Roman"/>
                <w:sz w:val="24"/>
                <w:szCs w:val="22"/>
                <w:lang w:val="en-US" w:eastAsia="zh-CN"/>
              </w:rPr>
              <w:t>为</w:t>
            </w:r>
            <w:r>
              <w:rPr>
                <w:rFonts w:hint="eastAsia" w:cs="Times New Roman"/>
                <w:sz w:val="24"/>
                <w:szCs w:val="22"/>
                <w:lang w:val="en-US" w:eastAsia="zh-CN"/>
              </w:rPr>
              <w:t>0.3</w:t>
            </w:r>
            <w:r>
              <w:rPr>
                <w:rFonts w:hint="default" w:ascii="Times New Roman" w:hAnsi="Times New Roman" w:cs="Times New Roman"/>
                <w:sz w:val="24"/>
                <w:szCs w:val="22"/>
                <w:lang w:val="en-US" w:eastAsia="zh-CN"/>
              </w:rPr>
              <w:t>t/a</w:t>
            </w:r>
            <w:r>
              <w:rPr>
                <w:rFonts w:hint="eastAsia" w:ascii="Times New Roman" w:hAnsi="Times New Roman" w:cs="Times New Roman"/>
                <w:sz w:val="24"/>
                <w:szCs w:val="22"/>
                <w:lang w:val="en-US" w:eastAsia="zh-CN"/>
              </w:rPr>
              <w:t>，焊渣</w:t>
            </w:r>
            <w:r>
              <w:rPr>
                <w:rFonts w:hint="eastAsia" w:cs="Times New Roman"/>
                <w:sz w:val="24"/>
                <w:szCs w:val="22"/>
                <w:lang w:val="en-US" w:eastAsia="zh-CN"/>
              </w:rPr>
              <w:t>6.55</w:t>
            </w:r>
            <w:r>
              <w:rPr>
                <w:rFonts w:hint="eastAsia" w:ascii="Times New Roman" w:hAnsi="Times New Roman" w:cs="Times New Roman"/>
                <w:sz w:val="24"/>
                <w:szCs w:val="22"/>
                <w:lang w:val="en-US" w:eastAsia="zh-CN"/>
              </w:rPr>
              <w:t>t/a，移动式烟尘净化器收集粉尘</w:t>
            </w:r>
            <w:r>
              <w:rPr>
                <w:rFonts w:hint="eastAsia" w:cs="Times New Roman"/>
                <w:sz w:val="24"/>
                <w:szCs w:val="22"/>
                <w:lang w:val="en-US" w:eastAsia="zh-CN"/>
              </w:rPr>
              <w:t>1.402</w:t>
            </w:r>
            <w:r>
              <w:rPr>
                <w:rFonts w:hint="eastAsia" w:ascii="Times New Roman" w:hAnsi="Times New Roman" w:cs="Times New Roman"/>
                <w:sz w:val="24"/>
                <w:szCs w:val="22"/>
                <w:lang w:val="en-US" w:eastAsia="zh-CN"/>
              </w:rPr>
              <w:t>t/a</w:t>
            </w:r>
            <w:r>
              <w:rPr>
                <w:rFonts w:hint="eastAsia" w:cs="Times New Roman"/>
                <w:sz w:val="24"/>
                <w:szCs w:val="22"/>
                <w:lang w:val="en-US" w:eastAsia="zh-CN"/>
              </w:rPr>
              <w:t>，</w:t>
            </w:r>
            <w:r>
              <w:rPr>
                <w:rFonts w:hint="eastAsia"/>
                <w:b w:val="0"/>
                <w:bCs w:val="0"/>
                <w:sz w:val="24"/>
                <w:szCs w:val="24"/>
                <w:lang w:eastAsia="zh-CN"/>
              </w:rPr>
              <w:t>布袋除尘器收集粉尘</w:t>
            </w:r>
            <w:r>
              <w:rPr>
                <w:rFonts w:hint="eastAsia"/>
                <w:b w:val="0"/>
                <w:bCs w:val="0"/>
                <w:sz w:val="24"/>
                <w:szCs w:val="24"/>
                <w:lang w:val="en-US" w:eastAsia="zh-CN"/>
              </w:rPr>
              <w:t>1.423t/a</w:t>
            </w:r>
            <w:r>
              <w:rPr>
                <w:rFonts w:hint="eastAsia" w:ascii="Times New Roman" w:hAnsi="Times New Roman" w:cs="Times New Roman"/>
                <w:sz w:val="24"/>
                <w:szCs w:val="22"/>
                <w:lang w:val="en-US" w:eastAsia="zh-CN"/>
              </w:rPr>
              <w:t>。</w:t>
            </w:r>
          </w:p>
          <w:p>
            <w:pPr>
              <w:spacing w:line="360" w:lineRule="auto"/>
              <w:ind w:firstLine="489" w:firstLineChars="204"/>
              <w:rPr>
                <w:rFonts w:hint="default"/>
                <w:lang w:val="en-US" w:eastAsia="zh-CN"/>
              </w:rPr>
            </w:pPr>
            <w:r>
              <w:rPr>
                <w:rFonts w:hint="eastAsia" w:ascii="Times New Roman" w:hAnsi="Times New Roman" w:cs="Times New Roman"/>
                <w:sz w:val="24"/>
                <w:szCs w:val="22"/>
                <w:lang w:val="en-US" w:eastAsia="zh-CN"/>
              </w:rPr>
              <w:t>危险固废：废过滤棉（含漆雾）量为</w:t>
            </w:r>
            <w:r>
              <w:rPr>
                <w:rFonts w:hint="eastAsia" w:cs="Times New Roman"/>
                <w:sz w:val="24"/>
                <w:szCs w:val="22"/>
                <w:lang w:val="en-US" w:eastAsia="zh-CN"/>
              </w:rPr>
              <w:t>0.691</w:t>
            </w:r>
            <w:r>
              <w:rPr>
                <w:rFonts w:hint="eastAsia" w:ascii="Times New Roman" w:hAnsi="Times New Roman" w:cs="Times New Roman"/>
                <w:sz w:val="24"/>
                <w:szCs w:val="22"/>
                <w:lang w:val="en-US" w:eastAsia="zh-CN"/>
              </w:rPr>
              <w:t>t/a</w:t>
            </w:r>
            <w:r>
              <w:rPr>
                <w:rFonts w:hint="eastAsia" w:ascii="Times New Roman" w:hAnsi="Times New Roman" w:cs="Times New Roman"/>
                <w:color w:val="auto"/>
                <w:sz w:val="24"/>
                <w:szCs w:val="22"/>
                <w:lang w:val="en-US" w:eastAsia="zh-CN"/>
              </w:rPr>
              <w:t>，</w:t>
            </w:r>
            <w:r>
              <w:rPr>
                <w:rFonts w:hint="eastAsia" w:ascii="Times New Roman" w:hAnsi="Times New Roman" w:cs="Times New Roman"/>
                <w:sz w:val="24"/>
                <w:szCs w:val="22"/>
                <w:lang w:val="en-US" w:eastAsia="zh-CN"/>
              </w:rPr>
              <w:t>废活性炭的产生量</w:t>
            </w:r>
            <w:r>
              <w:rPr>
                <w:rFonts w:hint="eastAsia" w:cs="Times New Roman"/>
                <w:sz w:val="24"/>
                <w:szCs w:val="22"/>
                <w:lang w:val="en-US" w:eastAsia="zh-CN"/>
              </w:rPr>
              <w:t>（含有机废气）</w:t>
            </w:r>
            <w:r>
              <w:rPr>
                <w:rFonts w:hint="eastAsia" w:ascii="Times New Roman" w:hAnsi="Times New Roman" w:cs="Times New Roman"/>
                <w:sz w:val="24"/>
                <w:szCs w:val="22"/>
                <w:lang w:val="en-US" w:eastAsia="zh-CN"/>
              </w:rPr>
              <w:t>为</w:t>
            </w:r>
            <w:r>
              <w:rPr>
                <w:rFonts w:hint="eastAsia" w:cs="Times New Roman"/>
                <w:sz w:val="24"/>
                <w:szCs w:val="22"/>
                <w:lang w:val="en-US" w:eastAsia="zh-CN"/>
              </w:rPr>
              <w:t>5.92</w:t>
            </w:r>
            <w:r>
              <w:rPr>
                <w:rFonts w:hint="eastAsia" w:ascii="Times New Roman" w:hAnsi="Times New Roman" w:cs="Times New Roman"/>
                <w:sz w:val="24"/>
                <w:szCs w:val="22"/>
                <w:lang w:val="en-US" w:eastAsia="zh-CN"/>
              </w:rPr>
              <w:t>t/a，废机油0.2t/a，</w:t>
            </w:r>
            <w:r>
              <w:rPr>
                <w:rFonts w:hint="default" w:ascii="Times New Roman" w:hAnsi="Times New Roman" w:cs="Times New Roman"/>
                <w:sz w:val="24"/>
                <w:szCs w:val="22"/>
                <w:lang w:val="en-US" w:eastAsia="zh-CN"/>
              </w:rPr>
              <w:t>废料桶产生量为</w:t>
            </w:r>
            <w:r>
              <w:rPr>
                <w:rFonts w:hint="eastAsia" w:cs="Times New Roman"/>
                <w:sz w:val="24"/>
                <w:szCs w:val="22"/>
                <w:lang w:val="en-US" w:eastAsia="zh-CN"/>
              </w:rPr>
              <w:t>0.845</w:t>
            </w:r>
            <w:r>
              <w:rPr>
                <w:rFonts w:hint="default" w:ascii="Times New Roman" w:hAnsi="Times New Roman" w:cs="Times New Roman"/>
                <w:sz w:val="24"/>
                <w:szCs w:val="22"/>
                <w:lang w:val="en-US" w:eastAsia="zh-CN"/>
              </w:rPr>
              <w:t>t/a</w:t>
            </w:r>
            <w:r>
              <w:rPr>
                <w:rFonts w:hint="eastAsia" w:ascii="Times New Roman" w:hAnsi="Times New Roman" w:cs="Times New Roman"/>
                <w:sz w:val="24"/>
                <w:szCs w:val="22"/>
                <w:lang w:val="en-US" w:eastAsia="zh-CN"/>
              </w:rPr>
              <w:t>。</w:t>
            </w:r>
          </w:p>
          <w:p>
            <w:pPr>
              <w:pStyle w:val="17"/>
              <w:numPr>
                <w:ilvl w:val="0"/>
                <w:numId w:val="0"/>
              </w:numPr>
              <w:spacing w:line="360" w:lineRule="auto"/>
              <w:ind w:leftChars="200" w:right="0" w:rightChars="0"/>
              <w:jc w:val="both"/>
              <w:rPr>
                <w:rFonts w:hint="default" w:ascii="Times New Roman" w:hAnsi="Times New Roman" w:eastAsia="宋体" w:cs="Times New Roman"/>
                <w:b w:val="0"/>
                <w:bCs w:val="0"/>
                <w:color w:val="auto"/>
                <w:kern w:val="2"/>
                <w:sz w:val="24"/>
                <w:szCs w:val="22"/>
                <w:lang w:val="en-US" w:eastAsia="zh-CN" w:bidi="ar-SA"/>
              </w:rPr>
            </w:pPr>
            <w:r>
              <w:rPr>
                <w:rFonts w:hint="default" w:ascii="Times New Roman" w:hAnsi="Times New Roman" w:eastAsia="宋体" w:cs="Times New Roman"/>
                <w:b w:val="0"/>
                <w:bCs w:val="0"/>
                <w:color w:val="auto"/>
                <w:kern w:val="2"/>
                <w:sz w:val="24"/>
                <w:szCs w:val="22"/>
                <w:lang w:val="en-US" w:eastAsia="zh-CN" w:bidi="ar-SA"/>
              </w:rPr>
              <w:t>项目固废均得到合理处理，处置率100%，不设总量指标。</w:t>
            </w:r>
          </w:p>
          <w:p>
            <w:pPr>
              <w:pStyle w:val="17"/>
              <w:numPr>
                <w:ilvl w:val="0"/>
                <w:numId w:val="0"/>
              </w:numPr>
              <w:spacing w:line="360" w:lineRule="auto"/>
              <w:ind w:leftChars="200" w:right="0" w:rightChars="0"/>
              <w:jc w:val="both"/>
              <w:rPr>
                <w:rFonts w:hint="default" w:ascii="Times New Roman" w:hAnsi="Times New Roman" w:eastAsia="宋体" w:cs="Times New Roman"/>
                <w:b w:val="0"/>
                <w:bCs w:val="0"/>
                <w:color w:val="auto"/>
                <w:kern w:val="2"/>
                <w:sz w:val="24"/>
                <w:szCs w:val="22"/>
                <w:lang w:val="en-US" w:eastAsia="zh-CN" w:bidi="ar-SA"/>
              </w:rPr>
            </w:pPr>
          </w:p>
          <w:p>
            <w:pPr>
              <w:pStyle w:val="17"/>
              <w:numPr>
                <w:ilvl w:val="0"/>
                <w:numId w:val="0"/>
              </w:numPr>
              <w:spacing w:line="360" w:lineRule="auto"/>
              <w:ind w:leftChars="200" w:right="0" w:rightChars="0"/>
              <w:jc w:val="both"/>
              <w:rPr>
                <w:rFonts w:hint="default" w:ascii="Times New Roman" w:hAnsi="Times New Roman" w:eastAsia="宋体" w:cs="Times New Roman"/>
                <w:b w:val="0"/>
                <w:bCs w:val="0"/>
                <w:color w:val="auto"/>
                <w:kern w:val="2"/>
                <w:sz w:val="24"/>
                <w:szCs w:val="22"/>
                <w:lang w:val="en-US" w:eastAsia="zh-CN" w:bidi="ar-SA"/>
              </w:rPr>
            </w:pPr>
          </w:p>
          <w:p>
            <w:pPr>
              <w:pStyle w:val="17"/>
              <w:numPr>
                <w:ilvl w:val="0"/>
                <w:numId w:val="0"/>
              </w:numPr>
              <w:spacing w:line="360" w:lineRule="auto"/>
              <w:ind w:leftChars="200" w:right="0" w:rightChars="0"/>
              <w:jc w:val="both"/>
              <w:rPr>
                <w:rFonts w:hint="default" w:ascii="Times New Roman" w:hAnsi="Times New Roman" w:eastAsia="宋体" w:cs="Times New Roman"/>
                <w:b w:val="0"/>
                <w:bCs w:val="0"/>
                <w:color w:val="auto"/>
                <w:kern w:val="2"/>
                <w:sz w:val="24"/>
                <w:szCs w:val="22"/>
                <w:lang w:val="en-US" w:eastAsia="zh-CN" w:bidi="ar-SA"/>
              </w:rPr>
            </w:pPr>
          </w:p>
          <w:p>
            <w:pPr>
              <w:pStyle w:val="17"/>
              <w:numPr>
                <w:ilvl w:val="0"/>
                <w:numId w:val="0"/>
              </w:numPr>
              <w:spacing w:line="360" w:lineRule="auto"/>
              <w:ind w:leftChars="200" w:right="0" w:rightChars="0"/>
              <w:jc w:val="both"/>
              <w:rPr>
                <w:rFonts w:hint="default" w:ascii="Times New Roman" w:hAnsi="Times New Roman" w:eastAsia="宋体" w:cs="Times New Roman"/>
                <w:b w:val="0"/>
                <w:bCs w:val="0"/>
                <w:color w:val="auto"/>
                <w:kern w:val="2"/>
                <w:sz w:val="24"/>
                <w:szCs w:val="22"/>
                <w:lang w:val="en-US" w:eastAsia="zh-CN" w:bidi="ar-SA"/>
              </w:rPr>
            </w:pPr>
          </w:p>
          <w:p>
            <w:pPr>
              <w:pStyle w:val="17"/>
              <w:numPr>
                <w:ilvl w:val="0"/>
                <w:numId w:val="0"/>
              </w:numPr>
              <w:spacing w:line="360" w:lineRule="auto"/>
              <w:ind w:leftChars="200" w:right="0" w:rightChars="0"/>
              <w:jc w:val="both"/>
              <w:rPr>
                <w:rFonts w:hint="default" w:ascii="Times New Roman" w:hAnsi="Times New Roman" w:eastAsia="宋体" w:cs="Times New Roman"/>
                <w:b w:val="0"/>
                <w:bCs w:val="0"/>
                <w:color w:val="auto"/>
                <w:kern w:val="2"/>
                <w:sz w:val="24"/>
                <w:szCs w:val="22"/>
                <w:lang w:val="en-US" w:eastAsia="zh-CN" w:bidi="ar-SA"/>
              </w:rPr>
            </w:pPr>
          </w:p>
          <w:p>
            <w:pPr>
              <w:pStyle w:val="17"/>
              <w:numPr>
                <w:ilvl w:val="0"/>
                <w:numId w:val="0"/>
              </w:numPr>
              <w:spacing w:line="360" w:lineRule="auto"/>
              <w:ind w:leftChars="200" w:right="0" w:rightChars="0"/>
              <w:jc w:val="both"/>
              <w:rPr>
                <w:rFonts w:hint="default" w:ascii="Times New Roman" w:hAnsi="Times New Roman" w:eastAsia="宋体" w:cs="Times New Roman"/>
                <w:b w:val="0"/>
                <w:bCs w:val="0"/>
                <w:color w:val="auto"/>
                <w:kern w:val="2"/>
                <w:sz w:val="24"/>
                <w:szCs w:val="22"/>
                <w:lang w:val="en-US" w:eastAsia="zh-CN" w:bidi="ar-SA"/>
              </w:rPr>
            </w:pPr>
          </w:p>
          <w:p>
            <w:pPr>
              <w:pStyle w:val="17"/>
              <w:numPr>
                <w:ilvl w:val="0"/>
                <w:numId w:val="0"/>
              </w:numPr>
              <w:spacing w:line="360" w:lineRule="auto"/>
              <w:ind w:leftChars="200" w:right="0" w:rightChars="0"/>
              <w:jc w:val="both"/>
              <w:rPr>
                <w:rFonts w:hint="default" w:ascii="Times New Roman" w:hAnsi="Times New Roman" w:eastAsia="宋体" w:cs="Times New Roman"/>
                <w:b w:val="0"/>
                <w:bCs w:val="0"/>
                <w:color w:val="auto"/>
                <w:kern w:val="2"/>
                <w:sz w:val="24"/>
                <w:szCs w:val="22"/>
                <w:lang w:val="en-US" w:eastAsia="zh-CN" w:bidi="ar-SA"/>
              </w:rPr>
            </w:pPr>
          </w:p>
          <w:p>
            <w:pPr>
              <w:pStyle w:val="17"/>
              <w:numPr>
                <w:ilvl w:val="0"/>
                <w:numId w:val="0"/>
              </w:numPr>
              <w:spacing w:line="360" w:lineRule="auto"/>
              <w:ind w:leftChars="200" w:right="0" w:rightChars="0"/>
              <w:jc w:val="both"/>
              <w:rPr>
                <w:rFonts w:hint="default" w:ascii="Times New Roman" w:hAnsi="Times New Roman" w:eastAsia="宋体" w:cs="Times New Roman"/>
                <w:b w:val="0"/>
                <w:bCs w:val="0"/>
                <w:color w:val="auto"/>
                <w:kern w:val="2"/>
                <w:sz w:val="24"/>
                <w:szCs w:val="22"/>
                <w:lang w:val="en-US" w:eastAsia="zh-CN" w:bidi="ar-SA"/>
              </w:rPr>
            </w:pPr>
          </w:p>
          <w:p>
            <w:pPr>
              <w:pStyle w:val="17"/>
              <w:numPr>
                <w:ilvl w:val="0"/>
                <w:numId w:val="0"/>
              </w:numPr>
              <w:spacing w:line="360" w:lineRule="auto"/>
              <w:ind w:leftChars="200" w:right="0" w:rightChars="0"/>
              <w:jc w:val="both"/>
              <w:rPr>
                <w:rFonts w:hint="default" w:ascii="Times New Roman" w:hAnsi="Times New Roman" w:eastAsia="宋体" w:cs="Times New Roman"/>
                <w:b w:val="0"/>
                <w:bCs w:val="0"/>
                <w:color w:val="auto"/>
                <w:kern w:val="2"/>
                <w:sz w:val="24"/>
                <w:szCs w:val="22"/>
                <w:lang w:val="en-US" w:eastAsia="zh-CN" w:bidi="ar-SA"/>
              </w:rPr>
            </w:pPr>
          </w:p>
          <w:p>
            <w:pPr>
              <w:pStyle w:val="17"/>
              <w:numPr>
                <w:ilvl w:val="0"/>
                <w:numId w:val="0"/>
              </w:numPr>
              <w:spacing w:line="360" w:lineRule="auto"/>
              <w:ind w:leftChars="200" w:right="0" w:rightChars="0"/>
              <w:jc w:val="both"/>
              <w:rPr>
                <w:rFonts w:hint="default" w:ascii="Times New Roman" w:hAnsi="Times New Roman" w:eastAsia="宋体" w:cs="Times New Roman"/>
                <w:b w:val="0"/>
                <w:bCs w:val="0"/>
                <w:color w:val="auto"/>
                <w:kern w:val="2"/>
                <w:sz w:val="24"/>
                <w:szCs w:val="22"/>
                <w:lang w:val="en-US" w:eastAsia="zh-CN" w:bidi="ar-SA"/>
              </w:rPr>
            </w:pPr>
          </w:p>
          <w:p>
            <w:pPr>
              <w:pStyle w:val="17"/>
              <w:numPr>
                <w:ilvl w:val="0"/>
                <w:numId w:val="0"/>
              </w:numPr>
              <w:spacing w:line="360" w:lineRule="auto"/>
              <w:ind w:leftChars="200" w:right="0" w:rightChars="0"/>
              <w:jc w:val="both"/>
              <w:rPr>
                <w:rFonts w:hint="default" w:ascii="Times New Roman" w:hAnsi="Times New Roman" w:eastAsia="宋体" w:cs="Times New Roman"/>
                <w:b w:val="0"/>
                <w:bCs w:val="0"/>
                <w:color w:val="auto"/>
                <w:kern w:val="2"/>
                <w:sz w:val="24"/>
                <w:szCs w:val="22"/>
                <w:lang w:val="en-US" w:eastAsia="zh-CN" w:bidi="ar-SA"/>
              </w:rPr>
            </w:pPr>
          </w:p>
          <w:p>
            <w:pPr>
              <w:pStyle w:val="17"/>
              <w:numPr>
                <w:ilvl w:val="0"/>
                <w:numId w:val="0"/>
              </w:numPr>
              <w:spacing w:line="360" w:lineRule="auto"/>
              <w:ind w:leftChars="200" w:right="0" w:rightChars="0"/>
              <w:jc w:val="both"/>
              <w:rPr>
                <w:rFonts w:hint="default" w:ascii="Times New Roman" w:hAnsi="Times New Roman" w:eastAsia="宋体" w:cs="Times New Roman"/>
                <w:b w:val="0"/>
                <w:bCs w:val="0"/>
                <w:color w:val="auto"/>
                <w:kern w:val="2"/>
                <w:sz w:val="24"/>
                <w:szCs w:val="22"/>
                <w:lang w:val="en-US" w:eastAsia="zh-CN" w:bidi="ar-SA"/>
              </w:rPr>
            </w:pPr>
          </w:p>
          <w:p>
            <w:pPr>
              <w:pStyle w:val="17"/>
              <w:numPr>
                <w:ilvl w:val="0"/>
                <w:numId w:val="0"/>
              </w:numPr>
              <w:spacing w:line="360" w:lineRule="auto"/>
              <w:ind w:leftChars="200" w:right="0" w:rightChars="0"/>
              <w:jc w:val="both"/>
              <w:rPr>
                <w:rFonts w:hint="default" w:ascii="Times New Roman" w:hAnsi="Times New Roman" w:eastAsia="宋体" w:cs="Times New Roman"/>
                <w:b w:val="0"/>
                <w:bCs w:val="0"/>
                <w:color w:val="auto"/>
                <w:kern w:val="2"/>
                <w:sz w:val="24"/>
                <w:szCs w:val="22"/>
                <w:lang w:val="en-US" w:eastAsia="zh-CN" w:bidi="ar-SA"/>
              </w:rPr>
            </w:pPr>
          </w:p>
          <w:p>
            <w:pPr>
              <w:pStyle w:val="17"/>
              <w:numPr>
                <w:ilvl w:val="0"/>
                <w:numId w:val="0"/>
              </w:numPr>
              <w:spacing w:line="360" w:lineRule="auto"/>
              <w:ind w:leftChars="200" w:right="0" w:rightChars="0"/>
              <w:jc w:val="both"/>
              <w:rPr>
                <w:rFonts w:hint="default" w:ascii="Times New Roman" w:hAnsi="Times New Roman" w:cs="Times New Roman"/>
                <w:sz w:val="24"/>
                <w:lang w:val="en-US" w:eastAsia="zh-CN"/>
              </w:rPr>
            </w:pPr>
          </w:p>
        </w:tc>
      </w:tr>
    </w:tbl>
    <w:p>
      <w:pPr>
        <w:rPr>
          <w:rFonts w:ascii="Times New Roman" w:hAnsi="Times New Roman"/>
          <w:b/>
          <w:color w:val="000000"/>
          <w:sz w:val="32"/>
          <w:szCs w:val="32"/>
        </w:rPr>
      </w:pPr>
      <w:r>
        <w:rPr>
          <w:rFonts w:ascii="Times New Roman" w:hAnsi="Times New Roman"/>
          <w:b/>
          <w:color w:val="000000"/>
          <w:sz w:val="32"/>
          <w:szCs w:val="32"/>
        </w:rPr>
        <w:br w:type="page"/>
      </w:r>
    </w:p>
    <w:p>
      <w:pPr>
        <w:outlineLvl w:val="0"/>
        <w:rPr>
          <w:rFonts w:ascii="Times New Roman" w:hAnsi="Times New Roman"/>
          <w:b/>
          <w:color w:val="000000"/>
          <w:sz w:val="32"/>
          <w:szCs w:val="32"/>
        </w:rPr>
      </w:pPr>
      <w:bookmarkStart w:id="89" w:name="_Toc29734"/>
      <w:bookmarkStart w:id="90" w:name="_Toc2771"/>
      <w:r>
        <w:rPr>
          <w:rFonts w:ascii="Times New Roman" w:hAnsi="Times New Roman"/>
          <w:b/>
          <w:color w:val="000000"/>
          <w:sz w:val="32"/>
          <w:szCs w:val="32"/>
        </w:rPr>
        <w:t>表五  建设项目工程分析</w:t>
      </w:r>
      <w:bookmarkEnd w:id="89"/>
      <w:bookmarkEnd w:id="90"/>
    </w:p>
    <w:tbl>
      <w:tblPr>
        <w:tblStyle w:val="37"/>
        <w:tblW w:w="8303"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7" w:hRule="atLeast"/>
        </w:trPr>
        <w:tc>
          <w:tcPr>
            <w:tcW w:w="8303" w:type="dxa"/>
            <w:vAlign w:val="top"/>
          </w:tcPr>
          <w:p>
            <w:pPr>
              <w:spacing w:line="360" w:lineRule="auto"/>
              <w:ind w:left="0" w:leftChars="0" w:firstLine="0" w:firstLineChars="0"/>
              <w:rPr>
                <w:rFonts w:hint="default"/>
                <w:b/>
                <w:bCs/>
                <w:sz w:val="24"/>
                <w:szCs w:val="22"/>
                <w:lang w:val="en-US" w:eastAsia="zh-CN"/>
              </w:rPr>
            </w:pPr>
            <w:r>
              <w:rPr>
                <w:rFonts w:hint="default"/>
                <w:b/>
                <w:bCs/>
                <w:sz w:val="24"/>
                <w:szCs w:val="22"/>
              </w:rPr>
              <w:t>一、工艺流程及产污节点简述（图示）：</w:t>
            </w:r>
          </w:p>
          <w:p>
            <w:pPr>
              <w:spacing w:line="360" w:lineRule="auto"/>
              <w:rPr>
                <w:rFonts w:hint="default"/>
              </w:rPr>
            </w:pPr>
            <w:r>
              <w:rPr>
                <w:rFonts w:hint="default"/>
                <w:b/>
                <w:bCs/>
                <w:sz w:val="24"/>
                <w:szCs w:val="22"/>
              </w:rPr>
              <w:t>1、施工期</w:t>
            </w:r>
          </w:p>
          <w:p>
            <w:pPr>
              <w:adjustRightInd w:val="0"/>
              <w:spacing w:line="360" w:lineRule="auto"/>
              <w:ind w:firstLine="480" w:firstLineChars="200"/>
              <w:rPr>
                <w:rFonts w:hint="default" w:ascii="Times New Roman" w:hAnsi="Times New Roman" w:eastAsia="宋体" w:cs="Times New Roman"/>
                <w:b/>
                <w:bCs/>
                <w:sz w:val="24"/>
              </w:rPr>
            </w:pPr>
            <w:r>
              <w:rPr>
                <w:rFonts w:hint="default" w:ascii="Times New Roman" w:hAnsi="Times New Roman" w:eastAsia="宋体" w:cs="Times New Roman"/>
                <w:sz w:val="24"/>
              </w:rPr>
              <w:t>本项目已于20</w:t>
            </w:r>
            <w:r>
              <w:rPr>
                <w:rFonts w:hint="eastAsia" w:eastAsia="宋体" w:cs="Times New Roman"/>
                <w:sz w:val="24"/>
                <w:lang w:val="en-US" w:eastAsia="zh-CN"/>
              </w:rPr>
              <w:t>20</w:t>
            </w:r>
            <w:r>
              <w:rPr>
                <w:rFonts w:hint="default" w:ascii="Times New Roman" w:hAnsi="Times New Roman" w:eastAsia="宋体" w:cs="Times New Roman"/>
                <w:sz w:val="24"/>
              </w:rPr>
              <w:t>年</w:t>
            </w:r>
            <w:r>
              <w:rPr>
                <w:rFonts w:hint="eastAsia" w:eastAsia="宋体" w:cs="Times New Roman"/>
                <w:sz w:val="24"/>
                <w:lang w:val="en-US" w:eastAsia="zh-CN"/>
              </w:rPr>
              <w:t>7</w:t>
            </w:r>
            <w:r>
              <w:rPr>
                <w:rFonts w:hint="default" w:ascii="Times New Roman" w:hAnsi="Times New Roman" w:eastAsia="宋体" w:cs="Times New Roman"/>
                <w:sz w:val="24"/>
              </w:rPr>
              <w:t>月</w:t>
            </w:r>
            <w:r>
              <w:rPr>
                <w:rFonts w:hint="eastAsia" w:eastAsia="宋体" w:cs="Times New Roman"/>
                <w:sz w:val="24"/>
                <w:lang w:eastAsia="zh-CN"/>
              </w:rPr>
              <w:t>投入生产</w:t>
            </w:r>
            <w:r>
              <w:rPr>
                <w:rFonts w:hint="default" w:ascii="Times New Roman" w:hAnsi="Times New Roman" w:eastAsia="宋体" w:cs="Times New Roman"/>
                <w:sz w:val="24"/>
              </w:rPr>
              <w:t>，目前主体工程的施工期已结束，现为完善环评手续，同时对需完善的环保设施进行施工。</w:t>
            </w:r>
          </w:p>
          <w:p>
            <w:pPr>
              <w:adjustRightInd w:val="0"/>
              <w:snapToGrid w:val="0"/>
              <w:spacing w:line="360" w:lineRule="auto"/>
              <w:ind w:firstLine="482" w:firstLineChars="200"/>
              <w:rPr>
                <w:rFonts w:hint="default" w:ascii="Times New Roman" w:hAnsi="Times New Roman" w:eastAsia="宋体" w:cs="Times New Roman"/>
                <w:b/>
                <w:bCs/>
                <w:sz w:val="24"/>
              </w:rPr>
            </w:pPr>
            <w:r>
              <w:rPr>
                <w:rFonts w:hint="eastAsia" w:cs="Times New Roman"/>
                <w:b/>
                <w:bCs/>
                <w:sz w:val="24"/>
                <w:szCs w:val="22"/>
                <w:lang w:val="en-US" w:eastAsia="zh-CN"/>
              </w:rPr>
              <w:t>（1）</w:t>
            </w:r>
            <w:r>
              <w:rPr>
                <w:rFonts w:hint="default" w:ascii="Times New Roman" w:hAnsi="Times New Roman" w:eastAsia="宋体" w:cs="Times New Roman"/>
                <w:b/>
                <w:bCs/>
                <w:sz w:val="24"/>
              </w:rPr>
              <w:t>已施工部分回顾性分析</w:t>
            </w:r>
          </w:p>
          <w:p>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根据现场踏勘，项目主体工程现已施工完成，生产设备已安装完成，建设过程产生少量废气、废水、噪声及固废均已得到妥善处置，其中，废气呈无组织排放，通过采取易起尘物料篷布覆盖，定时洒水降尘；施工人员</w:t>
            </w:r>
            <w:r>
              <w:rPr>
                <w:rFonts w:hint="eastAsia" w:eastAsia="宋体" w:cs="Times New Roman"/>
                <w:sz w:val="24"/>
                <w:lang w:eastAsia="zh-CN"/>
              </w:rPr>
              <w:t>生活</w:t>
            </w:r>
            <w:r>
              <w:rPr>
                <w:rFonts w:hint="default" w:ascii="Times New Roman" w:hAnsi="Times New Roman" w:eastAsia="宋体" w:cs="Times New Roman"/>
                <w:sz w:val="24"/>
              </w:rPr>
              <w:t>废水经化粪池处理后排入</w:t>
            </w:r>
            <w:r>
              <w:rPr>
                <w:rFonts w:hint="eastAsia" w:ascii="Times New Roman" w:hAnsi="Times New Roman" w:cs="Times New Roman"/>
                <w:bCs/>
                <w:color w:val="auto"/>
                <w:sz w:val="24"/>
                <w:lang w:eastAsia="zh-CN"/>
              </w:rPr>
              <w:t>园区污水</w:t>
            </w:r>
            <w:r>
              <w:rPr>
                <w:rFonts w:hint="default" w:ascii="Times New Roman" w:hAnsi="Times New Roman" w:cs="Times New Roman"/>
                <w:bCs/>
                <w:color w:val="auto"/>
                <w:sz w:val="24"/>
              </w:rPr>
              <w:t>管网</w:t>
            </w:r>
            <w:r>
              <w:rPr>
                <w:rFonts w:hint="default" w:ascii="Times New Roman" w:hAnsi="Times New Roman" w:eastAsia="宋体" w:cs="Times New Roman"/>
                <w:sz w:val="24"/>
              </w:rPr>
              <w:t>；噪声通过合理安排施工时间和施工时段，使用低噪声设备；建筑垃圾经分类收集后，能回收利用的进行回收利用，不可回收利用的运至城市建设管理部门指定的堆放点处置；施工人员生活垃圾统一收集后当地环卫部门清运、处置。项目施工过程产生扬尘、废水、噪声及固废对周围环境影响小。</w:t>
            </w:r>
          </w:p>
          <w:p>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项目建设方在施工期间严格遵守了相关施工作业要求，施工期环境影响已经消失，经向当地生态环境局咨询，项目施工期未出现相关环保扰民投诉事件。</w:t>
            </w:r>
          </w:p>
          <w:p>
            <w:pPr>
              <w:adjustRightInd w:val="0"/>
              <w:snapToGrid w:val="0"/>
              <w:spacing w:line="360" w:lineRule="auto"/>
              <w:ind w:firstLine="482" w:firstLineChars="200"/>
              <w:rPr>
                <w:rFonts w:hint="default" w:ascii="Times New Roman" w:hAnsi="Times New Roman" w:eastAsia="宋体" w:cs="Times New Roman"/>
                <w:b/>
                <w:bCs/>
                <w:sz w:val="24"/>
              </w:rPr>
            </w:pPr>
            <w:r>
              <w:rPr>
                <w:rFonts w:hint="eastAsia" w:eastAsia="宋体" w:cs="Times New Roman"/>
                <w:b/>
                <w:bCs/>
                <w:sz w:val="24"/>
                <w:lang w:val="en-US" w:eastAsia="zh-CN"/>
              </w:rPr>
              <w:t>（2）</w:t>
            </w:r>
            <w:r>
              <w:rPr>
                <w:rFonts w:hint="default" w:ascii="Times New Roman" w:hAnsi="Times New Roman" w:eastAsia="宋体" w:cs="Times New Roman"/>
                <w:b/>
                <w:bCs/>
                <w:sz w:val="24"/>
              </w:rPr>
              <w:t>后续施工工程分析</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eastAsia="宋体" w:cs="Times New Roman"/>
                <w:sz w:val="24"/>
                <w:szCs w:val="24"/>
              </w:rPr>
              <w:t>项目后续施工主要为废气收集处置措施（集气罩、</w:t>
            </w:r>
            <w:r>
              <w:rPr>
                <w:rFonts w:hint="default" w:ascii="Times New Roman" w:hAnsi="Times New Roman" w:eastAsia="宋体" w:cs="Times New Roman"/>
                <w:sz w:val="24"/>
                <w:szCs w:val="24"/>
                <w:lang w:eastAsia="zh-CN"/>
              </w:rPr>
              <w:t>挥发性有机废气</w:t>
            </w:r>
            <w:r>
              <w:rPr>
                <w:rFonts w:hint="default" w:ascii="Times New Roman" w:hAnsi="Times New Roman" w:eastAsia="宋体" w:cs="Times New Roman"/>
                <w:sz w:val="24"/>
                <w:szCs w:val="24"/>
              </w:rPr>
              <w:t>净化装置）、排气筒及危废暂存间等环保设施的施工，施工期较短，施工期产生的环境影响随施工结束而消失，后续施工工艺无基础开挖，施工过程中将产生少量扬尘、噪声。后续施工过程主要在厂房内部进行，因此后续施工过程扬尘量较小，扬尘采取洒水降尘的方式减小排放；噪声主要通过合理安排施工时间（夜间和午休时段不施工）的方式减小影响；施工人员生活垃圾集中收集后委托环卫部门进行统一清运。</w:t>
            </w:r>
          </w:p>
          <w:p>
            <w:pPr>
              <w:spacing w:line="360" w:lineRule="auto"/>
              <w:rPr>
                <w:rFonts w:hint="default"/>
                <w:sz w:val="24"/>
                <w:szCs w:val="22"/>
              </w:rPr>
            </w:pPr>
            <w:r>
              <w:rPr>
                <w:rFonts w:hint="default"/>
                <w:sz w:val="24"/>
                <w:szCs w:val="22"/>
              </w:rPr>
              <w:t xml:space="preserve"> </w:t>
            </w:r>
            <w:r>
              <w:rPr>
                <w:rFonts w:hint="default"/>
                <w:b/>
                <w:bCs/>
                <w:sz w:val="24"/>
                <w:szCs w:val="22"/>
              </w:rPr>
              <w:t>2、营运期产污节点</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（一）生产工艺流程图及产污环节</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根据产品方案和技术方案，本项目产品生产工艺流程分为：原料组织、剪板（切割）、矫正、钻孔、组合、焊接、喷漆等工艺。</w:t>
            </w:r>
          </w:p>
          <w:p>
            <w:pPr>
              <w:spacing w:line="360" w:lineRule="auto"/>
              <w:ind w:firstLine="489" w:firstLineChars="204"/>
              <w:rPr>
                <w:rFonts w:hint="default"/>
                <w:lang w:val="en-US" w:eastAsia="zh-CN"/>
              </w:rPr>
            </w:pPr>
            <w:r>
              <w:rPr>
                <w:rFonts w:hint="default" w:ascii="Times New Roman" w:hAnsi="Times New Roman" w:cs="Times New Roman"/>
                <w:sz w:val="24"/>
                <w:szCs w:val="22"/>
                <w:lang w:val="en-US" w:eastAsia="zh-CN"/>
              </w:rPr>
              <w:t>项目</w:t>
            </w:r>
            <w:r>
              <w:rPr>
                <w:rFonts w:hint="eastAsia" w:cs="Times New Roman"/>
                <w:sz w:val="24"/>
                <w:szCs w:val="22"/>
                <w:lang w:val="en-US" w:eastAsia="zh-CN"/>
              </w:rPr>
              <w:t>异型模板、钢结构</w:t>
            </w:r>
            <w:r>
              <w:rPr>
                <w:rFonts w:hint="default" w:ascii="Times New Roman" w:hAnsi="Times New Roman" w:cs="Times New Roman"/>
                <w:sz w:val="24"/>
                <w:szCs w:val="22"/>
                <w:lang w:val="en-US" w:eastAsia="zh-CN"/>
              </w:rPr>
              <w:t>生产工艺流程及产污环节见</w:t>
            </w:r>
            <w:r>
              <w:rPr>
                <w:rFonts w:hint="eastAsia" w:ascii="Times New Roman" w:hAnsi="Times New Roman" w:cs="Times New Roman"/>
                <w:sz w:val="24"/>
                <w:szCs w:val="22"/>
                <w:lang w:val="en-US" w:eastAsia="zh-CN"/>
              </w:rPr>
              <w:t>下</w:t>
            </w:r>
            <w:r>
              <w:rPr>
                <w:rFonts w:hint="default" w:ascii="Times New Roman" w:hAnsi="Times New Roman" w:cs="Times New Roman"/>
                <w:sz w:val="24"/>
                <w:szCs w:val="22"/>
                <w:lang w:val="en-US" w:eastAsia="zh-CN"/>
              </w:rPr>
              <w:t>图</w:t>
            </w:r>
            <w:r>
              <w:rPr>
                <w:rFonts w:hint="eastAsia" w:ascii="Times New Roman" w:hAnsi="Times New Roman" w:cs="Times New Roman"/>
                <w:sz w:val="24"/>
                <w:szCs w:val="22"/>
                <w:lang w:val="en-US" w:eastAsia="zh-CN"/>
              </w:rPr>
              <w:t>。</w:t>
            </w:r>
          </w:p>
          <w:p>
            <w:pPr>
              <w:spacing w:line="360" w:lineRule="auto"/>
              <w:ind w:left="0" w:leftChars="0" w:firstLine="0" w:firstLineChars="0"/>
              <w:jc w:val="center"/>
              <w:rPr>
                <w:rFonts w:hint="default"/>
                <w:lang w:val="en-US" w:eastAsia="zh-CN"/>
              </w:rPr>
            </w:pPr>
            <w:r>
              <w:object>
                <v:shape id="_x0000_i1025" o:spt="75" type="#_x0000_t75" style="height:352.5pt;width:415.05pt;" o:ole="t" filled="f" o:preferrelative="t" stroked="f" coordsize="21600,21600">
                  <v:path/>
                  <v:fill on="f" focussize="0,0"/>
                  <v:stroke on="f"/>
                  <v:imagedata r:id="rId11" o:title=""/>
                  <o:lock v:ext="edit" aspectratio="f"/>
                  <w10:wrap type="none"/>
                  <w10:anchorlock/>
                </v:shape>
                <o:OLEObject Type="Embed" ProgID="Visio.Drawing.15" ShapeID="_x0000_i1025" DrawAspect="Content" ObjectID="_1468075725" r:id="rId10">
                  <o:LockedField>false</o:LockedField>
                </o:OLEObject>
              </w:object>
            </w:r>
            <w:r>
              <w:rPr>
                <w:rFonts w:hint="default"/>
                <w:b/>
                <w:bCs/>
              </w:rPr>
              <w:t>图5-</w:t>
            </w:r>
            <w:r>
              <w:rPr>
                <w:rFonts w:hint="eastAsia"/>
                <w:b/>
                <w:bCs/>
                <w:lang w:val="en-US" w:eastAsia="zh-CN"/>
              </w:rPr>
              <w:t>1</w:t>
            </w:r>
            <w:r>
              <w:rPr>
                <w:rFonts w:hint="default"/>
                <w:b/>
                <w:bCs/>
              </w:rPr>
              <w:t xml:space="preserve"> </w:t>
            </w:r>
            <w:r>
              <w:rPr>
                <w:rFonts w:hint="default"/>
                <w:b/>
                <w:bCs/>
                <w:lang w:eastAsia="zh-CN"/>
              </w:rPr>
              <w:t>生产工艺流程及产污环节图</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工艺简介：</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①切割下料</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开料工序主要是根据客户需求，将外购钢板、型钢、槽钢、角钢等原辅材料裁剪成所需部件。本项目切割开料采取两种方式，一种是机械切割型，一种是</w:t>
            </w:r>
            <w:r>
              <w:rPr>
                <w:rFonts w:hint="eastAsia" w:cs="Times New Roman"/>
                <w:sz w:val="24"/>
                <w:szCs w:val="22"/>
                <w:lang w:val="en-US" w:eastAsia="zh-CN"/>
              </w:rPr>
              <w:t>激光</w:t>
            </w:r>
            <w:r>
              <w:rPr>
                <w:rFonts w:hint="default" w:ascii="Times New Roman" w:hAnsi="Times New Roman" w:cs="Times New Roman"/>
                <w:sz w:val="24"/>
                <w:szCs w:val="22"/>
                <w:lang w:val="en-US" w:eastAsia="zh-CN"/>
              </w:rPr>
              <w:t>切割型。机械切割主要针对较薄的钢板裁剪时使用，而</w:t>
            </w:r>
            <w:r>
              <w:rPr>
                <w:rFonts w:hint="eastAsia" w:cs="Times New Roman"/>
                <w:sz w:val="24"/>
                <w:szCs w:val="22"/>
                <w:lang w:val="en-US" w:eastAsia="zh-CN"/>
              </w:rPr>
              <w:t>激光切割型</w:t>
            </w:r>
            <w:r>
              <w:rPr>
                <w:rFonts w:hint="default" w:ascii="Times New Roman" w:hAnsi="Times New Roman" w:cs="Times New Roman"/>
                <w:sz w:val="24"/>
                <w:szCs w:val="22"/>
                <w:lang w:val="en-US" w:eastAsia="zh-CN"/>
              </w:rPr>
              <w:t>则针对较厚的钢板裁剪时使用。机械切割是使用切割机，通过液压原理，使钢板受剪刀挤压而发生剪切变形并减裂分离的工艺过程。激光切割是由</w:t>
            </w:r>
            <w:r>
              <w:rPr>
                <w:rFonts w:hint="default" w:ascii="Times New Roman" w:hAnsi="Times New Roman" w:cs="Times New Roman"/>
                <w:sz w:val="24"/>
                <w:szCs w:val="22"/>
                <w:lang w:val="en-US" w:eastAsia="zh-CN"/>
              </w:rPr>
              <w:fldChar w:fldCharType="begin"/>
            </w:r>
            <w:r>
              <w:rPr>
                <w:rFonts w:hint="default" w:ascii="Times New Roman" w:hAnsi="Times New Roman" w:cs="Times New Roman"/>
                <w:sz w:val="24"/>
                <w:szCs w:val="22"/>
                <w:lang w:val="en-US" w:eastAsia="zh-CN"/>
              </w:rPr>
              <w:instrText xml:space="preserve"> HYPERLINK "https://baike.sogou.com/lemma/ShowInnerLink.htm?lemmaId=194720&amp;ss_c=ssc.citiao.link" \t "https://baike.sogou.com/_blank" </w:instrText>
            </w:r>
            <w:r>
              <w:rPr>
                <w:rFonts w:hint="default" w:ascii="Times New Roman" w:hAnsi="Times New Roman" w:cs="Times New Roman"/>
                <w:sz w:val="24"/>
                <w:szCs w:val="22"/>
                <w:lang w:val="en-US" w:eastAsia="zh-CN"/>
              </w:rPr>
              <w:fldChar w:fldCharType="separate"/>
            </w:r>
            <w:r>
              <w:rPr>
                <w:rFonts w:hint="default" w:ascii="Times New Roman" w:hAnsi="Times New Roman" w:cs="Times New Roman"/>
                <w:sz w:val="24"/>
                <w:szCs w:val="22"/>
                <w:lang w:val="en-US" w:eastAsia="zh-CN"/>
              </w:rPr>
              <w:t>激光器</w:t>
            </w:r>
            <w:r>
              <w:rPr>
                <w:rFonts w:hint="default" w:ascii="Times New Roman" w:hAnsi="Times New Roman" w:cs="Times New Roman"/>
                <w:sz w:val="24"/>
                <w:szCs w:val="22"/>
                <w:lang w:val="en-US" w:eastAsia="zh-CN"/>
              </w:rPr>
              <w:fldChar w:fldCharType="end"/>
            </w:r>
            <w:r>
              <w:rPr>
                <w:rFonts w:hint="default" w:ascii="Times New Roman" w:hAnsi="Times New Roman" w:cs="Times New Roman"/>
                <w:sz w:val="24"/>
                <w:szCs w:val="22"/>
                <w:lang w:val="en-US" w:eastAsia="zh-CN"/>
              </w:rPr>
              <w:t>所发出的水平</w:t>
            </w:r>
            <w:r>
              <w:rPr>
                <w:rFonts w:hint="default" w:ascii="Times New Roman" w:hAnsi="Times New Roman" w:cs="Times New Roman"/>
                <w:sz w:val="24"/>
                <w:szCs w:val="22"/>
                <w:lang w:val="en-US" w:eastAsia="zh-CN"/>
              </w:rPr>
              <w:fldChar w:fldCharType="begin"/>
            </w:r>
            <w:r>
              <w:rPr>
                <w:rFonts w:hint="default" w:ascii="Times New Roman" w:hAnsi="Times New Roman" w:cs="Times New Roman"/>
                <w:sz w:val="24"/>
                <w:szCs w:val="22"/>
                <w:lang w:val="en-US" w:eastAsia="zh-CN"/>
              </w:rPr>
              <w:instrText xml:space="preserve"> HYPERLINK "https://baike.sogou.com/lemma/ShowInnerLink.htm?lemmaId=761732&amp;ss_c=ssc.citiao.link" \t "https://baike.sogou.com/_blank" </w:instrText>
            </w:r>
            <w:r>
              <w:rPr>
                <w:rFonts w:hint="default" w:ascii="Times New Roman" w:hAnsi="Times New Roman" w:cs="Times New Roman"/>
                <w:sz w:val="24"/>
                <w:szCs w:val="22"/>
                <w:lang w:val="en-US" w:eastAsia="zh-CN"/>
              </w:rPr>
              <w:fldChar w:fldCharType="separate"/>
            </w:r>
            <w:r>
              <w:rPr>
                <w:rFonts w:hint="default" w:ascii="Times New Roman" w:hAnsi="Times New Roman" w:cs="Times New Roman"/>
                <w:sz w:val="24"/>
                <w:szCs w:val="22"/>
                <w:lang w:val="en-US" w:eastAsia="zh-CN"/>
              </w:rPr>
              <w:t>激光束</w:t>
            </w:r>
            <w:r>
              <w:rPr>
                <w:rFonts w:hint="default" w:ascii="Times New Roman" w:hAnsi="Times New Roman" w:cs="Times New Roman"/>
                <w:sz w:val="24"/>
                <w:szCs w:val="22"/>
                <w:lang w:val="en-US" w:eastAsia="zh-CN"/>
              </w:rPr>
              <w:fldChar w:fldCharType="end"/>
            </w:r>
            <w:r>
              <w:rPr>
                <w:rFonts w:hint="default" w:ascii="Times New Roman" w:hAnsi="Times New Roman" w:cs="Times New Roman"/>
                <w:sz w:val="24"/>
                <w:szCs w:val="22"/>
                <w:lang w:val="en-US" w:eastAsia="zh-CN"/>
              </w:rPr>
              <w:t>经45°</w:t>
            </w:r>
            <w:r>
              <w:rPr>
                <w:rFonts w:hint="default" w:ascii="Times New Roman" w:hAnsi="Times New Roman" w:cs="Times New Roman"/>
                <w:sz w:val="24"/>
                <w:szCs w:val="22"/>
                <w:lang w:val="en-US" w:eastAsia="zh-CN"/>
              </w:rPr>
              <w:fldChar w:fldCharType="begin"/>
            </w:r>
            <w:r>
              <w:rPr>
                <w:rFonts w:hint="default" w:ascii="Times New Roman" w:hAnsi="Times New Roman" w:cs="Times New Roman"/>
                <w:sz w:val="24"/>
                <w:szCs w:val="22"/>
                <w:lang w:val="en-US" w:eastAsia="zh-CN"/>
              </w:rPr>
              <w:instrText xml:space="preserve"> HYPERLINK "https://baike.sogou.com/lemma/ShowInnerLink.htm?lemmaId=6392110&amp;ss_c=ssc.citiao.link" \t "https://baike.sogou.com/_blank" </w:instrText>
            </w:r>
            <w:r>
              <w:rPr>
                <w:rFonts w:hint="default" w:ascii="Times New Roman" w:hAnsi="Times New Roman" w:cs="Times New Roman"/>
                <w:sz w:val="24"/>
                <w:szCs w:val="22"/>
                <w:lang w:val="en-US" w:eastAsia="zh-CN"/>
              </w:rPr>
              <w:fldChar w:fldCharType="separate"/>
            </w:r>
            <w:r>
              <w:rPr>
                <w:rFonts w:hint="default" w:ascii="Times New Roman" w:hAnsi="Times New Roman" w:cs="Times New Roman"/>
                <w:sz w:val="24"/>
                <w:szCs w:val="22"/>
                <w:lang w:val="en-US" w:eastAsia="zh-CN"/>
              </w:rPr>
              <w:t>全反射</w:t>
            </w:r>
            <w:r>
              <w:rPr>
                <w:rFonts w:hint="default" w:ascii="Times New Roman" w:hAnsi="Times New Roman" w:cs="Times New Roman"/>
                <w:sz w:val="24"/>
                <w:szCs w:val="22"/>
                <w:lang w:val="en-US" w:eastAsia="zh-CN"/>
              </w:rPr>
              <w:fldChar w:fldCharType="end"/>
            </w:r>
            <w:r>
              <w:rPr>
                <w:rFonts w:hint="default" w:ascii="Times New Roman" w:hAnsi="Times New Roman" w:cs="Times New Roman"/>
                <w:sz w:val="24"/>
                <w:szCs w:val="22"/>
                <w:lang w:val="en-US" w:eastAsia="zh-CN"/>
              </w:rPr>
              <w:t>镜变为垂直向下的激光束，后经透镜聚焦，在焦点处聚成一极小的光斑，光斑照射在材料上时，使材料很快被加热至汽化温度，蒸发形成孔洞，随着光束对材料的移动，并配合辅助气体（有二氧化碳气体，氧气，氮气等）吹走熔化的废渣，使孔洞连续形成宽度很窄的（如0．1mm左右）切缝，完成对材料的切割。</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② 矫正、钻孔、拼装</w:t>
            </w:r>
          </w:p>
          <w:p>
            <w:pPr>
              <w:spacing w:line="360" w:lineRule="auto"/>
              <w:ind w:firstLine="489" w:firstLineChars="204"/>
              <w:rPr>
                <w:rFonts w:hint="default"/>
                <w:lang w:val="en-US" w:eastAsia="zh-CN"/>
              </w:rPr>
            </w:pPr>
            <w:r>
              <w:rPr>
                <w:rFonts w:hint="default" w:ascii="Times New Roman" w:hAnsi="Times New Roman" w:cs="Times New Roman"/>
                <w:sz w:val="24"/>
                <w:szCs w:val="22"/>
                <w:lang w:val="en-US" w:eastAsia="zh-CN"/>
              </w:rPr>
              <w:t>将焊好部件送至矫正机矫正，并检查合格即为钢结构部件；按要求将钢结构部件钻孔并完成拼装，钻孔过程采用</w:t>
            </w:r>
            <w:r>
              <w:rPr>
                <w:rFonts w:hint="eastAsia" w:cs="Times New Roman"/>
                <w:sz w:val="24"/>
                <w:szCs w:val="22"/>
                <w:lang w:val="en-US" w:eastAsia="zh-CN"/>
              </w:rPr>
              <w:t>喷头喷水</w:t>
            </w:r>
            <w:r>
              <w:rPr>
                <w:rFonts w:hint="default" w:ascii="Times New Roman" w:hAnsi="Times New Roman" w:cs="Times New Roman"/>
                <w:sz w:val="24"/>
                <w:szCs w:val="22"/>
                <w:lang w:val="en-US" w:eastAsia="zh-CN"/>
              </w:rPr>
              <w:t>进行降温、抑尘，钻孔工序有噪声和固废产生。</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③组立、埋弧焊工序</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将下好的钢板较平，用自动组立机组合；将组合好的构件送至门式自动埋弧焊按设计要求焊接，并清除焊渣。组立工序有噪声产生，埋弧焊有焊接烟尘及噪声产生及焊渣、废焊头等固废产生。</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④ 焊接</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采用CO</w:t>
            </w:r>
            <w:r>
              <w:rPr>
                <w:rFonts w:hint="default" w:ascii="Times New Roman" w:hAnsi="Times New Roman" w:cs="Times New Roman"/>
                <w:sz w:val="24"/>
                <w:szCs w:val="22"/>
                <w:vertAlign w:val="subscript"/>
                <w:lang w:val="en-US" w:eastAsia="zh-CN"/>
              </w:rPr>
              <w:t>2</w:t>
            </w:r>
            <w:r>
              <w:rPr>
                <w:rFonts w:hint="default" w:ascii="Times New Roman" w:hAnsi="Times New Roman" w:cs="Times New Roman"/>
                <w:sz w:val="24"/>
                <w:szCs w:val="22"/>
                <w:lang w:val="en-US" w:eastAsia="zh-CN"/>
              </w:rPr>
              <w:t>气体保护焊对拼装好的部件进行焊接。焊接工段有焊接烟尘及噪声产生以及焊渣、废焊头等固废产生。</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⑤喷漆</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调漆：本项目底漆</w:t>
            </w:r>
            <w:r>
              <w:rPr>
                <w:rFonts w:hint="eastAsia" w:cs="Times New Roman"/>
                <w:sz w:val="24"/>
                <w:szCs w:val="22"/>
                <w:lang w:val="en-US" w:eastAsia="zh-CN"/>
              </w:rPr>
              <w:t>、中间漆、</w:t>
            </w:r>
            <w:r>
              <w:rPr>
                <w:rFonts w:hint="default" w:ascii="Times New Roman" w:hAnsi="Times New Roman" w:cs="Times New Roman"/>
                <w:sz w:val="24"/>
                <w:szCs w:val="22"/>
                <w:lang w:val="en-US" w:eastAsia="zh-CN"/>
              </w:rPr>
              <w:t>面漆均为为水性漆。</w:t>
            </w:r>
            <w:r>
              <w:rPr>
                <w:rFonts w:hint="eastAsia" w:cs="Times New Roman"/>
                <w:sz w:val="24"/>
                <w:szCs w:val="22"/>
                <w:lang w:val="en-US" w:eastAsia="zh-CN"/>
              </w:rPr>
              <w:t>油漆</w:t>
            </w:r>
            <w:r>
              <w:rPr>
                <w:rFonts w:hint="default" w:ascii="Times New Roman" w:hAnsi="Times New Roman" w:cs="Times New Roman"/>
                <w:sz w:val="24"/>
                <w:szCs w:val="22"/>
                <w:lang w:val="en-US" w:eastAsia="zh-CN"/>
              </w:rPr>
              <w:t>使用前均需要进行调配，按比例加入水进行调漆，本项目调漆工序设置在喷漆室内，即调即用。按比例将水性漆和水混合，搅拌均匀后待用。</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喷漆：人工使用喷枪在工件表面均匀喷涂上一层环氧富锌底漆，环氧富锌底漆在调漆时底漆：水=</w:t>
            </w:r>
            <w:r>
              <w:rPr>
                <w:rFonts w:hint="eastAsia" w:ascii="Times New Roman" w:hAnsi="Times New Roman" w:cs="Times New Roman"/>
                <w:sz w:val="24"/>
                <w:szCs w:val="22"/>
                <w:lang w:val="en-US" w:eastAsia="zh-CN"/>
              </w:rPr>
              <w:t>2</w:t>
            </w:r>
            <w:r>
              <w:rPr>
                <w:rFonts w:hint="default" w:ascii="Times New Roman" w:hAnsi="Times New Roman" w:cs="Times New Roman"/>
                <w:sz w:val="24"/>
                <w:szCs w:val="22"/>
                <w:lang w:val="en-US" w:eastAsia="zh-CN"/>
              </w:rPr>
              <w:t>：</w:t>
            </w:r>
            <w:r>
              <w:rPr>
                <w:rFonts w:hint="eastAsia" w:ascii="Times New Roman" w:hAnsi="Times New Roman" w:cs="Times New Roman"/>
                <w:sz w:val="24"/>
                <w:szCs w:val="22"/>
                <w:lang w:val="en-US" w:eastAsia="zh-CN"/>
              </w:rPr>
              <w:t>1</w:t>
            </w:r>
            <w:r>
              <w:rPr>
                <w:rFonts w:hint="default" w:ascii="Times New Roman" w:hAnsi="Times New Roman" w:cs="Times New Roman"/>
                <w:sz w:val="24"/>
                <w:szCs w:val="22"/>
                <w:lang w:val="en-US" w:eastAsia="zh-CN"/>
              </w:rPr>
              <w:t>，本项目喷漆室工作过程中，在风机作用下废气经过</w:t>
            </w:r>
            <w:r>
              <w:rPr>
                <w:rFonts w:hint="eastAsia" w:ascii="Times New Roman" w:hAnsi="Times New Roman" w:cs="Times New Roman"/>
                <w:sz w:val="24"/>
                <w:szCs w:val="22"/>
                <w:lang w:val="en-US" w:eastAsia="zh-CN"/>
              </w:rPr>
              <w:t>过滤棉+活性炭</w:t>
            </w:r>
            <w:r>
              <w:rPr>
                <w:rFonts w:hint="default" w:ascii="Times New Roman" w:hAnsi="Times New Roman" w:cs="Times New Roman"/>
                <w:sz w:val="24"/>
                <w:szCs w:val="22"/>
                <w:lang w:val="en-US" w:eastAsia="zh-CN"/>
              </w:rPr>
              <w:t>吸附处理，项目喷漆室喷漆过程中维持负压状态，确保有机废气收集率达到90%。本项目喷漆室每天喷底漆约</w:t>
            </w:r>
            <w:r>
              <w:rPr>
                <w:rFonts w:hint="eastAsia" w:cs="Times New Roman"/>
                <w:sz w:val="24"/>
                <w:szCs w:val="22"/>
                <w:lang w:val="en-US" w:eastAsia="zh-CN"/>
              </w:rPr>
              <w:t>6</w:t>
            </w:r>
            <w:r>
              <w:rPr>
                <w:rFonts w:hint="default" w:ascii="Times New Roman" w:hAnsi="Times New Roman" w:cs="Times New Roman"/>
                <w:sz w:val="24"/>
                <w:szCs w:val="22"/>
                <w:lang w:val="en-US" w:eastAsia="zh-CN"/>
              </w:rPr>
              <w:t>0min。</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晾干：各部件经喷底漆后于喷漆室内各喷漆台原地进行自然表干，晾干时间约为</w:t>
            </w:r>
            <w:r>
              <w:rPr>
                <w:rFonts w:hint="eastAsia" w:cs="Times New Roman"/>
                <w:sz w:val="24"/>
                <w:szCs w:val="22"/>
                <w:lang w:val="en-US" w:eastAsia="zh-CN"/>
              </w:rPr>
              <w:t>60</w:t>
            </w:r>
            <w:r>
              <w:rPr>
                <w:rFonts w:hint="default" w:ascii="Times New Roman" w:hAnsi="Times New Roman" w:cs="Times New Roman"/>
                <w:sz w:val="24"/>
                <w:szCs w:val="22"/>
                <w:lang w:val="en-US" w:eastAsia="zh-CN"/>
              </w:rPr>
              <w:t>min，使工件表面底漆干燥、固化成膜。</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喷</w:t>
            </w:r>
            <w:r>
              <w:rPr>
                <w:rFonts w:hint="eastAsia" w:cs="Times New Roman"/>
                <w:sz w:val="24"/>
                <w:szCs w:val="22"/>
                <w:lang w:val="en-US" w:eastAsia="zh-CN"/>
              </w:rPr>
              <w:t>中间</w:t>
            </w:r>
            <w:r>
              <w:rPr>
                <w:rFonts w:hint="default" w:ascii="Times New Roman" w:hAnsi="Times New Roman" w:cs="Times New Roman"/>
                <w:sz w:val="24"/>
                <w:szCs w:val="22"/>
                <w:lang w:val="en-US" w:eastAsia="zh-CN"/>
              </w:rPr>
              <w:t>漆：人工使用喷枪在喷有底漆的工件表面均匀喷涂上一层灰环氧云铁中间漆，灰环氧云铁中间漆在调漆时底漆：水=</w:t>
            </w:r>
            <w:r>
              <w:rPr>
                <w:rFonts w:hint="eastAsia" w:ascii="Times New Roman" w:hAnsi="Times New Roman" w:cs="Times New Roman"/>
                <w:sz w:val="24"/>
                <w:szCs w:val="22"/>
                <w:lang w:val="en-US" w:eastAsia="zh-CN"/>
              </w:rPr>
              <w:t>2</w:t>
            </w:r>
            <w:r>
              <w:rPr>
                <w:rFonts w:hint="default" w:ascii="Times New Roman" w:hAnsi="Times New Roman" w:cs="Times New Roman"/>
                <w:sz w:val="24"/>
                <w:szCs w:val="22"/>
                <w:lang w:val="en-US" w:eastAsia="zh-CN"/>
              </w:rPr>
              <w:t>：</w:t>
            </w:r>
            <w:r>
              <w:rPr>
                <w:rFonts w:hint="eastAsia" w:ascii="Times New Roman" w:hAnsi="Times New Roman" w:cs="Times New Roman"/>
                <w:sz w:val="24"/>
                <w:szCs w:val="22"/>
                <w:lang w:val="en-US" w:eastAsia="zh-CN"/>
              </w:rPr>
              <w:t>1</w:t>
            </w:r>
            <w:r>
              <w:rPr>
                <w:rFonts w:hint="default" w:ascii="Times New Roman" w:hAnsi="Times New Roman" w:cs="Times New Roman"/>
                <w:sz w:val="24"/>
                <w:szCs w:val="22"/>
                <w:lang w:val="en-US" w:eastAsia="zh-CN"/>
              </w:rPr>
              <w:t>，本项目喷漆室工作过程中，在风机作用下废气经过</w:t>
            </w:r>
            <w:r>
              <w:rPr>
                <w:rFonts w:hint="eastAsia" w:ascii="Times New Roman" w:hAnsi="Times New Roman" w:cs="Times New Roman"/>
                <w:sz w:val="24"/>
                <w:szCs w:val="22"/>
                <w:lang w:val="en-US" w:eastAsia="zh-CN"/>
              </w:rPr>
              <w:t>过滤棉+活性炭</w:t>
            </w:r>
            <w:r>
              <w:rPr>
                <w:rFonts w:hint="default" w:ascii="Times New Roman" w:hAnsi="Times New Roman" w:cs="Times New Roman"/>
                <w:sz w:val="24"/>
                <w:szCs w:val="22"/>
                <w:lang w:val="en-US" w:eastAsia="zh-CN"/>
              </w:rPr>
              <w:t>吸附处理，项目喷漆室喷漆过程中维持负压状态，确保有机废气收集率达到90%，本项目喷漆室</w:t>
            </w:r>
            <w:r>
              <w:rPr>
                <w:rFonts w:hint="eastAsia" w:ascii="Times New Roman" w:hAnsi="Times New Roman" w:cs="Times New Roman"/>
                <w:sz w:val="24"/>
                <w:szCs w:val="22"/>
                <w:lang w:val="en-US" w:eastAsia="zh-CN"/>
              </w:rPr>
              <w:t>每天喷面漆</w:t>
            </w:r>
            <w:r>
              <w:rPr>
                <w:rFonts w:hint="default" w:ascii="Times New Roman" w:hAnsi="Times New Roman" w:cs="Times New Roman"/>
                <w:sz w:val="24"/>
                <w:szCs w:val="22"/>
                <w:lang w:val="en-US" w:eastAsia="zh-CN"/>
              </w:rPr>
              <w:t>约</w:t>
            </w:r>
            <w:r>
              <w:rPr>
                <w:rFonts w:hint="eastAsia" w:cs="Times New Roman"/>
                <w:sz w:val="24"/>
                <w:szCs w:val="22"/>
                <w:lang w:val="en-US" w:eastAsia="zh-CN"/>
              </w:rPr>
              <w:t>6</w:t>
            </w:r>
            <w:r>
              <w:rPr>
                <w:rFonts w:hint="default" w:ascii="Times New Roman" w:hAnsi="Times New Roman" w:cs="Times New Roman"/>
                <w:sz w:val="24"/>
                <w:szCs w:val="22"/>
                <w:lang w:val="en-US" w:eastAsia="zh-CN"/>
              </w:rPr>
              <w:t>0min。</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晾干：各部件经喷面漆后于喷漆室内各喷漆台原地进行自然表干，晾干时间约为</w:t>
            </w:r>
            <w:r>
              <w:rPr>
                <w:rFonts w:hint="eastAsia" w:cs="Times New Roman"/>
                <w:sz w:val="24"/>
                <w:szCs w:val="22"/>
                <w:lang w:val="en-US" w:eastAsia="zh-CN"/>
              </w:rPr>
              <w:t>60</w:t>
            </w:r>
            <w:r>
              <w:rPr>
                <w:rFonts w:hint="default" w:ascii="Times New Roman" w:hAnsi="Times New Roman" w:cs="Times New Roman"/>
                <w:sz w:val="24"/>
                <w:szCs w:val="22"/>
                <w:lang w:val="en-US" w:eastAsia="zh-CN"/>
              </w:rPr>
              <w:t>min，使工件表面底漆干燥、固化成膜。</w:t>
            </w:r>
          </w:p>
          <w:p>
            <w:pPr>
              <w:spacing w:line="360" w:lineRule="auto"/>
              <w:ind w:firstLine="489" w:firstLineChars="204"/>
              <w:rPr>
                <w:rFonts w:hint="default" w:ascii="Times New Roman" w:hAnsi="Times New Roman" w:cs="Times New Roman"/>
                <w:sz w:val="24"/>
                <w:szCs w:val="22"/>
                <w:lang w:val="en-US" w:eastAsia="zh-CN"/>
              </w:rPr>
            </w:pPr>
            <w:r>
              <w:rPr>
                <w:rFonts w:hint="eastAsia" w:cs="Times New Roman"/>
                <w:sz w:val="24"/>
                <w:szCs w:val="22"/>
                <w:lang w:val="en-US" w:eastAsia="zh-CN"/>
              </w:rPr>
              <w:t>喷面漆：</w:t>
            </w:r>
            <w:r>
              <w:rPr>
                <w:rFonts w:hint="default" w:ascii="Times New Roman" w:hAnsi="Times New Roman" w:cs="Times New Roman"/>
                <w:sz w:val="24"/>
                <w:szCs w:val="22"/>
                <w:lang w:val="en-US" w:eastAsia="zh-CN"/>
              </w:rPr>
              <w:t>人工使用喷枪在喷有底漆</w:t>
            </w:r>
            <w:r>
              <w:rPr>
                <w:rFonts w:hint="eastAsia" w:ascii="Times New Roman" w:hAnsi="Times New Roman" w:cs="Times New Roman"/>
                <w:sz w:val="24"/>
                <w:szCs w:val="22"/>
                <w:lang w:val="en-US" w:eastAsia="zh-CN"/>
              </w:rPr>
              <w:t>、中间漆</w:t>
            </w:r>
            <w:r>
              <w:rPr>
                <w:rFonts w:hint="default" w:ascii="Times New Roman" w:hAnsi="Times New Roman" w:cs="Times New Roman"/>
                <w:sz w:val="24"/>
                <w:szCs w:val="22"/>
                <w:lang w:val="en-US" w:eastAsia="zh-CN"/>
              </w:rPr>
              <w:t>的工件表面均匀喷涂上一层中黄氟碳面漆，中黄氟碳面漆在调漆时底漆：水=</w:t>
            </w:r>
            <w:r>
              <w:rPr>
                <w:rFonts w:hint="eastAsia" w:ascii="Times New Roman" w:hAnsi="Times New Roman" w:cs="Times New Roman"/>
                <w:sz w:val="24"/>
                <w:szCs w:val="22"/>
                <w:lang w:val="en-US" w:eastAsia="zh-CN"/>
              </w:rPr>
              <w:t>2</w:t>
            </w:r>
            <w:r>
              <w:rPr>
                <w:rFonts w:hint="default" w:ascii="Times New Roman" w:hAnsi="Times New Roman" w:cs="Times New Roman"/>
                <w:sz w:val="24"/>
                <w:szCs w:val="22"/>
                <w:lang w:val="en-US" w:eastAsia="zh-CN"/>
              </w:rPr>
              <w:t>：</w:t>
            </w:r>
            <w:r>
              <w:rPr>
                <w:rFonts w:hint="eastAsia" w:ascii="Times New Roman" w:hAnsi="Times New Roman" w:cs="Times New Roman"/>
                <w:sz w:val="24"/>
                <w:szCs w:val="22"/>
                <w:lang w:val="en-US" w:eastAsia="zh-CN"/>
              </w:rPr>
              <w:t>1</w:t>
            </w:r>
            <w:r>
              <w:rPr>
                <w:rFonts w:hint="default" w:ascii="Times New Roman" w:hAnsi="Times New Roman" w:cs="Times New Roman"/>
                <w:sz w:val="24"/>
                <w:szCs w:val="22"/>
                <w:lang w:val="en-US" w:eastAsia="zh-CN"/>
              </w:rPr>
              <w:t>，本项目喷漆室工作过程中，在风机作用下废气经过</w:t>
            </w:r>
            <w:r>
              <w:rPr>
                <w:rFonts w:hint="eastAsia" w:ascii="Times New Roman" w:hAnsi="Times New Roman" w:cs="Times New Roman"/>
                <w:sz w:val="24"/>
                <w:szCs w:val="22"/>
                <w:lang w:val="en-US" w:eastAsia="zh-CN"/>
              </w:rPr>
              <w:t>过滤棉+活性炭</w:t>
            </w:r>
            <w:r>
              <w:rPr>
                <w:rFonts w:hint="default" w:ascii="Times New Roman" w:hAnsi="Times New Roman" w:cs="Times New Roman"/>
                <w:sz w:val="24"/>
                <w:szCs w:val="22"/>
                <w:lang w:val="en-US" w:eastAsia="zh-CN"/>
              </w:rPr>
              <w:t>吸附处理，项目喷漆室喷漆过程中维持负压状态，确保有机废气收集率达到90%，本项目喷漆室</w:t>
            </w:r>
            <w:r>
              <w:rPr>
                <w:rFonts w:hint="eastAsia" w:ascii="Times New Roman" w:hAnsi="Times New Roman" w:cs="Times New Roman"/>
                <w:sz w:val="24"/>
                <w:szCs w:val="22"/>
                <w:lang w:val="en-US" w:eastAsia="zh-CN"/>
              </w:rPr>
              <w:t>每天喷面漆</w:t>
            </w:r>
            <w:r>
              <w:rPr>
                <w:rFonts w:hint="default" w:ascii="Times New Roman" w:hAnsi="Times New Roman" w:cs="Times New Roman"/>
                <w:sz w:val="24"/>
                <w:szCs w:val="22"/>
                <w:lang w:val="en-US" w:eastAsia="zh-CN"/>
              </w:rPr>
              <w:t>约</w:t>
            </w:r>
            <w:r>
              <w:rPr>
                <w:rFonts w:hint="eastAsia" w:ascii="Times New Roman" w:hAnsi="Times New Roman" w:cs="Times New Roman"/>
                <w:sz w:val="24"/>
                <w:szCs w:val="22"/>
                <w:lang w:val="en-US" w:eastAsia="zh-CN"/>
              </w:rPr>
              <w:t>6</w:t>
            </w:r>
            <w:r>
              <w:rPr>
                <w:rFonts w:hint="default" w:ascii="Times New Roman" w:hAnsi="Times New Roman" w:cs="Times New Roman"/>
                <w:sz w:val="24"/>
                <w:szCs w:val="22"/>
                <w:lang w:val="en-US" w:eastAsia="zh-CN"/>
              </w:rPr>
              <w:t>0min。</w:t>
            </w:r>
          </w:p>
          <w:p>
            <w:pPr>
              <w:spacing w:line="360" w:lineRule="auto"/>
              <w:ind w:firstLine="489" w:firstLineChars="204"/>
              <w:rPr>
                <w:rFonts w:hint="eastAsia"/>
                <w:lang w:val="en-US" w:eastAsia="zh-CN"/>
              </w:rPr>
            </w:pPr>
            <w:r>
              <w:rPr>
                <w:rFonts w:hint="default" w:ascii="Times New Roman" w:hAnsi="Times New Roman" w:cs="Times New Roman"/>
                <w:sz w:val="24"/>
                <w:szCs w:val="22"/>
                <w:lang w:val="en-US" w:eastAsia="zh-CN"/>
              </w:rPr>
              <w:t>晾干：各部件经喷面漆后于喷漆室内各喷漆台原地进行自然表干，晾干时间约为</w:t>
            </w:r>
            <w:r>
              <w:rPr>
                <w:rFonts w:hint="eastAsia" w:ascii="Times New Roman" w:hAnsi="Times New Roman" w:cs="Times New Roman"/>
                <w:sz w:val="24"/>
                <w:szCs w:val="22"/>
                <w:lang w:val="en-US" w:eastAsia="zh-CN"/>
              </w:rPr>
              <w:t>60</w:t>
            </w:r>
            <w:r>
              <w:rPr>
                <w:rFonts w:hint="default" w:ascii="Times New Roman" w:hAnsi="Times New Roman" w:cs="Times New Roman"/>
                <w:sz w:val="24"/>
                <w:szCs w:val="22"/>
                <w:lang w:val="en-US" w:eastAsia="zh-CN"/>
              </w:rPr>
              <w:t>min，使工件表面底漆干燥、固化成膜。</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⑥检验入库</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待构件表面自然晾干后，人工检验合格后包装入库。</w:t>
            </w:r>
          </w:p>
          <w:p>
            <w:pPr>
              <w:spacing w:line="360" w:lineRule="auto"/>
              <w:ind w:firstLine="492" w:firstLineChars="204"/>
              <w:rPr>
                <w:rFonts w:hint="eastAsia" w:ascii="Times New Roman" w:hAnsi="Times New Roman" w:cs="Times New Roman"/>
                <w:b/>
                <w:bCs/>
                <w:sz w:val="24"/>
                <w:szCs w:val="22"/>
                <w:lang w:val="en-US" w:eastAsia="zh-CN"/>
              </w:rPr>
            </w:pPr>
            <w:r>
              <w:rPr>
                <w:rFonts w:hint="eastAsia" w:ascii="Times New Roman" w:hAnsi="Times New Roman" w:cs="Times New Roman"/>
                <w:b/>
                <w:bCs/>
                <w:sz w:val="24"/>
                <w:szCs w:val="22"/>
                <w:lang w:val="en-US" w:eastAsia="zh-CN"/>
              </w:rPr>
              <w:t>二、污染工序</w:t>
            </w:r>
          </w:p>
          <w:p>
            <w:pPr>
              <w:spacing w:line="360" w:lineRule="auto"/>
              <w:ind w:firstLine="489" w:firstLineChars="204"/>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项目生产过程中产污环节及污染物排放情况见表 5-1。</w:t>
            </w:r>
          </w:p>
          <w:p>
            <w:pPr>
              <w:pStyle w:val="52"/>
              <w:bidi w:val="0"/>
              <w:spacing w:line="240" w:lineRule="auto"/>
              <w:rPr>
                <w:rFonts w:hint="eastAsia"/>
              </w:rPr>
            </w:pPr>
            <w:r>
              <w:t>表5-1   生产排污节点及污染物排放情况表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617"/>
              <w:gridCol w:w="1471"/>
              <w:gridCol w:w="1314"/>
              <w:gridCol w:w="915"/>
              <w:gridCol w:w="2145"/>
              <w:gridCol w:w="1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561" w:type="dxa"/>
                  <w:noWrap w:val="0"/>
                  <w:vAlign w:val="center"/>
                </w:tcPr>
                <w:p>
                  <w:pPr>
                    <w:pStyle w:val="53"/>
                    <w:bidi w:val="0"/>
                    <w:spacing w:line="240" w:lineRule="auto"/>
                    <w:rPr>
                      <w:b w:val="0"/>
                      <w:bCs w:val="0"/>
                      <w:sz w:val="21"/>
                      <w:szCs w:val="21"/>
                      <w:lang w:val="fr-FR"/>
                    </w:rPr>
                  </w:pPr>
                  <w:r>
                    <w:rPr>
                      <w:b w:val="0"/>
                      <w:bCs w:val="0"/>
                      <w:sz w:val="21"/>
                      <w:szCs w:val="21"/>
                      <w:lang w:val="fr-FR"/>
                    </w:rPr>
                    <w:t>时期</w:t>
                  </w:r>
                </w:p>
              </w:tc>
              <w:tc>
                <w:tcPr>
                  <w:tcW w:w="622" w:type="dxa"/>
                  <w:noWrap w:val="0"/>
                  <w:vAlign w:val="center"/>
                </w:tcPr>
                <w:p>
                  <w:pPr>
                    <w:pStyle w:val="53"/>
                    <w:bidi w:val="0"/>
                    <w:spacing w:line="240" w:lineRule="auto"/>
                    <w:rPr>
                      <w:b w:val="0"/>
                      <w:bCs w:val="0"/>
                      <w:sz w:val="21"/>
                      <w:szCs w:val="21"/>
                      <w:lang w:val="fr-FR"/>
                    </w:rPr>
                  </w:pPr>
                  <w:r>
                    <w:rPr>
                      <w:b w:val="0"/>
                      <w:bCs w:val="0"/>
                      <w:sz w:val="21"/>
                      <w:szCs w:val="21"/>
                      <w:lang w:val="fr-FR"/>
                    </w:rPr>
                    <w:t>类别</w:t>
                  </w:r>
                </w:p>
              </w:tc>
              <w:tc>
                <w:tcPr>
                  <w:tcW w:w="1492" w:type="dxa"/>
                  <w:noWrap w:val="0"/>
                  <w:vAlign w:val="center"/>
                </w:tcPr>
                <w:p>
                  <w:pPr>
                    <w:pStyle w:val="53"/>
                    <w:bidi w:val="0"/>
                    <w:spacing w:line="240" w:lineRule="auto"/>
                    <w:rPr>
                      <w:b w:val="0"/>
                      <w:bCs w:val="0"/>
                      <w:sz w:val="21"/>
                      <w:szCs w:val="21"/>
                      <w:lang w:val="fr-FR"/>
                    </w:rPr>
                  </w:pPr>
                  <w:r>
                    <w:rPr>
                      <w:b w:val="0"/>
                      <w:bCs w:val="0"/>
                      <w:sz w:val="21"/>
                      <w:szCs w:val="21"/>
                      <w:lang w:val="fr-FR"/>
                    </w:rPr>
                    <w:t>产生环节</w:t>
                  </w:r>
                </w:p>
              </w:tc>
              <w:tc>
                <w:tcPr>
                  <w:tcW w:w="1323" w:type="dxa"/>
                  <w:noWrap w:val="0"/>
                  <w:vAlign w:val="center"/>
                </w:tcPr>
                <w:p>
                  <w:pPr>
                    <w:pStyle w:val="53"/>
                    <w:bidi w:val="0"/>
                    <w:spacing w:line="240" w:lineRule="auto"/>
                    <w:rPr>
                      <w:b w:val="0"/>
                      <w:bCs w:val="0"/>
                      <w:sz w:val="21"/>
                      <w:szCs w:val="21"/>
                      <w:lang w:val="fr-FR"/>
                    </w:rPr>
                  </w:pPr>
                  <w:r>
                    <w:rPr>
                      <w:b w:val="0"/>
                      <w:bCs w:val="0"/>
                      <w:sz w:val="21"/>
                      <w:szCs w:val="21"/>
                      <w:lang w:val="fr-FR"/>
                    </w:rPr>
                    <w:t>主要污染物</w:t>
                  </w:r>
                </w:p>
              </w:tc>
              <w:tc>
                <w:tcPr>
                  <w:tcW w:w="927" w:type="dxa"/>
                  <w:noWrap w:val="0"/>
                  <w:vAlign w:val="center"/>
                </w:tcPr>
                <w:p>
                  <w:pPr>
                    <w:pStyle w:val="53"/>
                    <w:bidi w:val="0"/>
                    <w:spacing w:line="240" w:lineRule="auto"/>
                    <w:rPr>
                      <w:b w:val="0"/>
                      <w:bCs w:val="0"/>
                      <w:sz w:val="21"/>
                      <w:szCs w:val="21"/>
                      <w:lang w:val="fr-FR"/>
                    </w:rPr>
                  </w:pPr>
                  <w:r>
                    <w:rPr>
                      <w:b w:val="0"/>
                      <w:bCs w:val="0"/>
                      <w:sz w:val="21"/>
                      <w:szCs w:val="21"/>
                      <w:lang w:val="fr-FR"/>
                    </w:rPr>
                    <w:t>产生特征</w:t>
                  </w:r>
                </w:p>
              </w:tc>
              <w:tc>
                <w:tcPr>
                  <w:tcW w:w="2182" w:type="dxa"/>
                  <w:noWrap w:val="0"/>
                  <w:vAlign w:val="center"/>
                </w:tcPr>
                <w:p>
                  <w:pPr>
                    <w:pStyle w:val="53"/>
                    <w:bidi w:val="0"/>
                    <w:spacing w:line="240" w:lineRule="auto"/>
                    <w:rPr>
                      <w:b w:val="0"/>
                      <w:bCs w:val="0"/>
                      <w:sz w:val="21"/>
                      <w:szCs w:val="21"/>
                      <w:lang w:val="fr-FR"/>
                    </w:rPr>
                  </w:pPr>
                  <w:r>
                    <w:rPr>
                      <w:b w:val="0"/>
                      <w:bCs w:val="0"/>
                      <w:sz w:val="21"/>
                      <w:szCs w:val="21"/>
                      <w:lang w:val="fr-FR"/>
                    </w:rPr>
                    <w:t>排放去向</w:t>
                  </w:r>
                </w:p>
              </w:tc>
              <w:tc>
                <w:tcPr>
                  <w:tcW w:w="1189" w:type="dxa"/>
                  <w:noWrap w:val="0"/>
                  <w:vAlign w:val="center"/>
                </w:tcPr>
                <w:p>
                  <w:pPr>
                    <w:pStyle w:val="53"/>
                    <w:bidi w:val="0"/>
                    <w:spacing w:line="240" w:lineRule="auto"/>
                    <w:rPr>
                      <w:b w:val="0"/>
                      <w:bCs w:val="0"/>
                      <w:sz w:val="21"/>
                      <w:szCs w:val="21"/>
                      <w:lang w:val="fr-FR"/>
                    </w:rPr>
                  </w:pPr>
                  <w:r>
                    <w:rPr>
                      <w:b w:val="0"/>
                      <w:bCs w:val="0"/>
                      <w:sz w:val="21"/>
                      <w:szCs w:val="21"/>
                      <w:lang w:val="fr-F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61" w:type="dxa"/>
                  <w:vMerge w:val="restart"/>
                  <w:noWrap w:val="0"/>
                  <w:vAlign w:val="center"/>
                </w:tcPr>
                <w:p>
                  <w:pPr>
                    <w:pStyle w:val="53"/>
                    <w:bidi w:val="0"/>
                    <w:spacing w:line="240" w:lineRule="auto"/>
                    <w:rPr>
                      <w:b w:val="0"/>
                      <w:bCs w:val="0"/>
                      <w:sz w:val="21"/>
                      <w:szCs w:val="21"/>
                      <w:lang w:val="fr-FR"/>
                    </w:rPr>
                  </w:pPr>
                  <w:r>
                    <w:rPr>
                      <w:b w:val="0"/>
                      <w:bCs w:val="0"/>
                      <w:sz w:val="21"/>
                      <w:szCs w:val="21"/>
                      <w:lang w:val="fr-FR"/>
                    </w:rPr>
                    <w:t>施工期</w:t>
                  </w:r>
                </w:p>
              </w:tc>
              <w:tc>
                <w:tcPr>
                  <w:tcW w:w="622" w:type="dxa"/>
                  <w:noWrap w:val="0"/>
                  <w:vAlign w:val="center"/>
                </w:tcPr>
                <w:p>
                  <w:pPr>
                    <w:pStyle w:val="53"/>
                    <w:bidi w:val="0"/>
                    <w:spacing w:line="240" w:lineRule="auto"/>
                    <w:rPr>
                      <w:b w:val="0"/>
                      <w:bCs w:val="0"/>
                      <w:sz w:val="21"/>
                      <w:szCs w:val="21"/>
                      <w:lang w:val="fr-FR"/>
                    </w:rPr>
                  </w:pPr>
                  <w:r>
                    <w:rPr>
                      <w:b w:val="0"/>
                      <w:bCs w:val="0"/>
                      <w:sz w:val="21"/>
                      <w:szCs w:val="21"/>
                      <w:lang w:val="fr-FR"/>
                    </w:rPr>
                    <w:t>废气</w:t>
                  </w:r>
                </w:p>
              </w:tc>
              <w:tc>
                <w:tcPr>
                  <w:tcW w:w="1492" w:type="dxa"/>
                  <w:noWrap w:val="0"/>
                  <w:vAlign w:val="center"/>
                </w:tcPr>
                <w:p>
                  <w:pPr>
                    <w:pStyle w:val="53"/>
                    <w:bidi w:val="0"/>
                    <w:spacing w:line="240" w:lineRule="auto"/>
                    <w:rPr>
                      <w:b w:val="0"/>
                      <w:bCs w:val="0"/>
                      <w:sz w:val="21"/>
                      <w:szCs w:val="21"/>
                      <w:lang w:val="fr-FR"/>
                    </w:rPr>
                  </w:pPr>
                  <w:r>
                    <w:rPr>
                      <w:b w:val="0"/>
                      <w:bCs w:val="0"/>
                      <w:sz w:val="21"/>
                      <w:szCs w:val="21"/>
                      <w:lang w:val="fr-FR"/>
                    </w:rPr>
                    <w:t>设备安装</w:t>
                  </w:r>
                </w:p>
              </w:tc>
              <w:tc>
                <w:tcPr>
                  <w:tcW w:w="1323" w:type="dxa"/>
                  <w:noWrap w:val="0"/>
                  <w:vAlign w:val="center"/>
                </w:tcPr>
                <w:p>
                  <w:pPr>
                    <w:pStyle w:val="53"/>
                    <w:bidi w:val="0"/>
                    <w:spacing w:line="240" w:lineRule="auto"/>
                    <w:rPr>
                      <w:b w:val="0"/>
                      <w:bCs w:val="0"/>
                      <w:sz w:val="21"/>
                      <w:szCs w:val="21"/>
                      <w:lang w:val="fr-FR"/>
                    </w:rPr>
                  </w:pPr>
                  <w:r>
                    <w:rPr>
                      <w:rFonts w:hint="eastAsia"/>
                      <w:b w:val="0"/>
                      <w:bCs w:val="0"/>
                      <w:sz w:val="21"/>
                      <w:szCs w:val="21"/>
                      <w:lang w:val="fr-FR" w:eastAsia="zh-CN"/>
                    </w:rPr>
                    <w:t>粉</w:t>
                  </w:r>
                  <w:r>
                    <w:rPr>
                      <w:b w:val="0"/>
                      <w:bCs w:val="0"/>
                      <w:sz w:val="21"/>
                      <w:szCs w:val="21"/>
                      <w:lang w:val="fr-FR"/>
                    </w:rPr>
                    <w:t>尘</w:t>
                  </w:r>
                </w:p>
              </w:tc>
              <w:tc>
                <w:tcPr>
                  <w:tcW w:w="927" w:type="dxa"/>
                  <w:noWrap w:val="0"/>
                  <w:vAlign w:val="center"/>
                </w:tcPr>
                <w:p>
                  <w:pPr>
                    <w:pStyle w:val="53"/>
                    <w:bidi w:val="0"/>
                    <w:spacing w:line="240" w:lineRule="auto"/>
                    <w:rPr>
                      <w:b w:val="0"/>
                      <w:bCs w:val="0"/>
                      <w:sz w:val="21"/>
                      <w:szCs w:val="21"/>
                      <w:lang w:val="fr-FR"/>
                    </w:rPr>
                  </w:pPr>
                  <w:r>
                    <w:rPr>
                      <w:b w:val="0"/>
                      <w:bCs w:val="0"/>
                      <w:sz w:val="21"/>
                      <w:szCs w:val="21"/>
                      <w:lang w:val="fr-FR"/>
                    </w:rPr>
                    <w:t>间断</w:t>
                  </w:r>
                </w:p>
              </w:tc>
              <w:tc>
                <w:tcPr>
                  <w:tcW w:w="2182" w:type="dxa"/>
                  <w:noWrap w:val="0"/>
                  <w:vAlign w:val="center"/>
                </w:tcPr>
                <w:p>
                  <w:pPr>
                    <w:pStyle w:val="53"/>
                    <w:bidi w:val="0"/>
                    <w:spacing w:line="240" w:lineRule="auto"/>
                    <w:rPr>
                      <w:b w:val="0"/>
                      <w:bCs w:val="0"/>
                      <w:sz w:val="21"/>
                      <w:szCs w:val="21"/>
                      <w:lang w:val="fr-FR"/>
                    </w:rPr>
                  </w:pPr>
                  <w:r>
                    <w:rPr>
                      <w:b w:val="0"/>
                      <w:bCs w:val="0"/>
                      <w:sz w:val="21"/>
                      <w:szCs w:val="21"/>
                      <w:lang w:val="fr-FR"/>
                    </w:rPr>
                    <w:t>大气环境</w:t>
                  </w:r>
                </w:p>
              </w:tc>
              <w:tc>
                <w:tcPr>
                  <w:tcW w:w="1189" w:type="dxa"/>
                  <w:noWrap w:val="0"/>
                  <w:vAlign w:val="center"/>
                </w:tcPr>
                <w:p>
                  <w:pPr>
                    <w:pStyle w:val="53"/>
                    <w:bidi w:val="0"/>
                    <w:spacing w:line="240" w:lineRule="auto"/>
                    <w:rPr>
                      <w:b w:val="0"/>
                      <w:bCs w:val="0"/>
                      <w:sz w:val="21"/>
                      <w:szCs w:val="21"/>
                      <w:lang w:val="fr-FR"/>
                    </w:rPr>
                  </w:pPr>
                  <w:r>
                    <w:rPr>
                      <w:b w:val="0"/>
                      <w:bCs w:val="0"/>
                      <w:sz w:val="21"/>
                      <w:szCs w:val="21"/>
                      <w:lang w:val="fr-FR"/>
                    </w:rPr>
                    <w:t>厂界达标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 w:type="dxa"/>
                  <w:vMerge w:val="continue"/>
                  <w:noWrap w:val="0"/>
                  <w:vAlign w:val="center"/>
                </w:tcPr>
                <w:p>
                  <w:pPr>
                    <w:pStyle w:val="53"/>
                    <w:bidi w:val="0"/>
                    <w:spacing w:line="240" w:lineRule="auto"/>
                    <w:rPr>
                      <w:b w:val="0"/>
                      <w:bCs w:val="0"/>
                      <w:sz w:val="21"/>
                      <w:szCs w:val="21"/>
                      <w:lang w:val="fr-FR"/>
                    </w:rPr>
                  </w:pPr>
                </w:p>
              </w:tc>
              <w:tc>
                <w:tcPr>
                  <w:tcW w:w="622" w:type="dxa"/>
                  <w:noWrap w:val="0"/>
                  <w:vAlign w:val="center"/>
                </w:tcPr>
                <w:p>
                  <w:pPr>
                    <w:pStyle w:val="53"/>
                    <w:bidi w:val="0"/>
                    <w:spacing w:line="240" w:lineRule="auto"/>
                    <w:rPr>
                      <w:b w:val="0"/>
                      <w:bCs w:val="0"/>
                      <w:sz w:val="21"/>
                      <w:szCs w:val="21"/>
                      <w:lang w:val="fr-FR"/>
                    </w:rPr>
                  </w:pPr>
                  <w:r>
                    <w:rPr>
                      <w:b w:val="0"/>
                      <w:bCs w:val="0"/>
                      <w:sz w:val="21"/>
                      <w:szCs w:val="21"/>
                      <w:lang w:val="fr-FR"/>
                    </w:rPr>
                    <w:t>噪声</w:t>
                  </w:r>
                </w:p>
              </w:tc>
              <w:tc>
                <w:tcPr>
                  <w:tcW w:w="1492" w:type="dxa"/>
                  <w:noWrap w:val="0"/>
                  <w:vAlign w:val="center"/>
                </w:tcPr>
                <w:p>
                  <w:pPr>
                    <w:pStyle w:val="53"/>
                    <w:bidi w:val="0"/>
                    <w:spacing w:line="240" w:lineRule="auto"/>
                    <w:rPr>
                      <w:b w:val="0"/>
                      <w:bCs w:val="0"/>
                      <w:sz w:val="21"/>
                      <w:szCs w:val="21"/>
                      <w:lang w:val="fr-FR"/>
                    </w:rPr>
                  </w:pPr>
                  <w:r>
                    <w:rPr>
                      <w:b w:val="0"/>
                      <w:bCs w:val="0"/>
                      <w:sz w:val="21"/>
                      <w:szCs w:val="21"/>
                      <w:lang w:val="fr-FR"/>
                    </w:rPr>
                    <w:t>设备安装</w:t>
                  </w:r>
                </w:p>
              </w:tc>
              <w:tc>
                <w:tcPr>
                  <w:tcW w:w="1323" w:type="dxa"/>
                  <w:noWrap w:val="0"/>
                  <w:vAlign w:val="center"/>
                </w:tcPr>
                <w:p>
                  <w:pPr>
                    <w:pStyle w:val="53"/>
                    <w:bidi w:val="0"/>
                    <w:spacing w:line="240" w:lineRule="auto"/>
                    <w:rPr>
                      <w:b w:val="0"/>
                      <w:bCs w:val="0"/>
                      <w:sz w:val="21"/>
                      <w:szCs w:val="21"/>
                      <w:lang w:val="fr-FR"/>
                    </w:rPr>
                  </w:pPr>
                  <w:r>
                    <w:rPr>
                      <w:b w:val="0"/>
                      <w:bCs w:val="0"/>
                      <w:sz w:val="21"/>
                      <w:szCs w:val="21"/>
                      <w:lang w:val="fr-FR"/>
                    </w:rPr>
                    <w:t>安装噪声</w:t>
                  </w:r>
                </w:p>
              </w:tc>
              <w:tc>
                <w:tcPr>
                  <w:tcW w:w="927" w:type="dxa"/>
                  <w:noWrap w:val="0"/>
                  <w:vAlign w:val="center"/>
                </w:tcPr>
                <w:p>
                  <w:pPr>
                    <w:pStyle w:val="53"/>
                    <w:bidi w:val="0"/>
                    <w:spacing w:line="240" w:lineRule="auto"/>
                    <w:rPr>
                      <w:b w:val="0"/>
                      <w:bCs w:val="0"/>
                      <w:sz w:val="21"/>
                      <w:szCs w:val="21"/>
                      <w:lang w:val="fr-FR"/>
                    </w:rPr>
                  </w:pPr>
                  <w:r>
                    <w:rPr>
                      <w:b w:val="0"/>
                      <w:bCs w:val="0"/>
                      <w:sz w:val="21"/>
                      <w:szCs w:val="21"/>
                      <w:lang w:val="fr-FR"/>
                    </w:rPr>
                    <w:t>间断</w:t>
                  </w:r>
                </w:p>
              </w:tc>
              <w:tc>
                <w:tcPr>
                  <w:tcW w:w="2182" w:type="dxa"/>
                  <w:noWrap w:val="0"/>
                  <w:vAlign w:val="center"/>
                </w:tcPr>
                <w:p>
                  <w:pPr>
                    <w:pStyle w:val="53"/>
                    <w:bidi w:val="0"/>
                    <w:spacing w:line="240" w:lineRule="auto"/>
                    <w:rPr>
                      <w:b w:val="0"/>
                      <w:bCs w:val="0"/>
                      <w:sz w:val="21"/>
                      <w:szCs w:val="21"/>
                      <w:lang w:val="fr-FR"/>
                    </w:rPr>
                  </w:pPr>
                  <w:r>
                    <w:rPr>
                      <w:b w:val="0"/>
                      <w:bCs w:val="0"/>
                      <w:sz w:val="21"/>
                      <w:szCs w:val="21"/>
                      <w:lang w:val="fr-FR"/>
                    </w:rPr>
                    <w:t>声环境</w:t>
                  </w:r>
                </w:p>
              </w:tc>
              <w:tc>
                <w:tcPr>
                  <w:tcW w:w="1189" w:type="dxa"/>
                  <w:noWrap w:val="0"/>
                  <w:vAlign w:val="center"/>
                </w:tcPr>
                <w:p>
                  <w:pPr>
                    <w:pStyle w:val="53"/>
                    <w:bidi w:val="0"/>
                    <w:spacing w:line="240" w:lineRule="auto"/>
                    <w:rPr>
                      <w:b w:val="0"/>
                      <w:bCs w:val="0"/>
                      <w:sz w:val="21"/>
                      <w:szCs w:val="21"/>
                      <w:lang w:val="fr-FR"/>
                    </w:rPr>
                  </w:pPr>
                  <w:r>
                    <w:rPr>
                      <w:b w:val="0"/>
                      <w:bCs w:val="0"/>
                      <w:sz w:val="21"/>
                      <w:szCs w:val="21"/>
                      <w:lang w:val="fr-FR"/>
                    </w:rPr>
                    <w:t>厂界达标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 w:type="dxa"/>
                  <w:vMerge w:val="restart"/>
                  <w:noWrap w:val="0"/>
                  <w:vAlign w:val="center"/>
                </w:tcPr>
                <w:p>
                  <w:pPr>
                    <w:pStyle w:val="53"/>
                    <w:bidi w:val="0"/>
                    <w:spacing w:line="240" w:lineRule="auto"/>
                    <w:rPr>
                      <w:b w:val="0"/>
                      <w:bCs w:val="0"/>
                      <w:sz w:val="21"/>
                      <w:szCs w:val="21"/>
                      <w:lang w:val="fr-FR"/>
                    </w:rPr>
                  </w:pPr>
                  <w:r>
                    <w:rPr>
                      <w:b w:val="0"/>
                      <w:bCs w:val="0"/>
                      <w:sz w:val="21"/>
                      <w:szCs w:val="21"/>
                      <w:lang w:val="fr-FR"/>
                    </w:rPr>
                    <w:t>运营期</w:t>
                  </w:r>
                </w:p>
              </w:tc>
              <w:tc>
                <w:tcPr>
                  <w:tcW w:w="622" w:type="dxa"/>
                  <w:vMerge w:val="restart"/>
                  <w:noWrap w:val="0"/>
                  <w:vAlign w:val="center"/>
                </w:tcPr>
                <w:p>
                  <w:pPr>
                    <w:pStyle w:val="53"/>
                    <w:bidi w:val="0"/>
                    <w:spacing w:line="240" w:lineRule="auto"/>
                    <w:rPr>
                      <w:b w:val="0"/>
                      <w:bCs w:val="0"/>
                      <w:sz w:val="21"/>
                      <w:szCs w:val="21"/>
                    </w:rPr>
                  </w:pPr>
                  <w:r>
                    <w:rPr>
                      <w:b w:val="0"/>
                      <w:bCs w:val="0"/>
                      <w:sz w:val="21"/>
                      <w:szCs w:val="21"/>
                    </w:rPr>
                    <w:t>废气</w:t>
                  </w:r>
                </w:p>
              </w:tc>
              <w:tc>
                <w:tcPr>
                  <w:tcW w:w="1492" w:type="dxa"/>
                  <w:noWrap w:val="0"/>
                  <w:vAlign w:val="center"/>
                </w:tcPr>
                <w:p>
                  <w:pPr>
                    <w:pStyle w:val="53"/>
                    <w:bidi w:val="0"/>
                    <w:spacing w:line="240" w:lineRule="auto"/>
                    <w:rPr>
                      <w:rFonts w:hint="eastAsia"/>
                      <w:b w:val="0"/>
                      <w:bCs w:val="0"/>
                      <w:sz w:val="21"/>
                      <w:szCs w:val="21"/>
                      <w:lang w:val="fr-FR" w:eastAsia="zh-CN"/>
                    </w:rPr>
                  </w:pPr>
                  <w:r>
                    <w:rPr>
                      <w:rFonts w:hint="eastAsia"/>
                      <w:b w:val="0"/>
                      <w:bCs w:val="0"/>
                      <w:sz w:val="21"/>
                      <w:szCs w:val="21"/>
                      <w:lang w:val="fr-FR" w:eastAsia="zh-CN"/>
                    </w:rPr>
                    <w:t>喷漆车间</w:t>
                  </w:r>
                </w:p>
              </w:tc>
              <w:tc>
                <w:tcPr>
                  <w:tcW w:w="1323"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VOCs、漆雾</w:t>
                  </w:r>
                </w:p>
              </w:tc>
              <w:tc>
                <w:tcPr>
                  <w:tcW w:w="927" w:type="dxa"/>
                  <w:noWrap w:val="0"/>
                  <w:vAlign w:val="center"/>
                </w:tcPr>
                <w:p>
                  <w:pPr>
                    <w:pStyle w:val="53"/>
                    <w:bidi w:val="0"/>
                    <w:spacing w:line="240" w:lineRule="auto"/>
                    <w:rPr>
                      <w:b w:val="0"/>
                      <w:bCs w:val="0"/>
                      <w:sz w:val="21"/>
                      <w:szCs w:val="21"/>
                      <w:lang w:val="fr-FR"/>
                    </w:rPr>
                  </w:pPr>
                  <w:r>
                    <w:rPr>
                      <w:b w:val="0"/>
                      <w:bCs w:val="0"/>
                      <w:sz w:val="21"/>
                      <w:szCs w:val="21"/>
                      <w:lang w:val="fr-FR"/>
                    </w:rPr>
                    <w:t>间断</w:t>
                  </w:r>
                </w:p>
              </w:tc>
              <w:tc>
                <w:tcPr>
                  <w:tcW w:w="2182"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fr-FR" w:eastAsia="zh-CN"/>
                    </w:rPr>
                    <w:t>过滤棉+活性炭吸附处理后从</w:t>
                  </w:r>
                  <w:r>
                    <w:rPr>
                      <w:rFonts w:hint="eastAsia"/>
                      <w:b w:val="0"/>
                      <w:bCs w:val="0"/>
                      <w:sz w:val="21"/>
                      <w:szCs w:val="21"/>
                      <w:lang w:val="en-US" w:eastAsia="zh-CN"/>
                    </w:rPr>
                    <w:t>15米高排气排放</w:t>
                  </w:r>
                </w:p>
              </w:tc>
              <w:tc>
                <w:tcPr>
                  <w:tcW w:w="1189" w:type="dxa"/>
                  <w:noWrap w:val="0"/>
                  <w:vAlign w:val="center"/>
                </w:tcPr>
                <w:p>
                  <w:pPr>
                    <w:pStyle w:val="53"/>
                    <w:bidi w:val="0"/>
                    <w:spacing w:line="240" w:lineRule="auto"/>
                    <w:rPr>
                      <w:rFonts w:hint="eastAsia"/>
                      <w:b w:val="0"/>
                      <w:bCs w:val="0"/>
                      <w:sz w:val="21"/>
                      <w:szCs w:val="21"/>
                      <w:lang w:val="fr-FR" w:eastAsia="zh-CN"/>
                    </w:rPr>
                  </w:pPr>
                  <w:r>
                    <w:rPr>
                      <w:rFonts w:hint="eastAsia"/>
                      <w:b w:val="0"/>
                      <w:bCs w:val="0"/>
                      <w:sz w:val="21"/>
                      <w:szCs w:val="21"/>
                      <w:lang w:val="fr-FR" w:eastAsia="zh-CN"/>
                    </w:rPr>
                    <w:t>达标排放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 w:type="dxa"/>
                  <w:vMerge w:val="continue"/>
                  <w:noWrap w:val="0"/>
                  <w:vAlign w:val="center"/>
                </w:tcPr>
                <w:p>
                  <w:pPr>
                    <w:pStyle w:val="53"/>
                    <w:bidi w:val="0"/>
                    <w:spacing w:line="240" w:lineRule="auto"/>
                    <w:rPr>
                      <w:b w:val="0"/>
                      <w:bCs w:val="0"/>
                      <w:sz w:val="21"/>
                      <w:szCs w:val="21"/>
                      <w:lang w:val="fr-FR"/>
                    </w:rPr>
                  </w:pPr>
                </w:p>
              </w:tc>
              <w:tc>
                <w:tcPr>
                  <w:tcW w:w="622" w:type="dxa"/>
                  <w:vMerge w:val="continue"/>
                  <w:noWrap w:val="0"/>
                  <w:vAlign w:val="center"/>
                </w:tcPr>
                <w:p>
                  <w:pPr>
                    <w:pStyle w:val="53"/>
                    <w:bidi w:val="0"/>
                    <w:spacing w:line="240" w:lineRule="auto"/>
                    <w:rPr>
                      <w:b w:val="0"/>
                      <w:bCs w:val="0"/>
                      <w:sz w:val="21"/>
                      <w:szCs w:val="21"/>
                      <w:lang w:val="fr-FR"/>
                    </w:rPr>
                  </w:pPr>
                </w:p>
              </w:tc>
              <w:tc>
                <w:tcPr>
                  <w:tcW w:w="1492" w:type="dxa"/>
                  <w:noWrap w:val="0"/>
                  <w:vAlign w:val="center"/>
                </w:tcPr>
                <w:p>
                  <w:pPr>
                    <w:pStyle w:val="53"/>
                    <w:bidi w:val="0"/>
                    <w:spacing w:line="240" w:lineRule="auto"/>
                    <w:rPr>
                      <w:rFonts w:hint="eastAsia"/>
                      <w:b w:val="0"/>
                      <w:bCs w:val="0"/>
                      <w:sz w:val="21"/>
                      <w:szCs w:val="21"/>
                      <w:lang w:val="fr-FR" w:eastAsia="zh-CN"/>
                    </w:rPr>
                  </w:pPr>
                  <w:r>
                    <w:rPr>
                      <w:rFonts w:hint="eastAsia"/>
                      <w:b w:val="0"/>
                      <w:bCs w:val="0"/>
                      <w:sz w:val="21"/>
                      <w:szCs w:val="21"/>
                      <w:lang w:val="fr-FR" w:eastAsia="zh-CN"/>
                    </w:rPr>
                    <w:t>切割、机加工、</w:t>
                  </w:r>
                </w:p>
                <w:p>
                  <w:pPr>
                    <w:pStyle w:val="53"/>
                    <w:bidi w:val="0"/>
                    <w:spacing w:line="240" w:lineRule="auto"/>
                    <w:rPr>
                      <w:rFonts w:hint="eastAsia"/>
                      <w:b w:val="0"/>
                      <w:bCs w:val="0"/>
                      <w:sz w:val="21"/>
                      <w:szCs w:val="21"/>
                      <w:lang w:val="fr-FR" w:eastAsia="zh-CN"/>
                    </w:rPr>
                  </w:pPr>
                  <w:r>
                    <w:rPr>
                      <w:rFonts w:hint="eastAsia"/>
                      <w:b w:val="0"/>
                      <w:bCs w:val="0"/>
                      <w:sz w:val="21"/>
                      <w:szCs w:val="21"/>
                      <w:lang w:val="fr-FR" w:eastAsia="zh-CN"/>
                    </w:rPr>
                    <w:t>焊接烟尘</w:t>
                  </w:r>
                </w:p>
              </w:tc>
              <w:tc>
                <w:tcPr>
                  <w:tcW w:w="1323" w:type="dxa"/>
                  <w:noWrap w:val="0"/>
                  <w:vAlign w:val="center"/>
                </w:tcPr>
                <w:p>
                  <w:pPr>
                    <w:pStyle w:val="53"/>
                    <w:bidi w:val="0"/>
                    <w:spacing w:line="240" w:lineRule="auto"/>
                    <w:rPr>
                      <w:rFonts w:hint="eastAsia"/>
                      <w:b w:val="0"/>
                      <w:bCs w:val="0"/>
                      <w:sz w:val="21"/>
                      <w:szCs w:val="21"/>
                      <w:lang w:val="fr-FR" w:eastAsia="zh-CN"/>
                    </w:rPr>
                  </w:pPr>
                  <w:r>
                    <w:rPr>
                      <w:rFonts w:hint="eastAsia"/>
                      <w:b w:val="0"/>
                      <w:bCs w:val="0"/>
                      <w:sz w:val="21"/>
                      <w:szCs w:val="21"/>
                      <w:lang w:val="fr-FR" w:eastAsia="zh-CN"/>
                    </w:rPr>
                    <w:t>烟尘</w:t>
                  </w:r>
                </w:p>
              </w:tc>
              <w:tc>
                <w:tcPr>
                  <w:tcW w:w="927" w:type="dxa"/>
                  <w:noWrap w:val="0"/>
                  <w:vAlign w:val="center"/>
                </w:tcPr>
                <w:p>
                  <w:pPr>
                    <w:pStyle w:val="53"/>
                    <w:bidi w:val="0"/>
                    <w:spacing w:line="240" w:lineRule="auto"/>
                    <w:rPr>
                      <w:b w:val="0"/>
                      <w:bCs w:val="0"/>
                      <w:sz w:val="21"/>
                      <w:szCs w:val="21"/>
                      <w:lang w:val="fr-FR"/>
                    </w:rPr>
                  </w:pPr>
                  <w:r>
                    <w:rPr>
                      <w:b w:val="0"/>
                      <w:bCs w:val="0"/>
                      <w:sz w:val="21"/>
                      <w:szCs w:val="21"/>
                      <w:lang w:val="fr-FR"/>
                    </w:rPr>
                    <w:t>间断</w:t>
                  </w:r>
                </w:p>
              </w:tc>
              <w:tc>
                <w:tcPr>
                  <w:tcW w:w="2182"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fr-FR" w:eastAsia="zh-CN"/>
                    </w:rPr>
                    <w:t>车间设置一台移动式烟尘净化器进行收集，剩余少量经过车间内自然沉降后从车间门窗以无组织形式排放</w:t>
                  </w:r>
                </w:p>
              </w:tc>
              <w:tc>
                <w:tcPr>
                  <w:tcW w:w="1189" w:type="dxa"/>
                  <w:noWrap w:val="0"/>
                  <w:vAlign w:val="center"/>
                </w:tcPr>
                <w:p>
                  <w:pPr>
                    <w:pStyle w:val="53"/>
                    <w:bidi w:val="0"/>
                    <w:spacing w:line="240" w:lineRule="auto"/>
                    <w:rPr>
                      <w:rFonts w:hint="eastAsia"/>
                      <w:b w:val="0"/>
                      <w:bCs w:val="0"/>
                      <w:sz w:val="21"/>
                      <w:szCs w:val="21"/>
                      <w:lang w:val="fr-FR" w:eastAsia="zh-CN"/>
                    </w:rPr>
                  </w:pPr>
                  <w:r>
                    <w:rPr>
                      <w:b w:val="0"/>
                      <w:bCs w:val="0"/>
                      <w:sz w:val="21"/>
                      <w:szCs w:val="21"/>
                      <w:lang w:val="fr-FR"/>
                    </w:rPr>
                    <w:t>达标</w:t>
                  </w:r>
                  <w:r>
                    <w:rPr>
                      <w:rFonts w:hint="eastAsia"/>
                      <w:b w:val="0"/>
                      <w:bCs w:val="0"/>
                      <w:sz w:val="21"/>
                      <w:szCs w:val="21"/>
                      <w:lang w:val="fr-FR" w:eastAsia="zh-CN"/>
                    </w:rPr>
                    <w:t>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 w:type="dxa"/>
                  <w:vMerge w:val="continue"/>
                  <w:noWrap w:val="0"/>
                  <w:vAlign w:val="center"/>
                </w:tcPr>
                <w:p>
                  <w:pPr>
                    <w:pStyle w:val="53"/>
                    <w:bidi w:val="0"/>
                    <w:spacing w:line="240" w:lineRule="auto"/>
                    <w:rPr>
                      <w:b w:val="0"/>
                      <w:bCs w:val="0"/>
                      <w:sz w:val="21"/>
                      <w:szCs w:val="21"/>
                      <w:lang w:val="fr-FR"/>
                    </w:rPr>
                  </w:pPr>
                </w:p>
              </w:tc>
              <w:tc>
                <w:tcPr>
                  <w:tcW w:w="622" w:type="dxa"/>
                  <w:vMerge w:val="restart"/>
                  <w:noWrap w:val="0"/>
                  <w:vAlign w:val="center"/>
                </w:tcPr>
                <w:p>
                  <w:pPr>
                    <w:pStyle w:val="53"/>
                    <w:bidi w:val="0"/>
                    <w:spacing w:line="240" w:lineRule="auto"/>
                    <w:rPr>
                      <w:b w:val="0"/>
                      <w:bCs w:val="0"/>
                      <w:sz w:val="21"/>
                      <w:szCs w:val="21"/>
                      <w:lang w:val="fr-FR"/>
                    </w:rPr>
                  </w:pPr>
                  <w:r>
                    <w:rPr>
                      <w:b w:val="0"/>
                      <w:bCs w:val="0"/>
                      <w:sz w:val="21"/>
                      <w:szCs w:val="21"/>
                      <w:lang w:val="fr-FR"/>
                    </w:rPr>
                    <w:t>固体废弃物</w:t>
                  </w:r>
                </w:p>
              </w:tc>
              <w:tc>
                <w:tcPr>
                  <w:tcW w:w="1492" w:type="dxa"/>
                  <w:noWrap w:val="0"/>
                  <w:vAlign w:val="center"/>
                </w:tcPr>
                <w:p>
                  <w:pPr>
                    <w:pStyle w:val="53"/>
                    <w:bidi w:val="0"/>
                    <w:spacing w:line="240" w:lineRule="auto"/>
                    <w:rPr>
                      <w:rFonts w:hint="eastAsia"/>
                      <w:b w:val="0"/>
                      <w:bCs w:val="0"/>
                      <w:sz w:val="21"/>
                      <w:szCs w:val="21"/>
                      <w:lang w:val="fr-FR" w:eastAsia="zh-CN"/>
                    </w:rPr>
                  </w:pPr>
                  <w:r>
                    <w:rPr>
                      <w:rFonts w:hint="eastAsia"/>
                      <w:b w:val="0"/>
                      <w:bCs w:val="0"/>
                      <w:sz w:val="21"/>
                      <w:szCs w:val="21"/>
                      <w:lang w:val="fr-FR" w:eastAsia="zh-CN"/>
                    </w:rPr>
                    <w:t>切割边角料、焊渣</w:t>
                  </w:r>
                </w:p>
              </w:tc>
              <w:tc>
                <w:tcPr>
                  <w:tcW w:w="1323" w:type="dxa"/>
                  <w:noWrap w:val="0"/>
                  <w:vAlign w:val="center"/>
                </w:tcPr>
                <w:p>
                  <w:pPr>
                    <w:pStyle w:val="53"/>
                    <w:bidi w:val="0"/>
                    <w:spacing w:line="240" w:lineRule="auto"/>
                    <w:rPr>
                      <w:b w:val="0"/>
                      <w:bCs w:val="0"/>
                      <w:sz w:val="21"/>
                      <w:szCs w:val="21"/>
                      <w:lang w:val="fr-FR"/>
                    </w:rPr>
                  </w:pPr>
                  <w:r>
                    <w:rPr>
                      <w:rFonts w:hint="eastAsia"/>
                      <w:b w:val="0"/>
                      <w:bCs w:val="0"/>
                      <w:sz w:val="21"/>
                      <w:szCs w:val="21"/>
                      <w:lang w:val="fr-FR" w:eastAsia="zh-CN"/>
                    </w:rPr>
                    <w:t>钢材</w:t>
                  </w:r>
                  <w:r>
                    <w:rPr>
                      <w:b w:val="0"/>
                      <w:bCs w:val="0"/>
                      <w:sz w:val="21"/>
                      <w:szCs w:val="21"/>
                      <w:lang w:val="fr-FR"/>
                    </w:rPr>
                    <w:t>边角废料</w:t>
                  </w:r>
                </w:p>
              </w:tc>
              <w:tc>
                <w:tcPr>
                  <w:tcW w:w="927" w:type="dxa"/>
                  <w:noWrap w:val="0"/>
                  <w:vAlign w:val="center"/>
                </w:tcPr>
                <w:p>
                  <w:pPr>
                    <w:pStyle w:val="53"/>
                    <w:bidi w:val="0"/>
                    <w:spacing w:line="240" w:lineRule="auto"/>
                    <w:rPr>
                      <w:b w:val="0"/>
                      <w:bCs w:val="0"/>
                      <w:sz w:val="21"/>
                      <w:szCs w:val="21"/>
                      <w:lang w:val="fr-FR"/>
                    </w:rPr>
                  </w:pPr>
                  <w:r>
                    <w:rPr>
                      <w:b w:val="0"/>
                      <w:bCs w:val="0"/>
                      <w:sz w:val="21"/>
                      <w:szCs w:val="21"/>
                      <w:lang w:val="fr-FR"/>
                    </w:rPr>
                    <w:t>间断</w:t>
                  </w:r>
                </w:p>
              </w:tc>
              <w:tc>
                <w:tcPr>
                  <w:tcW w:w="2182" w:type="dxa"/>
                  <w:noWrap w:val="0"/>
                  <w:vAlign w:val="center"/>
                </w:tcPr>
                <w:p>
                  <w:pPr>
                    <w:pStyle w:val="53"/>
                    <w:bidi w:val="0"/>
                    <w:spacing w:line="240" w:lineRule="auto"/>
                    <w:rPr>
                      <w:rFonts w:hint="eastAsia"/>
                      <w:b w:val="0"/>
                      <w:bCs w:val="0"/>
                      <w:sz w:val="21"/>
                      <w:szCs w:val="21"/>
                      <w:lang w:val="fr-FR" w:eastAsia="zh-CN"/>
                    </w:rPr>
                  </w:pPr>
                  <w:r>
                    <w:rPr>
                      <w:b w:val="0"/>
                      <w:bCs w:val="0"/>
                      <w:sz w:val="21"/>
                      <w:szCs w:val="21"/>
                      <w:lang w:val="fr-FR"/>
                    </w:rPr>
                    <w:t>固废暂存点暂存，</w:t>
                  </w:r>
                  <w:r>
                    <w:rPr>
                      <w:rFonts w:hint="eastAsia"/>
                      <w:b w:val="0"/>
                      <w:bCs w:val="0"/>
                      <w:sz w:val="21"/>
                      <w:szCs w:val="21"/>
                      <w:lang w:val="fr-FR" w:eastAsia="zh-CN"/>
                    </w:rPr>
                    <w:t>收集后外售</w:t>
                  </w:r>
                </w:p>
              </w:tc>
              <w:tc>
                <w:tcPr>
                  <w:tcW w:w="1189" w:type="dxa"/>
                  <w:noWrap w:val="0"/>
                  <w:vAlign w:val="center"/>
                </w:tcPr>
                <w:p>
                  <w:pPr>
                    <w:pStyle w:val="53"/>
                    <w:bidi w:val="0"/>
                    <w:spacing w:line="240" w:lineRule="auto"/>
                    <w:rPr>
                      <w:b w:val="0"/>
                      <w:bCs w:val="0"/>
                      <w:sz w:val="21"/>
                      <w:szCs w:val="21"/>
                      <w:lang w:val="fr-FR"/>
                    </w:rPr>
                  </w:pPr>
                  <w:r>
                    <w:rPr>
                      <w:b w:val="0"/>
                      <w:bCs w:val="0"/>
                      <w:sz w:val="21"/>
                      <w:szCs w:val="21"/>
                      <w:lang w:val="fr-FR"/>
                    </w:rPr>
                    <w:t>一般固废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 w:type="dxa"/>
                  <w:vMerge w:val="continue"/>
                  <w:noWrap w:val="0"/>
                  <w:vAlign w:val="center"/>
                </w:tcPr>
                <w:p>
                  <w:pPr>
                    <w:pStyle w:val="53"/>
                    <w:bidi w:val="0"/>
                    <w:spacing w:line="240" w:lineRule="auto"/>
                    <w:rPr>
                      <w:b w:val="0"/>
                      <w:bCs w:val="0"/>
                      <w:sz w:val="21"/>
                      <w:szCs w:val="21"/>
                      <w:lang w:val="fr-FR"/>
                    </w:rPr>
                  </w:pPr>
                </w:p>
              </w:tc>
              <w:tc>
                <w:tcPr>
                  <w:tcW w:w="622" w:type="dxa"/>
                  <w:vMerge w:val="continue"/>
                  <w:noWrap w:val="0"/>
                  <w:vAlign w:val="center"/>
                </w:tcPr>
                <w:p>
                  <w:pPr>
                    <w:pStyle w:val="53"/>
                    <w:bidi w:val="0"/>
                    <w:spacing w:line="240" w:lineRule="auto"/>
                    <w:rPr>
                      <w:b w:val="0"/>
                      <w:bCs w:val="0"/>
                      <w:sz w:val="21"/>
                      <w:szCs w:val="21"/>
                      <w:lang w:val="fr-FR"/>
                    </w:rPr>
                  </w:pPr>
                </w:p>
              </w:tc>
              <w:tc>
                <w:tcPr>
                  <w:tcW w:w="1492" w:type="dxa"/>
                  <w:noWrap w:val="0"/>
                  <w:vAlign w:val="center"/>
                </w:tcPr>
                <w:p>
                  <w:pPr>
                    <w:pStyle w:val="53"/>
                    <w:bidi w:val="0"/>
                    <w:spacing w:line="240" w:lineRule="auto"/>
                    <w:rPr>
                      <w:rFonts w:hint="eastAsia"/>
                      <w:b w:val="0"/>
                      <w:bCs w:val="0"/>
                      <w:sz w:val="21"/>
                      <w:szCs w:val="21"/>
                      <w:lang w:val="fr-FR" w:eastAsia="zh-CN"/>
                    </w:rPr>
                  </w:pPr>
                  <w:r>
                    <w:rPr>
                      <w:rFonts w:hint="eastAsia"/>
                      <w:b w:val="0"/>
                      <w:bCs w:val="0"/>
                      <w:sz w:val="21"/>
                      <w:szCs w:val="21"/>
                      <w:lang w:val="fr-FR" w:eastAsia="zh-CN"/>
                    </w:rPr>
                    <w:t>废弃包装材料</w:t>
                  </w:r>
                </w:p>
              </w:tc>
              <w:tc>
                <w:tcPr>
                  <w:tcW w:w="1323" w:type="dxa"/>
                  <w:noWrap w:val="0"/>
                  <w:vAlign w:val="center"/>
                </w:tcPr>
                <w:p>
                  <w:pPr>
                    <w:pStyle w:val="53"/>
                    <w:bidi w:val="0"/>
                    <w:spacing w:line="240" w:lineRule="auto"/>
                    <w:rPr>
                      <w:rFonts w:hint="eastAsia"/>
                      <w:b w:val="0"/>
                      <w:bCs w:val="0"/>
                      <w:sz w:val="21"/>
                      <w:szCs w:val="21"/>
                      <w:lang w:val="fr-FR" w:eastAsia="zh-CN"/>
                    </w:rPr>
                  </w:pPr>
                  <w:r>
                    <w:rPr>
                      <w:rFonts w:hint="eastAsia"/>
                      <w:b w:val="0"/>
                      <w:bCs w:val="0"/>
                      <w:sz w:val="21"/>
                      <w:szCs w:val="21"/>
                      <w:lang w:val="fr-FR" w:eastAsia="zh-CN"/>
                    </w:rPr>
                    <w:t>废弃包装材料</w:t>
                  </w:r>
                </w:p>
              </w:tc>
              <w:tc>
                <w:tcPr>
                  <w:tcW w:w="927" w:type="dxa"/>
                  <w:noWrap w:val="0"/>
                  <w:vAlign w:val="center"/>
                </w:tcPr>
                <w:p>
                  <w:pPr>
                    <w:pStyle w:val="53"/>
                    <w:bidi w:val="0"/>
                    <w:spacing w:line="240" w:lineRule="auto"/>
                    <w:rPr>
                      <w:b w:val="0"/>
                      <w:bCs w:val="0"/>
                      <w:sz w:val="21"/>
                      <w:szCs w:val="21"/>
                      <w:lang w:val="fr-FR"/>
                    </w:rPr>
                  </w:pPr>
                  <w:r>
                    <w:rPr>
                      <w:b w:val="0"/>
                      <w:bCs w:val="0"/>
                      <w:sz w:val="21"/>
                      <w:szCs w:val="21"/>
                      <w:lang w:val="fr-FR"/>
                    </w:rPr>
                    <w:t>间断</w:t>
                  </w:r>
                </w:p>
              </w:tc>
              <w:tc>
                <w:tcPr>
                  <w:tcW w:w="2182" w:type="dxa"/>
                  <w:noWrap w:val="0"/>
                  <w:vAlign w:val="center"/>
                </w:tcPr>
                <w:p>
                  <w:pPr>
                    <w:pStyle w:val="53"/>
                    <w:bidi w:val="0"/>
                    <w:spacing w:line="240" w:lineRule="auto"/>
                    <w:rPr>
                      <w:rFonts w:hint="eastAsia"/>
                      <w:b w:val="0"/>
                      <w:bCs w:val="0"/>
                      <w:sz w:val="21"/>
                      <w:szCs w:val="21"/>
                      <w:lang w:val="fr-FR" w:eastAsia="zh-CN"/>
                    </w:rPr>
                  </w:pPr>
                  <w:r>
                    <w:rPr>
                      <w:b w:val="0"/>
                      <w:bCs w:val="0"/>
                      <w:sz w:val="21"/>
                      <w:szCs w:val="21"/>
                      <w:lang w:val="fr-FR"/>
                    </w:rPr>
                    <w:t>固废暂存点暂存，收集后外</w:t>
                  </w:r>
                  <w:r>
                    <w:rPr>
                      <w:rFonts w:hint="eastAsia"/>
                      <w:b w:val="0"/>
                      <w:bCs w:val="0"/>
                      <w:sz w:val="21"/>
                      <w:szCs w:val="21"/>
                      <w:lang w:val="fr-FR" w:eastAsia="zh-CN"/>
                    </w:rPr>
                    <w:t>售</w:t>
                  </w:r>
                </w:p>
              </w:tc>
              <w:tc>
                <w:tcPr>
                  <w:tcW w:w="1189" w:type="dxa"/>
                  <w:noWrap w:val="0"/>
                  <w:vAlign w:val="center"/>
                </w:tcPr>
                <w:p>
                  <w:pPr>
                    <w:pStyle w:val="53"/>
                    <w:bidi w:val="0"/>
                    <w:spacing w:line="240" w:lineRule="auto"/>
                    <w:rPr>
                      <w:b w:val="0"/>
                      <w:bCs w:val="0"/>
                      <w:sz w:val="21"/>
                      <w:szCs w:val="21"/>
                      <w:lang w:val="fr-FR"/>
                    </w:rPr>
                  </w:pPr>
                  <w:r>
                    <w:rPr>
                      <w:b w:val="0"/>
                      <w:bCs w:val="0"/>
                      <w:sz w:val="21"/>
                      <w:szCs w:val="21"/>
                      <w:lang w:val="fr-FR"/>
                    </w:rPr>
                    <w:t>一般固废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 w:type="dxa"/>
                  <w:vMerge w:val="continue"/>
                  <w:noWrap w:val="0"/>
                  <w:vAlign w:val="center"/>
                </w:tcPr>
                <w:p>
                  <w:pPr>
                    <w:pStyle w:val="53"/>
                    <w:bidi w:val="0"/>
                    <w:spacing w:line="240" w:lineRule="auto"/>
                    <w:rPr>
                      <w:b w:val="0"/>
                      <w:bCs w:val="0"/>
                      <w:sz w:val="21"/>
                      <w:szCs w:val="21"/>
                      <w:lang w:val="fr-FR"/>
                    </w:rPr>
                  </w:pPr>
                </w:p>
              </w:tc>
              <w:tc>
                <w:tcPr>
                  <w:tcW w:w="622" w:type="dxa"/>
                  <w:vMerge w:val="continue"/>
                  <w:noWrap w:val="0"/>
                  <w:vAlign w:val="center"/>
                </w:tcPr>
                <w:p>
                  <w:pPr>
                    <w:pStyle w:val="53"/>
                    <w:bidi w:val="0"/>
                    <w:spacing w:line="240" w:lineRule="auto"/>
                    <w:rPr>
                      <w:b w:val="0"/>
                      <w:bCs w:val="0"/>
                      <w:sz w:val="21"/>
                      <w:szCs w:val="21"/>
                      <w:lang w:val="fr-FR"/>
                    </w:rPr>
                  </w:pPr>
                </w:p>
              </w:tc>
              <w:tc>
                <w:tcPr>
                  <w:tcW w:w="1492" w:type="dxa"/>
                  <w:noWrap w:val="0"/>
                  <w:vAlign w:val="center"/>
                </w:tcPr>
                <w:p>
                  <w:pPr>
                    <w:pStyle w:val="53"/>
                    <w:bidi w:val="0"/>
                    <w:spacing w:line="240" w:lineRule="auto"/>
                    <w:rPr>
                      <w:rFonts w:hint="eastAsia"/>
                      <w:b w:val="0"/>
                      <w:bCs w:val="0"/>
                      <w:sz w:val="21"/>
                      <w:szCs w:val="21"/>
                      <w:lang w:val="fr-FR" w:eastAsia="zh-CN"/>
                    </w:rPr>
                  </w:pPr>
                  <w:r>
                    <w:rPr>
                      <w:rFonts w:hint="eastAsia"/>
                      <w:b w:val="0"/>
                      <w:bCs w:val="0"/>
                      <w:sz w:val="21"/>
                      <w:szCs w:val="21"/>
                      <w:lang w:val="fr-FR" w:eastAsia="zh-CN"/>
                    </w:rPr>
                    <w:t>过滤棉+活性炭吸附装置</w:t>
                  </w:r>
                </w:p>
              </w:tc>
              <w:tc>
                <w:tcPr>
                  <w:tcW w:w="1323" w:type="dxa"/>
                  <w:noWrap w:val="0"/>
                  <w:vAlign w:val="center"/>
                </w:tcPr>
                <w:p>
                  <w:pPr>
                    <w:pStyle w:val="53"/>
                    <w:bidi w:val="0"/>
                    <w:spacing w:line="240" w:lineRule="auto"/>
                    <w:rPr>
                      <w:rFonts w:hint="eastAsia"/>
                      <w:b w:val="0"/>
                      <w:bCs w:val="0"/>
                      <w:sz w:val="21"/>
                      <w:szCs w:val="21"/>
                      <w:lang w:val="fr-FR" w:eastAsia="zh-CN"/>
                    </w:rPr>
                  </w:pPr>
                  <w:r>
                    <w:rPr>
                      <w:rFonts w:hint="eastAsia"/>
                      <w:b w:val="0"/>
                      <w:bCs w:val="0"/>
                      <w:sz w:val="21"/>
                      <w:szCs w:val="21"/>
                      <w:lang w:val="fr-FR" w:eastAsia="zh-CN"/>
                    </w:rPr>
                    <w:t>废过滤棉、废活性炭</w:t>
                  </w:r>
                </w:p>
              </w:tc>
              <w:tc>
                <w:tcPr>
                  <w:tcW w:w="927" w:type="dxa"/>
                  <w:noWrap w:val="0"/>
                  <w:vAlign w:val="center"/>
                </w:tcPr>
                <w:p>
                  <w:pPr>
                    <w:pStyle w:val="53"/>
                    <w:bidi w:val="0"/>
                    <w:spacing w:line="240" w:lineRule="auto"/>
                    <w:rPr>
                      <w:b w:val="0"/>
                      <w:bCs w:val="0"/>
                      <w:sz w:val="21"/>
                      <w:szCs w:val="21"/>
                      <w:lang w:val="fr-FR"/>
                    </w:rPr>
                  </w:pPr>
                  <w:r>
                    <w:rPr>
                      <w:b w:val="0"/>
                      <w:bCs w:val="0"/>
                      <w:sz w:val="21"/>
                      <w:szCs w:val="21"/>
                      <w:lang w:val="fr-FR"/>
                    </w:rPr>
                    <w:t>间断</w:t>
                  </w:r>
                </w:p>
              </w:tc>
              <w:tc>
                <w:tcPr>
                  <w:tcW w:w="2182" w:type="dxa"/>
                  <w:noWrap w:val="0"/>
                  <w:vAlign w:val="center"/>
                </w:tcPr>
                <w:p>
                  <w:pPr>
                    <w:pStyle w:val="53"/>
                    <w:bidi w:val="0"/>
                    <w:spacing w:line="240" w:lineRule="auto"/>
                    <w:rPr>
                      <w:rFonts w:hint="eastAsia"/>
                      <w:b w:val="0"/>
                      <w:bCs w:val="0"/>
                      <w:sz w:val="21"/>
                      <w:szCs w:val="21"/>
                      <w:lang w:val="fr-FR" w:eastAsia="zh-CN"/>
                    </w:rPr>
                  </w:pPr>
                  <w:r>
                    <w:rPr>
                      <w:rFonts w:hint="eastAsia"/>
                      <w:b w:val="0"/>
                      <w:bCs w:val="0"/>
                      <w:sz w:val="21"/>
                      <w:szCs w:val="21"/>
                      <w:lang w:val="fr-FR" w:eastAsia="zh-CN"/>
                    </w:rPr>
                    <w:t>暂存于危废暂存间，</w:t>
                  </w:r>
                  <w:r>
                    <w:rPr>
                      <w:rFonts w:hint="eastAsia"/>
                      <w:b w:val="0"/>
                      <w:bCs w:val="0"/>
                      <w:sz w:val="21"/>
                      <w:szCs w:val="21"/>
                      <w:lang w:eastAsia="zh-CN"/>
                    </w:rPr>
                    <w:t>交由有资质的单位进行处理</w:t>
                  </w:r>
                </w:p>
              </w:tc>
              <w:tc>
                <w:tcPr>
                  <w:tcW w:w="1189" w:type="dxa"/>
                  <w:noWrap w:val="0"/>
                  <w:vAlign w:val="center"/>
                </w:tcPr>
                <w:p>
                  <w:pPr>
                    <w:pStyle w:val="53"/>
                    <w:bidi w:val="0"/>
                    <w:spacing w:line="240" w:lineRule="auto"/>
                    <w:rPr>
                      <w:b w:val="0"/>
                      <w:bCs w:val="0"/>
                      <w:sz w:val="21"/>
                      <w:szCs w:val="21"/>
                      <w:lang w:val="fr-FR"/>
                    </w:rPr>
                  </w:pPr>
                  <w:r>
                    <w:rPr>
                      <w:rFonts w:hint="eastAsia"/>
                      <w:b w:val="0"/>
                      <w:bCs w:val="0"/>
                      <w:sz w:val="21"/>
                      <w:szCs w:val="21"/>
                      <w:lang w:val="fr-FR" w:eastAsia="zh-CN"/>
                    </w:rPr>
                    <w:t>危险</w:t>
                  </w:r>
                  <w:r>
                    <w:rPr>
                      <w:b w:val="0"/>
                      <w:bCs w:val="0"/>
                      <w:sz w:val="21"/>
                      <w:szCs w:val="21"/>
                      <w:lang w:val="fr-FR"/>
                    </w:rPr>
                    <w:t>固废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 w:type="dxa"/>
                  <w:vMerge w:val="continue"/>
                  <w:noWrap w:val="0"/>
                  <w:vAlign w:val="center"/>
                </w:tcPr>
                <w:p>
                  <w:pPr>
                    <w:pStyle w:val="53"/>
                    <w:bidi w:val="0"/>
                    <w:spacing w:line="240" w:lineRule="auto"/>
                    <w:rPr>
                      <w:b w:val="0"/>
                      <w:bCs w:val="0"/>
                      <w:sz w:val="21"/>
                      <w:szCs w:val="21"/>
                      <w:lang w:val="fr-FR"/>
                    </w:rPr>
                  </w:pPr>
                </w:p>
              </w:tc>
              <w:tc>
                <w:tcPr>
                  <w:tcW w:w="622" w:type="dxa"/>
                  <w:vMerge w:val="continue"/>
                  <w:noWrap w:val="0"/>
                  <w:vAlign w:val="center"/>
                </w:tcPr>
                <w:p>
                  <w:pPr>
                    <w:pStyle w:val="53"/>
                    <w:bidi w:val="0"/>
                    <w:spacing w:line="240" w:lineRule="auto"/>
                    <w:rPr>
                      <w:b w:val="0"/>
                      <w:bCs w:val="0"/>
                      <w:sz w:val="21"/>
                      <w:szCs w:val="21"/>
                      <w:lang w:val="fr-FR"/>
                    </w:rPr>
                  </w:pPr>
                </w:p>
              </w:tc>
              <w:tc>
                <w:tcPr>
                  <w:tcW w:w="1492" w:type="dxa"/>
                  <w:noWrap w:val="0"/>
                  <w:vAlign w:val="center"/>
                </w:tcPr>
                <w:p>
                  <w:pPr>
                    <w:pStyle w:val="53"/>
                    <w:bidi w:val="0"/>
                    <w:spacing w:line="240" w:lineRule="auto"/>
                    <w:rPr>
                      <w:rFonts w:hint="eastAsia"/>
                      <w:b w:val="0"/>
                      <w:bCs w:val="0"/>
                      <w:sz w:val="21"/>
                      <w:szCs w:val="21"/>
                      <w:lang w:val="fr-FR" w:eastAsia="zh-CN"/>
                    </w:rPr>
                  </w:pPr>
                  <w:r>
                    <w:rPr>
                      <w:rFonts w:hint="eastAsia"/>
                      <w:b w:val="0"/>
                      <w:bCs w:val="0"/>
                      <w:sz w:val="21"/>
                      <w:szCs w:val="21"/>
                      <w:lang w:val="fr-FR" w:eastAsia="zh-CN"/>
                    </w:rPr>
                    <w:t>设备维护</w:t>
                  </w:r>
                </w:p>
              </w:tc>
              <w:tc>
                <w:tcPr>
                  <w:tcW w:w="1323" w:type="dxa"/>
                  <w:noWrap w:val="0"/>
                  <w:vAlign w:val="center"/>
                </w:tcPr>
                <w:p>
                  <w:pPr>
                    <w:pStyle w:val="53"/>
                    <w:bidi w:val="0"/>
                    <w:spacing w:line="240" w:lineRule="auto"/>
                    <w:rPr>
                      <w:rFonts w:hint="eastAsia"/>
                      <w:b w:val="0"/>
                      <w:bCs w:val="0"/>
                      <w:sz w:val="21"/>
                      <w:szCs w:val="21"/>
                      <w:lang w:val="fr-FR" w:eastAsia="zh-CN"/>
                    </w:rPr>
                  </w:pPr>
                  <w:r>
                    <w:rPr>
                      <w:rFonts w:hint="eastAsia"/>
                      <w:b w:val="0"/>
                      <w:bCs w:val="0"/>
                      <w:sz w:val="21"/>
                      <w:szCs w:val="21"/>
                      <w:lang w:val="fr-FR" w:eastAsia="zh-CN"/>
                    </w:rPr>
                    <w:t>废机油</w:t>
                  </w:r>
                </w:p>
              </w:tc>
              <w:tc>
                <w:tcPr>
                  <w:tcW w:w="927" w:type="dxa"/>
                  <w:noWrap w:val="0"/>
                  <w:vAlign w:val="center"/>
                </w:tcPr>
                <w:p>
                  <w:pPr>
                    <w:pStyle w:val="53"/>
                    <w:bidi w:val="0"/>
                    <w:spacing w:line="240" w:lineRule="auto"/>
                    <w:rPr>
                      <w:b w:val="0"/>
                      <w:bCs w:val="0"/>
                      <w:sz w:val="21"/>
                      <w:szCs w:val="21"/>
                      <w:lang w:val="fr-FR"/>
                    </w:rPr>
                  </w:pPr>
                  <w:r>
                    <w:rPr>
                      <w:b w:val="0"/>
                      <w:bCs w:val="0"/>
                      <w:sz w:val="21"/>
                      <w:szCs w:val="21"/>
                      <w:lang w:val="fr-FR"/>
                    </w:rPr>
                    <w:t>间断</w:t>
                  </w:r>
                </w:p>
              </w:tc>
              <w:tc>
                <w:tcPr>
                  <w:tcW w:w="2182" w:type="dxa"/>
                  <w:noWrap w:val="0"/>
                  <w:vAlign w:val="center"/>
                </w:tcPr>
                <w:p>
                  <w:pPr>
                    <w:pStyle w:val="53"/>
                    <w:bidi w:val="0"/>
                    <w:spacing w:line="240" w:lineRule="auto"/>
                    <w:rPr>
                      <w:b w:val="0"/>
                      <w:bCs w:val="0"/>
                      <w:sz w:val="21"/>
                      <w:szCs w:val="21"/>
                      <w:lang w:val="fr-FR"/>
                    </w:rPr>
                  </w:pPr>
                  <w:r>
                    <w:rPr>
                      <w:b w:val="0"/>
                      <w:bCs w:val="0"/>
                      <w:sz w:val="21"/>
                      <w:szCs w:val="21"/>
                      <w:lang w:val="fr-FR"/>
                    </w:rPr>
                    <w:t>危废暂存间暂存，定期交由有资质的单位进行处置</w:t>
                  </w:r>
                </w:p>
              </w:tc>
              <w:tc>
                <w:tcPr>
                  <w:tcW w:w="1189" w:type="dxa"/>
                  <w:noWrap w:val="0"/>
                  <w:vAlign w:val="center"/>
                </w:tcPr>
                <w:p>
                  <w:pPr>
                    <w:pStyle w:val="53"/>
                    <w:bidi w:val="0"/>
                    <w:spacing w:line="240" w:lineRule="auto"/>
                    <w:rPr>
                      <w:b w:val="0"/>
                      <w:bCs w:val="0"/>
                      <w:sz w:val="21"/>
                      <w:szCs w:val="21"/>
                      <w:lang w:val="fr-FR"/>
                    </w:rPr>
                  </w:pPr>
                  <w:r>
                    <w:rPr>
                      <w:b w:val="0"/>
                      <w:bCs w:val="0"/>
                      <w:sz w:val="21"/>
                      <w:szCs w:val="21"/>
                      <w:lang w:val="fr-FR"/>
                    </w:rPr>
                    <w:t>危险固废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 w:type="dxa"/>
                  <w:vMerge w:val="continue"/>
                  <w:noWrap w:val="0"/>
                  <w:vAlign w:val="center"/>
                </w:tcPr>
                <w:p>
                  <w:pPr>
                    <w:pStyle w:val="53"/>
                    <w:bidi w:val="0"/>
                    <w:spacing w:line="240" w:lineRule="auto"/>
                    <w:rPr>
                      <w:b w:val="0"/>
                      <w:bCs w:val="0"/>
                      <w:sz w:val="21"/>
                      <w:szCs w:val="21"/>
                      <w:lang w:val="fr-FR"/>
                    </w:rPr>
                  </w:pPr>
                </w:p>
              </w:tc>
              <w:tc>
                <w:tcPr>
                  <w:tcW w:w="622" w:type="dxa"/>
                  <w:vMerge w:val="continue"/>
                  <w:noWrap w:val="0"/>
                  <w:vAlign w:val="center"/>
                </w:tcPr>
                <w:p>
                  <w:pPr>
                    <w:pStyle w:val="53"/>
                    <w:bidi w:val="0"/>
                    <w:spacing w:line="240" w:lineRule="auto"/>
                    <w:rPr>
                      <w:b w:val="0"/>
                      <w:bCs w:val="0"/>
                      <w:sz w:val="21"/>
                      <w:szCs w:val="21"/>
                      <w:lang w:val="fr-FR"/>
                    </w:rPr>
                  </w:pPr>
                </w:p>
              </w:tc>
              <w:tc>
                <w:tcPr>
                  <w:tcW w:w="1492" w:type="dxa"/>
                  <w:noWrap w:val="0"/>
                  <w:vAlign w:val="center"/>
                </w:tcPr>
                <w:p>
                  <w:pPr>
                    <w:pStyle w:val="53"/>
                    <w:bidi w:val="0"/>
                    <w:spacing w:line="240" w:lineRule="auto"/>
                    <w:rPr>
                      <w:rFonts w:hint="eastAsia"/>
                      <w:b w:val="0"/>
                      <w:bCs w:val="0"/>
                      <w:sz w:val="21"/>
                      <w:szCs w:val="21"/>
                      <w:lang w:val="fr-FR" w:eastAsia="zh-CN"/>
                    </w:rPr>
                  </w:pPr>
                  <w:r>
                    <w:rPr>
                      <w:rFonts w:hint="eastAsia"/>
                      <w:b w:val="0"/>
                      <w:bCs w:val="0"/>
                      <w:sz w:val="21"/>
                      <w:szCs w:val="21"/>
                      <w:lang w:val="fr-FR" w:eastAsia="zh-CN"/>
                    </w:rPr>
                    <w:t>喷漆车间</w:t>
                  </w:r>
                </w:p>
              </w:tc>
              <w:tc>
                <w:tcPr>
                  <w:tcW w:w="1323" w:type="dxa"/>
                  <w:noWrap w:val="0"/>
                  <w:vAlign w:val="center"/>
                </w:tcPr>
                <w:p>
                  <w:pPr>
                    <w:pStyle w:val="53"/>
                    <w:bidi w:val="0"/>
                    <w:spacing w:line="240" w:lineRule="auto"/>
                    <w:rPr>
                      <w:rFonts w:hint="eastAsia"/>
                      <w:b w:val="0"/>
                      <w:bCs w:val="0"/>
                      <w:sz w:val="21"/>
                      <w:szCs w:val="21"/>
                      <w:lang w:val="fr-FR" w:eastAsia="zh-CN"/>
                    </w:rPr>
                  </w:pPr>
                  <w:r>
                    <w:rPr>
                      <w:rFonts w:hint="eastAsia"/>
                      <w:b w:val="0"/>
                      <w:bCs w:val="0"/>
                      <w:sz w:val="21"/>
                      <w:szCs w:val="21"/>
                      <w:lang w:val="fr-FR" w:eastAsia="zh-CN"/>
                    </w:rPr>
                    <w:t>废原料桶</w:t>
                  </w:r>
                </w:p>
              </w:tc>
              <w:tc>
                <w:tcPr>
                  <w:tcW w:w="927" w:type="dxa"/>
                  <w:noWrap w:val="0"/>
                  <w:vAlign w:val="center"/>
                </w:tcPr>
                <w:p>
                  <w:pPr>
                    <w:pStyle w:val="53"/>
                    <w:bidi w:val="0"/>
                    <w:spacing w:line="240" w:lineRule="auto"/>
                    <w:rPr>
                      <w:b w:val="0"/>
                      <w:bCs w:val="0"/>
                      <w:sz w:val="21"/>
                      <w:szCs w:val="21"/>
                      <w:lang w:val="fr-FR"/>
                    </w:rPr>
                  </w:pPr>
                  <w:r>
                    <w:rPr>
                      <w:b w:val="0"/>
                      <w:bCs w:val="0"/>
                      <w:sz w:val="21"/>
                      <w:szCs w:val="21"/>
                      <w:lang w:val="fr-FR"/>
                    </w:rPr>
                    <w:t>间断</w:t>
                  </w:r>
                </w:p>
              </w:tc>
              <w:tc>
                <w:tcPr>
                  <w:tcW w:w="2182" w:type="dxa"/>
                  <w:noWrap w:val="0"/>
                  <w:vAlign w:val="center"/>
                </w:tcPr>
                <w:p>
                  <w:pPr>
                    <w:pStyle w:val="53"/>
                    <w:bidi w:val="0"/>
                    <w:spacing w:line="240" w:lineRule="auto"/>
                    <w:rPr>
                      <w:rFonts w:hint="eastAsia"/>
                      <w:b w:val="0"/>
                      <w:bCs w:val="0"/>
                      <w:sz w:val="21"/>
                      <w:szCs w:val="21"/>
                      <w:lang w:val="fr-FR" w:eastAsia="zh-CN"/>
                    </w:rPr>
                  </w:pPr>
                  <w:r>
                    <w:rPr>
                      <w:rFonts w:hint="eastAsia"/>
                      <w:b w:val="0"/>
                      <w:bCs w:val="0"/>
                      <w:sz w:val="21"/>
                      <w:szCs w:val="21"/>
                      <w:lang w:val="fr-FR" w:eastAsia="zh-CN"/>
                    </w:rPr>
                    <w:t>收集后暂存于危废暂存间，交由有资质的单位进行处理</w:t>
                  </w:r>
                </w:p>
              </w:tc>
              <w:tc>
                <w:tcPr>
                  <w:tcW w:w="1189" w:type="dxa"/>
                  <w:noWrap w:val="0"/>
                  <w:vAlign w:val="center"/>
                </w:tcPr>
                <w:p>
                  <w:pPr>
                    <w:pStyle w:val="53"/>
                    <w:bidi w:val="0"/>
                    <w:spacing w:line="240" w:lineRule="auto"/>
                    <w:rPr>
                      <w:b w:val="0"/>
                      <w:bCs w:val="0"/>
                      <w:sz w:val="21"/>
                      <w:szCs w:val="21"/>
                      <w:lang w:val="fr-FR"/>
                    </w:rPr>
                  </w:pPr>
                  <w:r>
                    <w:rPr>
                      <w:rFonts w:hint="eastAsia"/>
                      <w:b w:val="0"/>
                      <w:bCs w:val="0"/>
                      <w:sz w:val="21"/>
                      <w:szCs w:val="21"/>
                      <w:lang w:val="fr-FR" w:eastAsia="zh-CN"/>
                    </w:rPr>
                    <w:t>危险</w:t>
                  </w:r>
                  <w:r>
                    <w:rPr>
                      <w:b w:val="0"/>
                      <w:bCs w:val="0"/>
                      <w:sz w:val="21"/>
                      <w:szCs w:val="21"/>
                      <w:lang w:val="fr-FR"/>
                    </w:rPr>
                    <w:t>固废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 w:type="dxa"/>
                  <w:vMerge w:val="continue"/>
                  <w:noWrap w:val="0"/>
                  <w:vAlign w:val="center"/>
                </w:tcPr>
                <w:p>
                  <w:pPr>
                    <w:pStyle w:val="53"/>
                    <w:bidi w:val="0"/>
                    <w:spacing w:line="240" w:lineRule="auto"/>
                    <w:rPr>
                      <w:b w:val="0"/>
                      <w:bCs w:val="0"/>
                      <w:sz w:val="21"/>
                      <w:szCs w:val="21"/>
                      <w:lang w:val="fr-FR"/>
                    </w:rPr>
                  </w:pPr>
                </w:p>
              </w:tc>
              <w:tc>
                <w:tcPr>
                  <w:tcW w:w="622" w:type="dxa"/>
                  <w:vMerge w:val="continue"/>
                  <w:noWrap w:val="0"/>
                  <w:vAlign w:val="center"/>
                </w:tcPr>
                <w:p>
                  <w:pPr>
                    <w:pStyle w:val="53"/>
                    <w:bidi w:val="0"/>
                    <w:spacing w:line="240" w:lineRule="auto"/>
                    <w:rPr>
                      <w:b w:val="0"/>
                      <w:bCs w:val="0"/>
                      <w:sz w:val="21"/>
                      <w:szCs w:val="21"/>
                      <w:lang w:val="fr-FR"/>
                    </w:rPr>
                  </w:pPr>
                </w:p>
              </w:tc>
              <w:tc>
                <w:tcPr>
                  <w:tcW w:w="1492" w:type="dxa"/>
                  <w:noWrap w:val="0"/>
                  <w:vAlign w:val="center"/>
                </w:tcPr>
                <w:p>
                  <w:pPr>
                    <w:pStyle w:val="53"/>
                    <w:bidi w:val="0"/>
                    <w:spacing w:line="240" w:lineRule="auto"/>
                    <w:rPr>
                      <w:rFonts w:hint="eastAsia"/>
                      <w:b w:val="0"/>
                      <w:bCs w:val="0"/>
                      <w:sz w:val="21"/>
                      <w:szCs w:val="21"/>
                      <w:lang w:val="fr-FR" w:eastAsia="zh-CN"/>
                    </w:rPr>
                  </w:pPr>
                  <w:r>
                    <w:rPr>
                      <w:rFonts w:hint="eastAsia"/>
                      <w:b w:val="0"/>
                      <w:bCs w:val="0"/>
                      <w:sz w:val="21"/>
                      <w:szCs w:val="21"/>
                      <w:lang w:val="fr-FR" w:eastAsia="zh-CN"/>
                    </w:rPr>
                    <w:t>职工生活</w:t>
                  </w:r>
                </w:p>
              </w:tc>
              <w:tc>
                <w:tcPr>
                  <w:tcW w:w="1323" w:type="dxa"/>
                  <w:noWrap w:val="0"/>
                  <w:vAlign w:val="center"/>
                </w:tcPr>
                <w:p>
                  <w:pPr>
                    <w:pStyle w:val="53"/>
                    <w:bidi w:val="0"/>
                    <w:spacing w:line="240" w:lineRule="auto"/>
                    <w:rPr>
                      <w:b w:val="0"/>
                      <w:bCs w:val="0"/>
                      <w:sz w:val="21"/>
                      <w:szCs w:val="21"/>
                      <w:lang w:val="fr-FR"/>
                    </w:rPr>
                  </w:pPr>
                  <w:r>
                    <w:rPr>
                      <w:b w:val="0"/>
                      <w:bCs w:val="0"/>
                      <w:sz w:val="21"/>
                      <w:szCs w:val="21"/>
                      <w:lang w:val="fr-FR"/>
                    </w:rPr>
                    <w:t>生活垃圾</w:t>
                  </w:r>
                </w:p>
              </w:tc>
              <w:tc>
                <w:tcPr>
                  <w:tcW w:w="927" w:type="dxa"/>
                  <w:noWrap w:val="0"/>
                  <w:vAlign w:val="center"/>
                </w:tcPr>
                <w:p>
                  <w:pPr>
                    <w:pStyle w:val="53"/>
                    <w:bidi w:val="0"/>
                    <w:spacing w:line="240" w:lineRule="auto"/>
                    <w:rPr>
                      <w:b w:val="0"/>
                      <w:bCs w:val="0"/>
                      <w:sz w:val="21"/>
                      <w:szCs w:val="21"/>
                      <w:lang w:val="fr-FR"/>
                    </w:rPr>
                  </w:pPr>
                  <w:r>
                    <w:rPr>
                      <w:b w:val="0"/>
                      <w:bCs w:val="0"/>
                      <w:sz w:val="21"/>
                      <w:szCs w:val="21"/>
                      <w:lang w:val="fr-FR"/>
                    </w:rPr>
                    <w:t>间断</w:t>
                  </w:r>
                </w:p>
              </w:tc>
              <w:tc>
                <w:tcPr>
                  <w:tcW w:w="2182" w:type="dxa"/>
                  <w:noWrap w:val="0"/>
                  <w:vAlign w:val="center"/>
                </w:tcPr>
                <w:p>
                  <w:pPr>
                    <w:pStyle w:val="53"/>
                    <w:bidi w:val="0"/>
                    <w:spacing w:line="240" w:lineRule="auto"/>
                    <w:rPr>
                      <w:rFonts w:hint="eastAsia"/>
                      <w:b w:val="0"/>
                      <w:bCs w:val="0"/>
                      <w:sz w:val="21"/>
                      <w:szCs w:val="21"/>
                      <w:lang w:val="fr-FR" w:eastAsia="zh-CN"/>
                    </w:rPr>
                  </w:pPr>
                  <w:r>
                    <w:rPr>
                      <w:rFonts w:hint="eastAsia"/>
                      <w:b w:val="0"/>
                      <w:bCs w:val="0"/>
                      <w:sz w:val="21"/>
                      <w:szCs w:val="21"/>
                      <w:lang w:val="fr-FR" w:eastAsia="zh-CN"/>
                    </w:rPr>
                    <w:t>环卫部门处理</w:t>
                  </w:r>
                </w:p>
              </w:tc>
              <w:tc>
                <w:tcPr>
                  <w:tcW w:w="1189" w:type="dxa"/>
                  <w:noWrap w:val="0"/>
                  <w:vAlign w:val="center"/>
                </w:tcPr>
                <w:p>
                  <w:pPr>
                    <w:pStyle w:val="53"/>
                    <w:bidi w:val="0"/>
                    <w:spacing w:line="240" w:lineRule="auto"/>
                    <w:rPr>
                      <w:b w:val="0"/>
                      <w:bCs w:val="0"/>
                      <w:sz w:val="21"/>
                      <w:szCs w:val="21"/>
                      <w:lang w:val="fr-FR"/>
                    </w:rPr>
                  </w:pPr>
                  <w:r>
                    <w:rPr>
                      <w:b w:val="0"/>
                      <w:bCs w:val="0"/>
                      <w:sz w:val="21"/>
                      <w:szCs w:val="21"/>
                      <w:lang w:val="fr-FR"/>
                    </w:rPr>
                    <w:t>一般固废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 w:type="dxa"/>
                  <w:vMerge w:val="continue"/>
                  <w:noWrap w:val="0"/>
                  <w:vAlign w:val="center"/>
                </w:tcPr>
                <w:p>
                  <w:pPr>
                    <w:pStyle w:val="53"/>
                    <w:bidi w:val="0"/>
                    <w:spacing w:line="240" w:lineRule="auto"/>
                    <w:rPr>
                      <w:b w:val="0"/>
                      <w:bCs w:val="0"/>
                      <w:sz w:val="21"/>
                      <w:szCs w:val="21"/>
                      <w:lang w:val="fr-FR"/>
                    </w:rPr>
                  </w:pPr>
                </w:p>
              </w:tc>
              <w:tc>
                <w:tcPr>
                  <w:tcW w:w="622" w:type="dxa"/>
                  <w:noWrap w:val="0"/>
                  <w:vAlign w:val="center"/>
                </w:tcPr>
                <w:p>
                  <w:pPr>
                    <w:pStyle w:val="53"/>
                    <w:bidi w:val="0"/>
                    <w:spacing w:line="240" w:lineRule="auto"/>
                    <w:rPr>
                      <w:b w:val="0"/>
                      <w:bCs w:val="0"/>
                      <w:sz w:val="21"/>
                      <w:szCs w:val="21"/>
                      <w:lang w:val="fr-FR"/>
                    </w:rPr>
                  </w:pPr>
                  <w:r>
                    <w:rPr>
                      <w:b w:val="0"/>
                      <w:bCs w:val="0"/>
                      <w:sz w:val="21"/>
                      <w:szCs w:val="21"/>
                      <w:lang w:val="fr-FR"/>
                    </w:rPr>
                    <w:t>噪声</w:t>
                  </w:r>
                </w:p>
              </w:tc>
              <w:tc>
                <w:tcPr>
                  <w:tcW w:w="1492" w:type="dxa"/>
                  <w:noWrap w:val="0"/>
                  <w:vAlign w:val="center"/>
                </w:tcPr>
                <w:p>
                  <w:pPr>
                    <w:pStyle w:val="53"/>
                    <w:bidi w:val="0"/>
                    <w:spacing w:line="240" w:lineRule="auto"/>
                    <w:rPr>
                      <w:b w:val="0"/>
                      <w:bCs w:val="0"/>
                      <w:sz w:val="21"/>
                      <w:szCs w:val="21"/>
                      <w:lang w:val="fr-FR"/>
                    </w:rPr>
                  </w:pPr>
                  <w:r>
                    <w:rPr>
                      <w:b w:val="0"/>
                      <w:bCs w:val="0"/>
                      <w:sz w:val="21"/>
                      <w:szCs w:val="21"/>
                      <w:lang w:val="fr-FR"/>
                    </w:rPr>
                    <w:t>各类生产设备、风机等</w:t>
                  </w:r>
                </w:p>
              </w:tc>
              <w:tc>
                <w:tcPr>
                  <w:tcW w:w="1323" w:type="dxa"/>
                  <w:noWrap w:val="0"/>
                  <w:vAlign w:val="center"/>
                </w:tcPr>
                <w:p>
                  <w:pPr>
                    <w:pStyle w:val="53"/>
                    <w:bidi w:val="0"/>
                    <w:spacing w:line="240" w:lineRule="auto"/>
                    <w:rPr>
                      <w:b w:val="0"/>
                      <w:bCs w:val="0"/>
                      <w:sz w:val="21"/>
                      <w:szCs w:val="21"/>
                      <w:lang w:val="fr-FR"/>
                    </w:rPr>
                  </w:pPr>
                  <w:r>
                    <w:rPr>
                      <w:b w:val="0"/>
                      <w:bCs w:val="0"/>
                      <w:sz w:val="21"/>
                      <w:szCs w:val="21"/>
                      <w:lang w:val="fr-FR"/>
                    </w:rPr>
                    <w:t>机械噪声</w:t>
                  </w:r>
                </w:p>
              </w:tc>
              <w:tc>
                <w:tcPr>
                  <w:tcW w:w="927" w:type="dxa"/>
                  <w:noWrap w:val="0"/>
                  <w:vAlign w:val="center"/>
                </w:tcPr>
                <w:p>
                  <w:pPr>
                    <w:pStyle w:val="53"/>
                    <w:bidi w:val="0"/>
                    <w:spacing w:line="240" w:lineRule="auto"/>
                    <w:rPr>
                      <w:b w:val="0"/>
                      <w:bCs w:val="0"/>
                      <w:sz w:val="21"/>
                      <w:szCs w:val="21"/>
                      <w:lang w:val="fr-FR"/>
                    </w:rPr>
                  </w:pPr>
                  <w:r>
                    <w:rPr>
                      <w:b w:val="0"/>
                      <w:bCs w:val="0"/>
                      <w:sz w:val="21"/>
                      <w:szCs w:val="21"/>
                      <w:lang w:val="fr-FR"/>
                    </w:rPr>
                    <w:t>间断</w:t>
                  </w:r>
                </w:p>
              </w:tc>
              <w:tc>
                <w:tcPr>
                  <w:tcW w:w="2182" w:type="dxa"/>
                  <w:noWrap w:val="0"/>
                  <w:vAlign w:val="center"/>
                </w:tcPr>
                <w:p>
                  <w:pPr>
                    <w:pStyle w:val="53"/>
                    <w:bidi w:val="0"/>
                    <w:spacing w:line="240" w:lineRule="auto"/>
                    <w:rPr>
                      <w:b w:val="0"/>
                      <w:bCs w:val="0"/>
                      <w:sz w:val="21"/>
                      <w:szCs w:val="21"/>
                      <w:lang w:val="fr-FR"/>
                    </w:rPr>
                  </w:pPr>
                  <w:r>
                    <w:rPr>
                      <w:b w:val="0"/>
                      <w:bCs w:val="0"/>
                      <w:sz w:val="21"/>
                      <w:szCs w:val="21"/>
                      <w:lang w:val="fr-FR"/>
                    </w:rPr>
                    <w:t>声环境</w:t>
                  </w:r>
                </w:p>
              </w:tc>
              <w:tc>
                <w:tcPr>
                  <w:tcW w:w="1189" w:type="dxa"/>
                  <w:noWrap w:val="0"/>
                  <w:vAlign w:val="center"/>
                </w:tcPr>
                <w:p>
                  <w:pPr>
                    <w:pStyle w:val="53"/>
                    <w:bidi w:val="0"/>
                    <w:spacing w:line="240" w:lineRule="auto"/>
                    <w:rPr>
                      <w:b w:val="0"/>
                      <w:bCs w:val="0"/>
                      <w:sz w:val="21"/>
                      <w:szCs w:val="21"/>
                      <w:lang w:val="fr-FR"/>
                    </w:rPr>
                  </w:pPr>
                  <w:r>
                    <w:rPr>
                      <w:b w:val="0"/>
                      <w:bCs w:val="0"/>
                      <w:sz w:val="21"/>
                      <w:szCs w:val="21"/>
                      <w:lang w:val="fr-FR"/>
                    </w:rPr>
                    <w:t>厂界达标</w:t>
                  </w:r>
                </w:p>
              </w:tc>
            </w:tr>
          </w:tbl>
          <w:p>
            <w:pPr>
              <w:tabs>
                <w:tab w:val="left" w:pos="3255"/>
              </w:tabs>
              <w:spacing w:line="360" w:lineRule="auto"/>
              <w:ind w:left="0" w:leftChars="0" w:firstLine="0" w:firstLineChars="0"/>
              <w:rPr>
                <w:rFonts w:hint="default"/>
                <w:b/>
                <w:bCs/>
                <w:sz w:val="24"/>
                <w:szCs w:val="22"/>
              </w:rPr>
            </w:pPr>
            <w:r>
              <w:rPr>
                <w:rFonts w:hint="eastAsia"/>
                <w:b/>
                <w:bCs/>
                <w:sz w:val="24"/>
                <w:szCs w:val="22"/>
                <w:lang w:eastAsia="zh-CN"/>
              </w:rPr>
              <w:t>三</w:t>
            </w:r>
            <w:r>
              <w:rPr>
                <w:rFonts w:hint="default"/>
                <w:b/>
                <w:bCs/>
                <w:sz w:val="24"/>
                <w:szCs w:val="22"/>
              </w:rPr>
              <w:t>、项目</w:t>
            </w:r>
            <w:r>
              <w:rPr>
                <w:rFonts w:hint="eastAsia" w:ascii="Times New Roman" w:hAnsi="Times New Roman" w:cs="Times New Roman"/>
                <w:b/>
                <w:bCs/>
                <w:sz w:val="24"/>
                <w:szCs w:val="22"/>
                <w:lang w:val="en-US" w:eastAsia="zh-CN"/>
              </w:rPr>
              <w:t>运营期</w:t>
            </w:r>
            <w:r>
              <w:rPr>
                <w:rFonts w:hint="default"/>
                <w:b/>
                <w:bCs/>
                <w:sz w:val="24"/>
                <w:szCs w:val="22"/>
              </w:rPr>
              <w:t>污染物排放情况</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项目营运期的环境影响因素从废气、废水、噪声、</w:t>
            </w:r>
            <w:r>
              <w:rPr>
                <w:rFonts w:hint="eastAsia" w:ascii="Times New Roman" w:hAnsi="Times New Roman" w:cs="Times New Roman"/>
                <w:sz w:val="24"/>
                <w:szCs w:val="22"/>
                <w:lang w:val="en-US" w:eastAsia="zh-CN"/>
              </w:rPr>
              <w:t>固体废物</w:t>
            </w:r>
            <w:r>
              <w:rPr>
                <w:rFonts w:hint="default" w:ascii="Times New Roman" w:hAnsi="Times New Roman" w:cs="Times New Roman"/>
                <w:sz w:val="24"/>
                <w:szCs w:val="22"/>
                <w:lang w:val="en-US" w:eastAsia="zh-CN"/>
              </w:rPr>
              <w:t>等方面展开分析。</w:t>
            </w:r>
          </w:p>
          <w:p>
            <w:pPr>
              <w:spacing w:line="360" w:lineRule="auto"/>
              <w:ind w:firstLine="492" w:firstLineChars="204"/>
              <w:rPr>
                <w:rFonts w:hint="default" w:ascii="Times New Roman" w:hAnsi="Times New Roman" w:cs="Times New Roman"/>
                <w:b/>
                <w:bCs/>
                <w:sz w:val="24"/>
                <w:szCs w:val="22"/>
                <w:lang w:val="en-US" w:eastAsia="zh-CN"/>
              </w:rPr>
            </w:pPr>
            <w:r>
              <w:rPr>
                <w:rFonts w:hint="default" w:ascii="Times New Roman" w:hAnsi="Times New Roman" w:cs="Times New Roman"/>
                <w:b/>
                <w:bCs/>
                <w:sz w:val="24"/>
                <w:szCs w:val="22"/>
                <w:lang w:val="en-US" w:eastAsia="zh-CN"/>
              </w:rPr>
              <w:t>1、废气</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项目运营期产生的废气污染物主要为喷漆工序产生的有机废气和颗粒物（漆雾）、焊接工序产生焊接烟尘、机加工过程产生的金属粉尘以及食堂油烟。</w:t>
            </w:r>
          </w:p>
          <w:p>
            <w:pPr>
              <w:spacing w:line="360" w:lineRule="auto"/>
              <w:ind w:firstLine="492" w:firstLineChars="204"/>
              <w:rPr>
                <w:rFonts w:hint="default" w:ascii="Times New Roman" w:hAnsi="Times New Roman" w:cs="Times New Roman"/>
                <w:b/>
                <w:bCs/>
                <w:sz w:val="24"/>
                <w:szCs w:val="22"/>
                <w:lang w:val="en-US" w:eastAsia="zh-CN"/>
              </w:rPr>
            </w:pPr>
            <w:r>
              <w:rPr>
                <w:rFonts w:hint="default" w:ascii="Times New Roman" w:hAnsi="Times New Roman" w:cs="Times New Roman"/>
                <w:b/>
                <w:bCs/>
                <w:sz w:val="24"/>
                <w:szCs w:val="22"/>
                <w:lang w:val="en-US" w:eastAsia="zh-CN"/>
              </w:rPr>
              <w:t>（1）烟尘</w:t>
            </w:r>
          </w:p>
          <w:p>
            <w:pPr>
              <w:spacing w:line="360" w:lineRule="auto"/>
              <w:ind w:firstLine="489" w:firstLineChars="204"/>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① 切割烟尘</w:t>
            </w:r>
          </w:p>
          <w:p>
            <w:pPr>
              <w:spacing w:line="360" w:lineRule="auto"/>
              <w:ind w:firstLine="489" w:firstLineChars="204"/>
              <w:rPr>
                <w:rFonts w:hint="eastAsia" w:ascii="Times New Roman" w:hAnsi="Times New Roman" w:cs="Times New Roman"/>
                <w:color w:val="000000" w:themeColor="text1"/>
                <w:sz w:val="24"/>
                <w:szCs w:val="22"/>
                <w:lang w:val="en-US" w:eastAsia="zh-CN"/>
                <w14:textFill>
                  <w14:solidFill>
                    <w14:schemeClr w14:val="tx1"/>
                  </w14:solidFill>
                </w14:textFill>
              </w:rPr>
            </w:pPr>
            <w:r>
              <w:rPr>
                <w:rFonts w:hint="eastAsia" w:cs="Times New Roman"/>
                <w:color w:val="000000" w:themeColor="text1"/>
                <w:sz w:val="24"/>
                <w:szCs w:val="22"/>
                <w:lang w:val="en-US" w:eastAsia="zh-CN"/>
                <w14:textFill>
                  <w14:solidFill>
                    <w14:schemeClr w14:val="tx1"/>
                  </w14:solidFill>
                </w14:textFill>
              </w:rPr>
              <w:t>该项目使用</w:t>
            </w:r>
            <w:r>
              <w:rPr>
                <w:rFonts w:hint="eastAsia" w:ascii="Times New Roman" w:hAnsi="Times New Roman" w:cs="Times New Roman"/>
                <w:color w:val="000000" w:themeColor="text1"/>
                <w:sz w:val="24"/>
                <w:szCs w:val="22"/>
                <w:lang w:val="en-US" w:eastAsia="zh-CN"/>
                <w14:textFill>
                  <w14:solidFill>
                    <w14:schemeClr w14:val="tx1"/>
                  </w14:solidFill>
                </w14:textFill>
              </w:rPr>
              <w:t>激光切割</w:t>
            </w:r>
            <w:r>
              <w:rPr>
                <w:rFonts w:hint="eastAsia" w:cs="Times New Roman"/>
                <w:color w:val="000000" w:themeColor="text1"/>
                <w:sz w:val="24"/>
                <w:szCs w:val="22"/>
                <w:lang w:val="en-US" w:eastAsia="zh-CN"/>
                <w14:textFill>
                  <w14:solidFill>
                    <w14:schemeClr w14:val="tx1"/>
                  </w14:solidFill>
                </w14:textFill>
              </w:rPr>
              <w:t>，</w:t>
            </w:r>
            <w:r>
              <w:rPr>
                <w:rFonts w:hint="eastAsia" w:ascii="Times New Roman" w:hAnsi="Times New Roman" w:cs="Times New Roman"/>
                <w:color w:val="000000" w:themeColor="text1"/>
                <w:sz w:val="24"/>
                <w:szCs w:val="22"/>
                <w:lang w:val="en-US" w:eastAsia="zh-CN"/>
                <w14:textFill>
                  <w14:solidFill>
                    <w14:schemeClr w14:val="tx1"/>
                  </w14:solidFill>
                </w14:textFill>
              </w:rPr>
              <w:t>由</w:t>
            </w:r>
            <w:r>
              <w:rPr>
                <w:rFonts w:hint="eastAsia" w:ascii="Times New Roman" w:hAnsi="Times New Roman" w:cs="Times New Roman"/>
                <w:color w:val="000000" w:themeColor="text1"/>
                <w:sz w:val="24"/>
                <w:szCs w:val="22"/>
                <w:lang w:val="en-US" w:eastAsia="zh-CN"/>
                <w14:textFill>
                  <w14:solidFill>
                    <w14:schemeClr w14:val="tx1"/>
                  </w14:solidFill>
                </w14:textFill>
              </w:rPr>
              <w:fldChar w:fldCharType="begin"/>
            </w:r>
            <w:r>
              <w:rPr>
                <w:rFonts w:hint="eastAsia" w:ascii="Times New Roman" w:hAnsi="Times New Roman" w:cs="Times New Roman"/>
                <w:color w:val="000000" w:themeColor="text1"/>
                <w:sz w:val="24"/>
                <w:szCs w:val="22"/>
                <w:lang w:val="en-US" w:eastAsia="zh-CN"/>
                <w14:textFill>
                  <w14:solidFill>
                    <w14:schemeClr w14:val="tx1"/>
                  </w14:solidFill>
                </w14:textFill>
              </w:rPr>
              <w:instrText xml:space="preserve"> HYPERLINK "https://baike.sogou.com/lemma/ShowInnerLink.htm?lemmaId=194720&amp;ss_c=ssc.citiao.link" \t "https://baike.sogou.com/_blank" </w:instrText>
            </w:r>
            <w:r>
              <w:rPr>
                <w:rFonts w:hint="eastAsia" w:ascii="Times New Roman" w:hAnsi="Times New Roman" w:cs="Times New Roman"/>
                <w:color w:val="000000" w:themeColor="text1"/>
                <w:sz w:val="24"/>
                <w:szCs w:val="22"/>
                <w:lang w:val="en-US" w:eastAsia="zh-CN"/>
                <w14:textFill>
                  <w14:solidFill>
                    <w14:schemeClr w14:val="tx1"/>
                  </w14:solidFill>
                </w14:textFill>
              </w:rPr>
              <w:fldChar w:fldCharType="separate"/>
            </w:r>
            <w:r>
              <w:rPr>
                <w:rFonts w:hint="eastAsia" w:ascii="Times New Roman" w:hAnsi="Times New Roman" w:cs="Times New Roman"/>
                <w:color w:val="000000" w:themeColor="text1"/>
                <w:sz w:val="24"/>
                <w:szCs w:val="22"/>
                <w:lang w:val="en-US" w:eastAsia="zh-CN"/>
                <w14:textFill>
                  <w14:solidFill>
                    <w14:schemeClr w14:val="tx1"/>
                  </w14:solidFill>
                </w14:textFill>
              </w:rPr>
              <w:t>激光器</w:t>
            </w:r>
            <w:r>
              <w:rPr>
                <w:rFonts w:hint="eastAsia" w:ascii="Times New Roman" w:hAnsi="Times New Roman" w:cs="Times New Roman"/>
                <w:color w:val="000000" w:themeColor="text1"/>
                <w:sz w:val="24"/>
                <w:szCs w:val="22"/>
                <w:lang w:val="en-US" w:eastAsia="zh-CN"/>
                <w14:textFill>
                  <w14:solidFill>
                    <w14:schemeClr w14:val="tx1"/>
                  </w14:solidFill>
                </w14:textFill>
              </w:rPr>
              <w:fldChar w:fldCharType="end"/>
            </w:r>
            <w:r>
              <w:rPr>
                <w:rFonts w:hint="eastAsia" w:ascii="Times New Roman" w:hAnsi="Times New Roman" w:cs="Times New Roman"/>
                <w:color w:val="000000" w:themeColor="text1"/>
                <w:sz w:val="24"/>
                <w:szCs w:val="22"/>
                <w:lang w:val="en-US" w:eastAsia="zh-CN"/>
                <w14:textFill>
                  <w14:solidFill>
                    <w14:schemeClr w14:val="tx1"/>
                  </w14:solidFill>
                </w14:textFill>
              </w:rPr>
              <w:t>所发出的水平</w:t>
            </w:r>
            <w:r>
              <w:rPr>
                <w:rFonts w:hint="eastAsia" w:ascii="Times New Roman" w:hAnsi="Times New Roman" w:cs="Times New Roman"/>
                <w:color w:val="000000" w:themeColor="text1"/>
                <w:sz w:val="24"/>
                <w:szCs w:val="22"/>
                <w:lang w:val="en-US" w:eastAsia="zh-CN"/>
                <w14:textFill>
                  <w14:solidFill>
                    <w14:schemeClr w14:val="tx1"/>
                  </w14:solidFill>
                </w14:textFill>
              </w:rPr>
              <w:fldChar w:fldCharType="begin"/>
            </w:r>
            <w:r>
              <w:rPr>
                <w:rFonts w:hint="eastAsia" w:ascii="Times New Roman" w:hAnsi="Times New Roman" w:cs="Times New Roman"/>
                <w:color w:val="000000" w:themeColor="text1"/>
                <w:sz w:val="24"/>
                <w:szCs w:val="22"/>
                <w:lang w:val="en-US" w:eastAsia="zh-CN"/>
                <w14:textFill>
                  <w14:solidFill>
                    <w14:schemeClr w14:val="tx1"/>
                  </w14:solidFill>
                </w14:textFill>
              </w:rPr>
              <w:instrText xml:space="preserve"> HYPERLINK "https://baike.sogou.com/lemma/ShowInnerLink.htm?lemmaId=761732&amp;ss_c=ssc.citiao.link" \t "https://baike.sogou.com/_blank" </w:instrText>
            </w:r>
            <w:r>
              <w:rPr>
                <w:rFonts w:hint="eastAsia" w:ascii="Times New Roman" w:hAnsi="Times New Roman" w:cs="Times New Roman"/>
                <w:color w:val="000000" w:themeColor="text1"/>
                <w:sz w:val="24"/>
                <w:szCs w:val="22"/>
                <w:lang w:val="en-US" w:eastAsia="zh-CN"/>
                <w14:textFill>
                  <w14:solidFill>
                    <w14:schemeClr w14:val="tx1"/>
                  </w14:solidFill>
                </w14:textFill>
              </w:rPr>
              <w:fldChar w:fldCharType="separate"/>
            </w:r>
            <w:r>
              <w:rPr>
                <w:rFonts w:hint="eastAsia" w:ascii="Times New Roman" w:hAnsi="Times New Roman" w:cs="Times New Roman"/>
                <w:color w:val="000000" w:themeColor="text1"/>
                <w:sz w:val="24"/>
                <w:szCs w:val="22"/>
                <w:lang w:val="en-US" w:eastAsia="zh-CN"/>
                <w14:textFill>
                  <w14:solidFill>
                    <w14:schemeClr w14:val="tx1"/>
                  </w14:solidFill>
                </w14:textFill>
              </w:rPr>
              <w:t>激光束</w:t>
            </w:r>
            <w:r>
              <w:rPr>
                <w:rFonts w:hint="eastAsia" w:ascii="Times New Roman" w:hAnsi="Times New Roman" w:cs="Times New Roman"/>
                <w:color w:val="000000" w:themeColor="text1"/>
                <w:sz w:val="24"/>
                <w:szCs w:val="22"/>
                <w:lang w:val="en-US" w:eastAsia="zh-CN"/>
                <w14:textFill>
                  <w14:solidFill>
                    <w14:schemeClr w14:val="tx1"/>
                  </w14:solidFill>
                </w14:textFill>
              </w:rPr>
              <w:fldChar w:fldCharType="end"/>
            </w:r>
            <w:r>
              <w:rPr>
                <w:rFonts w:hint="eastAsia" w:ascii="Times New Roman" w:hAnsi="Times New Roman" w:cs="Times New Roman"/>
                <w:color w:val="000000" w:themeColor="text1"/>
                <w:sz w:val="24"/>
                <w:szCs w:val="22"/>
                <w:lang w:val="en-US" w:eastAsia="zh-CN"/>
                <w14:textFill>
                  <w14:solidFill>
                    <w14:schemeClr w14:val="tx1"/>
                  </w14:solidFill>
                </w14:textFill>
              </w:rPr>
              <w:t>经45°</w:t>
            </w:r>
            <w:r>
              <w:rPr>
                <w:rFonts w:hint="eastAsia" w:ascii="Times New Roman" w:hAnsi="Times New Roman" w:cs="Times New Roman"/>
                <w:color w:val="000000" w:themeColor="text1"/>
                <w:sz w:val="24"/>
                <w:szCs w:val="22"/>
                <w:lang w:val="en-US" w:eastAsia="zh-CN"/>
                <w14:textFill>
                  <w14:solidFill>
                    <w14:schemeClr w14:val="tx1"/>
                  </w14:solidFill>
                </w14:textFill>
              </w:rPr>
              <w:fldChar w:fldCharType="begin"/>
            </w:r>
            <w:r>
              <w:rPr>
                <w:rFonts w:hint="eastAsia" w:ascii="Times New Roman" w:hAnsi="Times New Roman" w:cs="Times New Roman"/>
                <w:color w:val="000000" w:themeColor="text1"/>
                <w:sz w:val="24"/>
                <w:szCs w:val="22"/>
                <w:lang w:val="en-US" w:eastAsia="zh-CN"/>
                <w14:textFill>
                  <w14:solidFill>
                    <w14:schemeClr w14:val="tx1"/>
                  </w14:solidFill>
                </w14:textFill>
              </w:rPr>
              <w:instrText xml:space="preserve"> HYPERLINK "https://baike.sogou.com/lemma/ShowInnerLink.htm?lemmaId=6392110&amp;ss_c=ssc.citiao.link" \t "https://baike.sogou.com/_blank" </w:instrText>
            </w:r>
            <w:r>
              <w:rPr>
                <w:rFonts w:hint="eastAsia" w:ascii="Times New Roman" w:hAnsi="Times New Roman" w:cs="Times New Roman"/>
                <w:color w:val="000000" w:themeColor="text1"/>
                <w:sz w:val="24"/>
                <w:szCs w:val="22"/>
                <w:lang w:val="en-US" w:eastAsia="zh-CN"/>
                <w14:textFill>
                  <w14:solidFill>
                    <w14:schemeClr w14:val="tx1"/>
                  </w14:solidFill>
                </w14:textFill>
              </w:rPr>
              <w:fldChar w:fldCharType="separate"/>
            </w:r>
            <w:r>
              <w:rPr>
                <w:rFonts w:hint="eastAsia" w:ascii="Times New Roman" w:hAnsi="Times New Roman" w:cs="Times New Roman"/>
                <w:color w:val="000000" w:themeColor="text1"/>
                <w:sz w:val="24"/>
                <w:szCs w:val="22"/>
                <w:lang w:val="en-US" w:eastAsia="zh-CN"/>
                <w14:textFill>
                  <w14:solidFill>
                    <w14:schemeClr w14:val="tx1"/>
                  </w14:solidFill>
                </w14:textFill>
              </w:rPr>
              <w:t>全反射</w:t>
            </w:r>
            <w:r>
              <w:rPr>
                <w:rFonts w:hint="eastAsia" w:ascii="Times New Roman" w:hAnsi="Times New Roman" w:cs="Times New Roman"/>
                <w:color w:val="000000" w:themeColor="text1"/>
                <w:sz w:val="24"/>
                <w:szCs w:val="22"/>
                <w:lang w:val="en-US" w:eastAsia="zh-CN"/>
                <w14:textFill>
                  <w14:solidFill>
                    <w14:schemeClr w14:val="tx1"/>
                  </w14:solidFill>
                </w14:textFill>
              </w:rPr>
              <w:fldChar w:fldCharType="end"/>
            </w:r>
            <w:r>
              <w:rPr>
                <w:rFonts w:hint="eastAsia" w:ascii="Times New Roman" w:hAnsi="Times New Roman" w:cs="Times New Roman"/>
                <w:color w:val="000000" w:themeColor="text1"/>
                <w:sz w:val="24"/>
                <w:szCs w:val="22"/>
                <w:lang w:val="en-US" w:eastAsia="zh-CN"/>
                <w14:textFill>
                  <w14:solidFill>
                    <w14:schemeClr w14:val="tx1"/>
                  </w14:solidFill>
                </w14:textFill>
              </w:rPr>
              <w:t>镜变为垂直向下的激光束，后经透镜聚焦，在焦点处聚成一极小的光斑，光斑照射在材料上时，使材料很快被加热至汽化温度，蒸发形成孔洞，随着光束对材料的移动，并配合辅助气体（有二氧化碳气体，氧气，氮气等）吹走熔化的废渣，使孔洞连续形成宽度很窄的（如0．1mm左右）切缝，完成对材料的切割。钢材切割过程粉尘产生量根据《全国第</w:t>
            </w:r>
            <w:r>
              <w:rPr>
                <w:rFonts w:hint="eastAsia" w:cs="Times New Roman"/>
                <w:color w:val="000000" w:themeColor="text1"/>
                <w:sz w:val="24"/>
                <w:szCs w:val="22"/>
                <w:lang w:val="en-US" w:eastAsia="zh-CN"/>
                <w14:textFill>
                  <w14:solidFill>
                    <w14:schemeClr w14:val="tx1"/>
                  </w14:solidFill>
                </w14:textFill>
              </w:rPr>
              <w:t>二</w:t>
            </w:r>
            <w:r>
              <w:rPr>
                <w:rFonts w:hint="eastAsia" w:ascii="Times New Roman" w:hAnsi="Times New Roman" w:cs="Times New Roman"/>
                <w:color w:val="000000" w:themeColor="text1"/>
                <w:sz w:val="24"/>
                <w:szCs w:val="22"/>
                <w:lang w:val="en-US" w:eastAsia="zh-CN"/>
                <w14:textFill>
                  <w14:solidFill>
                    <w14:schemeClr w14:val="tx1"/>
                  </w14:solidFill>
                </w14:textFill>
              </w:rPr>
              <w:t>次污染源普查工业污染源产排污系数手册》</w:t>
            </w:r>
            <w:r>
              <w:rPr>
                <w:rFonts w:hint="eastAsia" w:cs="Times New Roman"/>
                <w:color w:val="000000" w:themeColor="text1"/>
                <w:sz w:val="24"/>
                <w:szCs w:val="22"/>
                <w:lang w:val="en-US" w:eastAsia="zh-CN"/>
                <w14:textFill>
                  <w14:solidFill>
                    <w14:schemeClr w14:val="tx1"/>
                  </w14:solidFill>
                </w14:textFill>
              </w:rPr>
              <w:t>33金属制造业</w:t>
            </w:r>
            <w:r>
              <w:rPr>
                <w:rFonts w:hint="eastAsia" w:ascii="Times New Roman" w:hAnsi="Times New Roman" w:cs="Times New Roman"/>
                <w:color w:val="000000" w:themeColor="text1"/>
                <w:sz w:val="24"/>
                <w:szCs w:val="22"/>
                <w:lang w:val="en-US" w:eastAsia="zh-CN"/>
                <w14:textFill>
                  <w14:solidFill>
                    <w14:schemeClr w14:val="tx1"/>
                  </w14:solidFill>
                </w14:textFill>
              </w:rPr>
              <w:t>中下料工段粉尘核算环节，</w:t>
            </w:r>
            <w:r>
              <w:rPr>
                <w:rFonts w:hint="eastAsia" w:cs="Times New Roman"/>
                <w:color w:val="000000" w:themeColor="text1"/>
                <w:sz w:val="24"/>
                <w:szCs w:val="22"/>
                <w:lang w:val="en-US" w:eastAsia="zh-CN"/>
                <w14:textFill>
                  <w14:solidFill>
                    <w14:schemeClr w14:val="tx1"/>
                  </w14:solidFill>
                </w14:textFill>
              </w:rPr>
              <w:t>产排污系数为1.10千克/吨-原料</w:t>
            </w:r>
            <w:r>
              <w:rPr>
                <w:rFonts w:hint="eastAsia" w:ascii="Times New Roman" w:hAnsi="Times New Roman" w:cs="Times New Roman"/>
                <w:color w:val="000000" w:themeColor="text1"/>
                <w:sz w:val="24"/>
                <w:szCs w:val="22"/>
                <w:lang w:val="en-US" w:eastAsia="zh-CN"/>
                <w14:textFill>
                  <w14:solidFill>
                    <w14:schemeClr w14:val="tx1"/>
                  </w14:solidFill>
                </w14:textFill>
              </w:rPr>
              <w:t>，根据业主资料，项目需切割的钢材约</w:t>
            </w:r>
            <w:r>
              <w:rPr>
                <w:rFonts w:hint="eastAsia" w:cs="Times New Roman"/>
                <w:color w:val="000000" w:themeColor="text1"/>
                <w:sz w:val="24"/>
                <w:szCs w:val="22"/>
                <w:lang w:val="en-US" w:eastAsia="zh-CN"/>
                <w14:textFill>
                  <w14:solidFill>
                    <w14:schemeClr w14:val="tx1"/>
                  </w14:solidFill>
                </w14:textFill>
              </w:rPr>
              <w:t>9</w:t>
            </w:r>
            <w:r>
              <w:rPr>
                <w:rFonts w:hint="eastAsia" w:ascii="Times New Roman" w:hAnsi="Times New Roman" w:cs="Times New Roman"/>
                <w:color w:val="000000" w:themeColor="text1"/>
                <w:sz w:val="24"/>
                <w:szCs w:val="22"/>
                <w:lang w:val="en-US" w:eastAsia="zh-CN"/>
                <w14:textFill>
                  <w14:solidFill>
                    <w14:schemeClr w14:val="tx1"/>
                  </w14:solidFill>
                </w14:textFill>
              </w:rPr>
              <w:t>00t/a，则切割烟尘产生量为1</w:t>
            </w:r>
            <w:r>
              <w:rPr>
                <w:rFonts w:hint="eastAsia" w:cs="Times New Roman"/>
                <w:color w:val="000000" w:themeColor="text1"/>
                <w:sz w:val="24"/>
                <w:szCs w:val="22"/>
                <w:lang w:val="en-US" w:eastAsia="zh-CN"/>
                <w14:textFill>
                  <w14:solidFill>
                    <w14:schemeClr w14:val="tx1"/>
                  </w14:solidFill>
                </w14:textFill>
              </w:rPr>
              <w:t>.179</w:t>
            </w:r>
            <w:r>
              <w:rPr>
                <w:rFonts w:hint="eastAsia" w:ascii="Times New Roman" w:hAnsi="Times New Roman" w:cs="Times New Roman"/>
                <w:color w:val="000000" w:themeColor="text1"/>
                <w:sz w:val="24"/>
                <w:szCs w:val="22"/>
                <w:lang w:val="en-US" w:eastAsia="zh-CN"/>
                <w14:textFill>
                  <w14:solidFill>
                    <w14:schemeClr w14:val="tx1"/>
                  </w14:solidFill>
                </w14:textFill>
              </w:rPr>
              <w:t>t/a。</w:t>
            </w:r>
          </w:p>
          <w:p>
            <w:pPr>
              <w:spacing w:line="360" w:lineRule="auto"/>
              <w:ind w:firstLine="489" w:firstLineChars="204"/>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②焊接烟尘</w:t>
            </w:r>
          </w:p>
          <w:p>
            <w:pPr>
              <w:spacing w:line="360" w:lineRule="auto"/>
              <w:ind w:firstLine="489" w:firstLineChars="204"/>
              <w:rPr>
                <w:rFonts w:hint="eastAsia" w:cs="Times New Roman"/>
                <w:color w:val="0000FF"/>
                <w:kern w:val="2"/>
                <w:sz w:val="24"/>
                <w:szCs w:val="24"/>
                <w:lang w:val="en-US" w:eastAsia="zh-CN" w:bidi="ar-SA"/>
              </w:rPr>
            </w:pPr>
            <w:r>
              <w:rPr>
                <w:rFonts w:hint="default" w:ascii="Times New Roman" w:hAnsi="Times New Roman" w:cs="Times New Roman"/>
                <w:color w:val="000000" w:themeColor="text1"/>
                <w:sz w:val="24"/>
                <w:szCs w:val="22"/>
                <w:lang w:val="en-US" w:eastAsia="zh-CN"/>
                <w14:textFill>
                  <w14:solidFill>
                    <w14:schemeClr w14:val="tx1"/>
                  </w14:solidFill>
                </w14:textFill>
              </w:rPr>
              <w:t>本项目共使用</w:t>
            </w:r>
            <w:r>
              <w:rPr>
                <w:rFonts w:hint="eastAsia" w:ascii="Times New Roman" w:hAnsi="Times New Roman" w:cs="Times New Roman"/>
                <w:color w:val="000000" w:themeColor="text1"/>
                <w:sz w:val="24"/>
                <w:szCs w:val="22"/>
                <w:lang w:val="en-US" w:eastAsia="zh-CN"/>
                <w14:textFill>
                  <w14:solidFill>
                    <w14:schemeClr w14:val="tx1"/>
                  </w14:solidFill>
                </w14:textFill>
              </w:rPr>
              <w:t>2</w:t>
            </w:r>
            <w:r>
              <w:rPr>
                <w:rFonts w:hint="default" w:ascii="Times New Roman" w:hAnsi="Times New Roman" w:cs="Times New Roman"/>
                <w:color w:val="000000" w:themeColor="text1"/>
                <w:sz w:val="24"/>
                <w:szCs w:val="22"/>
                <w:lang w:val="en-US" w:eastAsia="zh-CN"/>
                <w14:textFill>
                  <w14:solidFill>
                    <w14:schemeClr w14:val="tx1"/>
                  </w14:solidFill>
                </w14:textFill>
              </w:rPr>
              <w:t>种焊接方法，分别是：埋弧焊及CO</w:t>
            </w:r>
            <w:r>
              <w:rPr>
                <w:rFonts w:hint="default" w:ascii="Times New Roman" w:hAnsi="Times New Roman" w:cs="Times New Roman"/>
                <w:color w:val="000000" w:themeColor="text1"/>
                <w:sz w:val="24"/>
                <w:szCs w:val="22"/>
                <w:vertAlign w:val="subscript"/>
                <w:lang w:val="en-US" w:eastAsia="zh-CN"/>
                <w14:textFill>
                  <w14:solidFill>
                    <w14:schemeClr w14:val="tx1"/>
                  </w14:solidFill>
                </w14:textFill>
              </w:rPr>
              <w:t>2</w:t>
            </w:r>
            <w:r>
              <w:rPr>
                <w:rFonts w:hint="default" w:ascii="Times New Roman" w:hAnsi="Times New Roman" w:cs="Times New Roman"/>
                <w:color w:val="000000" w:themeColor="text1"/>
                <w:sz w:val="24"/>
                <w:szCs w:val="22"/>
                <w:lang w:val="en-US" w:eastAsia="zh-CN"/>
                <w14:textFill>
                  <w14:solidFill>
                    <w14:schemeClr w14:val="tx1"/>
                  </w14:solidFill>
                </w14:textFill>
              </w:rPr>
              <w:t>气体保护焊，均会产生焊接烟尘</w:t>
            </w:r>
            <w:r>
              <w:rPr>
                <w:rFonts w:hint="eastAsia" w:ascii="Times New Roman" w:hAnsi="Times New Roman" w:cs="Times New Roman"/>
                <w:color w:val="000000" w:themeColor="text1"/>
                <w:sz w:val="24"/>
                <w:szCs w:val="22"/>
                <w:lang w:val="en-US" w:eastAsia="zh-CN"/>
                <w14:textFill>
                  <w14:solidFill>
                    <w14:schemeClr w14:val="tx1"/>
                  </w14:solidFill>
                </w14:textFill>
              </w:rPr>
              <w:t>，根据全国第</w:t>
            </w:r>
            <w:r>
              <w:rPr>
                <w:rFonts w:hint="eastAsia" w:cs="Times New Roman"/>
                <w:color w:val="000000" w:themeColor="text1"/>
                <w:sz w:val="24"/>
                <w:szCs w:val="22"/>
                <w:lang w:val="en-US" w:eastAsia="zh-CN"/>
                <w14:textFill>
                  <w14:solidFill>
                    <w14:schemeClr w14:val="tx1"/>
                  </w14:solidFill>
                </w14:textFill>
              </w:rPr>
              <w:t>二</w:t>
            </w:r>
            <w:r>
              <w:rPr>
                <w:rFonts w:hint="eastAsia" w:ascii="Times New Roman" w:hAnsi="Times New Roman" w:cs="Times New Roman"/>
                <w:color w:val="000000" w:themeColor="text1"/>
                <w:sz w:val="24"/>
                <w:szCs w:val="22"/>
                <w:lang w:val="en-US" w:eastAsia="zh-CN"/>
                <w14:textFill>
                  <w14:solidFill>
                    <w14:schemeClr w14:val="tx1"/>
                  </w14:solidFill>
                </w14:textFill>
              </w:rPr>
              <w:t>次污染源普查工业污染源产排污系数手册》</w:t>
            </w:r>
            <w:r>
              <w:rPr>
                <w:rFonts w:hint="eastAsia" w:cs="Times New Roman"/>
                <w:color w:val="000000" w:themeColor="text1"/>
                <w:sz w:val="24"/>
                <w:szCs w:val="22"/>
                <w:lang w:val="en-US" w:eastAsia="zh-CN"/>
                <w14:textFill>
                  <w14:solidFill>
                    <w14:schemeClr w14:val="tx1"/>
                  </w14:solidFill>
                </w14:textFill>
              </w:rPr>
              <w:t>33金属制造业</w:t>
            </w:r>
            <w:r>
              <w:rPr>
                <w:rFonts w:hint="eastAsia" w:ascii="Times New Roman" w:hAnsi="Times New Roman" w:cs="Times New Roman"/>
                <w:color w:val="000000" w:themeColor="text1"/>
                <w:sz w:val="24"/>
                <w:szCs w:val="22"/>
                <w:lang w:val="en-US" w:eastAsia="zh-CN"/>
                <w14:textFill>
                  <w14:solidFill>
                    <w14:schemeClr w14:val="tx1"/>
                  </w14:solidFill>
                </w14:textFill>
              </w:rPr>
              <w:t>中焊接核算环节，</w:t>
            </w:r>
            <w:r>
              <w:rPr>
                <w:rFonts w:hint="eastAsia" w:ascii="Times New Roman" w:hAnsi="Times New Roman" w:eastAsia="宋体" w:cs="Times New Roman"/>
                <w:color w:val="000000"/>
                <w:kern w:val="2"/>
                <w:sz w:val="24"/>
                <w:szCs w:val="24"/>
                <w:lang w:val="en-US" w:eastAsia="zh-CN" w:bidi="ar-SA"/>
              </w:rPr>
              <w:t>不同成分的焊接材料在实施焊接时产生不同成分的焊接烟尘，</w:t>
            </w:r>
            <w:r>
              <w:rPr>
                <w:rFonts w:hint="eastAsia" w:ascii="Times New Roman" w:hAnsi="Times New Roman" w:eastAsia="宋体" w:cs="Times New Roman"/>
                <w:color w:val="auto"/>
                <w:kern w:val="2"/>
                <w:sz w:val="24"/>
                <w:szCs w:val="24"/>
                <w:lang w:val="en-US" w:eastAsia="zh-CN" w:bidi="ar-SA"/>
              </w:rPr>
              <w:t>常用不同焊条及焊接方法的发尘量见表</w:t>
            </w:r>
            <w:r>
              <w:rPr>
                <w:rFonts w:hint="default" w:ascii="Times New Roman" w:hAnsi="Times New Roman" w:eastAsia="宋体" w:cs="Times New Roman"/>
                <w:color w:val="auto"/>
                <w:kern w:val="2"/>
                <w:sz w:val="24"/>
                <w:szCs w:val="24"/>
                <w:lang w:val="en-US" w:eastAsia="zh-CN" w:bidi="ar-SA"/>
              </w:rPr>
              <w:t>5-</w:t>
            </w:r>
            <w:r>
              <w:rPr>
                <w:rFonts w:hint="eastAsia" w:cs="Times New Roman"/>
                <w:color w:val="auto"/>
                <w:kern w:val="2"/>
                <w:sz w:val="24"/>
                <w:szCs w:val="24"/>
                <w:lang w:val="en-US" w:eastAsia="zh-CN" w:bidi="ar-SA"/>
              </w:rPr>
              <w:t>2。</w:t>
            </w:r>
          </w:p>
          <w:p>
            <w:pPr>
              <w:pStyle w:val="104"/>
              <w:kinsoku w:val="0"/>
              <w:overflowPunct w:val="0"/>
              <w:spacing w:beforeLines="0" w:afterLines="0" w:line="240" w:lineRule="auto"/>
              <w:ind w:right="0"/>
              <w:jc w:val="center"/>
              <w:rPr>
                <w:rFonts w:hint="eastAsia" w:ascii="Times New Roman" w:hAnsi="Times New Roman" w:cs="Times New Roman"/>
                <w:b/>
                <w:bCs/>
                <w:sz w:val="21"/>
                <w:szCs w:val="21"/>
                <w:lang w:val="en-US" w:eastAsia="zh-CN"/>
              </w:rPr>
            </w:pPr>
            <w:r>
              <w:rPr>
                <w:rFonts w:hint="eastAsia" w:ascii="Times New Roman" w:hAnsi="Times New Roman" w:cs="Times New Roman"/>
                <w:b/>
                <w:bCs/>
                <w:sz w:val="21"/>
                <w:szCs w:val="21"/>
                <w:lang w:val="en-US" w:eastAsia="zh-CN"/>
              </w:rPr>
              <w:t>表</w:t>
            </w:r>
            <w:r>
              <w:rPr>
                <w:rFonts w:hint="default" w:ascii="Times New Roman" w:hAnsi="Times New Roman" w:cs="Times New Roman"/>
                <w:b/>
                <w:bCs/>
                <w:sz w:val="21"/>
                <w:szCs w:val="21"/>
                <w:lang w:val="en-US" w:eastAsia="zh-CN"/>
              </w:rPr>
              <w:t>5-</w:t>
            </w:r>
            <w:r>
              <w:rPr>
                <w:rFonts w:hint="eastAsia" w:cs="Times New Roman"/>
                <w:b/>
                <w:bCs/>
                <w:sz w:val="21"/>
                <w:szCs w:val="21"/>
                <w:lang w:val="en-US" w:eastAsia="zh-CN"/>
              </w:rPr>
              <w:t>2</w:t>
            </w:r>
            <w:r>
              <w:rPr>
                <w:rFonts w:hint="default" w:ascii="Times New Roman" w:hAnsi="Times New Roman" w:cs="Times New Roman"/>
                <w:b/>
                <w:bCs/>
                <w:sz w:val="21"/>
                <w:szCs w:val="21"/>
                <w:lang w:val="en-US" w:eastAsia="zh-CN"/>
              </w:rPr>
              <w:tab/>
            </w:r>
            <w:r>
              <w:rPr>
                <w:rFonts w:hint="eastAsia" w:ascii="Times New Roman" w:hAnsi="Times New Roman" w:cs="Times New Roman"/>
                <w:b/>
                <w:bCs/>
                <w:sz w:val="21"/>
                <w:szCs w:val="21"/>
                <w:lang w:val="en-US" w:eastAsia="zh-CN"/>
              </w:rPr>
              <w:t>不同焊接方法的烟尘量</w:t>
            </w:r>
          </w:p>
          <w:tbl>
            <w:tblPr>
              <w:tblStyle w:val="37"/>
              <w:tblW w:w="8194" w:type="dxa"/>
              <w:jc w:val="center"/>
              <w:shd w:val="clear" w:color="auto" w:fill="auto"/>
              <w:tblLayout w:type="autofit"/>
              <w:tblCellMar>
                <w:top w:w="0" w:type="dxa"/>
                <w:left w:w="0" w:type="dxa"/>
                <w:bottom w:w="0" w:type="dxa"/>
                <w:right w:w="0" w:type="dxa"/>
              </w:tblCellMar>
            </w:tblPr>
            <w:tblGrid>
              <w:gridCol w:w="798"/>
              <w:gridCol w:w="798"/>
              <w:gridCol w:w="798"/>
              <w:gridCol w:w="2910"/>
              <w:gridCol w:w="990"/>
              <w:gridCol w:w="1108"/>
              <w:gridCol w:w="799"/>
            </w:tblGrid>
            <w:tr>
              <w:tblPrEx>
                <w:shd w:val="clear" w:color="auto" w:fill="auto"/>
                <w:tblCellMar>
                  <w:top w:w="0" w:type="dxa"/>
                  <w:left w:w="0" w:type="dxa"/>
                  <w:bottom w:w="0" w:type="dxa"/>
                  <w:right w:w="0" w:type="dxa"/>
                </w:tblCellMar>
              </w:tblPrEx>
              <w:trPr>
                <w:trHeight w:val="270" w:hRule="atLeast"/>
                <w:jc w:val="center"/>
              </w:trPr>
              <w:tc>
                <w:tcPr>
                  <w:tcW w:w="6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核算环节</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产品名称</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原料名称</w:t>
                  </w:r>
                </w:p>
              </w:tc>
              <w:tc>
                <w:tcPr>
                  <w:tcW w:w="9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工艺名称</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污染物指标</w:t>
                  </w:r>
                </w:p>
              </w:tc>
              <w:tc>
                <w:tcPr>
                  <w:tcW w:w="8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系数单位</w:t>
                  </w:r>
                </w:p>
              </w:tc>
              <w:tc>
                <w:tcPr>
                  <w:tcW w:w="5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产污系数</w:t>
                  </w:r>
                </w:p>
              </w:tc>
            </w:tr>
            <w:tr>
              <w:tblPrEx>
                <w:tblCellMar>
                  <w:top w:w="0" w:type="dxa"/>
                  <w:left w:w="0" w:type="dxa"/>
                  <w:bottom w:w="0" w:type="dxa"/>
                  <w:right w:w="0" w:type="dxa"/>
                </w:tblCellMar>
              </w:tblPrEx>
              <w:trPr>
                <w:trHeight w:val="270" w:hRule="atLeast"/>
                <w:jc w:val="center"/>
              </w:trPr>
              <w:tc>
                <w:tcPr>
                  <w:tcW w:w="643" w:type="pct"/>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焊接</w:t>
                  </w:r>
                </w:p>
              </w:tc>
              <w:tc>
                <w:tcPr>
                  <w:tcW w:w="643" w:type="pct"/>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焊接件</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药芯焊丝</w:t>
                  </w:r>
                </w:p>
              </w:tc>
              <w:tc>
                <w:tcPr>
                  <w:tcW w:w="958" w:type="pct"/>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二氧化碳保护焊</w:t>
                  </w:r>
                  <w:r>
                    <w:rPr>
                      <w:rFonts w:hint="eastAsia" w:cs="Times New Roman"/>
                      <w:i w:val="0"/>
                      <w:color w:val="000000"/>
                      <w:kern w:val="0"/>
                      <w:sz w:val="21"/>
                      <w:szCs w:val="21"/>
                      <w:u w:val="none"/>
                      <w:lang w:val="en-US" w:eastAsia="zh-CN" w:bidi="ar"/>
                    </w:rPr>
                    <w:t>、埋弧焊、氩弧焊</w:t>
                  </w:r>
                </w:p>
              </w:tc>
              <w:tc>
                <w:tcPr>
                  <w:tcW w:w="689" w:type="pct"/>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颗粒物</w:t>
                  </w:r>
                </w:p>
              </w:tc>
              <w:tc>
                <w:tcPr>
                  <w:tcW w:w="823" w:type="pct"/>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千克/吨-原料</w:t>
                  </w:r>
                </w:p>
              </w:tc>
              <w:tc>
                <w:tcPr>
                  <w:tcW w:w="5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20.5</w:t>
                  </w:r>
                </w:p>
              </w:tc>
            </w:tr>
            <w:tr>
              <w:tblPrEx>
                <w:tblCellMar>
                  <w:top w:w="0" w:type="dxa"/>
                  <w:left w:w="0" w:type="dxa"/>
                  <w:bottom w:w="0" w:type="dxa"/>
                  <w:right w:w="0" w:type="dxa"/>
                </w:tblCellMar>
              </w:tblPrEx>
              <w:trPr>
                <w:trHeight w:val="270" w:hRule="atLeast"/>
                <w:jc w:val="center"/>
              </w:trPr>
              <w:tc>
                <w:tcPr>
                  <w:tcW w:w="643" w:type="pct"/>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000000"/>
                      <w:kern w:val="0"/>
                      <w:sz w:val="21"/>
                      <w:szCs w:val="21"/>
                      <w:u w:val="none"/>
                      <w:lang w:val="en-US" w:eastAsia="zh-CN" w:bidi="ar"/>
                    </w:rPr>
                  </w:pPr>
                </w:p>
              </w:tc>
              <w:tc>
                <w:tcPr>
                  <w:tcW w:w="643" w:type="pct"/>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000000"/>
                      <w:kern w:val="0"/>
                      <w:sz w:val="21"/>
                      <w:szCs w:val="21"/>
                      <w:u w:val="none"/>
                      <w:lang w:val="en-US" w:eastAsia="zh-CN" w:bidi="ar"/>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实心焊丝</w:t>
                  </w:r>
                </w:p>
              </w:tc>
              <w:tc>
                <w:tcPr>
                  <w:tcW w:w="958" w:type="pct"/>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000000"/>
                      <w:kern w:val="0"/>
                      <w:sz w:val="21"/>
                      <w:szCs w:val="21"/>
                      <w:u w:val="none"/>
                      <w:lang w:val="en-US" w:eastAsia="zh-CN" w:bidi="ar"/>
                    </w:rPr>
                  </w:pPr>
                </w:p>
              </w:tc>
              <w:tc>
                <w:tcPr>
                  <w:tcW w:w="689" w:type="pct"/>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000000"/>
                      <w:kern w:val="0"/>
                      <w:sz w:val="21"/>
                      <w:szCs w:val="21"/>
                      <w:u w:val="none"/>
                      <w:lang w:val="en-US" w:eastAsia="zh-CN" w:bidi="ar"/>
                    </w:rPr>
                  </w:pPr>
                </w:p>
              </w:tc>
              <w:tc>
                <w:tcPr>
                  <w:tcW w:w="823" w:type="pct"/>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000000"/>
                      <w:kern w:val="0"/>
                      <w:sz w:val="21"/>
                      <w:szCs w:val="21"/>
                      <w:u w:val="none"/>
                      <w:lang w:val="en-US" w:eastAsia="zh-CN" w:bidi="ar"/>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9.19</w:t>
                  </w:r>
                </w:p>
              </w:tc>
            </w:tr>
          </w:tbl>
          <w:p>
            <w:pPr>
              <w:spacing w:line="360" w:lineRule="auto"/>
              <w:ind w:firstLine="489" w:firstLineChars="204"/>
              <w:rPr>
                <w:rFonts w:hint="eastAsia" w:ascii="Times New Roman" w:hAnsi="Times New Roman" w:cs="Times New Roman"/>
                <w:color w:val="000000" w:themeColor="text1"/>
                <w:sz w:val="24"/>
                <w:szCs w:val="22"/>
                <w:lang w:val="en-US" w:eastAsia="zh-CN"/>
                <w14:textFill>
                  <w14:solidFill>
                    <w14:schemeClr w14:val="tx1"/>
                  </w14:solidFill>
                </w14:textFill>
              </w:rPr>
            </w:pPr>
            <w:r>
              <w:rPr>
                <w:rFonts w:hint="default" w:ascii="Times New Roman" w:hAnsi="Times New Roman" w:eastAsia="宋体" w:cs="Times New Roman"/>
                <w:color w:val="000000"/>
                <w:kern w:val="2"/>
                <w:sz w:val="24"/>
                <w:szCs w:val="24"/>
                <w:lang w:val="en-US" w:eastAsia="zh-CN" w:bidi="ar-SA"/>
              </w:rPr>
              <w:t>本项目焊接过程采用实心焊丝，对比上表可知，该类型焊丝烟尘量在</w:t>
            </w:r>
            <w:r>
              <w:rPr>
                <w:rFonts w:hint="eastAsia" w:cs="Times New Roman"/>
                <w:color w:val="000000"/>
                <w:kern w:val="2"/>
                <w:sz w:val="24"/>
                <w:szCs w:val="24"/>
                <w:lang w:val="en-US" w:eastAsia="zh-CN" w:bidi="ar-SA"/>
              </w:rPr>
              <w:t>9.19</w:t>
            </w:r>
            <w:r>
              <w:rPr>
                <w:rFonts w:hint="default" w:ascii="Times New Roman" w:hAnsi="Times New Roman" w:eastAsia="宋体" w:cs="Times New Roman"/>
                <w:color w:val="000000"/>
                <w:kern w:val="2"/>
                <w:sz w:val="24"/>
                <w:szCs w:val="24"/>
                <w:lang w:val="en-US" w:eastAsia="zh-CN" w:bidi="ar-SA"/>
              </w:rPr>
              <w:t>kg</w:t>
            </w:r>
            <w:r>
              <w:rPr>
                <w:rFonts w:hint="eastAsia" w:cs="Times New Roman"/>
                <w:color w:val="000000"/>
                <w:kern w:val="2"/>
                <w:sz w:val="24"/>
                <w:szCs w:val="24"/>
                <w:lang w:val="en-US" w:eastAsia="zh-CN" w:bidi="ar-SA"/>
              </w:rPr>
              <w:t>/t</w:t>
            </w:r>
            <w:r>
              <w:rPr>
                <w:rFonts w:hint="default" w:ascii="Times New Roman" w:hAnsi="Times New Roman" w:eastAsia="宋体" w:cs="Times New Roman"/>
                <w:color w:val="000000"/>
                <w:kern w:val="2"/>
                <w:sz w:val="24"/>
                <w:szCs w:val="24"/>
                <w:lang w:val="en-US" w:eastAsia="zh-CN" w:bidi="ar-SA"/>
              </w:rPr>
              <w:t>，项目焊丝年用量约为</w:t>
            </w:r>
            <w:r>
              <w:rPr>
                <w:rFonts w:hint="eastAsia" w:cs="Times New Roman"/>
                <w:color w:val="000000"/>
                <w:kern w:val="2"/>
                <w:sz w:val="24"/>
                <w:szCs w:val="24"/>
                <w:lang w:val="en-US" w:eastAsia="zh-CN" w:bidi="ar-SA"/>
              </w:rPr>
              <w:t>50t</w:t>
            </w:r>
            <w:r>
              <w:rPr>
                <w:rFonts w:hint="default" w:ascii="Times New Roman" w:hAnsi="Times New Roman" w:eastAsia="宋体" w:cs="Times New Roman"/>
                <w:color w:val="000000"/>
                <w:kern w:val="2"/>
                <w:sz w:val="24"/>
                <w:szCs w:val="24"/>
                <w:lang w:val="en-US" w:eastAsia="zh-CN" w:bidi="ar-SA"/>
              </w:rPr>
              <w:t>/a，则焊接烟尘产生量为</w:t>
            </w:r>
            <w:r>
              <w:rPr>
                <w:rFonts w:hint="eastAsia" w:cs="Times New Roman"/>
                <w:color w:val="000000"/>
                <w:kern w:val="2"/>
                <w:sz w:val="24"/>
                <w:szCs w:val="24"/>
                <w:lang w:val="en-US" w:eastAsia="zh-CN" w:bidi="ar-SA"/>
              </w:rPr>
              <w:t>0.459t</w:t>
            </w:r>
            <w:r>
              <w:rPr>
                <w:rFonts w:hint="default" w:ascii="Times New Roman" w:hAnsi="Times New Roman" w:eastAsia="宋体" w:cs="Times New Roman"/>
                <w:color w:val="000000"/>
                <w:kern w:val="2"/>
                <w:sz w:val="24"/>
                <w:szCs w:val="24"/>
                <w:lang w:val="en-US" w:eastAsia="zh-CN" w:bidi="ar-SA"/>
              </w:rPr>
              <w:t>/a。</w:t>
            </w:r>
          </w:p>
          <w:p>
            <w:pPr>
              <w:spacing w:line="360" w:lineRule="auto"/>
              <w:ind w:firstLine="489" w:firstLineChars="204"/>
              <w:rPr>
                <w:rFonts w:hint="eastAsia" w:ascii="Times New Roman" w:hAnsi="Times New Roman" w:cs="Times New Roman"/>
                <w:color w:val="000000" w:themeColor="text1"/>
                <w:sz w:val="24"/>
                <w:szCs w:val="22"/>
                <w:lang w:val="en-US" w:eastAsia="zh-CN"/>
                <w14:textFill>
                  <w14:solidFill>
                    <w14:schemeClr w14:val="tx1"/>
                  </w14:solidFill>
                </w14:textFill>
              </w:rPr>
            </w:pPr>
            <w:r>
              <w:rPr>
                <w:rFonts w:hint="eastAsia" w:ascii="Times New Roman" w:hAnsi="Times New Roman" w:cs="Times New Roman"/>
                <w:color w:val="000000" w:themeColor="text1"/>
                <w:sz w:val="24"/>
                <w:szCs w:val="22"/>
                <w:lang w:val="en-US" w:eastAsia="zh-CN"/>
                <w14:textFill>
                  <w14:solidFill>
                    <w14:schemeClr w14:val="tx1"/>
                  </w14:solidFill>
                </w14:textFill>
              </w:rPr>
              <w:t>由于项目切割机、焊机的使用具有无固定时间，因烟尘废气的产生具有间断不连续性，为有效收集间断不连续的焊接烟尘，本项目拟在生产车间内设置1套</w:t>
            </w:r>
            <w:r>
              <w:rPr>
                <w:rFonts w:hint="eastAsia" w:cs="Times New Roman"/>
                <w:color w:val="000000" w:themeColor="text1"/>
                <w:sz w:val="24"/>
                <w:szCs w:val="22"/>
                <w:lang w:val="en-US" w:eastAsia="zh-CN"/>
                <w14:textFill>
                  <w14:solidFill>
                    <w14:schemeClr w14:val="tx1"/>
                  </w14:solidFill>
                </w14:textFill>
              </w:rPr>
              <w:t>移动式烟尘净化器</w:t>
            </w:r>
            <w:r>
              <w:rPr>
                <w:rFonts w:hint="eastAsia" w:ascii="Times New Roman" w:hAnsi="Times New Roman" w:cs="Times New Roman"/>
                <w:color w:val="000000" w:themeColor="text1"/>
                <w:sz w:val="24"/>
                <w:szCs w:val="22"/>
                <w:lang w:val="en-US" w:eastAsia="zh-CN"/>
                <w14:textFill>
                  <w14:solidFill>
                    <w14:schemeClr w14:val="tx1"/>
                  </w14:solidFill>
                </w14:textFill>
              </w:rPr>
              <w:t>处理焊接烟尘，</w:t>
            </w:r>
            <w:r>
              <w:rPr>
                <w:rFonts w:hint="eastAsia" w:cs="Times New Roman"/>
                <w:color w:val="000000" w:themeColor="text1"/>
                <w:sz w:val="24"/>
                <w:szCs w:val="22"/>
                <w:lang w:val="en-US" w:eastAsia="zh-CN"/>
                <w14:textFill>
                  <w14:solidFill>
                    <w14:schemeClr w14:val="tx1"/>
                  </w14:solidFill>
                </w14:textFill>
              </w:rPr>
              <w:t>移动式烟尘净化器</w:t>
            </w:r>
            <w:r>
              <w:rPr>
                <w:rFonts w:hint="eastAsia" w:ascii="Times New Roman" w:hAnsi="Times New Roman" w:cs="Times New Roman"/>
                <w:color w:val="000000" w:themeColor="text1"/>
                <w:sz w:val="24"/>
                <w:szCs w:val="22"/>
                <w:lang w:val="en-US" w:eastAsia="zh-CN"/>
                <w14:textFill>
                  <w14:solidFill>
                    <w14:schemeClr w14:val="tx1"/>
                  </w14:solidFill>
                </w14:textFill>
              </w:rPr>
              <w:t>自带集气罩和袋式除尘器，</w:t>
            </w:r>
            <w:r>
              <w:rPr>
                <w:rFonts w:hint="eastAsia" w:cs="Times New Roman"/>
                <w:color w:val="000000" w:themeColor="text1"/>
                <w:sz w:val="24"/>
                <w:szCs w:val="22"/>
                <w:lang w:val="en-US" w:eastAsia="zh-CN"/>
                <w14:textFill>
                  <w14:solidFill>
                    <w14:schemeClr w14:val="tx1"/>
                  </w14:solidFill>
                </w14:textFill>
              </w:rPr>
              <w:t>移动式烟尘净化器</w:t>
            </w:r>
            <w:r>
              <w:rPr>
                <w:rFonts w:hint="eastAsia" w:ascii="Times New Roman" w:hAnsi="Times New Roman" w:cs="Times New Roman"/>
                <w:color w:val="000000" w:themeColor="text1"/>
                <w:sz w:val="24"/>
                <w:szCs w:val="22"/>
                <w:lang w:val="en-US" w:eastAsia="zh-CN"/>
                <w14:textFill>
                  <w14:solidFill>
                    <w14:schemeClr w14:val="tx1"/>
                  </w14:solidFill>
                </w14:textFill>
              </w:rPr>
              <w:t>自带集气罩和袋式除尘器，除尘后的气体在车间内自然沉降后少量经过车间门窗呈无组织外逸。另外，通过在厂房顶设置换气扇的方式加强厂房通风。</w:t>
            </w:r>
            <w:r>
              <w:rPr>
                <w:rFonts w:hint="eastAsia" w:cs="Times New Roman"/>
                <w:color w:val="000000" w:themeColor="text1"/>
                <w:sz w:val="24"/>
                <w:szCs w:val="22"/>
                <w:lang w:val="en-US" w:eastAsia="zh-CN"/>
                <w14:textFill>
                  <w14:solidFill>
                    <w14:schemeClr w14:val="tx1"/>
                  </w14:solidFill>
                </w14:textFill>
              </w:rPr>
              <w:t>移动式烟尘净化器</w:t>
            </w:r>
            <w:r>
              <w:rPr>
                <w:rFonts w:hint="eastAsia" w:ascii="Times New Roman" w:hAnsi="Times New Roman" w:cs="Times New Roman"/>
                <w:color w:val="000000" w:themeColor="text1"/>
                <w:sz w:val="24"/>
                <w:szCs w:val="22"/>
                <w:lang w:val="en-US" w:eastAsia="zh-CN"/>
                <w14:textFill>
                  <w14:solidFill>
                    <w14:schemeClr w14:val="tx1"/>
                  </w14:solidFill>
                </w14:textFill>
              </w:rPr>
              <w:t>（</w:t>
            </w:r>
            <w:r>
              <w:rPr>
                <w:rFonts w:hint="eastAsia" w:cs="Times New Roman"/>
                <w:color w:val="000000" w:themeColor="text1"/>
                <w:sz w:val="24"/>
                <w:szCs w:val="22"/>
                <w:lang w:val="en-US" w:eastAsia="zh-CN"/>
                <w14:textFill>
                  <w14:solidFill>
                    <w14:schemeClr w14:val="tx1"/>
                  </w14:solidFill>
                </w14:textFill>
              </w:rPr>
              <w:t>收集效率90%，</w:t>
            </w:r>
            <w:r>
              <w:rPr>
                <w:rFonts w:hint="eastAsia" w:ascii="Times New Roman" w:hAnsi="Times New Roman" w:cs="Times New Roman"/>
                <w:color w:val="000000" w:themeColor="text1"/>
                <w:sz w:val="24"/>
                <w:szCs w:val="22"/>
                <w:lang w:val="en-US" w:eastAsia="zh-CN"/>
                <w14:textFill>
                  <w14:solidFill>
                    <w14:schemeClr w14:val="tx1"/>
                  </w14:solidFill>
                </w14:textFill>
              </w:rPr>
              <w:t>处理效率9</w:t>
            </w:r>
            <w:r>
              <w:rPr>
                <w:rFonts w:hint="eastAsia" w:cs="Times New Roman"/>
                <w:color w:val="000000" w:themeColor="text1"/>
                <w:sz w:val="24"/>
                <w:szCs w:val="22"/>
                <w:lang w:val="en-US" w:eastAsia="zh-CN"/>
                <w14:textFill>
                  <w14:solidFill>
                    <w14:schemeClr w14:val="tx1"/>
                  </w14:solidFill>
                </w14:textFill>
              </w:rPr>
              <w:t>5</w:t>
            </w:r>
            <w:r>
              <w:rPr>
                <w:rFonts w:hint="eastAsia" w:ascii="Times New Roman" w:hAnsi="Times New Roman" w:cs="Times New Roman"/>
                <w:color w:val="000000" w:themeColor="text1"/>
                <w:sz w:val="24"/>
                <w:szCs w:val="22"/>
                <w:lang w:val="en-US" w:eastAsia="zh-CN"/>
                <w14:textFill>
                  <w14:solidFill>
                    <w14:schemeClr w14:val="tx1"/>
                  </w14:solidFill>
                </w14:textFill>
              </w:rPr>
              <w:t>%</w:t>
            </w:r>
            <w:r>
              <w:rPr>
                <w:rFonts w:hint="eastAsia" w:cs="Times New Roman"/>
                <w:color w:val="000000" w:themeColor="text1"/>
                <w:sz w:val="24"/>
                <w:szCs w:val="22"/>
                <w:lang w:val="en-US" w:eastAsia="zh-CN"/>
                <w14:textFill>
                  <w14:solidFill>
                    <w14:schemeClr w14:val="tx1"/>
                  </w14:solidFill>
                </w14:textFill>
              </w:rPr>
              <w:t>，根据</w:t>
            </w:r>
            <w:r>
              <w:rPr>
                <w:rFonts w:hint="eastAsia" w:ascii="Times New Roman" w:hAnsi="Times New Roman" w:cs="Times New Roman"/>
                <w:color w:val="000000" w:themeColor="text1"/>
                <w:sz w:val="24"/>
                <w:szCs w:val="22"/>
                <w:lang w:val="en-US" w:eastAsia="zh-CN"/>
                <w14:textFill>
                  <w14:solidFill>
                    <w14:schemeClr w14:val="tx1"/>
                  </w14:solidFill>
                </w14:textFill>
              </w:rPr>
              <w:t>《全国第</w:t>
            </w:r>
            <w:r>
              <w:rPr>
                <w:rFonts w:hint="eastAsia" w:cs="Times New Roman"/>
                <w:color w:val="000000" w:themeColor="text1"/>
                <w:sz w:val="24"/>
                <w:szCs w:val="22"/>
                <w:lang w:val="en-US" w:eastAsia="zh-CN"/>
                <w14:textFill>
                  <w14:solidFill>
                    <w14:schemeClr w14:val="tx1"/>
                  </w14:solidFill>
                </w14:textFill>
              </w:rPr>
              <w:t>二</w:t>
            </w:r>
            <w:r>
              <w:rPr>
                <w:rFonts w:hint="eastAsia" w:ascii="Times New Roman" w:hAnsi="Times New Roman" w:cs="Times New Roman"/>
                <w:color w:val="000000" w:themeColor="text1"/>
                <w:sz w:val="24"/>
                <w:szCs w:val="22"/>
                <w:lang w:val="en-US" w:eastAsia="zh-CN"/>
                <w14:textFill>
                  <w14:solidFill>
                    <w14:schemeClr w14:val="tx1"/>
                  </w14:solidFill>
                </w14:textFill>
              </w:rPr>
              <w:t>次污染源普查工业污染源产排污系数手册》</w:t>
            </w:r>
            <w:r>
              <w:rPr>
                <w:rFonts w:hint="eastAsia" w:cs="Times New Roman"/>
                <w:color w:val="000000" w:themeColor="text1"/>
                <w:sz w:val="24"/>
                <w:szCs w:val="22"/>
                <w:lang w:val="en-US" w:eastAsia="zh-CN"/>
                <w14:textFill>
                  <w14:solidFill>
                    <w14:schemeClr w14:val="tx1"/>
                  </w14:solidFill>
                </w14:textFill>
              </w:rPr>
              <w:t>33金属制造业</w:t>
            </w:r>
            <w:r>
              <w:rPr>
                <w:rFonts w:hint="eastAsia" w:ascii="Times New Roman" w:hAnsi="Times New Roman" w:cs="Times New Roman"/>
                <w:color w:val="000000" w:themeColor="text1"/>
                <w:sz w:val="24"/>
                <w:szCs w:val="22"/>
                <w:lang w:val="en-US" w:eastAsia="zh-CN"/>
                <w14:textFill>
                  <w14:solidFill>
                    <w14:schemeClr w14:val="tx1"/>
                  </w14:solidFill>
                </w14:textFill>
              </w:rPr>
              <w:t>中焊接核算环节得出）处理后通过车间机械排风和自然补风的通风装置及时排至室外，</w:t>
            </w:r>
            <w:r>
              <w:rPr>
                <w:rFonts w:hint="eastAsia" w:cs="Times New Roman"/>
                <w:color w:val="000000" w:themeColor="text1"/>
                <w:sz w:val="24"/>
                <w:szCs w:val="22"/>
                <w:lang w:val="en-US" w:eastAsia="zh-CN"/>
                <w14:textFill>
                  <w14:solidFill>
                    <w14:schemeClr w14:val="tx1"/>
                  </w14:solidFill>
                </w14:textFill>
              </w:rPr>
              <w:t>切割烟尘</w:t>
            </w:r>
            <w:r>
              <w:rPr>
                <w:rFonts w:hint="eastAsia" w:ascii="Times New Roman" w:hAnsi="Times New Roman" w:cs="Times New Roman"/>
                <w:color w:val="000000" w:themeColor="text1"/>
                <w:sz w:val="24"/>
                <w:szCs w:val="22"/>
                <w:lang w:val="en-US" w:eastAsia="zh-CN"/>
                <w14:textFill>
                  <w14:solidFill>
                    <w14:schemeClr w14:val="tx1"/>
                  </w14:solidFill>
                </w14:textFill>
              </w:rPr>
              <w:t>排放量为0.</w:t>
            </w:r>
            <w:r>
              <w:rPr>
                <w:rFonts w:hint="eastAsia" w:cs="Times New Roman"/>
                <w:color w:val="000000" w:themeColor="text1"/>
                <w:sz w:val="24"/>
                <w:szCs w:val="22"/>
                <w:lang w:val="en-US" w:eastAsia="zh-CN"/>
                <w14:textFill>
                  <w14:solidFill>
                    <w14:schemeClr w14:val="tx1"/>
                  </w14:solidFill>
                </w14:textFill>
              </w:rPr>
              <w:t>171</w:t>
            </w:r>
            <w:r>
              <w:rPr>
                <w:rFonts w:hint="eastAsia" w:ascii="Times New Roman" w:hAnsi="Times New Roman" w:cs="Times New Roman"/>
                <w:color w:val="000000" w:themeColor="text1"/>
                <w:sz w:val="24"/>
                <w:szCs w:val="22"/>
                <w:lang w:val="en-US" w:eastAsia="zh-CN"/>
                <w14:textFill>
                  <w14:solidFill>
                    <w14:schemeClr w14:val="tx1"/>
                  </w14:solidFill>
                </w14:textFill>
              </w:rPr>
              <w:t>t/a，排放速率为0.0</w:t>
            </w:r>
            <w:r>
              <w:rPr>
                <w:rFonts w:hint="eastAsia" w:cs="Times New Roman"/>
                <w:color w:val="000000" w:themeColor="text1"/>
                <w:sz w:val="24"/>
                <w:szCs w:val="22"/>
                <w:lang w:val="en-US" w:eastAsia="zh-CN"/>
                <w14:textFill>
                  <w14:solidFill>
                    <w14:schemeClr w14:val="tx1"/>
                  </w14:solidFill>
                </w14:textFill>
              </w:rPr>
              <w:t>713</w:t>
            </w:r>
            <w:r>
              <w:rPr>
                <w:rFonts w:hint="eastAsia" w:ascii="Times New Roman" w:hAnsi="Times New Roman" w:cs="Times New Roman"/>
                <w:color w:val="000000" w:themeColor="text1"/>
                <w:sz w:val="24"/>
                <w:szCs w:val="22"/>
                <w:lang w:val="en-US" w:eastAsia="zh-CN"/>
                <w14:textFill>
                  <w14:solidFill>
                    <w14:schemeClr w14:val="tx1"/>
                  </w14:solidFill>
                </w14:textFill>
              </w:rPr>
              <w:t>kg/h。</w:t>
            </w:r>
            <w:r>
              <w:rPr>
                <w:rFonts w:hint="eastAsia" w:cs="Times New Roman"/>
                <w:color w:val="000000" w:themeColor="text1"/>
                <w:sz w:val="24"/>
                <w:szCs w:val="22"/>
                <w:lang w:val="en-US" w:eastAsia="zh-CN"/>
                <w14:textFill>
                  <w14:solidFill>
                    <w14:schemeClr w14:val="tx1"/>
                  </w14:solidFill>
                </w14:textFill>
              </w:rPr>
              <w:t>焊接烟尘</w:t>
            </w:r>
            <w:r>
              <w:rPr>
                <w:rFonts w:hint="eastAsia" w:ascii="Times New Roman" w:hAnsi="Times New Roman" w:cs="Times New Roman"/>
                <w:color w:val="000000" w:themeColor="text1"/>
                <w:sz w:val="24"/>
                <w:szCs w:val="22"/>
                <w:lang w:val="en-US" w:eastAsia="zh-CN"/>
                <w14:textFill>
                  <w14:solidFill>
                    <w14:schemeClr w14:val="tx1"/>
                  </w14:solidFill>
                </w14:textFill>
              </w:rPr>
              <w:t>排放量为</w:t>
            </w:r>
            <w:r>
              <w:rPr>
                <w:rFonts w:hint="eastAsia" w:cs="Times New Roman"/>
                <w:color w:val="000000" w:themeColor="text1"/>
                <w:sz w:val="24"/>
                <w:szCs w:val="22"/>
                <w:lang w:val="en-US" w:eastAsia="zh-CN"/>
                <w14:textFill>
                  <w14:solidFill>
                    <w14:schemeClr w14:val="tx1"/>
                  </w14:solidFill>
                </w14:textFill>
              </w:rPr>
              <w:t>0.067</w:t>
            </w:r>
            <w:r>
              <w:rPr>
                <w:rFonts w:hint="eastAsia" w:ascii="Times New Roman" w:hAnsi="Times New Roman" w:cs="Times New Roman"/>
                <w:color w:val="000000" w:themeColor="text1"/>
                <w:sz w:val="24"/>
                <w:szCs w:val="22"/>
                <w:lang w:val="en-US" w:eastAsia="zh-CN"/>
                <w14:textFill>
                  <w14:solidFill>
                    <w14:schemeClr w14:val="tx1"/>
                  </w14:solidFill>
                </w14:textFill>
              </w:rPr>
              <w:t>t/a，排放速率为</w:t>
            </w:r>
            <w:r>
              <w:rPr>
                <w:rFonts w:hint="eastAsia" w:cs="Times New Roman"/>
                <w:color w:val="000000" w:themeColor="text1"/>
                <w:sz w:val="24"/>
                <w:szCs w:val="22"/>
                <w:lang w:val="en-US" w:eastAsia="zh-CN"/>
                <w14:textFill>
                  <w14:solidFill>
                    <w14:schemeClr w14:val="tx1"/>
                  </w14:solidFill>
                </w14:textFill>
              </w:rPr>
              <w:t>0.0279</w:t>
            </w:r>
            <w:r>
              <w:rPr>
                <w:rFonts w:hint="eastAsia" w:ascii="Times New Roman" w:hAnsi="Times New Roman" w:cs="Times New Roman"/>
                <w:color w:val="000000" w:themeColor="text1"/>
                <w:sz w:val="24"/>
                <w:szCs w:val="22"/>
                <w:lang w:val="en-US" w:eastAsia="zh-CN"/>
                <w14:textFill>
                  <w14:solidFill>
                    <w14:schemeClr w14:val="tx1"/>
                  </w14:solidFill>
                </w14:textFill>
              </w:rPr>
              <w:t>kg/h。</w:t>
            </w:r>
          </w:p>
          <w:p>
            <w:pPr>
              <w:pStyle w:val="120"/>
              <w:ind w:firstLine="480"/>
              <w:rPr>
                <w:color w:val="000000"/>
                <w:sz w:val="24"/>
                <w:szCs w:val="24"/>
              </w:rPr>
            </w:pPr>
            <w:r>
              <w:rPr>
                <w:rFonts w:hint="default" w:ascii="Times New Roman" w:hAnsi="Times New Roman" w:cs="Times New Roman"/>
                <w:color w:val="000000"/>
              </w:rPr>
              <w:t>③</w:t>
            </w:r>
            <w:r>
              <w:rPr>
                <w:rFonts w:hint="eastAsia"/>
                <w:color w:val="000000"/>
                <w:sz w:val="24"/>
                <w:szCs w:val="24"/>
                <w:lang w:eastAsia="zh-CN"/>
              </w:rPr>
              <w:t>打磨</w:t>
            </w:r>
            <w:r>
              <w:rPr>
                <w:rFonts w:hint="eastAsia"/>
                <w:color w:val="000000"/>
                <w:sz w:val="24"/>
                <w:szCs w:val="24"/>
              </w:rPr>
              <w:t>粉尘</w:t>
            </w:r>
          </w:p>
          <w:p>
            <w:pPr>
              <w:spacing w:line="360" w:lineRule="auto"/>
              <w:ind w:firstLine="489" w:firstLineChars="204"/>
              <w:rPr>
                <w:rFonts w:hint="default"/>
              </w:rPr>
            </w:pPr>
            <w:r>
              <w:rPr>
                <w:rFonts w:hint="eastAsia"/>
                <w:color w:val="000000"/>
                <w:sz w:val="24"/>
                <w:szCs w:val="24"/>
              </w:rPr>
              <w:t>项目设有</w:t>
            </w:r>
            <w:r>
              <w:rPr>
                <w:rFonts w:hint="eastAsia"/>
                <w:color w:val="000000"/>
                <w:sz w:val="24"/>
                <w:szCs w:val="24"/>
                <w:lang w:eastAsia="zh-CN"/>
              </w:rPr>
              <w:t>喷砂机</w:t>
            </w:r>
            <w:r>
              <w:rPr>
                <w:rFonts w:hint="eastAsia"/>
                <w:color w:val="000000"/>
                <w:sz w:val="24"/>
                <w:szCs w:val="24"/>
              </w:rPr>
              <w:t>1台，用于钢结构喷漆前的</w:t>
            </w:r>
            <w:r>
              <w:rPr>
                <w:rFonts w:hint="eastAsia"/>
                <w:color w:val="000000"/>
                <w:sz w:val="24"/>
                <w:szCs w:val="24"/>
                <w:lang w:eastAsia="zh-CN"/>
              </w:rPr>
              <w:t>打磨</w:t>
            </w:r>
            <w:r>
              <w:rPr>
                <w:rFonts w:hint="eastAsia"/>
                <w:color w:val="000000"/>
                <w:sz w:val="24"/>
                <w:szCs w:val="24"/>
              </w:rPr>
              <w:t>除锈，</w:t>
            </w:r>
            <w:r>
              <w:rPr>
                <w:rFonts w:hint="eastAsia"/>
                <w:color w:val="000000"/>
                <w:sz w:val="24"/>
                <w:szCs w:val="24"/>
                <w:lang w:eastAsia="zh-CN"/>
              </w:rPr>
              <w:t>喷砂打磨</w:t>
            </w:r>
            <w:r>
              <w:rPr>
                <w:rFonts w:hint="eastAsia"/>
                <w:color w:val="000000"/>
                <w:sz w:val="24"/>
                <w:szCs w:val="24"/>
              </w:rPr>
              <w:t>过程中有粉尘产生，</w:t>
            </w:r>
            <w:r>
              <w:rPr>
                <w:rFonts w:hint="default" w:ascii="Times New Roman" w:hAnsi="Times New Roman" w:cs="Times New Roman"/>
                <w:sz w:val="24"/>
                <w:szCs w:val="22"/>
                <w:lang w:val="en-US" w:eastAsia="zh-CN"/>
              </w:rPr>
              <w:t>粉尘产生量按</w:t>
            </w:r>
            <w:r>
              <w:rPr>
                <w:rFonts w:hint="eastAsia" w:cs="Times New Roman"/>
                <w:sz w:val="24"/>
                <w:szCs w:val="22"/>
                <w:lang w:val="en-US" w:eastAsia="zh-CN"/>
              </w:rPr>
              <w:t>2.19千克/吨-原料（根据《第二次全国污染源普查产排污核算系数手册（试用版）》33金属制造业预处理核算环节得出，打磨、喷砂、打磨颗粒物产污系数为2.19千克/吨-原料，袋式除尘器收集效率95%，处理效率为95%）</w:t>
            </w:r>
            <w:r>
              <w:rPr>
                <w:rFonts w:hint="default" w:ascii="Times New Roman" w:hAnsi="Times New Roman" w:cs="Times New Roman"/>
                <w:sz w:val="24"/>
                <w:szCs w:val="22"/>
                <w:lang w:val="en-US" w:eastAsia="zh-CN"/>
              </w:rPr>
              <w:t>计，</w:t>
            </w:r>
            <w:r>
              <w:rPr>
                <w:rFonts w:hint="eastAsia"/>
                <w:color w:val="000000"/>
                <w:sz w:val="24"/>
                <w:szCs w:val="24"/>
              </w:rPr>
              <w:t>本项目</w:t>
            </w:r>
            <w:r>
              <w:rPr>
                <w:rFonts w:hint="eastAsia"/>
                <w:color w:val="000000"/>
                <w:sz w:val="24"/>
                <w:szCs w:val="24"/>
                <w:lang w:eastAsia="zh-CN"/>
              </w:rPr>
              <w:t>喷砂</w:t>
            </w:r>
            <w:r>
              <w:rPr>
                <w:rFonts w:hint="eastAsia"/>
                <w:color w:val="000000"/>
                <w:sz w:val="24"/>
                <w:szCs w:val="24"/>
              </w:rPr>
              <w:t>机自带有废气收集装置。收集后的粉尘使用</w:t>
            </w:r>
            <w:r>
              <w:rPr>
                <w:rFonts w:hint="eastAsia"/>
                <w:color w:val="000000"/>
                <w:sz w:val="24"/>
                <w:szCs w:val="24"/>
                <w:lang w:eastAsia="zh-CN"/>
              </w:rPr>
              <w:t>喷砂</w:t>
            </w:r>
            <w:r>
              <w:rPr>
                <w:rFonts w:hint="eastAsia"/>
                <w:color w:val="000000"/>
                <w:sz w:val="24"/>
                <w:szCs w:val="24"/>
              </w:rPr>
              <w:t>机自带布袋除尘器处理，处理后的粉尘车间无组织排放。项目需</w:t>
            </w:r>
            <w:r>
              <w:rPr>
                <w:rFonts w:hint="eastAsia"/>
                <w:color w:val="000000"/>
                <w:sz w:val="24"/>
                <w:szCs w:val="24"/>
                <w:lang w:eastAsia="zh-CN"/>
              </w:rPr>
              <w:t>打磨</w:t>
            </w:r>
            <w:r>
              <w:rPr>
                <w:rFonts w:hint="eastAsia"/>
                <w:color w:val="000000"/>
                <w:sz w:val="24"/>
                <w:szCs w:val="24"/>
              </w:rPr>
              <w:t>的钢结构为产品量的</w:t>
            </w:r>
            <w:r>
              <w:rPr>
                <w:rFonts w:hint="eastAsia"/>
                <w:color w:val="000000"/>
                <w:sz w:val="24"/>
                <w:szCs w:val="24"/>
                <w:lang w:val="en-US" w:eastAsia="zh-CN"/>
              </w:rPr>
              <w:t>20</w:t>
            </w:r>
            <w:r>
              <w:rPr>
                <w:rFonts w:hint="eastAsia"/>
                <w:color w:val="000000"/>
                <w:sz w:val="24"/>
                <w:szCs w:val="24"/>
              </w:rPr>
              <w:t>%（</w:t>
            </w:r>
            <w:r>
              <w:rPr>
                <w:rFonts w:hint="eastAsia"/>
                <w:color w:val="000000"/>
                <w:sz w:val="24"/>
                <w:szCs w:val="24"/>
                <w:lang w:val="en-US" w:eastAsia="zh-CN"/>
              </w:rPr>
              <w:t>72</w:t>
            </w:r>
            <w:r>
              <w:rPr>
                <w:color w:val="000000"/>
                <w:sz w:val="24"/>
                <w:szCs w:val="24"/>
              </w:rPr>
              <w:t>0</w:t>
            </w:r>
            <w:r>
              <w:rPr>
                <w:rFonts w:hint="eastAsia"/>
                <w:color w:val="000000"/>
                <w:sz w:val="24"/>
                <w:szCs w:val="24"/>
              </w:rPr>
              <w:t>t/a），则</w:t>
            </w:r>
            <w:r>
              <w:rPr>
                <w:rFonts w:hint="eastAsia"/>
                <w:color w:val="000000"/>
                <w:sz w:val="24"/>
                <w:szCs w:val="24"/>
                <w:lang w:eastAsia="zh-CN"/>
              </w:rPr>
              <w:t>打磨</w:t>
            </w:r>
            <w:r>
              <w:rPr>
                <w:rFonts w:hint="eastAsia"/>
                <w:color w:val="000000"/>
                <w:sz w:val="24"/>
                <w:szCs w:val="24"/>
              </w:rPr>
              <w:t>粉尘产生量约</w:t>
            </w:r>
            <w:r>
              <w:rPr>
                <w:rFonts w:hint="eastAsia"/>
                <w:color w:val="000000"/>
                <w:sz w:val="24"/>
                <w:szCs w:val="24"/>
                <w:lang w:val="en-US" w:eastAsia="zh-CN"/>
              </w:rPr>
              <w:t>1.577</w:t>
            </w:r>
            <w:r>
              <w:rPr>
                <w:rFonts w:hint="eastAsia"/>
                <w:color w:val="000000"/>
                <w:sz w:val="24"/>
                <w:szCs w:val="24"/>
              </w:rPr>
              <w:t>t/a，</w:t>
            </w:r>
            <w:r>
              <w:rPr>
                <w:rFonts w:hint="eastAsia"/>
                <w:color w:val="000000"/>
                <w:sz w:val="24"/>
                <w:szCs w:val="24"/>
                <w:lang w:val="en-US" w:eastAsia="zh-CN"/>
              </w:rPr>
              <w:t>0.0657</w:t>
            </w:r>
            <w:r>
              <w:rPr>
                <w:rFonts w:hint="eastAsia"/>
                <w:color w:val="000000"/>
                <w:sz w:val="24"/>
                <w:szCs w:val="24"/>
              </w:rPr>
              <w:t>kg/</w:t>
            </w:r>
            <w:r>
              <w:rPr>
                <w:rFonts w:hint="eastAsia"/>
                <w:color w:val="000000"/>
                <w:sz w:val="24"/>
                <w:szCs w:val="24"/>
                <w:lang w:val="en-US" w:eastAsia="zh-CN"/>
              </w:rPr>
              <w:t>h</w:t>
            </w:r>
            <w:r>
              <w:rPr>
                <w:rFonts w:hint="eastAsia"/>
                <w:color w:val="000000"/>
                <w:sz w:val="24"/>
                <w:szCs w:val="24"/>
              </w:rPr>
              <w:t>，布袋除尘器处理效率9</w:t>
            </w:r>
            <w:r>
              <w:rPr>
                <w:rFonts w:hint="eastAsia"/>
                <w:color w:val="000000"/>
                <w:sz w:val="24"/>
                <w:szCs w:val="24"/>
                <w:lang w:val="en-US" w:eastAsia="zh-CN"/>
              </w:rPr>
              <w:t>5</w:t>
            </w:r>
            <w:r>
              <w:rPr>
                <w:rFonts w:hint="eastAsia"/>
                <w:color w:val="000000"/>
                <w:sz w:val="24"/>
                <w:szCs w:val="24"/>
              </w:rPr>
              <w:t>%，则</w:t>
            </w:r>
            <w:r>
              <w:rPr>
                <w:rFonts w:hint="eastAsia"/>
                <w:color w:val="000000"/>
                <w:sz w:val="24"/>
                <w:szCs w:val="24"/>
                <w:lang w:eastAsia="zh-CN"/>
              </w:rPr>
              <w:t>打磨</w:t>
            </w:r>
            <w:r>
              <w:rPr>
                <w:rFonts w:hint="eastAsia"/>
                <w:color w:val="000000"/>
                <w:sz w:val="24"/>
                <w:szCs w:val="24"/>
              </w:rPr>
              <w:t>粉尘排放量</w:t>
            </w:r>
            <w:r>
              <w:rPr>
                <w:rFonts w:hint="eastAsia"/>
                <w:color w:val="000000"/>
                <w:sz w:val="24"/>
                <w:szCs w:val="24"/>
                <w:lang w:val="en-US" w:eastAsia="zh-CN"/>
              </w:rPr>
              <w:t>0.1538</w:t>
            </w:r>
            <w:r>
              <w:rPr>
                <w:rFonts w:hint="eastAsia"/>
                <w:color w:val="000000"/>
                <w:sz w:val="24"/>
                <w:szCs w:val="24"/>
              </w:rPr>
              <w:t>t/a，0</w:t>
            </w:r>
            <w:r>
              <w:rPr>
                <w:color w:val="000000"/>
                <w:sz w:val="24"/>
                <w:szCs w:val="24"/>
              </w:rPr>
              <w:t>.</w:t>
            </w:r>
            <w:r>
              <w:rPr>
                <w:rFonts w:hint="eastAsia"/>
                <w:color w:val="000000"/>
                <w:sz w:val="24"/>
                <w:szCs w:val="24"/>
                <w:lang w:val="en-US" w:eastAsia="zh-CN"/>
              </w:rPr>
              <w:t>0641</w:t>
            </w:r>
            <w:r>
              <w:rPr>
                <w:rFonts w:hint="eastAsia"/>
                <w:color w:val="000000"/>
                <w:sz w:val="24"/>
                <w:szCs w:val="24"/>
              </w:rPr>
              <w:t>kg/</w:t>
            </w:r>
            <w:r>
              <w:rPr>
                <w:rFonts w:hint="eastAsia"/>
                <w:color w:val="000000"/>
                <w:sz w:val="24"/>
                <w:szCs w:val="24"/>
                <w:lang w:val="en-US" w:eastAsia="zh-CN"/>
              </w:rPr>
              <w:t>h。</w:t>
            </w:r>
            <w:r>
              <w:rPr>
                <w:rFonts w:hint="default" w:ascii="Times New Roman" w:hAnsi="Times New Roman" w:cs="Times New Roman"/>
                <w:sz w:val="24"/>
                <w:szCs w:val="22"/>
                <w:lang w:val="en-US" w:eastAsia="zh-CN"/>
              </w:rPr>
              <w:t>则烟尘产生情况见表5-</w:t>
            </w:r>
            <w:r>
              <w:rPr>
                <w:rFonts w:hint="eastAsia" w:cs="Times New Roman"/>
                <w:sz w:val="24"/>
                <w:szCs w:val="22"/>
                <w:lang w:val="en-US" w:eastAsia="zh-CN"/>
              </w:rPr>
              <w:t>3</w:t>
            </w:r>
            <w:r>
              <w:rPr>
                <w:rFonts w:hint="default" w:ascii="Times New Roman" w:hAnsi="Times New Roman" w:cs="Times New Roman"/>
                <w:sz w:val="24"/>
                <w:szCs w:val="22"/>
                <w:lang w:val="en-US" w:eastAsia="zh-CN"/>
              </w:rPr>
              <w:t>。</w:t>
            </w:r>
          </w:p>
          <w:p>
            <w:pPr>
              <w:pStyle w:val="52"/>
              <w:bidi w:val="0"/>
              <w:spacing w:line="240" w:lineRule="auto"/>
              <w:rPr>
                <w:rFonts w:hint="default"/>
              </w:rPr>
            </w:pPr>
            <w:r>
              <w:rPr>
                <w:rFonts w:hint="default"/>
              </w:rPr>
              <w:t xml:space="preserve"> 表5-</w:t>
            </w:r>
            <w:r>
              <w:rPr>
                <w:rFonts w:hint="eastAsia"/>
                <w:lang w:val="en-US" w:eastAsia="zh-CN"/>
              </w:rPr>
              <w:t>3</w:t>
            </w:r>
            <w:r>
              <w:rPr>
                <w:rFonts w:hint="default"/>
              </w:rPr>
              <w:t xml:space="preserve"> 烟尘产生情况表</w:t>
            </w:r>
          </w:p>
          <w:tbl>
            <w:tblPr>
              <w:tblStyle w:val="3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1583"/>
              <w:gridCol w:w="1410"/>
              <w:gridCol w:w="1740"/>
              <w:gridCol w:w="1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0"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val="0"/>
                      <w:bCs w:val="0"/>
                      <w:sz w:val="21"/>
                      <w:szCs w:val="21"/>
                      <w:lang w:eastAsia="zh-CN"/>
                    </w:rPr>
                  </w:pPr>
                  <w:r>
                    <w:rPr>
                      <w:rFonts w:hint="eastAsia"/>
                      <w:b w:val="0"/>
                      <w:bCs w:val="0"/>
                      <w:sz w:val="21"/>
                      <w:szCs w:val="21"/>
                      <w:lang w:eastAsia="zh-CN"/>
                    </w:rPr>
                    <w:t>焊接类型</w:t>
                  </w:r>
                </w:p>
              </w:tc>
              <w:tc>
                <w:tcPr>
                  <w:tcW w:w="966"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val="0"/>
                      <w:bCs w:val="0"/>
                      <w:sz w:val="21"/>
                      <w:szCs w:val="21"/>
                      <w:lang w:eastAsia="zh-CN"/>
                    </w:rPr>
                  </w:pPr>
                  <w:r>
                    <w:rPr>
                      <w:rFonts w:hint="eastAsia"/>
                      <w:b w:val="0"/>
                      <w:bCs w:val="0"/>
                      <w:sz w:val="21"/>
                      <w:szCs w:val="21"/>
                      <w:lang w:eastAsia="zh-CN"/>
                    </w:rPr>
                    <w:t>处理方式</w:t>
                  </w:r>
                </w:p>
              </w:tc>
              <w:tc>
                <w:tcPr>
                  <w:tcW w:w="861"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val="0"/>
                      <w:bCs w:val="0"/>
                      <w:sz w:val="21"/>
                      <w:szCs w:val="21"/>
                      <w:lang w:eastAsia="zh-CN"/>
                    </w:rPr>
                  </w:pPr>
                  <w:r>
                    <w:rPr>
                      <w:rFonts w:hint="eastAsia"/>
                      <w:b w:val="0"/>
                      <w:bCs w:val="0"/>
                      <w:sz w:val="21"/>
                      <w:szCs w:val="21"/>
                      <w:lang w:eastAsia="zh-CN"/>
                    </w:rPr>
                    <w:t>烟尘产生量</w:t>
                  </w:r>
                </w:p>
              </w:tc>
              <w:tc>
                <w:tcPr>
                  <w:tcW w:w="1062"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val="0"/>
                      <w:bCs w:val="0"/>
                      <w:sz w:val="21"/>
                      <w:szCs w:val="21"/>
                      <w:lang w:eastAsia="zh-CN"/>
                    </w:rPr>
                  </w:pPr>
                  <w:r>
                    <w:rPr>
                      <w:rFonts w:hint="eastAsia"/>
                      <w:b w:val="0"/>
                      <w:bCs w:val="0"/>
                      <w:sz w:val="21"/>
                      <w:szCs w:val="21"/>
                      <w:lang w:eastAsia="zh-CN"/>
                    </w:rPr>
                    <w:t>烟尘排放量</w:t>
                  </w:r>
                </w:p>
              </w:tc>
              <w:tc>
                <w:tcPr>
                  <w:tcW w:w="1109"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val="0"/>
                      <w:bCs w:val="0"/>
                      <w:sz w:val="21"/>
                      <w:szCs w:val="21"/>
                      <w:lang w:eastAsia="zh-CN"/>
                    </w:rPr>
                  </w:pPr>
                  <w:r>
                    <w:rPr>
                      <w:rFonts w:hint="eastAsia"/>
                      <w:b w:val="0"/>
                      <w:bCs w:val="0"/>
                      <w:sz w:val="21"/>
                      <w:szCs w:val="21"/>
                      <w:lang w:eastAsia="zh-CN"/>
                    </w:rPr>
                    <w:t>排放速率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0"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val="0"/>
                      <w:bCs w:val="0"/>
                      <w:sz w:val="21"/>
                      <w:szCs w:val="21"/>
                      <w:lang w:eastAsia="zh-CN"/>
                    </w:rPr>
                  </w:pPr>
                  <w:r>
                    <w:rPr>
                      <w:rFonts w:hint="eastAsia"/>
                      <w:b w:val="0"/>
                      <w:bCs w:val="0"/>
                      <w:sz w:val="21"/>
                      <w:szCs w:val="21"/>
                      <w:lang w:eastAsia="zh-CN"/>
                    </w:rPr>
                    <w:t>切割烟尘</w:t>
                  </w:r>
                </w:p>
              </w:tc>
              <w:tc>
                <w:tcPr>
                  <w:tcW w:w="966" w:type="pct"/>
                  <w:vMerge w:val="restar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val="0"/>
                      <w:bCs w:val="0"/>
                      <w:sz w:val="21"/>
                      <w:szCs w:val="21"/>
                      <w:lang w:eastAsia="zh-CN"/>
                    </w:rPr>
                  </w:pPr>
                  <w:r>
                    <w:rPr>
                      <w:rFonts w:hint="eastAsia"/>
                      <w:b w:val="0"/>
                      <w:bCs w:val="0"/>
                      <w:sz w:val="21"/>
                      <w:szCs w:val="21"/>
                      <w:lang w:eastAsia="zh-CN"/>
                    </w:rPr>
                    <w:t>移动式烟尘净化器</w:t>
                  </w:r>
                </w:p>
              </w:tc>
              <w:tc>
                <w:tcPr>
                  <w:tcW w:w="861"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val="0"/>
                      <w:sz w:val="21"/>
                      <w:szCs w:val="21"/>
                      <w:lang w:val="en-US" w:eastAsia="zh-CN"/>
                    </w:rPr>
                  </w:pPr>
                  <w:r>
                    <w:rPr>
                      <w:rFonts w:hint="eastAsia"/>
                      <w:b w:val="0"/>
                      <w:bCs w:val="0"/>
                      <w:sz w:val="21"/>
                      <w:szCs w:val="21"/>
                      <w:lang w:val="en-US" w:eastAsia="zh-CN"/>
                    </w:rPr>
                    <w:t>1.179t/a</w:t>
                  </w:r>
                </w:p>
              </w:tc>
              <w:tc>
                <w:tcPr>
                  <w:tcW w:w="1062"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val="0"/>
                      <w:sz w:val="21"/>
                      <w:szCs w:val="21"/>
                      <w:lang w:val="en-US" w:eastAsia="zh-CN"/>
                    </w:rPr>
                  </w:pPr>
                  <w:r>
                    <w:rPr>
                      <w:rFonts w:hint="eastAsia"/>
                      <w:b w:val="0"/>
                      <w:bCs w:val="0"/>
                      <w:sz w:val="21"/>
                      <w:szCs w:val="21"/>
                      <w:lang w:val="en-US" w:eastAsia="zh-CN"/>
                    </w:rPr>
                    <w:t>0.171t/a</w:t>
                  </w:r>
                </w:p>
              </w:tc>
              <w:tc>
                <w:tcPr>
                  <w:tcW w:w="1109"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val="0"/>
                      <w:sz w:val="21"/>
                      <w:szCs w:val="21"/>
                      <w:lang w:val="en-US" w:eastAsia="zh-CN"/>
                    </w:rPr>
                  </w:pPr>
                  <w:r>
                    <w:rPr>
                      <w:rFonts w:hint="eastAsia"/>
                      <w:b w:val="0"/>
                      <w:bCs w:val="0"/>
                      <w:sz w:val="21"/>
                      <w:szCs w:val="21"/>
                      <w:lang w:val="en-US" w:eastAsia="zh-CN"/>
                    </w:rPr>
                    <w:t>0.0713</w:t>
                  </w:r>
                  <w:r>
                    <w:rPr>
                      <w:rFonts w:hint="eastAsia"/>
                      <w:b w:val="0"/>
                      <w:bCs w:val="0"/>
                      <w:sz w:val="21"/>
                      <w:szCs w:val="21"/>
                      <w:lang w:eastAsia="zh-CN"/>
                    </w:rPr>
                    <w:t>kg/h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0"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val="0"/>
                      <w:bCs w:val="0"/>
                      <w:sz w:val="21"/>
                      <w:szCs w:val="21"/>
                      <w:lang w:eastAsia="zh-CN"/>
                    </w:rPr>
                  </w:pPr>
                  <w:r>
                    <w:rPr>
                      <w:rFonts w:hint="eastAsia"/>
                      <w:b w:val="0"/>
                      <w:bCs w:val="0"/>
                      <w:sz w:val="21"/>
                      <w:szCs w:val="21"/>
                      <w:lang w:eastAsia="zh-CN"/>
                    </w:rPr>
                    <w:t>焊接烟尘</w:t>
                  </w:r>
                </w:p>
              </w:tc>
              <w:tc>
                <w:tcPr>
                  <w:tcW w:w="966" w:type="pct"/>
                  <w:vMerge w:val="continue"/>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val="0"/>
                      <w:bCs w:val="0"/>
                      <w:sz w:val="21"/>
                      <w:szCs w:val="21"/>
                      <w:lang w:eastAsia="zh-CN"/>
                    </w:rPr>
                  </w:pPr>
                </w:p>
              </w:tc>
              <w:tc>
                <w:tcPr>
                  <w:tcW w:w="861"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val="0"/>
                      <w:sz w:val="21"/>
                      <w:szCs w:val="21"/>
                      <w:lang w:val="en-US" w:eastAsia="zh-CN"/>
                    </w:rPr>
                  </w:pPr>
                  <w:r>
                    <w:rPr>
                      <w:rFonts w:hint="eastAsia"/>
                      <w:b w:val="0"/>
                      <w:bCs w:val="0"/>
                      <w:sz w:val="21"/>
                      <w:szCs w:val="21"/>
                      <w:lang w:val="en-US" w:eastAsia="zh-CN"/>
                    </w:rPr>
                    <w:t>0.459t/a</w:t>
                  </w:r>
                </w:p>
              </w:tc>
              <w:tc>
                <w:tcPr>
                  <w:tcW w:w="1062"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val="0"/>
                      <w:sz w:val="21"/>
                      <w:szCs w:val="21"/>
                      <w:lang w:val="en-US" w:eastAsia="zh-CN"/>
                    </w:rPr>
                  </w:pPr>
                  <w:r>
                    <w:rPr>
                      <w:rFonts w:hint="eastAsia"/>
                      <w:b w:val="0"/>
                      <w:bCs w:val="0"/>
                      <w:sz w:val="21"/>
                      <w:szCs w:val="21"/>
                      <w:lang w:val="en-US" w:eastAsia="zh-CN"/>
                    </w:rPr>
                    <w:t>0.08t/a</w:t>
                  </w:r>
                </w:p>
              </w:tc>
              <w:tc>
                <w:tcPr>
                  <w:tcW w:w="1109"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val="0"/>
                      <w:sz w:val="21"/>
                      <w:szCs w:val="21"/>
                      <w:lang w:val="en-US" w:eastAsia="zh-CN"/>
                    </w:rPr>
                  </w:pPr>
                  <w:r>
                    <w:rPr>
                      <w:rFonts w:hint="eastAsia"/>
                      <w:b w:val="0"/>
                      <w:bCs w:val="0"/>
                      <w:sz w:val="21"/>
                      <w:szCs w:val="21"/>
                      <w:lang w:val="en-US" w:eastAsia="zh-CN"/>
                    </w:rPr>
                    <w:t>0.033</w:t>
                  </w:r>
                  <w:r>
                    <w:rPr>
                      <w:rFonts w:hint="eastAsia"/>
                      <w:b w:val="0"/>
                      <w:bCs w:val="0"/>
                      <w:sz w:val="21"/>
                      <w:szCs w:val="21"/>
                      <w:lang w:eastAsia="zh-CN"/>
                    </w:rPr>
                    <w:t>kg/h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0"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val="0"/>
                      <w:bCs w:val="0"/>
                      <w:sz w:val="21"/>
                      <w:szCs w:val="21"/>
                      <w:lang w:eastAsia="zh-CN"/>
                    </w:rPr>
                  </w:pPr>
                  <w:r>
                    <w:rPr>
                      <w:rFonts w:hint="eastAsia"/>
                      <w:b w:val="0"/>
                      <w:bCs w:val="0"/>
                      <w:sz w:val="21"/>
                      <w:szCs w:val="21"/>
                      <w:lang w:eastAsia="zh-CN"/>
                    </w:rPr>
                    <w:t>打磨粉尘</w:t>
                  </w:r>
                </w:p>
              </w:tc>
              <w:tc>
                <w:tcPr>
                  <w:tcW w:w="966"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val="0"/>
                      <w:bCs w:val="0"/>
                      <w:sz w:val="21"/>
                      <w:szCs w:val="21"/>
                      <w:lang w:eastAsia="zh-CN"/>
                    </w:rPr>
                  </w:pPr>
                  <w:r>
                    <w:rPr>
                      <w:rFonts w:hint="eastAsia"/>
                      <w:b w:val="0"/>
                      <w:bCs w:val="0"/>
                      <w:sz w:val="21"/>
                      <w:szCs w:val="21"/>
                      <w:lang w:eastAsia="zh-CN"/>
                    </w:rPr>
                    <w:t>布袋除尘器</w:t>
                  </w:r>
                </w:p>
              </w:tc>
              <w:tc>
                <w:tcPr>
                  <w:tcW w:w="861"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val="0"/>
                      <w:sz w:val="21"/>
                      <w:szCs w:val="21"/>
                      <w:lang w:val="en-US" w:eastAsia="zh-CN"/>
                    </w:rPr>
                  </w:pPr>
                  <w:r>
                    <w:rPr>
                      <w:rFonts w:hint="eastAsia"/>
                      <w:b w:val="0"/>
                      <w:bCs w:val="0"/>
                      <w:sz w:val="21"/>
                      <w:szCs w:val="21"/>
                      <w:lang w:val="en-US" w:eastAsia="zh-CN"/>
                    </w:rPr>
                    <w:t>1.577t/a</w:t>
                  </w:r>
                </w:p>
              </w:tc>
              <w:tc>
                <w:tcPr>
                  <w:tcW w:w="1062"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val="0"/>
                      <w:bCs w:val="0"/>
                      <w:sz w:val="21"/>
                      <w:szCs w:val="21"/>
                      <w:lang w:val="en-US" w:eastAsia="zh-CN"/>
                    </w:rPr>
                  </w:pPr>
                  <w:r>
                    <w:rPr>
                      <w:rFonts w:hint="eastAsia"/>
                      <w:b w:val="0"/>
                      <w:bCs w:val="0"/>
                      <w:sz w:val="21"/>
                      <w:szCs w:val="21"/>
                      <w:lang w:val="en-US" w:eastAsia="zh-CN"/>
                    </w:rPr>
                    <w:t>0.067t/a</w:t>
                  </w:r>
                </w:p>
              </w:tc>
              <w:tc>
                <w:tcPr>
                  <w:tcW w:w="1109"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val="0"/>
                      <w:bCs w:val="0"/>
                      <w:sz w:val="21"/>
                      <w:szCs w:val="21"/>
                      <w:lang w:val="en-US" w:eastAsia="zh-CN"/>
                    </w:rPr>
                  </w:pPr>
                  <w:r>
                    <w:rPr>
                      <w:rFonts w:hint="eastAsia"/>
                      <w:b w:val="0"/>
                      <w:bCs w:val="0"/>
                      <w:sz w:val="21"/>
                      <w:szCs w:val="21"/>
                      <w:lang w:val="en-US" w:eastAsia="zh-CN"/>
                    </w:rPr>
                    <w:t>0.0279kg/h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0"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val="0"/>
                      <w:bCs w:val="0"/>
                      <w:sz w:val="21"/>
                      <w:szCs w:val="21"/>
                      <w:lang w:eastAsia="zh-CN"/>
                    </w:rPr>
                  </w:pPr>
                  <w:r>
                    <w:rPr>
                      <w:rFonts w:hint="eastAsia"/>
                      <w:b w:val="0"/>
                      <w:bCs w:val="0"/>
                      <w:sz w:val="21"/>
                      <w:szCs w:val="21"/>
                      <w:lang w:eastAsia="zh-CN"/>
                    </w:rPr>
                    <w:t>合计</w:t>
                  </w:r>
                </w:p>
              </w:tc>
              <w:tc>
                <w:tcPr>
                  <w:tcW w:w="966"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val="0"/>
                      <w:sz w:val="21"/>
                      <w:szCs w:val="21"/>
                      <w:lang w:val="en-US" w:eastAsia="zh-CN"/>
                    </w:rPr>
                  </w:pPr>
                  <w:r>
                    <w:rPr>
                      <w:rFonts w:hint="eastAsia"/>
                      <w:b w:val="0"/>
                      <w:bCs w:val="0"/>
                      <w:sz w:val="21"/>
                      <w:szCs w:val="21"/>
                      <w:lang w:val="en-US" w:eastAsia="zh-CN"/>
                    </w:rPr>
                    <w:t>/</w:t>
                  </w:r>
                </w:p>
              </w:tc>
              <w:tc>
                <w:tcPr>
                  <w:tcW w:w="861"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val="0"/>
                      <w:sz w:val="21"/>
                      <w:szCs w:val="21"/>
                      <w:lang w:val="en-US" w:eastAsia="zh-CN"/>
                    </w:rPr>
                  </w:pPr>
                  <w:r>
                    <w:rPr>
                      <w:rFonts w:hint="eastAsia"/>
                      <w:b w:val="0"/>
                      <w:bCs w:val="0"/>
                      <w:sz w:val="21"/>
                      <w:szCs w:val="21"/>
                      <w:lang w:val="en-US" w:eastAsia="zh-CN"/>
                    </w:rPr>
                    <w:t>3.215t/a</w:t>
                  </w:r>
                </w:p>
              </w:tc>
              <w:tc>
                <w:tcPr>
                  <w:tcW w:w="1062"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val="0"/>
                      <w:sz w:val="21"/>
                      <w:szCs w:val="21"/>
                      <w:lang w:val="en-US" w:eastAsia="zh-CN"/>
                    </w:rPr>
                  </w:pPr>
                  <w:r>
                    <w:rPr>
                      <w:rFonts w:hint="eastAsia"/>
                      <w:b w:val="0"/>
                      <w:bCs w:val="0"/>
                      <w:sz w:val="21"/>
                      <w:szCs w:val="21"/>
                      <w:lang w:val="en-US" w:eastAsia="zh-CN"/>
                    </w:rPr>
                    <w:t>0.318t/a</w:t>
                  </w:r>
                </w:p>
              </w:tc>
              <w:tc>
                <w:tcPr>
                  <w:tcW w:w="1109" w:type="pct"/>
                  <w:noWrap w:val="0"/>
                  <w:vAlign w:val="center"/>
                </w:tcPr>
                <w:p>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b w:val="0"/>
                      <w:bCs w:val="0"/>
                      <w:sz w:val="21"/>
                      <w:szCs w:val="21"/>
                      <w:lang w:val="en-US" w:eastAsia="zh-CN"/>
                    </w:rPr>
                  </w:pPr>
                  <w:r>
                    <w:rPr>
                      <w:rFonts w:hint="eastAsia"/>
                      <w:b w:val="0"/>
                      <w:bCs w:val="0"/>
                      <w:sz w:val="21"/>
                      <w:szCs w:val="21"/>
                      <w:lang w:val="en-US" w:eastAsia="zh-CN"/>
                    </w:rPr>
                    <w:t>0.1322kg/a</w:t>
                  </w:r>
                </w:p>
              </w:tc>
            </w:tr>
          </w:tbl>
          <w:p>
            <w:pPr>
              <w:spacing w:line="360" w:lineRule="auto"/>
              <w:ind w:firstLine="492" w:firstLineChars="204"/>
              <w:rPr>
                <w:rFonts w:hint="eastAsia" w:ascii="Times New Roman" w:hAnsi="Times New Roman" w:cs="Times New Roman"/>
                <w:b/>
                <w:bCs/>
                <w:sz w:val="24"/>
                <w:szCs w:val="22"/>
                <w:lang w:val="en-US" w:eastAsia="zh-CN"/>
              </w:rPr>
            </w:pPr>
            <w:r>
              <w:rPr>
                <w:rFonts w:hint="eastAsia" w:ascii="Times New Roman" w:hAnsi="Times New Roman" w:cs="Times New Roman"/>
                <w:b/>
                <w:bCs/>
                <w:sz w:val="24"/>
                <w:szCs w:val="22"/>
                <w:lang w:val="en-US" w:eastAsia="zh-CN"/>
              </w:rPr>
              <w:t xml:space="preserve">（2）喷涂废气 </w:t>
            </w:r>
          </w:p>
          <w:p>
            <w:pPr>
              <w:spacing w:line="360" w:lineRule="auto"/>
              <w:ind w:firstLine="489" w:firstLineChars="204"/>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 xml:space="preserve">本项目调漆、喷漆、自然晾干工序均产生有机废气（本次环评以VOCs计）。 </w:t>
            </w:r>
          </w:p>
          <w:p>
            <w:pPr>
              <w:spacing w:line="360" w:lineRule="auto"/>
              <w:ind w:firstLine="489" w:firstLineChars="204"/>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本项目喷漆区单独设置于车间东南角，喷涂车间与生产车间之间以密闭门隔开。其中喷漆室占地面积为10</w:t>
            </w:r>
            <w:r>
              <w:rPr>
                <w:rFonts w:hint="default" w:ascii="Times New Roman" w:hAnsi="Times New Roman" w:cs="Times New Roman"/>
                <w:sz w:val="24"/>
                <w:szCs w:val="22"/>
                <w:lang w:val="en-US" w:eastAsia="zh-CN"/>
              </w:rPr>
              <w:t>0</w:t>
            </w:r>
            <w:r>
              <w:rPr>
                <w:rFonts w:hint="eastAsia" w:ascii="Times New Roman" w:hAnsi="Times New Roman" w:cs="Times New Roman"/>
                <w:sz w:val="24"/>
                <w:szCs w:val="22"/>
                <w:lang w:val="en-US" w:eastAsia="zh-CN"/>
              </w:rPr>
              <w:t>m</w:t>
            </w:r>
            <w:r>
              <w:rPr>
                <w:rFonts w:hint="eastAsia" w:ascii="Times New Roman" w:hAnsi="Times New Roman" w:cs="Times New Roman"/>
                <w:sz w:val="24"/>
                <w:szCs w:val="22"/>
                <w:vertAlign w:val="superscript"/>
                <w:lang w:val="en-US" w:eastAsia="zh-CN"/>
              </w:rPr>
              <w:t>2</w:t>
            </w:r>
            <w:r>
              <w:rPr>
                <w:rFonts w:hint="eastAsia" w:ascii="Times New Roman" w:hAnsi="Times New Roman" w:cs="Times New Roman"/>
                <w:sz w:val="24"/>
                <w:szCs w:val="22"/>
                <w:lang w:val="en-US" w:eastAsia="zh-CN"/>
              </w:rPr>
              <w:t>、高9.6</w:t>
            </w:r>
            <w:r>
              <w:rPr>
                <w:rFonts w:hint="default" w:ascii="Times New Roman" w:hAnsi="Times New Roman" w:cs="Times New Roman"/>
                <w:sz w:val="24"/>
                <w:szCs w:val="22"/>
                <w:lang w:val="en-US" w:eastAsia="zh-CN"/>
              </w:rPr>
              <w:t>m</w:t>
            </w:r>
            <w:r>
              <w:rPr>
                <w:rFonts w:hint="eastAsia" w:ascii="Times New Roman" w:hAnsi="Times New Roman" w:cs="Times New Roman"/>
                <w:sz w:val="24"/>
                <w:szCs w:val="22"/>
                <w:lang w:val="en-US" w:eastAsia="zh-CN"/>
              </w:rPr>
              <w:t xml:space="preserve">，本项目调漆、喷漆、自然晾干均在负压密闭的喷漆室内进行。 </w:t>
            </w:r>
          </w:p>
          <w:p>
            <w:pPr>
              <w:spacing w:line="360" w:lineRule="auto"/>
              <w:ind w:firstLine="489" w:firstLineChars="204"/>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 xml:space="preserve">I各涂装工序作业时间 </w:t>
            </w:r>
          </w:p>
          <w:p>
            <w:pPr>
              <w:spacing w:line="360" w:lineRule="auto"/>
              <w:ind w:firstLine="489" w:firstLineChars="204"/>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①调漆：每天工作1次，每次约</w:t>
            </w:r>
            <w:r>
              <w:rPr>
                <w:rFonts w:hint="eastAsia" w:cs="Times New Roman"/>
                <w:sz w:val="24"/>
                <w:szCs w:val="22"/>
                <w:lang w:val="en-US" w:eastAsia="zh-CN"/>
              </w:rPr>
              <w:t>3</w:t>
            </w:r>
            <w:r>
              <w:rPr>
                <w:rFonts w:hint="eastAsia" w:ascii="Times New Roman" w:hAnsi="Times New Roman" w:cs="Times New Roman"/>
                <w:sz w:val="24"/>
                <w:szCs w:val="22"/>
                <w:lang w:val="en-US" w:eastAsia="zh-CN"/>
              </w:rPr>
              <w:t>0</w:t>
            </w:r>
            <w:r>
              <w:rPr>
                <w:rFonts w:hint="default" w:ascii="Times New Roman" w:hAnsi="Times New Roman" w:cs="Times New Roman"/>
                <w:sz w:val="24"/>
                <w:szCs w:val="22"/>
                <w:lang w:val="en-US" w:eastAsia="zh-CN"/>
              </w:rPr>
              <w:t>min</w:t>
            </w:r>
            <w:r>
              <w:rPr>
                <w:rFonts w:hint="eastAsia" w:ascii="Times New Roman" w:hAnsi="Times New Roman" w:cs="Times New Roman"/>
                <w:sz w:val="24"/>
                <w:szCs w:val="22"/>
                <w:lang w:val="en-US" w:eastAsia="zh-CN"/>
              </w:rPr>
              <w:t>，即3</w:t>
            </w:r>
            <w:r>
              <w:rPr>
                <w:rFonts w:hint="default" w:ascii="Times New Roman" w:hAnsi="Times New Roman" w:cs="Times New Roman"/>
                <w:sz w:val="24"/>
                <w:szCs w:val="22"/>
                <w:lang w:val="en-US" w:eastAsia="zh-CN"/>
              </w:rPr>
              <w:t>0min/d</w:t>
            </w:r>
            <w:r>
              <w:rPr>
                <w:rFonts w:hint="eastAsia" w:ascii="Times New Roman" w:hAnsi="Times New Roman" w:cs="Times New Roman"/>
                <w:sz w:val="24"/>
                <w:szCs w:val="22"/>
                <w:lang w:val="en-US" w:eastAsia="zh-CN"/>
              </w:rPr>
              <w:t>，每年工作</w:t>
            </w:r>
            <w:r>
              <w:rPr>
                <w:rFonts w:hint="default" w:ascii="Times New Roman" w:hAnsi="Times New Roman" w:cs="Times New Roman"/>
                <w:sz w:val="24"/>
                <w:szCs w:val="22"/>
                <w:lang w:val="en-US" w:eastAsia="zh-CN"/>
              </w:rPr>
              <w:t>300</w:t>
            </w:r>
            <w:r>
              <w:rPr>
                <w:rFonts w:hint="eastAsia" w:ascii="Times New Roman" w:hAnsi="Times New Roman" w:cs="Times New Roman"/>
                <w:sz w:val="24"/>
                <w:szCs w:val="22"/>
                <w:lang w:val="en-US" w:eastAsia="zh-CN"/>
              </w:rPr>
              <w:t xml:space="preserve">天； </w:t>
            </w:r>
          </w:p>
          <w:p>
            <w:pPr>
              <w:spacing w:line="360" w:lineRule="auto"/>
              <w:ind w:firstLine="489" w:firstLineChars="204"/>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②喷底漆：每天工作1次，每次约</w:t>
            </w:r>
            <w:r>
              <w:rPr>
                <w:rFonts w:hint="eastAsia" w:cs="Times New Roman"/>
                <w:sz w:val="24"/>
                <w:szCs w:val="22"/>
                <w:lang w:val="en-US" w:eastAsia="zh-CN"/>
              </w:rPr>
              <w:t>9</w:t>
            </w:r>
            <w:r>
              <w:rPr>
                <w:rFonts w:hint="default" w:ascii="Times New Roman" w:hAnsi="Times New Roman" w:cs="Times New Roman"/>
                <w:sz w:val="24"/>
                <w:szCs w:val="22"/>
                <w:lang w:val="en-US" w:eastAsia="zh-CN"/>
              </w:rPr>
              <w:t>0min</w:t>
            </w:r>
            <w:r>
              <w:rPr>
                <w:rFonts w:hint="eastAsia" w:ascii="Times New Roman" w:hAnsi="Times New Roman" w:cs="Times New Roman"/>
                <w:sz w:val="24"/>
                <w:szCs w:val="22"/>
                <w:lang w:val="en-US" w:eastAsia="zh-CN"/>
              </w:rPr>
              <w:t>，即</w:t>
            </w:r>
            <w:r>
              <w:rPr>
                <w:rFonts w:hint="eastAsia" w:cs="Times New Roman"/>
                <w:sz w:val="24"/>
                <w:szCs w:val="22"/>
                <w:lang w:val="en-US" w:eastAsia="zh-CN"/>
              </w:rPr>
              <w:t>9</w:t>
            </w:r>
            <w:r>
              <w:rPr>
                <w:rFonts w:hint="default" w:ascii="Times New Roman" w:hAnsi="Times New Roman" w:cs="Times New Roman"/>
                <w:sz w:val="24"/>
                <w:szCs w:val="22"/>
                <w:lang w:val="en-US" w:eastAsia="zh-CN"/>
              </w:rPr>
              <w:t>0min/d</w:t>
            </w:r>
            <w:r>
              <w:rPr>
                <w:rFonts w:hint="eastAsia" w:ascii="Times New Roman" w:hAnsi="Times New Roman" w:cs="Times New Roman"/>
                <w:sz w:val="24"/>
                <w:szCs w:val="22"/>
                <w:lang w:val="en-US" w:eastAsia="zh-CN"/>
              </w:rPr>
              <w:t>，每年工作</w:t>
            </w:r>
            <w:r>
              <w:rPr>
                <w:rFonts w:hint="default" w:ascii="Times New Roman" w:hAnsi="Times New Roman" w:cs="Times New Roman"/>
                <w:sz w:val="24"/>
                <w:szCs w:val="22"/>
                <w:lang w:val="en-US" w:eastAsia="zh-CN"/>
              </w:rPr>
              <w:t>300</w:t>
            </w:r>
            <w:r>
              <w:rPr>
                <w:rFonts w:hint="eastAsia" w:ascii="Times New Roman" w:hAnsi="Times New Roman" w:cs="Times New Roman"/>
                <w:sz w:val="24"/>
                <w:szCs w:val="22"/>
                <w:lang w:val="en-US" w:eastAsia="zh-CN"/>
              </w:rPr>
              <w:t>天；</w:t>
            </w:r>
          </w:p>
          <w:p>
            <w:pPr>
              <w:spacing w:line="360" w:lineRule="auto"/>
              <w:ind w:firstLine="489" w:firstLineChars="204"/>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③喷中间漆：每天工作1次，每次约</w:t>
            </w:r>
            <w:r>
              <w:rPr>
                <w:rFonts w:hint="eastAsia" w:cs="Times New Roman"/>
                <w:sz w:val="24"/>
                <w:szCs w:val="22"/>
                <w:lang w:val="en-US" w:eastAsia="zh-CN"/>
              </w:rPr>
              <w:t>9</w:t>
            </w:r>
            <w:r>
              <w:rPr>
                <w:rFonts w:hint="default" w:ascii="Times New Roman" w:hAnsi="Times New Roman" w:cs="Times New Roman"/>
                <w:sz w:val="24"/>
                <w:szCs w:val="22"/>
                <w:lang w:val="en-US" w:eastAsia="zh-CN"/>
              </w:rPr>
              <w:t>0min</w:t>
            </w:r>
            <w:r>
              <w:rPr>
                <w:rFonts w:hint="eastAsia" w:ascii="Times New Roman" w:hAnsi="Times New Roman" w:cs="Times New Roman"/>
                <w:sz w:val="24"/>
                <w:szCs w:val="22"/>
                <w:lang w:val="en-US" w:eastAsia="zh-CN"/>
              </w:rPr>
              <w:t>，即</w:t>
            </w:r>
            <w:r>
              <w:rPr>
                <w:rFonts w:hint="eastAsia" w:cs="Times New Roman"/>
                <w:sz w:val="24"/>
                <w:szCs w:val="22"/>
                <w:lang w:val="en-US" w:eastAsia="zh-CN"/>
              </w:rPr>
              <w:t>9</w:t>
            </w:r>
            <w:r>
              <w:rPr>
                <w:rFonts w:hint="default" w:ascii="Times New Roman" w:hAnsi="Times New Roman" w:cs="Times New Roman"/>
                <w:sz w:val="24"/>
                <w:szCs w:val="22"/>
                <w:lang w:val="en-US" w:eastAsia="zh-CN"/>
              </w:rPr>
              <w:t>0min/d</w:t>
            </w:r>
            <w:r>
              <w:rPr>
                <w:rFonts w:hint="eastAsia" w:ascii="Times New Roman" w:hAnsi="Times New Roman" w:cs="Times New Roman"/>
                <w:sz w:val="24"/>
                <w:szCs w:val="22"/>
                <w:lang w:val="en-US" w:eastAsia="zh-CN"/>
              </w:rPr>
              <w:t>，每年工作</w:t>
            </w:r>
            <w:r>
              <w:rPr>
                <w:rFonts w:hint="default" w:ascii="Times New Roman" w:hAnsi="Times New Roman" w:cs="Times New Roman"/>
                <w:sz w:val="24"/>
                <w:szCs w:val="22"/>
                <w:lang w:val="en-US" w:eastAsia="zh-CN"/>
              </w:rPr>
              <w:t>300</w:t>
            </w:r>
            <w:r>
              <w:rPr>
                <w:rFonts w:hint="eastAsia" w:ascii="Times New Roman" w:hAnsi="Times New Roman" w:cs="Times New Roman"/>
                <w:sz w:val="24"/>
                <w:szCs w:val="22"/>
                <w:lang w:val="en-US" w:eastAsia="zh-CN"/>
              </w:rPr>
              <w:t xml:space="preserve">天； </w:t>
            </w:r>
          </w:p>
          <w:p>
            <w:pPr>
              <w:spacing w:line="360" w:lineRule="auto"/>
              <w:ind w:firstLine="489" w:firstLineChars="204"/>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④喷面漆：每天工作1次，每次约</w:t>
            </w:r>
            <w:r>
              <w:rPr>
                <w:rFonts w:hint="eastAsia" w:cs="Times New Roman"/>
                <w:sz w:val="24"/>
                <w:szCs w:val="22"/>
                <w:lang w:val="en-US" w:eastAsia="zh-CN"/>
              </w:rPr>
              <w:t>9</w:t>
            </w:r>
            <w:r>
              <w:rPr>
                <w:rFonts w:hint="default" w:ascii="Times New Roman" w:hAnsi="Times New Roman" w:cs="Times New Roman"/>
                <w:sz w:val="24"/>
                <w:szCs w:val="22"/>
                <w:lang w:val="en-US" w:eastAsia="zh-CN"/>
              </w:rPr>
              <w:t>0min</w:t>
            </w:r>
            <w:r>
              <w:rPr>
                <w:rFonts w:hint="eastAsia" w:ascii="Times New Roman" w:hAnsi="Times New Roman" w:cs="Times New Roman"/>
                <w:sz w:val="24"/>
                <w:szCs w:val="22"/>
                <w:lang w:val="en-US" w:eastAsia="zh-CN"/>
              </w:rPr>
              <w:t>，即</w:t>
            </w:r>
            <w:r>
              <w:rPr>
                <w:rFonts w:hint="eastAsia" w:cs="Times New Roman"/>
                <w:sz w:val="24"/>
                <w:szCs w:val="22"/>
                <w:lang w:val="en-US" w:eastAsia="zh-CN"/>
              </w:rPr>
              <w:t>9</w:t>
            </w:r>
            <w:r>
              <w:rPr>
                <w:rFonts w:hint="default" w:ascii="Times New Roman" w:hAnsi="Times New Roman" w:cs="Times New Roman"/>
                <w:sz w:val="24"/>
                <w:szCs w:val="22"/>
                <w:lang w:val="en-US" w:eastAsia="zh-CN"/>
              </w:rPr>
              <w:t>0min/d</w:t>
            </w:r>
            <w:r>
              <w:rPr>
                <w:rFonts w:hint="eastAsia" w:ascii="Times New Roman" w:hAnsi="Times New Roman" w:cs="Times New Roman"/>
                <w:sz w:val="24"/>
                <w:szCs w:val="22"/>
                <w:lang w:val="en-US" w:eastAsia="zh-CN"/>
              </w:rPr>
              <w:t>，每年工作</w:t>
            </w:r>
            <w:r>
              <w:rPr>
                <w:rFonts w:hint="default" w:ascii="Times New Roman" w:hAnsi="Times New Roman" w:cs="Times New Roman"/>
                <w:sz w:val="24"/>
                <w:szCs w:val="22"/>
                <w:lang w:val="en-US" w:eastAsia="zh-CN"/>
              </w:rPr>
              <w:t>300</w:t>
            </w:r>
            <w:r>
              <w:rPr>
                <w:rFonts w:hint="eastAsia" w:ascii="Times New Roman" w:hAnsi="Times New Roman" w:cs="Times New Roman"/>
                <w:sz w:val="24"/>
                <w:szCs w:val="22"/>
                <w:lang w:val="en-US" w:eastAsia="zh-CN"/>
              </w:rPr>
              <w:t xml:space="preserve">天； </w:t>
            </w:r>
          </w:p>
          <w:p>
            <w:pPr>
              <w:spacing w:line="360" w:lineRule="auto"/>
              <w:ind w:firstLine="489" w:firstLineChars="204"/>
              <w:rPr>
                <w:rFonts w:hint="eastAsia" w:ascii="Times New Roman" w:hAnsi="Times New Roman" w:cs="Times New Roman"/>
                <w:sz w:val="24"/>
                <w:szCs w:val="22"/>
                <w:lang w:val="en-US" w:eastAsia="zh-CN"/>
              </w:rPr>
            </w:pPr>
            <w:r>
              <w:rPr>
                <w:rFonts w:hint="default" w:ascii="Times New Roman" w:hAnsi="Times New Roman" w:eastAsia="微软雅黑" w:cs="Times New Roman"/>
                <w:sz w:val="24"/>
                <w:szCs w:val="22"/>
                <w:lang w:val="en-US" w:eastAsia="zh-CN"/>
              </w:rPr>
              <w:t>⑤</w:t>
            </w:r>
            <w:r>
              <w:rPr>
                <w:rFonts w:hint="eastAsia" w:ascii="Times New Roman" w:hAnsi="Times New Roman" w:cs="Times New Roman"/>
                <w:sz w:val="24"/>
                <w:szCs w:val="22"/>
                <w:lang w:val="en-US" w:eastAsia="zh-CN"/>
              </w:rPr>
              <w:t>晾干：每天工作</w:t>
            </w:r>
            <w:r>
              <w:rPr>
                <w:rFonts w:hint="eastAsia" w:cs="Times New Roman"/>
                <w:sz w:val="24"/>
                <w:szCs w:val="22"/>
                <w:lang w:val="en-US" w:eastAsia="zh-CN"/>
              </w:rPr>
              <w:t>3</w:t>
            </w:r>
            <w:r>
              <w:rPr>
                <w:rFonts w:hint="eastAsia" w:ascii="Times New Roman" w:hAnsi="Times New Roman" w:cs="Times New Roman"/>
                <w:sz w:val="24"/>
                <w:szCs w:val="22"/>
                <w:lang w:val="en-US" w:eastAsia="zh-CN"/>
              </w:rPr>
              <w:t>次，每次约6</w:t>
            </w:r>
            <w:r>
              <w:rPr>
                <w:rFonts w:hint="default" w:ascii="Times New Roman" w:hAnsi="Times New Roman" w:cs="Times New Roman"/>
                <w:sz w:val="24"/>
                <w:szCs w:val="22"/>
                <w:lang w:val="en-US" w:eastAsia="zh-CN"/>
              </w:rPr>
              <w:t>0min</w:t>
            </w:r>
            <w:r>
              <w:rPr>
                <w:rFonts w:hint="eastAsia" w:ascii="Times New Roman" w:hAnsi="Times New Roman" w:cs="Times New Roman"/>
                <w:sz w:val="24"/>
                <w:szCs w:val="22"/>
                <w:lang w:val="en-US" w:eastAsia="zh-CN"/>
              </w:rPr>
              <w:t>，即1</w:t>
            </w:r>
            <w:r>
              <w:rPr>
                <w:rFonts w:hint="eastAsia" w:cs="Times New Roman"/>
                <w:sz w:val="24"/>
                <w:szCs w:val="22"/>
                <w:lang w:val="en-US" w:eastAsia="zh-CN"/>
              </w:rPr>
              <w:t>8</w:t>
            </w:r>
            <w:r>
              <w:rPr>
                <w:rFonts w:hint="eastAsia" w:ascii="Times New Roman" w:hAnsi="Times New Roman" w:cs="Times New Roman"/>
                <w:sz w:val="24"/>
                <w:szCs w:val="22"/>
                <w:lang w:val="en-US" w:eastAsia="zh-CN"/>
              </w:rPr>
              <w:t>0min</w:t>
            </w:r>
            <w:r>
              <w:rPr>
                <w:rFonts w:hint="default" w:ascii="Times New Roman" w:hAnsi="Times New Roman" w:cs="Times New Roman"/>
                <w:sz w:val="24"/>
                <w:szCs w:val="22"/>
                <w:lang w:val="en-US" w:eastAsia="zh-CN"/>
              </w:rPr>
              <w:t>/d</w:t>
            </w:r>
            <w:r>
              <w:rPr>
                <w:rFonts w:hint="eastAsia" w:ascii="Times New Roman" w:hAnsi="Times New Roman" w:cs="Times New Roman"/>
                <w:sz w:val="24"/>
                <w:szCs w:val="22"/>
                <w:lang w:val="en-US" w:eastAsia="zh-CN"/>
              </w:rPr>
              <w:t>，每年工作</w:t>
            </w:r>
            <w:r>
              <w:rPr>
                <w:rFonts w:hint="default" w:ascii="Times New Roman" w:hAnsi="Times New Roman" w:cs="Times New Roman"/>
                <w:sz w:val="24"/>
                <w:szCs w:val="22"/>
                <w:lang w:val="en-US" w:eastAsia="zh-CN"/>
              </w:rPr>
              <w:t>300</w:t>
            </w:r>
            <w:r>
              <w:rPr>
                <w:rFonts w:hint="eastAsia" w:ascii="Times New Roman" w:hAnsi="Times New Roman" w:cs="Times New Roman"/>
                <w:sz w:val="24"/>
                <w:szCs w:val="22"/>
                <w:lang w:val="en-US" w:eastAsia="zh-CN"/>
              </w:rPr>
              <w:t xml:space="preserve">天。 </w:t>
            </w:r>
          </w:p>
          <w:p>
            <w:pPr>
              <w:spacing w:line="360" w:lineRule="auto"/>
              <w:ind w:firstLine="489" w:firstLineChars="204"/>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调漆、喷漆、晾干工作时间共计</w:t>
            </w:r>
            <w:r>
              <w:rPr>
                <w:rFonts w:hint="eastAsia" w:cs="Times New Roman"/>
                <w:sz w:val="24"/>
                <w:szCs w:val="22"/>
                <w:lang w:val="en-US" w:eastAsia="zh-CN"/>
              </w:rPr>
              <w:t>8</w:t>
            </w:r>
            <w:r>
              <w:rPr>
                <w:rFonts w:hint="default" w:ascii="Times New Roman" w:hAnsi="Times New Roman" w:cs="Times New Roman"/>
                <w:sz w:val="24"/>
                <w:szCs w:val="22"/>
                <w:lang w:val="en-US" w:eastAsia="zh-CN"/>
              </w:rPr>
              <w:t>h/d</w:t>
            </w:r>
            <w:r>
              <w:rPr>
                <w:rFonts w:hint="eastAsia" w:ascii="Times New Roman" w:hAnsi="Times New Roman" w:cs="Times New Roman"/>
                <w:sz w:val="24"/>
                <w:szCs w:val="22"/>
                <w:lang w:val="en-US" w:eastAsia="zh-CN"/>
              </w:rPr>
              <w:t>、</w:t>
            </w:r>
            <w:r>
              <w:rPr>
                <w:rFonts w:hint="eastAsia" w:cs="Times New Roman"/>
                <w:sz w:val="24"/>
                <w:szCs w:val="22"/>
                <w:lang w:val="en-US" w:eastAsia="zh-CN"/>
              </w:rPr>
              <w:t>2400</w:t>
            </w:r>
            <w:r>
              <w:rPr>
                <w:rFonts w:hint="default" w:ascii="Times New Roman" w:hAnsi="Times New Roman" w:cs="Times New Roman"/>
                <w:sz w:val="24"/>
                <w:szCs w:val="22"/>
                <w:lang w:val="en-US" w:eastAsia="zh-CN"/>
              </w:rPr>
              <w:t>h/a</w:t>
            </w:r>
            <w:r>
              <w:rPr>
                <w:rFonts w:hint="eastAsia" w:ascii="Times New Roman" w:hAnsi="Times New Roman" w:cs="Times New Roman"/>
                <w:sz w:val="24"/>
                <w:szCs w:val="22"/>
                <w:lang w:val="en-US" w:eastAsia="zh-CN"/>
              </w:rPr>
              <w:t xml:space="preserve">。 </w:t>
            </w:r>
          </w:p>
          <w:p>
            <w:pPr>
              <w:spacing w:line="360" w:lineRule="auto"/>
              <w:ind w:firstLine="489" w:firstLineChars="204"/>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 xml:space="preserve">Ⅱ有机废气产生量 </w:t>
            </w:r>
          </w:p>
          <w:p>
            <w:pPr>
              <w:spacing w:line="360" w:lineRule="auto"/>
              <w:ind w:firstLine="489" w:firstLineChars="204"/>
              <w:rPr>
                <w:rFonts w:hint="eastAsia"/>
                <w:lang w:val="en-US" w:eastAsia="zh-CN"/>
              </w:rPr>
            </w:pPr>
            <w:r>
              <w:rPr>
                <w:rFonts w:hint="eastAsia" w:ascii="Times New Roman" w:hAnsi="Times New Roman" w:cs="Times New Roman"/>
                <w:sz w:val="24"/>
                <w:szCs w:val="22"/>
                <w:lang w:val="en-US" w:eastAsia="zh-CN"/>
              </w:rPr>
              <w:t>本项目使用的涂料含</w:t>
            </w:r>
            <w:r>
              <w:rPr>
                <w:rFonts w:hint="eastAsia" w:cs="Times New Roman"/>
                <w:sz w:val="24"/>
                <w:szCs w:val="22"/>
                <w:lang w:val="en-US" w:eastAsia="zh-CN"/>
              </w:rPr>
              <w:t>底漆、中间漆、面漆</w:t>
            </w:r>
            <w:r>
              <w:rPr>
                <w:rFonts w:hint="eastAsia" w:ascii="Times New Roman" w:hAnsi="Times New Roman" w:cs="Times New Roman"/>
                <w:sz w:val="24"/>
                <w:szCs w:val="22"/>
                <w:lang w:val="en-US" w:eastAsia="zh-CN"/>
              </w:rPr>
              <w:t>，有机废气产生量按涂料挥发性物质全挥发计算。本项目底漆及面漆均为水</w:t>
            </w:r>
            <w:r>
              <w:rPr>
                <w:rFonts w:hint="eastAsia" w:cs="Times New Roman"/>
                <w:sz w:val="24"/>
                <w:szCs w:val="22"/>
                <w:lang w:val="en-US" w:eastAsia="zh-CN"/>
              </w:rPr>
              <w:t>性</w:t>
            </w:r>
            <w:r>
              <w:rPr>
                <w:rFonts w:hint="eastAsia" w:ascii="Times New Roman" w:hAnsi="Times New Roman" w:cs="Times New Roman"/>
                <w:sz w:val="24"/>
                <w:szCs w:val="22"/>
                <w:lang w:val="en-US" w:eastAsia="zh-CN"/>
              </w:rPr>
              <w:t>漆，涂料不需使用有机溶剂，以水为溶剂，不含三苯，本次环评挥发性有机物（VOCs）挥发量少。</w:t>
            </w:r>
          </w:p>
          <w:p>
            <w:pPr>
              <w:pStyle w:val="104"/>
              <w:kinsoku w:val="0"/>
              <w:overflowPunct w:val="0"/>
              <w:spacing w:beforeLines="0" w:afterLines="0" w:line="360" w:lineRule="auto"/>
              <w:ind w:left="0" w:firstLine="480" w:firstLineChars="200"/>
              <w:jc w:val="left"/>
              <w:outlineLvl w:val="1"/>
              <w:rPr>
                <w:rFonts w:hint="eastAsia" w:ascii="Times New Roman" w:hAnsi="Times New Roman" w:cs="Times New Roman" w:eastAsiaTheme="minorEastAsia"/>
                <w:color w:val="auto"/>
                <w:sz w:val="24"/>
                <w:szCs w:val="24"/>
                <w:lang w:val="en-US" w:eastAsia="zh-CN"/>
              </w:rPr>
            </w:pPr>
            <w:r>
              <w:rPr>
                <w:rFonts w:hint="eastAsia" w:ascii="Times New Roman" w:hAnsi="Times New Roman" w:cs="Times New Roman"/>
                <w:sz w:val="24"/>
                <w:szCs w:val="22"/>
                <w:lang w:val="en-US" w:eastAsia="zh-CN"/>
              </w:rPr>
              <w:t>根据建设单位提供的资料，</w:t>
            </w:r>
            <w:r>
              <w:rPr>
                <w:rFonts w:hint="default" w:ascii="Times New Roman" w:hAnsi="Times New Roman" w:cs="Times New Roman" w:eastAsiaTheme="minorEastAsia"/>
                <w:color w:val="auto"/>
                <w:sz w:val="24"/>
                <w:szCs w:val="24"/>
                <w:lang w:val="en-US" w:eastAsia="zh-CN"/>
              </w:rPr>
              <w:t>由</w:t>
            </w:r>
            <w:r>
              <w:rPr>
                <w:rFonts w:hint="eastAsia" w:ascii="Times New Roman" w:hAnsi="Times New Roman" w:cs="Times New Roman" w:eastAsiaTheme="minorEastAsia"/>
                <w:color w:val="auto"/>
                <w:sz w:val="24"/>
                <w:szCs w:val="24"/>
                <w:lang w:val="en-US" w:eastAsia="zh-CN"/>
              </w:rPr>
              <w:t>山东齐鲁漆业</w:t>
            </w:r>
            <w:r>
              <w:rPr>
                <w:rFonts w:hint="default" w:ascii="Times New Roman" w:hAnsi="Times New Roman" w:cs="Times New Roman" w:eastAsiaTheme="minorEastAsia"/>
                <w:color w:val="auto"/>
                <w:sz w:val="24"/>
                <w:szCs w:val="24"/>
                <w:lang w:val="en-US" w:eastAsia="zh-CN"/>
              </w:rPr>
              <w:t>有限公司提供。根据</w:t>
            </w:r>
            <w:r>
              <w:rPr>
                <w:rFonts w:hint="eastAsia" w:ascii="Times New Roman" w:hAnsi="Times New Roman" w:cs="Times New Roman" w:eastAsiaTheme="minorEastAsia"/>
                <w:color w:val="auto"/>
                <w:sz w:val="24"/>
                <w:szCs w:val="24"/>
                <w:lang w:val="en-US" w:eastAsia="zh-CN"/>
              </w:rPr>
              <w:t>山东省产品质量检验研究院</w:t>
            </w:r>
            <w:r>
              <w:rPr>
                <w:rFonts w:hint="default" w:ascii="Times New Roman" w:hAnsi="Times New Roman" w:cs="Times New Roman" w:eastAsiaTheme="minorEastAsia"/>
                <w:color w:val="auto"/>
                <w:sz w:val="24"/>
                <w:szCs w:val="24"/>
                <w:lang w:val="en-US" w:eastAsia="zh-CN"/>
              </w:rPr>
              <w:t>对</w:t>
            </w:r>
            <w:r>
              <w:rPr>
                <w:rFonts w:hint="eastAsia" w:ascii="Times New Roman" w:hAnsi="Times New Roman" w:cs="Times New Roman" w:eastAsiaTheme="minorEastAsia"/>
                <w:color w:val="auto"/>
                <w:sz w:val="24"/>
                <w:szCs w:val="24"/>
                <w:lang w:val="en-US" w:eastAsia="zh-CN"/>
              </w:rPr>
              <w:t>油漆</w:t>
            </w:r>
            <w:r>
              <w:rPr>
                <w:rFonts w:hint="default" w:ascii="Times New Roman" w:hAnsi="Times New Roman" w:cs="Times New Roman" w:eastAsiaTheme="minorEastAsia"/>
                <w:color w:val="auto"/>
                <w:sz w:val="24"/>
                <w:szCs w:val="24"/>
                <w:lang w:val="en-US" w:eastAsia="zh-CN"/>
              </w:rPr>
              <w:t>检验报告（见附件），项目所用</w:t>
            </w:r>
            <w:r>
              <w:rPr>
                <w:rFonts w:hint="eastAsia" w:ascii="Times New Roman" w:hAnsi="Times New Roman" w:cs="Times New Roman" w:eastAsiaTheme="minorEastAsia"/>
                <w:color w:val="auto"/>
                <w:sz w:val="24"/>
                <w:szCs w:val="24"/>
                <w:lang w:val="en-US" w:eastAsia="zh-CN"/>
              </w:rPr>
              <w:t>三种</w:t>
            </w:r>
            <w:r>
              <w:rPr>
                <w:rFonts w:hint="default" w:ascii="Times New Roman" w:hAnsi="Times New Roman" w:cs="Times New Roman" w:eastAsiaTheme="minorEastAsia"/>
                <w:color w:val="auto"/>
                <w:sz w:val="24"/>
                <w:szCs w:val="24"/>
                <w:lang w:val="en-US" w:eastAsia="zh-CN"/>
              </w:rPr>
              <w:t>涂料中VOCs</w:t>
            </w:r>
            <w:r>
              <w:rPr>
                <w:rFonts w:hint="eastAsia" w:ascii="Times New Roman" w:hAnsi="Times New Roman" w:cs="Times New Roman" w:eastAsiaTheme="minorEastAsia"/>
                <w:color w:val="auto"/>
                <w:sz w:val="24"/>
                <w:szCs w:val="24"/>
                <w:lang w:val="en-US" w:eastAsia="zh-CN"/>
              </w:rPr>
              <w:t>检验结果见表5-4。</w:t>
            </w:r>
          </w:p>
          <w:p>
            <w:pPr>
              <w:pStyle w:val="18"/>
              <w:numPr>
                <w:ilvl w:val="0"/>
                <w:numId w:val="0"/>
              </w:numPr>
              <w:ind w:firstLine="422" w:firstLineChars="200"/>
              <w:jc w:val="center"/>
              <w:outlineLvl w:val="1"/>
              <w:rPr>
                <w:rFonts w:hint="eastAsia"/>
                <w:b w:val="0"/>
                <w:bCs w:val="0"/>
                <w:color w:val="auto"/>
                <w:sz w:val="24"/>
                <w:szCs w:val="24"/>
                <w:lang w:val="en-US" w:eastAsia="zh-CN"/>
              </w:rPr>
            </w:pPr>
            <w:r>
              <w:rPr>
                <w:rFonts w:hint="eastAsia"/>
                <w:b/>
                <w:bCs/>
                <w:color w:val="auto"/>
                <w:sz w:val="21"/>
                <w:szCs w:val="16"/>
                <w:lang w:eastAsia="zh-CN"/>
              </w:rPr>
              <w:t>表</w:t>
            </w:r>
            <w:r>
              <w:rPr>
                <w:rFonts w:hint="eastAsia"/>
                <w:b/>
                <w:bCs/>
                <w:color w:val="auto"/>
                <w:sz w:val="21"/>
                <w:szCs w:val="16"/>
                <w:lang w:val="en-US" w:eastAsia="zh-CN"/>
              </w:rPr>
              <w:t>5-4 项目所用涂料</w:t>
            </w:r>
            <w:r>
              <w:rPr>
                <w:rFonts w:hint="eastAsia" w:cs="Times New Roman" w:eastAsiaTheme="minorEastAsia"/>
                <w:b/>
                <w:bCs/>
                <w:color w:val="auto"/>
                <w:sz w:val="21"/>
                <w:szCs w:val="21"/>
                <w:lang w:val="en-US" w:eastAsia="zh-CN"/>
              </w:rPr>
              <w:t>挥发性有机物含量表</w:t>
            </w:r>
          </w:p>
          <w:tbl>
            <w:tblPr>
              <w:tblStyle w:val="37"/>
              <w:tblW w:w="5400" w:type="dxa"/>
              <w:tblInd w:w="-25" w:type="dxa"/>
              <w:shd w:val="clear" w:color="auto" w:fill="auto"/>
              <w:tblLayout w:type="autofit"/>
              <w:tblCellMar>
                <w:top w:w="0" w:type="dxa"/>
                <w:left w:w="0" w:type="dxa"/>
                <w:bottom w:w="0" w:type="dxa"/>
                <w:right w:w="0" w:type="dxa"/>
              </w:tblCellMar>
            </w:tblPr>
            <w:tblGrid>
              <w:gridCol w:w="1642"/>
              <w:gridCol w:w="3355"/>
              <w:gridCol w:w="1068"/>
              <w:gridCol w:w="1068"/>
              <w:gridCol w:w="1068"/>
            </w:tblGrid>
            <w:tr>
              <w:tblPrEx>
                <w:shd w:val="clear" w:color="auto" w:fill="auto"/>
                <w:tblCellMar>
                  <w:top w:w="0" w:type="dxa"/>
                  <w:left w:w="0" w:type="dxa"/>
                  <w:bottom w:w="0" w:type="dxa"/>
                  <w:right w:w="0" w:type="dxa"/>
                </w:tblCellMar>
              </w:tblPrEx>
              <w:trPr>
                <w:trHeight w:val="285"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样品名称</w:t>
                  </w:r>
                </w:p>
              </w:tc>
              <w:tc>
                <w:tcPr>
                  <w:tcW w:w="1080"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检验项目</w:t>
                  </w:r>
                </w:p>
              </w:tc>
              <w:tc>
                <w:tcPr>
                  <w:tcW w:w="1080"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技术要求</w:t>
                  </w:r>
                </w:p>
              </w:tc>
              <w:tc>
                <w:tcPr>
                  <w:tcW w:w="1080"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检验结果</w:t>
                  </w:r>
                </w:p>
              </w:tc>
              <w:tc>
                <w:tcPr>
                  <w:tcW w:w="1080"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本项结果</w:t>
                  </w:r>
                </w:p>
              </w:tc>
            </w:tr>
            <w:tr>
              <w:tblPrEx>
                <w:tblCellMar>
                  <w:top w:w="0" w:type="dxa"/>
                  <w:left w:w="0" w:type="dxa"/>
                  <w:bottom w:w="0" w:type="dxa"/>
                  <w:right w:w="0" w:type="dxa"/>
                </w:tblCellMar>
              </w:tblPrEx>
              <w:trPr>
                <w:trHeight w:val="300" w:hRule="atLeast"/>
              </w:trPr>
              <w:tc>
                <w:tcPr>
                  <w:tcW w:w="1661" w:type="dxa"/>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环氧富锌底漆</w:t>
                  </w:r>
                </w:p>
              </w:tc>
              <w:tc>
                <w:tcPr>
                  <w:tcW w:w="3393"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挥发性有机化合物（VOC）含量，g/L</w:t>
                  </w:r>
                </w:p>
              </w:tc>
              <w:tc>
                <w:tcPr>
                  <w:tcW w:w="1049"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≤450</w:t>
                  </w:r>
                </w:p>
              </w:tc>
              <w:tc>
                <w:tcPr>
                  <w:tcW w:w="1049"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212</w:t>
                  </w:r>
                </w:p>
              </w:tc>
              <w:tc>
                <w:tcPr>
                  <w:tcW w:w="1049"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合格</w:t>
                  </w:r>
                </w:p>
              </w:tc>
            </w:tr>
            <w:tr>
              <w:tblPrEx>
                <w:tblCellMar>
                  <w:top w:w="0" w:type="dxa"/>
                  <w:left w:w="0" w:type="dxa"/>
                  <w:bottom w:w="0" w:type="dxa"/>
                  <w:right w:w="0" w:type="dxa"/>
                </w:tblCellMar>
              </w:tblPrEx>
              <w:trPr>
                <w:trHeight w:val="285" w:hRule="atLeast"/>
              </w:trPr>
              <w:tc>
                <w:tcPr>
                  <w:tcW w:w="1661"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灰环氧云铁中间漆</w:t>
                  </w:r>
                </w:p>
              </w:tc>
              <w:tc>
                <w:tcPr>
                  <w:tcW w:w="3393"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挥发性有机化合物（VOC）含量，g/L</w:t>
                  </w:r>
                </w:p>
              </w:tc>
              <w:tc>
                <w:tcPr>
                  <w:tcW w:w="1049"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≤420</w:t>
                  </w:r>
                </w:p>
              </w:tc>
              <w:tc>
                <w:tcPr>
                  <w:tcW w:w="1049"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385</w:t>
                  </w:r>
                </w:p>
              </w:tc>
              <w:tc>
                <w:tcPr>
                  <w:tcW w:w="1049"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合格</w:t>
                  </w:r>
                </w:p>
              </w:tc>
            </w:tr>
            <w:tr>
              <w:tblPrEx>
                <w:tblCellMar>
                  <w:top w:w="0" w:type="dxa"/>
                  <w:left w:w="0" w:type="dxa"/>
                  <w:bottom w:w="0" w:type="dxa"/>
                  <w:right w:w="0" w:type="dxa"/>
                </w:tblCellMar>
              </w:tblPrEx>
              <w:trPr>
                <w:trHeight w:val="285" w:hRule="atLeast"/>
              </w:trPr>
              <w:tc>
                <w:tcPr>
                  <w:tcW w:w="1661"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中黄氟碳面漆</w:t>
                  </w:r>
                </w:p>
              </w:tc>
              <w:tc>
                <w:tcPr>
                  <w:tcW w:w="3393"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挥发性有机化合物（VOC）含量，g/L</w:t>
                  </w:r>
                </w:p>
              </w:tc>
              <w:tc>
                <w:tcPr>
                  <w:tcW w:w="1049"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≤450</w:t>
                  </w:r>
                </w:p>
              </w:tc>
              <w:tc>
                <w:tcPr>
                  <w:tcW w:w="1049"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202</w:t>
                  </w:r>
                </w:p>
              </w:tc>
              <w:tc>
                <w:tcPr>
                  <w:tcW w:w="1049" w:type="dxa"/>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合格</w:t>
                  </w:r>
                </w:p>
              </w:tc>
            </w:tr>
          </w:tbl>
          <w:p>
            <w:pPr>
              <w:spacing w:line="360" w:lineRule="auto"/>
              <w:ind w:firstLine="489" w:firstLineChars="204"/>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 xml:space="preserve"> 项目喷漆过程中，VOCs，固体分部分附着于工件表面，形成漆层，剩余部分形成漆渣、漆雾。</w:t>
            </w:r>
          </w:p>
          <w:p>
            <w:pPr>
              <w:spacing w:line="360" w:lineRule="auto"/>
              <w:ind w:firstLine="489" w:firstLineChars="204"/>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①有机废气</w:t>
            </w:r>
          </w:p>
          <w:p>
            <w:pPr>
              <w:spacing w:line="360" w:lineRule="auto"/>
              <w:ind w:firstLine="489" w:firstLineChars="204"/>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根据建设单位提供的资料，本项目</w:t>
            </w:r>
            <w:r>
              <w:rPr>
                <w:rFonts w:hint="eastAsia" w:cs="Times New Roman"/>
                <w:sz w:val="24"/>
                <w:szCs w:val="22"/>
                <w:lang w:val="en-US" w:eastAsia="zh-CN"/>
              </w:rPr>
              <w:t>年涂装面积约为28000m</w:t>
            </w:r>
            <w:r>
              <w:rPr>
                <w:rFonts w:hint="eastAsia" w:cs="Times New Roman"/>
                <w:sz w:val="24"/>
                <w:szCs w:val="22"/>
                <w:vertAlign w:val="superscript"/>
                <w:lang w:val="en-US" w:eastAsia="zh-CN"/>
              </w:rPr>
              <w:t>2</w:t>
            </w:r>
            <w:r>
              <w:rPr>
                <w:rFonts w:hint="eastAsia" w:ascii="Times New Roman" w:hAnsi="Times New Roman" w:cs="Times New Roman"/>
                <w:sz w:val="24"/>
                <w:szCs w:val="22"/>
                <w:lang w:val="en-US" w:eastAsia="zh-CN"/>
              </w:rPr>
              <w:t>，</w:t>
            </w:r>
            <w:r>
              <w:rPr>
                <w:rFonts w:hint="eastAsia" w:cs="Times New Roman"/>
                <w:sz w:val="24"/>
                <w:szCs w:val="22"/>
                <w:lang w:val="en-US" w:eastAsia="zh-CN"/>
              </w:rPr>
              <w:t>年油漆用量见表5-5。</w:t>
            </w:r>
            <w:r>
              <w:rPr>
                <w:rFonts w:hint="eastAsia" w:ascii="Times New Roman" w:hAnsi="Times New Roman" w:cs="Times New Roman"/>
                <w:sz w:val="24"/>
                <w:szCs w:val="22"/>
                <w:lang w:val="en-US" w:eastAsia="zh-CN"/>
              </w:rPr>
              <w:t xml:space="preserve"> </w:t>
            </w:r>
          </w:p>
          <w:p>
            <w:pPr>
              <w:pStyle w:val="18"/>
              <w:jc w:val="center"/>
              <w:outlineLvl w:val="1"/>
              <w:rPr>
                <w:rFonts w:hint="eastAsia"/>
                <w:lang w:eastAsia="zh-CN"/>
              </w:rPr>
            </w:pPr>
            <w:r>
              <w:rPr>
                <w:rFonts w:hint="eastAsia"/>
                <w:b/>
                <w:bCs/>
                <w:color w:val="auto"/>
                <w:sz w:val="21"/>
                <w:szCs w:val="21"/>
                <w:lang w:val="en-US" w:eastAsia="zh-CN"/>
              </w:rPr>
              <w:t>表5-5 项目油漆用量</w:t>
            </w:r>
          </w:p>
          <w:tbl>
            <w:tblPr>
              <w:tblStyle w:val="37"/>
              <w:tblW w:w="8198" w:type="dxa"/>
              <w:tblInd w:w="0" w:type="dxa"/>
              <w:shd w:val="clear" w:color="auto" w:fill="auto"/>
              <w:tblLayout w:type="autofit"/>
              <w:tblCellMar>
                <w:top w:w="0" w:type="dxa"/>
                <w:left w:w="0" w:type="dxa"/>
                <w:bottom w:w="0" w:type="dxa"/>
                <w:right w:w="0" w:type="dxa"/>
              </w:tblCellMar>
            </w:tblPr>
            <w:tblGrid>
              <w:gridCol w:w="1722"/>
              <w:gridCol w:w="3026"/>
              <w:gridCol w:w="1725"/>
              <w:gridCol w:w="1725"/>
            </w:tblGrid>
            <w:tr>
              <w:tblPrEx>
                <w:shd w:val="clear" w:color="auto" w:fill="auto"/>
                <w:tblCellMar>
                  <w:top w:w="0" w:type="dxa"/>
                  <w:left w:w="0" w:type="dxa"/>
                  <w:bottom w:w="0" w:type="dxa"/>
                  <w:right w:w="0" w:type="dxa"/>
                </w:tblCellMar>
              </w:tblPrEx>
              <w:trPr>
                <w:trHeight w:val="270" w:hRule="atLeast"/>
              </w:trPr>
              <w:tc>
                <w:tcPr>
                  <w:tcW w:w="10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序号</w:t>
                  </w:r>
                </w:p>
              </w:tc>
              <w:tc>
                <w:tcPr>
                  <w:tcW w:w="18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涂料品种</w:t>
                  </w:r>
                </w:p>
              </w:tc>
              <w:tc>
                <w:tcPr>
                  <w:tcW w:w="210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涂料用量</w:t>
                  </w:r>
                </w:p>
              </w:tc>
            </w:tr>
            <w:tr>
              <w:tblPrEx>
                <w:tblCellMar>
                  <w:top w:w="0" w:type="dxa"/>
                  <w:left w:w="0" w:type="dxa"/>
                  <w:bottom w:w="0" w:type="dxa"/>
                  <w:right w:w="0" w:type="dxa"/>
                </w:tblCellMar>
              </w:tblPrEx>
              <w:trPr>
                <w:trHeight w:val="270" w:hRule="atLeast"/>
              </w:trPr>
              <w:tc>
                <w:tcPr>
                  <w:tcW w:w="10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1</w:t>
                  </w:r>
                </w:p>
              </w:tc>
              <w:tc>
                <w:tcPr>
                  <w:tcW w:w="18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环氧富锌底漆</w:t>
                  </w:r>
                </w:p>
              </w:tc>
              <w:tc>
                <w:tcPr>
                  <w:tcW w:w="10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eastAsia" w:cs="Times New Roman" w:eastAsiaTheme="minorEastAsia"/>
                      <w:b w:val="0"/>
                      <w:bCs w:val="0"/>
                      <w:color w:val="auto"/>
                      <w:sz w:val="21"/>
                      <w:szCs w:val="21"/>
                      <w:lang w:val="en-US" w:eastAsia="zh-CN"/>
                    </w:rPr>
                    <w:t>2.04t</w:t>
                  </w:r>
                </w:p>
              </w:tc>
              <w:tc>
                <w:tcPr>
                  <w:tcW w:w="10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cs="Times New Roman" w:eastAsiaTheme="minorEastAsia"/>
                      <w:b w:val="0"/>
                      <w:bCs w:val="0"/>
                      <w:color w:val="auto"/>
                      <w:sz w:val="21"/>
                      <w:szCs w:val="21"/>
                      <w:lang w:val="en-US" w:eastAsia="zh-CN"/>
                    </w:rPr>
                  </w:pPr>
                  <w:r>
                    <w:rPr>
                      <w:rFonts w:hint="eastAsia" w:cs="Times New Roman" w:eastAsiaTheme="minorEastAsia"/>
                      <w:b w:val="0"/>
                      <w:bCs w:val="0"/>
                      <w:color w:val="auto"/>
                      <w:sz w:val="21"/>
                      <w:szCs w:val="21"/>
                      <w:lang w:val="en-US" w:eastAsia="zh-CN"/>
                    </w:rPr>
                    <w:t>1500L</w:t>
                  </w:r>
                </w:p>
              </w:tc>
            </w:tr>
            <w:tr>
              <w:tblPrEx>
                <w:tblCellMar>
                  <w:top w:w="0" w:type="dxa"/>
                  <w:left w:w="0" w:type="dxa"/>
                  <w:bottom w:w="0" w:type="dxa"/>
                  <w:right w:w="0" w:type="dxa"/>
                </w:tblCellMar>
              </w:tblPrEx>
              <w:trPr>
                <w:trHeight w:val="270" w:hRule="atLeast"/>
              </w:trPr>
              <w:tc>
                <w:tcPr>
                  <w:tcW w:w="10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2</w:t>
                  </w:r>
                </w:p>
              </w:tc>
              <w:tc>
                <w:tcPr>
                  <w:tcW w:w="18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灰环氧云铁中间漆</w:t>
                  </w:r>
                </w:p>
              </w:tc>
              <w:tc>
                <w:tcPr>
                  <w:tcW w:w="10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eastAsia" w:cs="Times New Roman" w:eastAsiaTheme="minorEastAsia"/>
                      <w:b w:val="0"/>
                      <w:bCs w:val="0"/>
                      <w:color w:val="auto"/>
                      <w:sz w:val="21"/>
                      <w:szCs w:val="21"/>
                      <w:lang w:val="en-US" w:eastAsia="zh-CN"/>
                    </w:rPr>
                    <w:t>3.4t</w:t>
                  </w:r>
                </w:p>
              </w:tc>
              <w:tc>
                <w:tcPr>
                  <w:tcW w:w="10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cs="Times New Roman" w:eastAsiaTheme="minorEastAsia"/>
                      <w:b w:val="0"/>
                      <w:bCs w:val="0"/>
                      <w:color w:val="auto"/>
                      <w:sz w:val="21"/>
                      <w:szCs w:val="21"/>
                      <w:lang w:val="en-US" w:eastAsia="zh-CN"/>
                    </w:rPr>
                  </w:pPr>
                  <w:r>
                    <w:rPr>
                      <w:rFonts w:hint="eastAsia" w:cs="Times New Roman" w:eastAsiaTheme="minorEastAsia"/>
                      <w:b w:val="0"/>
                      <w:bCs w:val="0"/>
                      <w:color w:val="auto"/>
                      <w:sz w:val="21"/>
                      <w:szCs w:val="21"/>
                      <w:lang w:val="en-US" w:eastAsia="zh-CN"/>
                    </w:rPr>
                    <w:t>2500L</w:t>
                  </w:r>
                </w:p>
              </w:tc>
            </w:tr>
            <w:tr>
              <w:tblPrEx>
                <w:tblCellMar>
                  <w:top w:w="0" w:type="dxa"/>
                  <w:left w:w="0" w:type="dxa"/>
                  <w:bottom w:w="0" w:type="dxa"/>
                  <w:right w:w="0" w:type="dxa"/>
                </w:tblCellMar>
              </w:tblPrEx>
              <w:trPr>
                <w:trHeight w:val="270" w:hRule="atLeast"/>
              </w:trPr>
              <w:tc>
                <w:tcPr>
                  <w:tcW w:w="10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3</w:t>
                  </w:r>
                </w:p>
              </w:tc>
              <w:tc>
                <w:tcPr>
                  <w:tcW w:w="18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中黄氟碳面漆</w:t>
                  </w:r>
                </w:p>
              </w:tc>
              <w:tc>
                <w:tcPr>
                  <w:tcW w:w="10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eastAsia" w:cs="Times New Roman" w:eastAsiaTheme="minorEastAsia"/>
                      <w:b w:val="0"/>
                      <w:bCs w:val="0"/>
                      <w:color w:val="auto"/>
                      <w:sz w:val="21"/>
                      <w:szCs w:val="21"/>
                      <w:lang w:val="en-US" w:eastAsia="zh-CN"/>
                    </w:rPr>
                    <w:t>2.72t</w:t>
                  </w:r>
                </w:p>
              </w:tc>
              <w:tc>
                <w:tcPr>
                  <w:tcW w:w="10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cs="Times New Roman" w:eastAsiaTheme="minorEastAsia"/>
                      <w:b w:val="0"/>
                      <w:bCs w:val="0"/>
                      <w:color w:val="auto"/>
                      <w:sz w:val="21"/>
                      <w:szCs w:val="21"/>
                      <w:lang w:val="en-US" w:eastAsia="zh-CN"/>
                    </w:rPr>
                  </w:pPr>
                  <w:r>
                    <w:rPr>
                      <w:rFonts w:hint="eastAsia" w:cs="Times New Roman" w:eastAsiaTheme="minorEastAsia"/>
                      <w:b w:val="0"/>
                      <w:bCs w:val="0"/>
                      <w:color w:val="auto"/>
                      <w:sz w:val="21"/>
                      <w:szCs w:val="21"/>
                      <w:lang w:val="en-US" w:eastAsia="zh-CN"/>
                    </w:rPr>
                    <w:t>2000L</w:t>
                  </w:r>
                </w:p>
              </w:tc>
            </w:tr>
            <w:tr>
              <w:tblPrEx>
                <w:tblCellMar>
                  <w:top w:w="0" w:type="dxa"/>
                  <w:left w:w="0" w:type="dxa"/>
                  <w:bottom w:w="0" w:type="dxa"/>
                  <w:right w:w="0" w:type="dxa"/>
                </w:tblCellMar>
              </w:tblPrEx>
              <w:trPr>
                <w:trHeight w:val="270" w:hRule="atLeast"/>
              </w:trPr>
              <w:tc>
                <w:tcPr>
                  <w:tcW w:w="10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合计</w:t>
                  </w:r>
                </w:p>
              </w:tc>
              <w:tc>
                <w:tcPr>
                  <w:tcW w:w="18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w:t>
                  </w:r>
                </w:p>
              </w:tc>
              <w:tc>
                <w:tcPr>
                  <w:tcW w:w="10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eastAsia" w:cs="Times New Roman" w:eastAsiaTheme="minorEastAsia"/>
                      <w:b w:val="0"/>
                      <w:bCs w:val="0"/>
                      <w:color w:val="auto"/>
                      <w:sz w:val="21"/>
                      <w:szCs w:val="21"/>
                      <w:lang w:val="en-US" w:eastAsia="zh-CN"/>
                    </w:rPr>
                    <w:t>8.18</w:t>
                  </w:r>
                  <w:r>
                    <w:rPr>
                      <w:rFonts w:hint="eastAsia" w:ascii="Times New Roman" w:hAnsi="Times New Roman" w:cs="Times New Roman" w:eastAsiaTheme="minorEastAsia"/>
                      <w:b w:val="0"/>
                      <w:bCs w:val="0"/>
                      <w:color w:val="auto"/>
                      <w:sz w:val="21"/>
                      <w:szCs w:val="21"/>
                      <w:lang w:val="en-US" w:eastAsia="zh-CN"/>
                    </w:rPr>
                    <w:t>t</w:t>
                  </w:r>
                </w:p>
              </w:tc>
              <w:tc>
                <w:tcPr>
                  <w:tcW w:w="10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cs="Times New Roman" w:eastAsiaTheme="minorEastAsia"/>
                      <w:b w:val="0"/>
                      <w:bCs w:val="0"/>
                      <w:color w:val="auto"/>
                      <w:sz w:val="21"/>
                      <w:szCs w:val="21"/>
                      <w:lang w:val="en-US" w:eastAsia="zh-CN"/>
                    </w:rPr>
                  </w:pPr>
                  <w:r>
                    <w:rPr>
                      <w:rFonts w:hint="eastAsia" w:cs="Times New Roman" w:eastAsiaTheme="minorEastAsia"/>
                      <w:b w:val="0"/>
                      <w:bCs w:val="0"/>
                      <w:color w:val="auto"/>
                      <w:sz w:val="21"/>
                      <w:szCs w:val="21"/>
                      <w:lang w:val="en-US" w:eastAsia="zh-CN"/>
                    </w:rPr>
                    <w:t>6000L</w:t>
                  </w:r>
                </w:p>
              </w:tc>
            </w:tr>
          </w:tbl>
          <w:p>
            <w:pPr>
              <w:spacing w:line="360" w:lineRule="auto"/>
              <w:ind w:firstLine="480" w:firstLineChars="200"/>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本项目年使用涂料量为</w:t>
            </w:r>
            <w:r>
              <w:rPr>
                <w:rFonts w:hint="eastAsia" w:cs="Times New Roman"/>
                <w:sz w:val="24"/>
                <w:szCs w:val="22"/>
                <w:lang w:val="en-US" w:eastAsia="zh-CN"/>
              </w:rPr>
              <w:t>8.18</w:t>
            </w:r>
            <w:r>
              <w:rPr>
                <w:rFonts w:hint="eastAsia" w:ascii="Times New Roman" w:hAnsi="Times New Roman" w:cs="Times New Roman"/>
                <w:sz w:val="24"/>
                <w:szCs w:val="22"/>
                <w:lang w:val="en-US" w:eastAsia="zh-CN"/>
              </w:rPr>
              <w:t>t/a，使用的水性漆密度为1.3</w:t>
            </w:r>
            <w:r>
              <w:rPr>
                <w:rFonts w:hint="eastAsia" w:cs="Times New Roman"/>
                <w:sz w:val="24"/>
                <w:szCs w:val="22"/>
                <w:lang w:val="en-US" w:eastAsia="zh-CN"/>
              </w:rPr>
              <w:t>6</w:t>
            </w:r>
            <w:r>
              <w:rPr>
                <w:rFonts w:hint="eastAsia" w:ascii="Times New Roman" w:hAnsi="Times New Roman" w:cs="Times New Roman"/>
                <w:sz w:val="24"/>
                <w:szCs w:val="22"/>
                <w:lang w:val="en-US" w:eastAsia="zh-CN"/>
              </w:rPr>
              <w:t>g/cm</w:t>
            </w:r>
            <w:r>
              <w:rPr>
                <w:rFonts w:hint="eastAsia" w:ascii="Times New Roman" w:hAnsi="Times New Roman" w:cs="Times New Roman"/>
                <w:sz w:val="24"/>
                <w:szCs w:val="22"/>
                <w:vertAlign w:val="superscript"/>
                <w:lang w:val="en-US" w:eastAsia="zh-CN"/>
              </w:rPr>
              <w:t>3</w:t>
            </w:r>
            <w:r>
              <w:rPr>
                <w:rFonts w:hint="eastAsia" w:ascii="Times New Roman" w:hAnsi="Times New Roman" w:cs="Times New Roman"/>
                <w:sz w:val="24"/>
                <w:szCs w:val="22"/>
                <w:lang w:val="en-US" w:eastAsia="zh-CN"/>
              </w:rPr>
              <w:t>。根据油漆检测报告，所用水性涂料中VOCs检测结果</w:t>
            </w:r>
            <w:r>
              <w:rPr>
                <w:rFonts w:hint="eastAsia" w:cs="Times New Roman"/>
                <w:sz w:val="24"/>
                <w:szCs w:val="22"/>
                <w:lang w:val="en-US" w:eastAsia="zh-CN"/>
              </w:rPr>
              <w:t>见表5-4</w:t>
            </w:r>
            <w:r>
              <w:rPr>
                <w:rFonts w:hint="eastAsia" w:ascii="Times New Roman" w:hAnsi="Times New Roman" w:cs="Times New Roman"/>
                <w:sz w:val="24"/>
                <w:szCs w:val="22"/>
                <w:lang w:val="en-US" w:eastAsia="zh-CN"/>
              </w:rPr>
              <w:t>，本次核算考虑全部挥发，VOCs产生量</w:t>
            </w:r>
            <w:r>
              <w:rPr>
                <w:rFonts w:hint="eastAsia" w:cs="Times New Roman"/>
                <w:sz w:val="24"/>
                <w:szCs w:val="22"/>
                <w:lang w:val="en-US" w:eastAsia="zh-CN"/>
              </w:rPr>
              <w:t>见表5-6</w:t>
            </w:r>
            <w:r>
              <w:rPr>
                <w:rFonts w:hint="eastAsia" w:ascii="Times New Roman" w:hAnsi="Times New Roman" w:cs="Times New Roman"/>
                <w:sz w:val="24"/>
                <w:szCs w:val="22"/>
                <w:lang w:val="en-US" w:eastAsia="zh-CN"/>
              </w:rPr>
              <w:t>。</w:t>
            </w:r>
          </w:p>
          <w:p>
            <w:pPr>
              <w:pStyle w:val="18"/>
              <w:jc w:val="center"/>
              <w:outlineLvl w:val="1"/>
              <w:rPr>
                <w:rFonts w:hint="eastAsia" w:ascii="Times New Roman" w:hAnsi="Times New Roman" w:cs="Times New Roman"/>
                <w:sz w:val="24"/>
                <w:szCs w:val="22"/>
                <w:lang w:val="en-US" w:eastAsia="zh-CN"/>
              </w:rPr>
            </w:pPr>
          </w:p>
          <w:p>
            <w:pPr>
              <w:pStyle w:val="18"/>
              <w:jc w:val="center"/>
              <w:outlineLvl w:val="1"/>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 xml:space="preserve"> </w:t>
            </w:r>
            <w:r>
              <w:rPr>
                <w:rFonts w:hint="eastAsia"/>
                <w:b/>
                <w:bCs/>
                <w:color w:val="auto"/>
                <w:sz w:val="21"/>
                <w:szCs w:val="21"/>
                <w:lang w:val="en-US" w:eastAsia="zh-CN"/>
              </w:rPr>
              <w:t>表5-6 项目VOCs产生量</w:t>
            </w:r>
          </w:p>
          <w:tbl>
            <w:tblPr>
              <w:tblStyle w:val="37"/>
              <w:tblW w:w="4998" w:type="pct"/>
              <w:tblInd w:w="0" w:type="dxa"/>
              <w:shd w:val="clear" w:color="auto" w:fill="auto"/>
              <w:tblLayout w:type="autofit"/>
              <w:tblCellMar>
                <w:top w:w="0" w:type="dxa"/>
                <w:left w:w="0" w:type="dxa"/>
                <w:bottom w:w="0" w:type="dxa"/>
                <w:right w:w="0" w:type="dxa"/>
              </w:tblCellMar>
            </w:tblPr>
            <w:tblGrid>
              <w:gridCol w:w="1467"/>
              <w:gridCol w:w="2325"/>
              <w:gridCol w:w="1471"/>
              <w:gridCol w:w="1467"/>
              <w:gridCol w:w="1468"/>
            </w:tblGrid>
            <w:tr>
              <w:tblPrEx>
                <w:shd w:val="clear" w:color="auto" w:fill="auto"/>
                <w:tblCellMar>
                  <w:top w:w="0" w:type="dxa"/>
                  <w:left w:w="0" w:type="dxa"/>
                  <w:bottom w:w="0" w:type="dxa"/>
                  <w:right w:w="0" w:type="dxa"/>
                </w:tblCellMar>
              </w:tblPrEx>
              <w:trPr>
                <w:trHeight w:val="287" w:hRule="atLeast"/>
              </w:trPr>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序号</w:t>
                  </w:r>
                </w:p>
              </w:tc>
              <w:tc>
                <w:tcPr>
                  <w:tcW w:w="14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涂料品种</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ind w:firstLine="0" w:firstLineChars="0"/>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挥发性有机化合物（VOC）含量</w:t>
                  </w: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涂料用量</w:t>
                  </w: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VOCs产生量</w:t>
                  </w:r>
                </w:p>
              </w:tc>
            </w:tr>
            <w:tr>
              <w:tblPrEx>
                <w:tblCellMar>
                  <w:top w:w="0" w:type="dxa"/>
                  <w:left w:w="0" w:type="dxa"/>
                  <w:bottom w:w="0" w:type="dxa"/>
                  <w:right w:w="0" w:type="dxa"/>
                </w:tblCellMar>
              </w:tblPrEx>
              <w:trPr>
                <w:trHeight w:val="270" w:hRule="atLeast"/>
              </w:trPr>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1</w:t>
                  </w:r>
                </w:p>
              </w:tc>
              <w:tc>
                <w:tcPr>
                  <w:tcW w:w="14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环氧富锌底漆</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cs="Times New Roman" w:eastAsiaTheme="minorEastAsia"/>
                      <w:b w:val="0"/>
                      <w:bCs w:val="0"/>
                      <w:color w:val="auto"/>
                      <w:sz w:val="21"/>
                      <w:szCs w:val="21"/>
                      <w:lang w:val="en-US" w:eastAsia="zh-CN"/>
                    </w:rPr>
                  </w:pPr>
                  <w:r>
                    <w:rPr>
                      <w:rFonts w:hint="default" w:ascii="Times New Roman" w:hAnsi="Times New Roman" w:eastAsia="宋体" w:cs="Times New Roman"/>
                      <w:i w:val="0"/>
                      <w:color w:val="000000"/>
                      <w:kern w:val="0"/>
                      <w:sz w:val="21"/>
                      <w:szCs w:val="21"/>
                      <w:u w:val="none"/>
                      <w:lang w:val="en-US" w:eastAsia="zh-CN" w:bidi="ar"/>
                    </w:rPr>
                    <w:t>212</w:t>
                  </w:r>
                  <w:r>
                    <w:rPr>
                      <w:rFonts w:hint="eastAsia" w:ascii="Times New Roman" w:hAnsi="Times New Roman" w:cs="Times New Roman"/>
                      <w:i w:val="0"/>
                      <w:color w:val="000000"/>
                      <w:kern w:val="0"/>
                      <w:sz w:val="21"/>
                      <w:szCs w:val="21"/>
                      <w:u w:val="none"/>
                      <w:lang w:val="en-US" w:eastAsia="zh-CN" w:bidi="ar"/>
                    </w:rPr>
                    <w:t>g/L</w:t>
                  </w: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eastAsia" w:cs="Times New Roman" w:eastAsiaTheme="minorEastAsia"/>
                      <w:b w:val="0"/>
                      <w:bCs w:val="0"/>
                      <w:color w:val="auto"/>
                      <w:sz w:val="21"/>
                      <w:szCs w:val="21"/>
                      <w:lang w:val="en-US" w:eastAsia="zh-CN"/>
                    </w:rPr>
                    <w:t>1500</w:t>
                  </w:r>
                  <w:r>
                    <w:rPr>
                      <w:rFonts w:hint="eastAsia" w:ascii="Times New Roman" w:hAnsi="Times New Roman" w:cs="Times New Roman" w:eastAsiaTheme="minorEastAsia"/>
                      <w:b w:val="0"/>
                      <w:bCs w:val="0"/>
                      <w:color w:val="auto"/>
                      <w:sz w:val="21"/>
                      <w:szCs w:val="21"/>
                      <w:lang w:val="en-US" w:eastAsia="zh-CN"/>
                    </w:rPr>
                    <w:t>L/a</w:t>
                  </w: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0.3</w:t>
                  </w:r>
                  <w:r>
                    <w:rPr>
                      <w:rFonts w:hint="eastAsia" w:cs="Times New Roman" w:eastAsiaTheme="minorEastAsia"/>
                      <w:b w:val="0"/>
                      <w:bCs w:val="0"/>
                      <w:color w:val="auto"/>
                      <w:sz w:val="21"/>
                      <w:szCs w:val="21"/>
                      <w:lang w:val="en-US" w:eastAsia="zh-CN"/>
                    </w:rPr>
                    <w:t>18</w:t>
                  </w:r>
                  <w:r>
                    <w:rPr>
                      <w:rFonts w:hint="eastAsia" w:ascii="Times New Roman" w:hAnsi="Times New Roman" w:cs="Times New Roman" w:eastAsiaTheme="minorEastAsia"/>
                      <w:b w:val="0"/>
                      <w:bCs w:val="0"/>
                      <w:color w:val="auto"/>
                      <w:sz w:val="21"/>
                      <w:szCs w:val="21"/>
                      <w:lang w:val="en-US" w:eastAsia="zh-CN"/>
                    </w:rPr>
                    <w:t>t/a</w:t>
                  </w:r>
                </w:p>
              </w:tc>
            </w:tr>
            <w:tr>
              <w:tblPrEx>
                <w:tblCellMar>
                  <w:top w:w="0" w:type="dxa"/>
                  <w:left w:w="0" w:type="dxa"/>
                  <w:bottom w:w="0" w:type="dxa"/>
                  <w:right w:w="0" w:type="dxa"/>
                </w:tblCellMar>
              </w:tblPrEx>
              <w:trPr>
                <w:trHeight w:val="270" w:hRule="atLeast"/>
              </w:trPr>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2</w:t>
                  </w:r>
                </w:p>
              </w:tc>
              <w:tc>
                <w:tcPr>
                  <w:tcW w:w="14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灰环氧云铁中间漆</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cs="Times New Roman" w:eastAsiaTheme="minorEastAsia"/>
                      <w:b w:val="0"/>
                      <w:bCs w:val="0"/>
                      <w:color w:val="auto"/>
                      <w:sz w:val="21"/>
                      <w:szCs w:val="21"/>
                      <w:lang w:val="en-US" w:eastAsia="zh-CN"/>
                    </w:rPr>
                  </w:pPr>
                  <w:r>
                    <w:rPr>
                      <w:rFonts w:hint="default" w:ascii="Times New Roman" w:hAnsi="Times New Roman" w:eastAsia="宋体" w:cs="Times New Roman"/>
                      <w:i w:val="0"/>
                      <w:color w:val="000000"/>
                      <w:kern w:val="0"/>
                      <w:sz w:val="21"/>
                      <w:szCs w:val="21"/>
                      <w:u w:val="none"/>
                      <w:lang w:val="en-US" w:eastAsia="zh-CN" w:bidi="ar"/>
                    </w:rPr>
                    <w:t>385</w:t>
                  </w:r>
                  <w:r>
                    <w:rPr>
                      <w:rFonts w:hint="eastAsia" w:ascii="Times New Roman" w:hAnsi="Times New Roman" w:cs="Times New Roman"/>
                      <w:i w:val="0"/>
                      <w:color w:val="000000"/>
                      <w:kern w:val="0"/>
                      <w:sz w:val="21"/>
                      <w:szCs w:val="21"/>
                      <w:u w:val="none"/>
                      <w:lang w:val="en-US" w:eastAsia="zh-CN" w:bidi="ar"/>
                    </w:rPr>
                    <w:t>g/L</w:t>
                  </w: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eastAsia" w:cs="Times New Roman" w:eastAsiaTheme="minorEastAsia"/>
                      <w:b w:val="0"/>
                      <w:bCs w:val="0"/>
                      <w:color w:val="auto"/>
                      <w:sz w:val="21"/>
                      <w:szCs w:val="21"/>
                      <w:lang w:val="en-US" w:eastAsia="zh-CN"/>
                    </w:rPr>
                    <w:t>2500</w:t>
                  </w:r>
                  <w:r>
                    <w:rPr>
                      <w:rFonts w:hint="eastAsia" w:ascii="Times New Roman" w:hAnsi="Times New Roman" w:cs="Times New Roman" w:eastAsiaTheme="minorEastAsia"/>
                      <w:b w:val="0"/>
                      <w:bCs w:val="0"/>
                      <w:color w:val="auto"/>
                      <w:sz w:val="21"/>
                      <w:szCs w:val="21"/>
                      <w:lang w:val="en-US" w:eastAsia="zh-CN"/>
                    </w:rPr>
                    <w:t>L/a</w:t>
                  </w: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0.99</w:t>
                  </w:r>
                  <w:r>
                    <w:rPr>
                      <w:rFonts w:hint="eastAsia" w:cs="Times New Roman" w:eastAsiaTheme="minorEastAsia"/>
                      <w:b w:val="0"/>
                      <w:bCs w:val="0"/>
                      <w:color w:val="auto"/>
                      <w:sz w:val="21"/>
                      <w:szCs w:val="21"/>
                      <w:lang w:val="en-US" w:eastAsia="zh-CN"/>
                    </w:rPr>
                    <w:t>3</w:t>
                  </w:r>
                  <w:r>
                    <w:rPr>
                      <w:rFonts w:hint="eastAsia" w:ascii="Times New Roman" w:hAnsi="Times New Roman" w:cs="Times New Roman" w:eastAsiaTheme="minorEastAsia"/>
                      <w:b w:val="0"/>
                      <w:bCs w:val="0"/>
                      <w:color w:val="auto"/>
                      <w:sz w:val="21"/>
                      <w:szCs w:val="21"/>
                      <w:lang w:val="en-US" w:eastAsia="zh-CN"/>
                    </w:rPr>
                    <w:t>t/a</w:t>
                  </w:r>
                </w:p>
              </w:tc>
            </w:tr>
            <w:tr>
              <w:tblPrEx>
                <w:tblCellMar>
                  <w:top w:w="0" w:type="dxa"/>
                  <w:left w:w="0" w:type="dxa"/>
                  <w:bottom w:w="0" w:type="dxa"/>
                  <w:right w:w="0" w:type="dxa"/>
                </w:tblCellMar>
              </w:tblPrEx>
              <w:trPr>
                <w:trHeight w:val="270" w:hRule="atLeast"/>
              </w:trPr>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3</w:t>
                  </w:r>
                </w:p>
              </w:tc>
              <w:tc>
                <w:tcPr>
                  <w:tcW w:w="14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中黄氟碳面漆</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cs="Times New Roman" w:eastAsiaTheme="minorEastAsia"/>
                      <w:b w:val="0"/>
                      <w:bCs w:val="0"/>
                      <w:color w:val="auto"/>
                      <w:sz w:val="21"/>
                      <w:szCs w:val="21"/>
                      <w:lang w:val="en-US" w:eastAsia="zh-CN"/>
                    </w:rPr>
                  </w:pPr>
                  <w:r>
                    <w:rPr>
                      <w:rFonts w:hint="default" w:ascii="Times New Roman" w:hAnsi="Times New Roman" w:eastAsia="宋体" w:cs="Times New Roman"/>
                      <w:i w:val="0"/>
                      <w:color w:val="000000"/>
                      <w:kern w:val="0"/>
                      <w:sz w:val="21"/>
                      <w:szCs w:val="21"/>
                      <w:u w:val="none"/>
                      <w:lang w:val="en-US" w:eastAsia="zh-CN" w:bidi="ar"/>
                    </w:rPr>
                    <w:t>202</w:t>
                  </w:r>
                  <w:r>
                    <w:rPr>
                      <w:rFonts w:hint="eastAsia" w:ascii="Times New Roman" w:hAnsi="Times New Roman" w:cs="Times New Roman"/>
                      <w:i w:val="0"/>
                      <w:color w:val="000000"/>
                      <w:kern w:val="0"/>
                      <w:sz w:val="21"/>
                      <w:szCs w:val="21"/>
                      <w:u w:val="none"/>
                      <w:lang w:val="en-US" w:eastAsia="zh-CN" w:bidi="ar"/>
                    </w:rPr>
                    <w:t>g/L</w:t>
                  </w: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eastAsia" w:cs="Times New Roman" w:eastAsiaTheme="minorEastAsia"/>
                      <w:b w:val="0"/>
                      <w:bCs w:val="0"/>
                      <w:color w:val="auto"/>
                      <w:sz w:val="21"/>
                      <w:szCs w:val="21"/>
                      <w:lang w:val="en-US" w:eastAsia="zh-CN"/>
                    </w:rPr>
                    <w:t>6000</w:t>
                  </w:r>
                  <w:r>
                    <w:rPr>
                      <w:rFonts w:hint="eastAsia" w:ascii="Times New Roman" w:hAnsi="Times New Roman" w:cs="Times New Roman" w:eastAsiaTheme="minorEastAsia"/>
                      <w:b w:val="0"/>
                      <w:bCs w:val="0"/>
                      <w:color w:val="auto"/>
                      <w:sz w:val="21"/>
                      <w:szCs w:val="21"/>
                      <w:lang w:val="en-US" w:eastAsia="zh-CN"/>
                    </w:rPr>
                    <w:t>L/a</w:t>
                  </w: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0.4</w:t>
                  </w:r>
                  <w:r>
                    <w:rPr>
                      <w:rFonts w:hint="eastAsia" w:cs="Times New Roman" w:eastAsiaTheme="minorEastAsia"/>
                      <w:b w:val="0"/>
                      <w:bCs w:val="0"/>
                      <w:color w:val="auto"/>
                      <w:sz w:val="21"/>
                      <w:szCs w:val="21"/>
                      <w:lang w:val="en-US" w:eastAsia="zh-CN"/>
                    </w:rPr>
                    <w:t>04</w:t>
                  </w:r>
                  <w:r>
                    <w:rPr>
                      <w:rFonts w:hint="eastAsia" w:ascii="Times New Roman" w:hAnsi="Times New Roman" w:cs="Times New Roman" w:eastAsiaTheme="minorEastAsia"/>
                      <w:b w:val="0"/>
                      <w:bCs w:val="0"/>
                      <w:color w:val="auto"/>
                      <w:sz w:val="21"/>
                      <w:szCs w:val="21"/>
                      <w:lang w:val="en-US" w:eastAsia="zh-CN"/>
                    </w:rPr>
                    <w:t>t/a</w:t>
                  </w:r>
                </w:p>
              </w:tc>
            </w:tr>
            <w:tr>
              <w:tblPrEx>
                <w:tblCellMar>
                  <w:top w:w="0" w:type="dxa"/>
                  <w:left w:w="0" w:type="dxa"/>
                  <w:bottom w:w="0" w:type="dxa"/>
                  <w:right w:w="0" w:type="dxa"/>
                </w:tblCellMar>
              </w:tblPrEx>
              <w:trPr>
                <w:trHeight w:val="270" w:hRule="atLeast"/>
              </w:trPr>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合计</w:t>
                  </w:r>
                </w:p>
              </w:tc>
              <w:tc>
                <w:tcPr>
                  <w:tcW w:w="14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ind w:firstLine="0" w:firstLineChars="0"/>
                    <w:outlineLvl w:val="1"/>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w:t>
                  </w: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w:t>
                  </w: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53"/>
                    <w:bidi w:val="0"/>
                    <w:spacing w:line="240" w:lineRule="auto"/>
                    <w:outlineLvl w:val="1"/>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1.7</w:t>
                  </w:r>
                  <w:r>
                    <w:rPr>
                      <w:rFonts w:hint="eastAsia" w:cs="Times New Roman" w:eastAsiaTheme="minorEastAsia"/>
                      <w:b w:val="0"/>
                      <w:bCs w:val="0"/>
                      <w:color w:val="auto"/>
                      <w:sz w:val="21"/>
                      <w:szCs w:val="21"/>
                      <w:lang w:val="en-US" w:eastAsia="zh-CN"/>
                    </w:rPr>
                    <w:t>15</w:t>
                  </w:r>
                  <w:r>
                    <w:rPr>
                      <w:rFonts w:hint="eastAsia" w:ascii="Times New Roman" w:hAnsi="Times New Roman" w:cs="Times New Roman" w:eastAsiaTheme="minorEastAsia"/>
                      <w:b w:val="0"/>
                      <w:bCs w:val="0"/>
                      <w:color w:val="auto"/>
                      <w:sz w:val="21"/>
                      <w:szCs w:val="21"/>
                      <w:lang w:val="en-US" w:eastAsia="zh-CN"/>
                    </w:rPr>
                    <w:t>t/a</w:t>
                  </w:r>
                </w:p>
              </w:tc>
            </w:tr>
          </w:tbl>
          <w:p>
            <w:pPr>
              <w:spacing w:line="360" w:lineRule="auto"/>
              <w:ind w:firstLine="480" w:firstLineChars="200"/>
              <w:rPr>
                <w:rFonts w:hint="eastAsia" w:ascii="Times New Roman" w:hAnsi="Times New Roman" w:cs="Times New Roman"/>
                <w:color w:val="auto"/>
                <w:sz w:val="24"/>
                <w:szCs w:val="22"/>
                <w:lang w:val="en-US" w:eastAsia="zh-CN"/>
              </w:rPr>
            </w:pPr>
            <w:r>
              <w:rPr>
                <w:rFonts w:hint="eastAsia" w:ascii="Times New Roman" w:hAnsi="Times New Roman" w:cs="Times New Roman"/>
                <w:color w:val="auto"/>
                <w:sz w:val="24"/>
                <w:szCs w:val="22"/>
                <w:lang w:val="en-US" w:eastAsia="zh-CN"/>
              </w:rPr>
              <w:t>本项目调漆、喷漆、晾干工作均在喷漆车间进行，喷漆车间处于均负压密闭状态，仅在进料与出料开门时有少量有机废气溢出。喷漆车间设置负压抽送风装置，日常需加强管理与修护确保喷漆车间墙体处于密封不漏风，（有机废气收集效率</w:t>
            </w:r>
            <w:r>
              <w:rPr>
                <w:rFonts w:hint="eastAsia" w:cs="Times New Roman"/>
                <w:color w:val="auto"/>
                <w:sz w:val="24"/>
                <w:szCs w:val="22"/>
                <w:lang w:val="en-US" w:eastAsia="zh-CN"/>
              </w:rPr>
              <w:t>90</w:t>
            </w:r>
            <w:r>
              <w:rPr>
                <w:rFonts w:hint="eastAsia" w:ascii="Times New Roman" w:hAnsi="Times New Roman" w:cs="Times New Roman"/>
                <w:color w:val="auto"/>
                <w:sz w:val="24"/>
                <w:szCs w:val="22"/>
                <w:lang w:val="en-US" w:eastAsia="zh-CN"/>
              </w:rPr>
              <w:t>%，处理效率</w:t>
            </w:r>
            <w:r>
              <w:rPr>
                <w:rFonts w:hint="eastAsia" w:cs="Times New Roman"/>
                <w:color w:val="auto"/>
                <w:sz w:val="24"/>
                <w:szCs w:val="22"/>
                <w:lang w:val="en-US" w:eastAsia="zh-CN"/>
              </w:rPr>
              <w:t>85</w:t>
            </w:r>
            <w:r>
              <w:rPr>
                <w:rFonts w:hint="eastAsia" w:ascii="Times New Roman" w:hAnsi="Times New Roman" w:cs="Times New Roman"/>
                <w:color w:val="auto"/>
                <w:sz w:val="24"/>
                <w:szCs w:val="22"/>
                <w:lang w:val="en-US" w:eastAsia="zh-CN"/>
              </w:rPr>
              <w:t>%）。</w:t>
            </w:r>
          </w:p>
          <w:p>
            <w:pPr>
              <w:spacing w:line="360" w:lineRule="auto"/>
              <w:ind w:firstLine="489" w:firstLineChars="204"/>
              <w:rPr>
                <w:rFonts w:hint="eastAsia" w:ascii="Times New Roman" w:hAnsi="Times New Roman" w:cs="Times New Roman"/>
                <w:color w:val="auto"/>
                <w:sz w:val="24"/>
                <w:szCs w:val="22"/>
                <w:lang w:val="en-US" w:eastAsia="zh-CN"/>
              </w:rPr>
            </w:pPr>
            <w:r>
              <w:rPr>
                <w:rFonts w:hint="eastAsia" w:ascii="Times New Roman" w:hAnsi="Times New Roman" w:cs="Times New Roman"/>
                <w:color w:val="auto"/>
                <w:sz w:val="24"/>
                <w:szCs w:val="22"/>
                <w:lang w:val="en-US" w:eastAsia="zh-CN"/>
              </w:rPr>
              <w:t>喷漆室占地面积为100</w:t>
            </w:r>
            <w:r>
              <w:rPr>
                <w:rFonts w:hint="default" w:ascii="Times New Roman" w:hAnsi="Times New Roman" w:cs="Times New Roman"/>
                <w:color w:val="auto"/>
                <w:sz w:val="24"/>
                <w:szCs w:val="22"/>
                <w:lang w:val="en-US" w:eastAsia="zh-CN"/>
              </w:rPr>
              <w:t>m</w:t>
            </w:r>
            <w:r>
              <w:rPr>
                <w:rFonts w:hint="default" w:ascii="Times New Roman" w:hAnsi="Times New Roman" w:cs="Times New Roman"/>
                <w:color w:val="auto"/>
                <w:sz w:val="24"/>
                <w:szCs w:val="22"/>
                <w:vertAlign w:val="superscript"/>
                <w:lang w:val="en-US" w:eastAsia="zh-CN"/>
              </w:rPr>
              <w:t>2</w:t>
            </w:r>
            <w:r>
              <w:rPr>
                <w:rFonts w:hint="eastAsia" w:ascii="Times New Roman" w:hAnsi="Times New Roman" w:cs="Times New Roman"/>
                <w:color w:val="auto"/>
                <w:sz w:val="24"/>
                <w:szCs w:val="22"/>
                <w:lang w:val="en-US" w:eastAsia="zh-CN"/>
              </w:rPr>
              <w:t>、高9.6</w:t>
            </w:r>
            <w:r>
              <w:rPr>
                <w:rFonts w:hint="default" w:ascii="Times New Roman" w:hAnsi="Times New Roman" w:cs="Times New Roman"/>
                <w:color w:val="auto"/>
                <w:sz w:val="24"/>
                <w:szCs w:val="22"/>
                <w:lang w:val="en-US" w:eastAsia="zh-CN"/>
              </w:rPr>
              <w:t>m</w:t>
            </w:r>
            <w:r>
              <w:rPr>
                <w:rFonts w:hint="eastAsia" w:ascii="Times New Roman" w:hAnsi="Times New Roman" w:cs="Times New Roman"/>
                <w:color w:val="auto"/>
                <w:sz w:val="24"/>
                <w:szCs w:val="22"/>
                <w:lang w:val="en-US" w:eastAsia="zh-CN"/>
              </w:rPr>
              <w:t>，本项目调漆、喷漆、晾干均在负压密闭的喷漆车间进行，本项目最大风量为6</w:t>
            </w:r>
            <w:r>
              <w:rPr>
                <w:rFonts w:hint="default" w:ascii="Times New Roman" w:hAnsi="Times New Roman" w:cs="Times New Roman"/>
                <w:color w:val="auto"/>
                <w:sz w:val="24"/>
                <w:szCs w:val="22"/>
                <w:lang w:val="en-US" w:eastAsia="zh-CN"/>
              </w:rPr>
              <w:t>000</w:t>
            </w:r>
            <w:r>
              <w:rPr>
                <w:rFonts w:hint="eastAsia" w:ascii="Times New Roman" w:hAnsi="Times New Roman" w:cs="Times New Roman"/>
                <w:color w:val="auto"/>
                <w:sz w:val="24"/>
                <w:szCs w:val="22"/>
                <w:lang w:val="en-US" w:eastAsia="zh-CN"/>
              </w:rPr>
              <w:t>m</w:t>
            </w:r>
            <w:r>
              <w:rPr>
                <w:rFonts w:hint="eastAsia" w:ascii="Times New Roman" w:hAnsi="Times New Roman" w:cs="Times New Roman"/>
                <w:color w:val="auto"/>
                <w:sz w:val="24"/>
                <w:szCs w:val="22"/>
                <w:vertAlign w:val="superscript"/>
                <w:lang w:val="en-US" w:eastAsia="zh-CN"/>
              </w:rPr>
              <w:t>3</w:t>
            </w:r>
            <w:r>
              <w:rPr>
                <w:rFonts w:hint="default" w:ascii="Times New Roman" w:hAnsi="Times New Roman" w:cs="Times New Roman"/>
                <w:color w:val="auto"/>
                <w:sz w:val="24"/>
                <w:szCs w:val="22"/>
                <w:lang w:val="en-US" w:eastAsia="zh-CN"/>
              </w:rPr>
              <w:t>/h</w:t>
            </w:r>
            <w:r>
              <w:rPr>
                <w:rFonts w:hint="eastAsia" w:ascii="Times New Roman" w:hAnsi="Times New Roman" w:cs="Times New Roman"/>
                <w:color w:val="auto"/>
                <w:sz w:val="24"/>
                <w:szCs w:val="22"/>
                <w:lang w:val="en-US" w:eastAsia="zh-CN"/>
              </w:rPr>
              <w:t>，喷漆车间工作时长为</w:t>
            </w:r>
            <w:r>
              <w:rPr>
                <w:rFonts w:hint="eastAsia" w:cs="Times New Roman"/>
                <w:color w:val="auto"/>
                <w:sz w:val="24"/>
                <w:szCs w:val="22"/>
                <w:lang w:val="en-US" w:eastAsia="zh-CN"/>
              </w:rPr>
              <w:t>2400</w:t>
            </w:r>
            <w:r>
              <w:rPr>
                <w:rFonts w:hint="default" w:ascii="Times New Roman" w:hAnsi="Times New Roman" w:cs="Times New Roman"/>
                <w:color w:val="auto"/>
                <w:sz w:val="24"/>
                <w:szCs w:val="22"/>
                <w:lang w:val="en-US" w:eastAsia="zh-CN"/>
              </w:rPr>
              <w:t>h</w:t>
            </w:r>
            <w:r>
              <w:rPr>
                <w:rFonts w:hint="eastAsia" w:ascii="Times New Roman" w:hAnsi="Times New Roman" w:cs="Times New Roman"/>
                <w:color w:val="auto"/>
                <w:sz w:val="24"/>
                <w:szCs w:val="22"/>
                <w:lang w:val="en-US" w:eastAsia="zh-CN"/>
              </w:rPr>
              <w:t>（每天运作</w:t>
            </w:r>
            <w:r>
              <w:rPr>
                <w:rFonts w:hint="eastAsia" w:cs="Times New Roman"/>
                <w:color w:val="auto"/>
                <w:sz w:val="24"/>
                <w:szCs w:val="22"/>
                <w:lang w:val="en-US" w:eastAsia="zh-CN"/>
              </w:rPr>
              <w:t>8</w:t>
            </w:r>
            <w:r>
              <w:rPr>
                <w:rFonts w:hint="default" w:ascii="Times New Roman" w:hAnsi="Times New Roman" w:cs="Times New Roman"/>
                <w:color w:val="auto"/>
                <w:sz w:val="24"/>
                <w:szCs w:val="22"/>
                <w:lang w:val="en-US" w:eastAsia="zh-CN"/>
              </w:rPr>
              <w:t>h</w:t>
            </w:r>
            <w:r>
              <w:rPr>
                <w:rFonts w:hint="eastAsia" w:ascii="Times New Roman" w:hAnsi="Times New Roman" w:cs="Times New Roman"/>
                <w:color w:val="auto"/>
                <w:sz w:val="24"/>
                <w:szCs w:val="22"/>
                <w:lang w:val="en-US" w:eastAsia="zh-CN"/>
              </w:rPr>
              <w:t>，年运作</w:t>
            </w:r>
            <w:r>
              <w:rPr>
                <w:rFonts w:hint="default" w:ascii="Times New Roman" w:hAnsi="Times New Roman" w:cs="Times New Roman"/>
                <w:color w:val="auto"/>
                <w:sz w:val="24"/>
                <w:szCs w:val="22"/>
                <w:lang w:val="en-US" w:eastAsia="zh-CN"/>
              </w:rPr>
              <w:t>300</w:t>
            </w:r>
            <w:r>
              <w:rPr>
                <w:rFonts w:hint="eastAsia" w:ascii="Times New Roman" w:hAnsi="Times New Roman" w:cs="Times New Roman"/>
                <w:color w:val="auto"/>
                <w:sz w:val="24"/>
                <w:szCs w:val="22"/>
                <w:lang w:val="en-US" w:eastAsia="zh-CN"/>
              </w:rPr>
              <w:t>天）算。本项目喷漆车间废气经收集后通过过滤棉+活性炭吸附处理装置处理VOCs总效率按</w:t>
            </w:r>
            <w:r>
              <w:rPr>
                <w:rFonts w:hint="eastAsia" w:cs="Times New Roman"/>
                <w:color w:val="auto"/>
                <w:sz w:val="24"/>
                <w:szCs w:val="22"/>
                <w:lang w:val="en-US" w:eastAsia="zh-CN"/>
              </w:rPr>
              <w:t>85</w:t>
            </w:r>
            <w:r>
              <w:rPr>
                <w:rFonts w:hint="default" w:ascii="Times New Roman" w:hAnsi="Times New Roman" w:cs="Times New Roman"/>
                <w:color w:val="auto"/>
                <w:sz w:val="24"/>
                <w:szCs w:val="22"/>
                <w:lang w:val="en-US" w:eastAsia="zh-CN"/>
              </w:rPr>
              <w:t>%</w:t>
            </w:r>
            <w:r>
              <w:rPr>
                <w:rFonts w:hint="eastAsia" w:ascii="Times New Roman" w:hAnsi="Times New Roman" w:cs="Times New Roman"/>
                <w:color w:val="auto"/>
                <w:sz w:val="24"/>
                <w:szCs w:val="22"/>
                <w:lang w:val="en-US" w:eastAsia="zh-CN"/>
              </w:rPr>
              <w:t>计）由</w:t>
            </w:r>
            <w:r>
              <w:rPr>
                <w:rFonts w:hint="default" w:ascii="Times New Roman" w:hAnsi="Times New Roman" w:cs="Times New Roman"/>
                <w:color w:val="auto"/>
                <w:sz w:val="24"/>
                <w:szCs w:val="22"/>
                <w:lang w:val="en-US" w:eastAsia="zh-CN"/>
              </w:rPr>
              <w:t>15m</w:t>
            </w:r>
            <w:r>
              <w:rPr>
                <w:rFonts w:hint="eastAsia" w:ascii="Times New Roman" w:hAnsi="Times New Roman" w:cs="Times New Roman"/>
                <w:color w:val="auto"/>
                <w:sz w:val="24"/>
                <w:szCs w:val="22"/>
                <w:lang w:val="en-US" w:eastAsia="zh-CN"/>
              </w:rPr>
              <w:t>高排气筒排放。</w:t>
            </w:r>
          </w:p>
          <w:p>
            <w:pPr>
              <w:spacing w:line="360" w:lineRule="auto"/>
              <w:ind w:firstLine="489" w:firstLineChars="204"/>
              <w:rPr>
                <w:rFonts w:hint="eastAsia" w:ascii="Times New Roman" w:hAnsi="Times New Roman" w:cs="Times New Roman"/>
                <w:color w:val="auto"/>
                <w:sz w:val="24"/>
                <w:szCs w:val="22"/>
                <w:lang w:val="en-US" w:eastAsia="zh-CN"/>
              </w:rPr>
            </w:pPr>
            <w:r>
              <w:rPr>
                <w:rFonts w:hint="eastAsia" w:ascii="Times New Roman" w:hAnsi="Times New Roman" w:cs="Times New Roman"/>
                <w:color w:val="auto"/>
                <w:sz w:val="24"/>
                <w:szCs w:val="22"/>
                <w:lang w:val="en-US" w:eastAsia="zh-CN"/>
              </w:rPr>
              <w:t xml:space="preserve"> 废气经收集处理后，VOCs有组织排放量为</w:t>
            </w:r>
            <w:r>
              <w:rPr>
                <w:rFonts w:hint="eastAsia" w:cs="Times New Roman"/>
                <w:color w:val="auto"/>
                <w:sz w:val="24"/>
                <w:szCs w:val="22"/>
                <w:lang w:val="en-US" w:eastAsia="zh-CN"/>
              </w:rPr>
              <w:t>0.231</w:t>
            </w:r>
            <w:r>
              <w:rPr>
                <w:rFonts w:hint="eastAsia" w:ascii="Times New Roman" w:hAnsi="Times New Roman" w:cs="Times New Roman"/>
                <w:color w:val="auto"/>
                <w:sz w:val="24"/>
                <w:szCs w:val="22"/>
                <w:lang w:val="en-US" w:eastAsia="zh-CN"/>
              </w:rPr>
              <w:t>t/a，排放浓度为</w:t>
            </w:r>
            <w:r>
              <w:rPr>
                <w:rFonts w:hint="eastAsia" w:cs="Times New Roman"/>
                <w:color w:val="auto"/>
                <w:sz w:val="24"/>
                <w:szCs w:val="22"/>
                <w:lang w:val="en-US" w:eastAsia="zh-CN"/>
              </w:rPr>
              <w:t>20.09</w:t>
            </w:r>
            <w:r>
              <w:rPr>
                <w:rFonts w:hint="eastAsia" w:ascii="Times New Roman" w:hAnsi="Times New Roman" w:cs="Times New Roman"/>
                <w:color w:val="auto"/>
                <w:sz w:val="24"/>
                <w:szCs w:val="22"/>
                <w:lang w:val="en-US" w:eastAsia="zh-CN"/>
              </w:rPr>
              <w:t>mg/m</w:t>
            </w:r>
            <w:r>
              <w:rPr>
                <w:rFonts w:hint="eastAsia" w:ascii="Times New Roman" w:hAnsi="Times New Roman" w:cs="Times New Roman"/>
                <w:color w:val="auto"/>
                <w:sz w:val="24"/>
                <w:szCs w:val="22"/>
                <w:vertAlign w:val="superscript"/>
                <w:lang w:val="en-US" w:eastAsia="zh-CN"/>
              </w:rPr>
              <w:t>3</w:t>
            </w:r>
            <w:r>
              <w:rPr>
                <w:rFonts w:hint="eastAsia" w:ascii="Times New Roman" w:hAnsi="Times New Roman" w:cs="Times New Roman"/>
                <w:color w:val="auto"/>
                <w:sz w:val="24"/>
                <w:szCs w:val="22"/>
                <w:lang w:val="en-US" w:eastAsia="zh-CN"/>
              </w:rPr>
              <w:t>，排放速率为</w:t>
            </w:r>
            <w:r>
              <w:rPr>
                <w:rFonts w:hint="eastAsia" w:cs="Times New Roman"/>
                <w:color w:val="auto"/>
                <w:sz w:val="24"/>
                <w:szCs w:val="22"/>
                <w:lang w:val="en-US" w:eastAsia="zh-CN"/>
              </w:rPr>
              <w:t>0.0979</w:t>
            </w:r>
            <w:r>
              <w:rPr>
                <w:rFonts w:hint="eastAsia" w:ascii="Times New Roman" w:hAnsi="Times New Roman" w:cs="Times New Roman"/>
                <w:color w:val="auto"/>
                <w:sz w:val="24"/>
                <w:szCs w:val="22"/>
                <w:lang w:val="en-US" w:eastAsia="zh-CN"/>
              </w:rPr>
              <w:t>kg/h。未被收集的VOCs量为</w:t>
            </w:r>
            <w:r>
              <w:rPr>
                <w:rFonts w:hint="eastAsia" w:cs="Times New Roman"/>
                <w:color w:val="auto"/>
                <w:sz w:val="24"/>
                <w:szCs w:val="22"/>
                <w:lang w:val="en-US" w:eastAsia="zh-CN"/>
              </w:rPr>
              <w:t>0.1741</w:t>
            </w:r>
            <w:r>
              <w:rPr>
                <w:rFonts w:hint="eastAsia" w:ascii="Times New Roman" w:hAnsi="Times New Roman" w:cs="Times New Roman"/>
                <w:color w:val="auto"/>
                <w:sz w:val="24"/>
                <w:szCs w:val="22"/>
                <w:lang w:val="en-US" w:eastAsia="zh-CN"/>
              </w:rPr>
              <w:t>t/a，以无组织形式排放</w:t>
            </w:r>
            <w:r>
              <w:rPr>
                <w:rFonts w:hint="eastAsia" w:cs="Times New Roman"/>
                <w:color w:val="auto"/>
                <w:sz w:val="24"/>
                <w:szCs w:val="22"/>
                <w:lang w:val="en-US" w:eastAsia="zh-CN"/>
              </w:rPr>
              <w:t>，排放速率为0.0725</w:t>
            </w:r>
            <w:r>
              <w:rPr>
                <w:rFonts w:hint="eastAsia" w:ascii="Times New Roman" w:hAnsi="Times New Roman" w:cs="Times New Roman"/>
                <w:color w:val="auto"/>
                <w:sz w:val="24"/>
                <w:szCs w:val="22"/>
                <w:lang w:val="en-US" w:eastAsia="zh-CN"/>
              </w:rPr>
              <w:t>kg/h。</w:t>
            </w:r>
          </w:p>
          <w:p>
            <w:pPr>
              <w:spacing w:line="360" w:lineRule="auto"/>
              <w:ind w:firstLine="489" w:firstLineChars="204"/>
              <w:rPr>
                <w:rFonts w:hint="eastAsia" w:ascii="Times New Roman" w:hAnsi="Times New Roman" w:cs="Times New Roman"/>
                <w:color w:val="auto"/>
                <w:sz w:val="24"/>
                <w:szCs w:val="22"/>
                <w:lang w:val="en-US" w:eastAsia="zh-CN"/>
              </w:rPr>
            </w:pPr>
            <w:r>
              <w:rPr>
                <w:rFonts w:hint="eastAsia" w:ascii="Times New Roman" w:hAnsi="Times New Roman" w:cs="Times New Roman"/>
                <w:color w:val="auto"/>
                <w:sz w:val="24"/>
                <w:szCs w:val="22"/>
                <w:lang w:val="en-US" w:eastAsia="zh-CN"/>
              </w:rPr>
              <w:t xml:space="preserve">本项目涂装工序有机废气产排情况见下表。 </w:t>
            </w:r>
          </w:p>
          <w:p>
            <w:pPr>
              <w:pStyle w:val="52"/>
              <w:bidi w:val="0"/>
              <w:spacing w:line="240" w:lineRule="auto"/>
              <w:rPr>
                <w:rFonts w:hint="eastAsia"/>
                <w:color w:val="auto"/>
                <w:lang w:val="en-US" w:eastAsia="zh-CN"/>
              </w:rPr>
            </w:pPr>
            <w:r>
              <w:rPr>
                <w:rFonts w:hint="eastAsia"/>
                <w:color w:val="auto"/>
                <w:lang w:val="en-US" w:eastAsia="zh-CN"/>
              </w:rPr>
              <w:t>表5-6 喷涂各项有机废气产排情况一览表</w:t>
            </w:r>
          </w:p>
          <w:tbl>
            <w:tblPr>
              <w:tblStyle w:val="38"/>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693"/>
              <w:gridCol w:w="653"/>
              <w:gridCol w:w="794"/>
              <w:gridCol w:w="801"/>
              <w:gridCol w:w="899"/>
              <w:gridCol w:w="753"/>
              <w:gridCol w:w="794"/>
              <w:gridCol w:w="794"/>
              <w:gridCol w:w="816"/>
              <w:gridCol w:w="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排放形式</w:t>
                  </w:r>
                </w:p>
              </w:tc>
              <w:tc>
                <w:tcPr>
                  <w:tcW w:w="795"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污染物</w:t>
                  </w:r>
                </w:p>
              </w:tc>
              <w:tc>
                <w:tcPr>
                  <w:tcW w:w="660"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风量m</w:t>
                  </w:r>
                  <w:r>
                    <w:rPr>
                      <w:rFonts w:hint="eastAsia"/>
                      <w:b w:val="0"/>
                      <w:bCs w:val="0"/>
                      <w:color w:val="auto"/>
                      <w:sz w:val="21"/>
                      <w:szCs w:val="21"/>
                      <w:vertAlign w:val="superscript"/>
                      <w:lang w:val="en-US" w:eastAsia="zh-CN"/>
                    </w:rPr>
                    <w:t>3</w:t>
                  </w:r>
                  <w:r>
                    <w:rPr>
                      <w:rFonts w:hint="eastAsia"/>
                      <w:b w:val="0"/>
                      <w:bCs w:val="0"/>
                      <w:color w:val="auto"/>
                      <w:sz w:val="21"/>
                      <w:szCs w:val="21"/>
                      <w:lang w:val="en-US" w:eastAsia="zh-CN"/>
                    </w:rPr>
                    <w:t>/h</w:t>
                  </w:r>
                </w:p>
              </w:tc>
              <w:tc>
                <w:tcPr>
                  <w:tcW w:w="764"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产生量t/a</w:t>
                  </w:r>
                </w:p>
              </w:tc>
              <w:tc>
                <w:tcPr>
                  <w:tcW w:w="804"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产生速率</w:t>
                  </w:r>
                </w:p>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kg/h</w:t>
                  </w:r>
                </w:p>
              </w:tc>
              <w:tc>
                <w:tcPr>
                  <w:tcW w:w="778"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产生浓度mg/m</w:t>
                  </w:r>
                  <w:r>
                    <w:rPr>
                      <w:rFonts w:hint="eastAsia"/>
                      <w:b w:val="0"/>
                      <w:bCs w:val="0"/>
                      <w:color w:val="auto"/>
                      <w:sz w:val="21"/>
                      <w:szCs w:val="21"/>
                      <w:vertAlign w:val="superscript"/>
                      <w:lang w:val="en-US" w:eastAsia="zh-CN"/>
                    </w:rPr>
                    <w:t>3</w:t>
                  </w:r>
                </w:p>
              </w:tc>
              <w:tc>
                <w:tcPr>
                  <w:tcW w:w="777"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去除量t/a</w:t>
                  </w:r>
                </w:p>
              </w:tc>
              <w:tc>
                <w:tcPr>
                  <w:tcW w:w="722"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排放量t/a</w:t>
                  </w:r>
                </w:p>
              </w:tc>
              <w:tc>
                <w:tcPr>
                  <w:tcW w:w="696"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排放速率kg/h</w:t>
                  </w:r>
                </w:p>
              </w:tc>
              <w:tc>
                <w:tcPr>
                  <w:tcW w:w="832"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排放浓度mg/m</w:t>
                  </w:r>
                  <w:r>
                    <w:rPr>
                      <w:rFonts w:hint="eastAsia"/>
                      <w:b w:val="0"/>
                      <w:bCs w:val="0"/>
                      <w:color w:val="auto"/>
                      <w:sz w:val="21"/>
                      <w:szCs w:val="21"/>
                      <w:vertAlign w:val="superscript"/>
                      <w:lang w:val="en-US" w:eastAsia="zh-CN"/>
                    </w:rPr>
                    <w:t>3</w:t>
                  </w:r>
                </w:p>
              </w:tc>
              <w:tc>
                <w:tcPr>
                  <w:tcW w:w="725"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排气筒高度m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有组织</w:t>
                  </w:r>
                </w:p>
              </w:tc>
              <w:tc>
                <w:tcPr>
                  <w:tcW w:w="795" w:type="dxa"/>
                  <w:vMerge w:val="restart"/>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挥发性有机物</w:t>
                  </w:r>
                </w:p>
              </w:tc>
              <w:tc>
                <w:tcPr>
                  <w:tcW w:w="660"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6000</w:t>
                  </w:r>
                </w:p>
              </w:tc>
              <w:tc>
                <w:tcPr>
                  <w:tcW w:w="764"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1.5435</w:t>
                  </w:r>
                </w:p>
              </w:tc>
              <w:tc>
                <w:tcPr>
                  <w:tcW w:w="804" w:type="dxa"/>
                  <w:noWrap w:val="0"/>
                  <w:vAlign w:val="center"/>
                </w:tcPr>
                <w:p>
                  <w:pPr>
                    <w:pStyle w:val="53"/>
                    <w:bidi w:val="0"/>
                    <w:spacing w:line="240" w:lineRule="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0.643</w:t>
                  </w:r>
                </w:p>
              </w:tc>
              <w:tc>
                <w:tcPr>
                  <w:tcW w:w="778" w:type="dxa"/>
                  <w:noWrap w:val="0"/>
                  <w:vAlign w:val="center"/>
                </w:tcPr>
                <w:p>
                  <w:pPr>
                    <w:pStyle w:val="53"/>
                    <w:bidi w:val="0"/>
                    <w:spacing w:line="240" w:lineRule="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107.188</w:t>
                  </w:r>
                </w:p>
              </w:tc>
              <w:tc>
                <w:tcPr>
                  <w:tcW w:w="777" w:type="dxa"/>
                  <w:noWrap w:val="0"/>
                  <w:vAlign w:val="center"/>
                </w:tcPr>
                <w:p>
                  <w:pPr>
                    <w:pStyle w:val="53"/>
                    <w:bidi w:val="0"/>
                    <w:spacing w:line="240" w:lineRule="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1.181</w:t>
                  </w:r>
                </w:p>
              </w:tc>
              <w:tc>
                <w:tcPr>
                  <w:tcW w:w="722" w:type="dxa"/>
                  <w:noWrap w:val="0"/>
                  <w:vAlign w:val="center"/>
                </w:tcPr>
                <w:p>
                  <w:pPr>
                    <w:pStyle w:val="53"/>
                    <w:bidi w:val="0"/>
                    <w:spacing w:line="240" w:lineRule="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0.231</w:t>
                  </w:r>
                </w:p>
              </w:tc>
              <w:tc>
                <w:tcPr>
                  <w:tcW w:w="696" w:type="dxa"/>
                  <w:noWrap w:val="0"/>
                  <w:vAlign w:val="center"/>
                </w:tcPr>
                <w:p>
                  <w:pPr>
                    <w:pStyle w:val="53"/>
                    <w:bidi w:val="0"/>
                    <w:spacing w:line="240" w:lineRule="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0.0963</w:t>
                  </w:r>
                </w:p>
              </w:tc>
              <w:tc>
                <w:tcPr>
                  <w:tcW w:w="832" w:type="dxa"/>
                  <w:noWrap w:val="0"/>
                  <w:vAlign w:val="center"/>
                </w:tcPr>
                <w:p>
                  <w:pPr>
                    <w:pStyle w:val="53"/>
                    <w:bidi w:val="0"/>
                    <w:spacing w:line="240" w:lineRule="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16.04</w:t>
                  </w:r>
                </w:p>
              </w:tc>
              <w:tc>
                <w:tcPr>
                  <w:tcW w:w="725" w:type="dxa"/>
                  <w:noWrap w:val="0"/>
                  <w:vAlign w:val="center"/>
                </w:tcPr>
                <w:p>
                  <w:pPr>
                    <w:pStyle w:val="53"/>
                    <w:bidi w:val="0"/>
                    <w:spacing w:line="240" w:lineRule="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无组织</w:t>
                  </w:r>
                </w:p>
              </w:tc>
              <w:tc>
                <w:tcPr>
                  <w:tcW w:w="795" w:type="dxa"/>
                  <w:vMerge w:val="continue"/>
                  <w:noWrap w:val="0"/>
                  <w:vAlign w:val="center"/>
                </w:tcPr>
                <w:p>
                  <w:pPr>
                    <w:pStyle w:val="53"/>
                    <w:bidi w:val="0"/>
                    <w:spacing w:line="240" w:lineRule="auto"/>
                    <w:rPr>
                      <w:rFonts w:hint="eastAsia"/>
                      <w:b w:val="0"/>
                      <w:bCs w:val="0"/>
                      <w:color w:val="auto"/>
                      <w:sz w:val="21"/>
                      <w:szCs w:val="21"/>
                      <w:lang w:val="en-US" w:eastAsia="zh-CN"/>
                    </w:rPr>
                  </w:pPr>
                </w:p>
              </w:tc>
              <w:tc>
                <w:tcPr>
                  <w:tcW w:w="660"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w:t>
                  </w:r>
                </w:p>
              </w:tc>
              <w:tc>
                <w:tcPr>
                  <w:tcW w:w="764"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0.1715</w:t>
                  </w:r>
                </w:p>
              </w:tc>
              <w:tc>
                <w:tcPr>
                  <w:tcW w:w="804" w:type="dxa"/>
                  <w:noWrap w:val="0"/>
                  <w:vAlign w:val="center"/>
                </w:tcPr>
                <w:p>
                  <w:pPr>
                    <w:pStyle w:val="53"/>
                    <w:bidi w:val="0"/>
                    <w:spacing w:line="240" w:lineRule="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0.0715</w:t>
                  </w:r>
                </w:p>
              </w:tc>
              <w:tc>
                <w:tcPr>
                  <w:tcW w:w="778" w:type="dxa"/>
                  <w:noWrap w:val="0"/>
                  <w:vAlign w:val="center"/>
                </w:tcPr>
                <w:p>
                  <w:pPr>
                    <w:pStyle w:val="53"/>
                    <w:bidi w:val="0"/>
                    <w:spacing w:line="240" w:lineRule="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w:t>
                  </w:r>
                </w:p>
              </w:tc>
              <w:tc>
                <w:tcPr>
                  <w:tcW w:w="777" w:type="dxa"/>
                  <w:noWrap w:val="0"/>
                  <w:vAlign w:val="center"/>
                </w:tcPr>
                <w:p>
                  <w:pPr>
                    <w:pStyle w:val="53"/>
                    <w:bidi w:val="0"/>
                    <w:spacing w:line="240" w:lineRule="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w:t>
                  </w:r>
                </w:p>
              </w:tc>
              <w:tc>
                <w:tcPr>
                  <w:tcW w:w="722" w:type="dxa"/>
                  <w:noWrap w:val="0"/>
                  <w:vAlign w:val="center"/>
                </w:tcPr>
                <w:p>
                  <w:pPr>
                    <w:pStyle w:val="53"/>
                    <w:bidi w:val="0"/>
                    <w:spacing w:line="240" w:lineRule="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0.1715</w:t>
                  </w:r>
                </w:p>
              </w:tc>
              <w:tc>
                <w:tcPr>
                  <w:tcW w:w="696" w:type="dxa"/>
                  <w:noWrap w:val="0"/>
                  <w:vAlign w:val="center"/>
                </w:tcPr>
                <w:p>
                  <w:pPr>
                    <w:pStyle w:val="53"/>
                    <w:bidi w:val="0"/>
                    <w:spacing w:line="240" w:lineRule="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0.0715</w:t>
                  </w:r>
                </w:p>
              </w:tc>
              <w:tc>
                <w:tcPr>
                  <w:tcW w:w="832" w:type="dxa"/>
                  <w:noWrap w:val="0"/>
                  <w:vAlign w:val="center"/>
                </w:tcPr>
                <w:p>
                  <w:pPr>
                    <w:pStyle w:val="53"/>
                    <w:bidi w:val="0"/>
                    <w:spacing w:line="240" w:lineRule="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w:t>
                  </w:r>
                </w:p>
              </w:tc>
              <w:tc>
                <w:tcPr>
                  <w:tcW w:w="725" w:type="dxa"/>
                  <w:noWrap w:val="0"/>
                  <w:vAlign w:val="center"/>
                </w:tcPr>
                <w:p>
                  <w:pPr>
                    <w:pStyle w:val="53"/>
                    <w:bidi w:val="0"/>
                    <w:spacing w:line="240" w:lineRule="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w:t>
                  </w:r>
                </w:p>
              </w:tc>
            </w:tr>
          </w:tbl>
          <w:p>
            <w:pPr>
              <w:spacing w:line="360" w:lineRule="auto"/>
              <w:ind w:firstLine="489" w:firstLineChars="204"/>
              <w:rPr>
                <w:rFonts w:hint="default" w:ascii="Times New Roman" w:hAnsi="Times New Roman" w:cs="Times New Roman"/>
                <w:color w:val="auto"/>
                <w:sz w:val="24"/>
                <w:szCs w:val="22"/>
                <w:lang w:val="en-US" w:eastAsia="zh-CN"/>
              </w:rPr>
            </w:pPr>
            <w:r>
              <w:rPr>
                <w:rFonts w:hint="default" w:ascii="Times New Roman" w:hAnsi="Times New Roman" w:cs="Times New Roman"/>
                <w:color w:val="auto"/>
                <w:sz w:val="24"/>
                <w:szCs w:val="22"/>
                <w:lang w:val="en-US" w:eastAsia="zh-CN"/>
              </w:rPr>
              <w:t>由上表分析可知，本项目喷漆车间产生的</w:t>
            </w:r>
            <w:r>
              <w:rPr>
                <w:rFonts w:hint="eastAsia" w:ascii="Times New Roman" w:hAnsi="Times New Roman" w:cs="Times New Roman"/>
                <w:color w:val="auto"/>
                <w:sz w:val="24"/>
                <w:szCs w:val="22"/>
                <w:lang w:val="en-US" w:eastAsia="zh-CN"/>
              </w:rPr>
              <w:t>VOCs</w:t>
            </w:r>
            <w:r>
              <w:rPr>
                <w:rFonts w:hint="default" w:ascii="Times New Roman" w:hAnsi="Times New Roman" w:cs="Times New Roman"/>
                <w:color w:val="auto"/>
                <w:sz w:val="24"/>
                <w:szCs w:val="22"/>
                <w:lang w:val="en-US" w:eastAsia="zh-CN"/>
              </w:rPr>
              <w:t>经过</w:t>
            </w:r>
            <w:r>
              <w:rPr>
                <w:rFonts w:hint="eastAsia" w:ascii="Times New Roman" w:hAnsi="Times New Roman" w:cs="Times New Roman"/>
                <w:color w:val="auto"/>
                <w:sz w:val="24"/>
                <w:szCs w:val="22"/>
                <w:lang w:val="en-US" w:eastAsia="zh-CN"/>
              </w:rPr>
              <w:t>过滤棉+活性炭</w:t>
            </w:r>
            <w:r>
              <w:rPr>
                <w:rFonts w:hint="default" w:ascii="Times New Roman" w:hAnsi="Times New Roman" w:cs="Times New Roman"/>
                <w:color w:val="auto"/>
                <w:sz w:val="24"/>
                <w:szCs w:val="22"/>
                <w:lang w:val="en-US" w:eastAsia="zh-CN"/>
              </w:rPr>
              <w:t>吸附处理装置处理后，</w:t>
            </w:r>
            <w:r>
              <w:rPr>
                <w:rFonts w:hint="eastAsia" w:ascii="Times New Roman" w:hAnsi="Times New Roman" w:cs="Times New Roman"/>
                <w:color w:val="auto"/>
                <w:sz w:val="24"/>
                <w:szCs w:val="22"/>
                <w:lang w:val="en-US" w:eastAsia="zh-CN"/>
              </w:rPr>
              <w:t>VOCs</w:t>
            </w:r>
            <w:r>
              <w:rPr>
                <w:rFonts w:hint="default" w:ascii="Times New Roman" w:hAnsi="Times New Roman" w:cs="Times New Roman"/>
                <w:color w:val="auto"/>
                <w:sz w:val="24"/>
                <w:szCs w:val="22"/>
                <w:lang w:val="en-US" w:eastAsia="zh-CN"/>
              </w:rPr>
              <w:t>的排放速率和排放浓度均能达到《大气污染物综合排放标准》（GB16297-1996）二级标准限值要求。</w:t>
            </w:r>
          </w:p>
          <w:p>
            <w:pPr>
              <w:spacing w:line="360" w:lineRule="auto"/>
              <w:ind w:firstLine="489" w:firstLineChars="204"/>
              <w:rPr>
                <w:rFonts w:hint="eastAsia" w:ascii="Times New Roman" w:hAnsi="Times New Roman" w:cs="Times New Roman"/>
                <w:color w:val="auto"/>
                <w:sz w:val="24"/>
                <w:szCs w:val="22"/>
                <w:lang w:val="en-US" w:eastAsia="zh-CN"/>
              </w:rPr>
            </w:pPr>
            <w:r>
              <w:rPr>
                <w:rFonts w:hint="eastAsia" w:ascii="Times New Roman" w:hAnsi="Times New Roman" w:cs="Times New Roman"/>
                <w:color w:val="auto"/>
                <w:sz w:val="24"/>
                <w:szCs w:val="22"/>
                <w:lang w:val="en-US" w:eastAsia="zh-CN"/>
              </w:rPr>
              <w:t>②漆雾</w:t>
            </w:r>
          </w:p>
          <w:p>
            <w:pPr>
              <w:spacing w:line="360" w:lineRule="auto"/>
              <w:ind w:firstLine="489" w:firstLineChars="204"/>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喷漆过程中，涂料在高压作用下雾化成颗粒，均匀喷涂在工件表面。由于喷涂时，涂料未能完全附着，部分未能附着到工件表面的涂料逸散到空气中，其中，有机挥发成分成有机废气，而涂料固分则在空气中形成漆雾。</w:t>
            </w:r>
          </w:p>
          <w:p>
            <w:pPr>
              <w:spacing w:line="360" w:lineRule="auto"/>
              <w:ind w:firstLine="489" w:firstLineChars="204"/>
              <w:rPr>
                <w:rFonts w:hint="eastAsia"/>
                <w:lang w:val="en-US" w:eastAsia="zh-CN"/>
              </w:rPr>
            </w:pPr>
            <w:r>
              <w:rPr>
                <w:rFonts w:hint="eastAsia" w:ascii="Times New Roman" w:hAnsi="Times New Roman" w:cs="Times New Roman"/>
                <w:color w:val="auto"/>
                <w:sz w:val="24"/>
                <w:szCs w:val="22"/>
                <w:lang w:val="en-US" w:eastAsia="zh-CN"/>
              </w:rPr>
              <w:t>本项目喷漆附着率为90%，本项目水性涂料用量为</w:t>
            </w:r>
            <w:r>
              <w:rPr>
                <w:rFonts w:hint="eastAsia" w:cs="Times New Roman"/>
                <w:color w:val="auto"/>
                <w:sz w:val="24"/>
                <w:szCs w:val="22"/>
                <w:lang w:val="en-US" w:eastAsia="zh-CN"/>
              </w:rPr>
              <w:t>8.18</w:t>
            </w:r>
            <w:r>
              <w:rPr>
                <w:rFonts w:hint="eastAsia" w:ascii="Times New Roman" w:hAnsi="Times New Roman" w:cs="Times New Roman"/>
                <w:color w:val="auto"/>
                <w:sz w:val="24"/>
                <w:szCs w:val="22"/>
                <w:lang w:val="en-US" w:eastAsia="zh-CN"/>
              </w:rPr>
              <w:t>t/a。则本项目漆雾产生量为</w:t>
            </w:r>
            <w:r>
              <w:rPr>
                <w:rFonts w:hint="eastAsia" w:cs="Times New Roman"/>
                <w:color w:val="auto"/>
                <w:sz w:val="24"/>
                <w:szCs w:val="22"/>
                <w:lang w:val="en-US" w:eastAsia="zh-CN"/>
              </w:rPr>
              <w:t>0.818</w:t>
            </w:r>
            <w:r>
              <w:rPr>
                <w:rFonts w:hint="eastAsia" w:ascii="Times New Roman" w:hAnsi="Times New Roman" w:cs="Times New Roman"/>
                <w:color w:val="auto"/>
                <w:sz w:val="24"/>
                <w:szCs w:val="22"/>
                <w:lang w:val="en-US" w:eastAsia="zh-CN"/>
              </w:rPr>
              <w:t>t/a。漆雾颗粒粒径较大，质量较重，且具有黏附性，扩散范围小，经喷漆车间抽风进入过滤棉+活性炭吸附处理，捕集率按80%算，经处理后的漆雾由15m高排气筒排放。这一过程过滤棉+活性炭对漆雾去除率可达</w:t>
            </w:r>
            <w:r>
              <w:rPr>
                <w:rFonts w:hint="eastAsia" w:cs="Times New Roman"/>
                <w:color w:val="auto"/>
                <w:sz w:val="24"/>
                <w:szCs w:val="22"/>
                <w:lang w:val="en-US" w:eastAsia="zh-CN"/>
              </w:rPr>
              <w:t>8</w:t>
            </w:r>
            <w:r>
              <w:rPr>
                <w:rFonts w:hint="eastAsia" w:ascii="Times New Roman" w:hAnsi="Times New Roman" w:cs="Times New Roman"/>
                <w:color w:val="auto"/>
                <w:sz w:val="24"/>
                <w:szCs w:val="22"/>
                <w:lang w:val="en-US" w:eastAsia="zh-CN"/>
              </w:rPr>
              <w:t>5%，本项目漆雾产生情况见下表：</w:t>
            </w:r>
          </w:p>
          <w:p>
            <w:pPr>
              <w:pStyle w:val="52"/>
              <w:bidi w:val="0"/>
              <w:spacing w:line="240" w:lineRule="auto"/>
              <w:rPr>
                <w:rFonts w:hint="eastAsia"/>
                <w:lang w:val="en-US" w:eastAsia="zh-CN"/>
              </w:rPr>
            </w:pPr>
            <w:r>
              <w:rPr>
                <w:rFonts w:hint="eastAsia"/>
                <w:lang w:val="en-US" w:eastAsia="zh-CN"/>
              </w:rPr>
              <w:t>表5-7 喷漆工序漆雾产排情况一览表</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
              <w:gridCol w:w="480"/>
              <w:gridCol w:w="687"/>
              <w:gridCol w:w="831"/>
              <w:gridCol w:w="883"/>
              <w:gridCol w:w="890"/>
              <w:gridCol w:w="743"/>
              <w:gridCol w:w="835"/>
              <w:gridCol w:w="883"/>
              <w:gridCol w:w="890"/>
              <w:gridCol w:w="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排放形式</w:t>
                  </w:r>
                </w:p>
              </w:tc>
              <w:tc>
                <w:tcPr>
                  <w:tcW w:w="0" w:type="auto"/>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污染物</w:t>
                  </w:r>
                </w:p>
              </w:tc>
              <w:tc>
                <w:tcPr>
                  <w:tcW w:w="687" w:type="dxa"/>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风量m</w:t>
                  </w:r>
                  <w:r>
                    <w:rPr>
                      <w:rFonts w:hint="eastAsia"/>
                      <w:b w:val="0"/>
                      <w:bCs w:val="0"/>
                      <w:sz w:val="21"/>
                      <w:szCs w:val="21"/>
                      <w:vertAlign w:val="superscript"/>
                      <w:lang w:val="en-US" w:eastAsia="zh-CN"/>
                    </w:rPr>
                    <w:t>3</w:t>
                  </w:r>
                  <w:r>
                    <w:rPr>
                      <w:rFonts w:hint="eastAsia"/>
                      <w:b w:val="0"/>
                      <w:bCs w:val="0"/>
                      <w:sz w:val="21"/>
                      <w:szCs w:val="21"/>
                      <w:lang w:val="en-US" w:eastAsia="zh-CN"/>
                    </w:rPr>
                    <w:t>/h</w:t>
                  </w:r>
                </w:p>
              </w:tc>
              <w:tc>
                <w:tcPr>
                  <w:tcW w:w="830" w:type="dxa"/>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产生量t/a</w:t>
                  </w:r>
                </w:p>
              </w:tc>
              <w:tc>
                <w:tcPr>
                  <w:tcW w:w="0" w:type="auto"/>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产生速率kg/h</w:t>
                  </w:r>
                </w:p>
              </w:tc>
              <w:tc>
                <w:tcPr>
                  <w:tcW w:w="0" w:type="auto"/>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产生浓度mg/m</w:t>
                  </w:r>
                  <w:r>
                    <w:rPr>
                      <w:rFonts w:hint="eastAsia"/>
                      <w:b w:val="0"/>
                      <w:bCs w:val="0"/>
                      <w:sz w:val="21"/>
                      <w:szCs w:val="21"/>
                      <w:vertAlign w:val="superscript"/>
                      <w:lang w:val="en-US" w:eastAsia="zh-CN"/>
                    </w:rPr>
                    <w:t>3</w:t>
                  </w:r>
                </w:p>
              </w:tc>
              <w:tc>
                <w:tcPr>
                  <w:tcW w:w="0" w:type="auto"/>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去除量t/a</w:t>
                  </w:r>
                </w:p>
              </w:tc>
              <w:tc>
                <w:tcPr>
                  <w:tcW w:w="0" w:type="auto"/>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排放量t/a</w:t>
                  </w:r>
                </w:p>
              </w:tc>
              <w:tc>
                <w:tcPr>
                  <w:tcW w:w="0" w:type="auto"/>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排放速率kg/h</w:t>
                  </w:r>
                </w:p>
              </w:tc>
              <w:tc>
                <w:tcPr>
                  <w:tcW w:w="0" w:type="auto"/>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排放浓度mg/m</w:t>
                  </w:r>
                  <w:r>
                    <w:rPr>
                      <w:rFonts w:hint="eastAsia"/>
                      <w:b w:val="0"/>
                      <w:bCs w:val="0"/>
                      <w:sz w:val="21"/>
                      <w:szCs w:val="21"/>
                      <w:vertAlign w:val="superscript"/>
                      <w:lang w:val="en-US" w:eastAsia="zh-CN"/>
                    </w:rPr>
                    <w:t>3</w:t>
                  </w:r>
                </w:p>
              </w:tc>
              <w:tc>
                <w:tcPr>
                  <w:tcW w:w="0" w:type="auto"/>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排气筒高度m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有组织</w:t>
                  </w:r>
                </w:p>
              </w:tc>
              <w:tc>
                <w:tcPr>
                  <w:tcW w:w="0" w:type="auto"/>
                  <w:vMerge w:val="restart"/>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漆雾</w:t>
                  </w:r>
                </w:p>
              </w:tc>
              <w:tc>
                <w:tcPr>
                  <w:tcW w:w="687" w:type="dxa"/>
                  <w:vMerge w:val="restart"/>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6000</w:t>
                  </w:r>
                </w:p>
              </w:tc>
              <w:tc>
                <w:tcPr>
                  <w:tcW w:w="830" w:type="dxa"/>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0.6544</w:t>
                  </w:r>
                </w:p>
              </w:tc>
              <w:tc>
                <w:tcPr>
                  <w:tcW w:w="0" w:type="auto"/>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0.2727</w:t>
                  </w:r>
                </w:p>
              </w:tc>
              <w:tc>
                <w:tcPr>
                  <w:tcW w:w="0" w:type="auto"/>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45.44</w:t>
                  </w:r>
                </w:p>
              </w:tc>
              <w:tc>
                <w:tcPr>
                  <w:tcW w:w="0" w:type="auto"/>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0.445</w:t>
                  </w:r>
                </w:p>
              </w:tc>
              <w:tc>
                <w:tcPr>
                  <w:tcW w:w="0" w:type="auto"/>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0.0982</w:t>
                  </w:r>
                </w:p>
              </w:tc>
              <w:tc>
                <w:tcPr>
                  <w:tcW w:w="0" w:type="auto"/>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0.041</w:t>
                  </w:r>
                </w:p>
              </w:tc>
              <w:tc>
                <w:tcPr>
                  <w:tcW w:w="0" w:type="auto"/>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6.819</w:t>
                  </w:r>
                </w:p>
              </w:tc>
              <w:tc>
                <w:tcPr>
                  <w:tcW w:w="0" w:type="auto"/>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无组织</w:t>
                  </w:r>
                </w:p>
              </w:tc>
              <w:tc>
                <w:tcPr>
                  <w:tcW w:w="0" w:type="auto"/>
                  <w:vMerge w:val="continue"/>
                  <w:vAlign w:val="center"/>
                </w:tcPr>
                <w:p>
                  <w:pPr>
                    <w:pStyle w:val="53"/>
                    <w:bidi w:val="0"/>
                    <w:spacing w:line="240" w:lineRule="auto"/>
                    <w:rPr>
                      <w:rFonts w:hint="eastAsia"/>
                      <w:b w:val="0"/>
                      <w:bCs w:val="0"/>
                      <w:sz w:val="21"/>
                      <w:szCs w:val="21"/>
                      <w:lang w:val="en-US" w:eastAsia="zh-CN"/>
                    </w:rPr>
                  </w:pPr>
                </w:p>
              </w:tc>
              <w:tc>
                <w:tcPr>
                  <w:tcW w:w="687" w:type="dxa"/>
                  <w:vMerge w:val="continue"/>
                  <w:vAlign w:val="center"/>
                </w:tcPr>
                <w:p>
                  <w:pPr>
                    <w:pStyle w:val="53"/>
                    <w:bidi w:val="0"/>
                    <w:spacing w:line="240" w:lineRule="auto"/>
                    <w:rPr>
                      <w:rFonts w:hint="eastAsia"/>
                      <w:b w:val="0"/>
                      <w:bCs w:val="0"/>
                      <w:sz w:val="21"/>
                      <w:szCs w:val="21"/>
                      <w:lang w:val="en-US" w:eastAsia="zh-CN"/>
                    </w:rPr>
                  </w:pPr>
                </w:p>
              </w:tc>
              <w:tc>
                <w:tcPr>
                  <w:tcW w:w="830" w:type="dxa"/>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0.1636</w:t>
                  </w:r>
                </w:p>
              </w:tc>
              <w:tc>
                <w:tcPr>
                  <w:tcW w:w="0" w:type="auto"/>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0.0682</w:t>
                  </w:r>
                </w:p>
              </w:tc>
              <w:tc>
                <w:tcPr>
                  <w:tcW w:w="0" w:type="auto"/>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w:t>
                  </w:r>
                </w:p>
              </w:tc>
              <w:tc>
                <w:tcPr>
                  <w:tcW w:w="0" w:type="auto"/>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0</w:t>
                  </w:r>
                </w:p>
              </w:tc>
              <w:tc>
                <w:tcPr>
                  <w:tcW w:w="0" w:type="auto"/>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0.1636</w:t>
                  </w:r>
                </w:p>
              </w:tc>
              <w:tc>
                <w:tcPr>
                  <w:tcW w:w="0" w:type="auto"/>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0.0682</w:t>
                  </w:r>
                </w:p>
              </w:tc>
              <w:tc>
                <w:tcPr>
                  <w:tcW w:w="0" w:type="auto"/>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w:t>
                  </w:r>
                </w:p>
              </w:tc>
              <w:tc>
                <w:tcPr>
                  <w:tcW w:w="0" w:type="auto"/>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w:t>
                  </w:r>
                </w:p>
              </w:tc>
            </w:tr>
          </w:tbl>
          <w:p>
            <w:pPr>
              <w:spacing w:line="360" w:lineRule="auto"/>
              <w:ind w:firstLine="489" w:firstLineChars="204"/>
              <w:rPr>
                <w:rFonts w:hint="eastAsia" w:ascii="Times New Roman" w:hAnsi="Times New Roman" w:cs="Times New Roman"/>
                <w:sz w:val="24"/>
                <w:szCs w:val="22"/>
                <w:lang w:val="en-US" w:eastAsia="zh-CN"/>
              </w:rPr>
            </w:pPr>
            <w:r>
              <w:rPr>
                <w:rFonts w:hint="default" w:ascii="Times New Roman" w:hAnsi="Times New Roman" w:cs="Times New Roman"/>
                <w:sz w:val="24"/>
                <w:szCs w:val="22"/>
                <w:lang w:val="en-US" w:eastAsia="zh-CN"/>
              </w:rPr>
              <w:t>由上表分析可知，本项目喷漆车间产生的</w:t>
            </w:r>
            <w:r>
              <w:rPr>
                <w:rFonts w:hint="eastAsia" w:ascii="Times New Roman" w:hAnsi="Times New Roman" w:cs="Times New Roman"/>
                <w:sz w:val="24"/>
                <w:szCs w:val="22"/>
                <w:lang w:val="en-US" w:eastAsia="zh-CN"/>
              </w:rPr>
              <w:t>漆雾</w:t>
            </w:r>
            <w:r>
              <w:rPr>
                <w:rFonts w:hint="default" w:ascii="Times New Roman" w:hAnsi="Times New Roman" w:cs="Times New Roman"/>
                <w:sz w:val="24"/>
                <w:szCs w:val="22"/>
                <w:lang w:val="en-US" w:eastAsia="zh-CN"/>
              </w:rPr>
              <w:t>经过</w:t>
            </w:r>
            <w:r>
              <w:rPr>
                <w:rFonts w:hint="eastAsia" w:ascii="Times New Roman" w:hAnsi="Times New Roman" w:cs="Times New Roman"/>
                <w:sz w:val="24"/>
                <w:szCs w:val="22"/>
                <w:lang w:val="en-US" w:eastAsia="zh-CN"/>
              </w:rPr>
              <w:t>过滤棉+活性炭</w:t>
            </w:r>
            <w:r>
              <w:rPr>
                <w:rFonts w:hint="default" w:ascii="Times New Roman" w:hAnsi="Times New Roman" w:cs="Times New Roman"/>
                <w:sz w:val="24"/>
                <w:szCs w:val="22"/>
                <w:lang w:val="en-US" w:eastAsia="zh-CN"/>
              </w:rPr>
              <w:t>吸附处理装置处理后，</w:t>
            </w:r>
            <w:r>
              <w:rPr>
                <w:rFonts w:hint="eastAsia" w:ascii="Times New Roman" w:hAnsi="Times New Roman" w:cs="Times New Roman"/>
                <w:sz w:val="24"/>
                <w:szCs w:val="22"/>
                <w:lang w:val="en-US" w:eastAsia="zh-CN"/>
              </w:rPr>
              <w:t>漆雾</w:t>
            </w:r>
            <w:r>
              <w:rPr>
                <w:rFonts w:hint="default" w:ascii="Times New Roman" w:hAnsi="Times New Roman" w:cs="Times New Roman"/>
                <w:sz w:val="24"/>
                <w:szCs w:val="22"/>
                <w:lang w:val="en-US" w:eastAsia="zh-CN"/>
              </w:rPr>
              <w:t>的排放速率和排放浓度均能达到《大气污染物综合排放标准》（GB16297-1996）二级标准限值要求。</w:t>
            </w:r>
          </w:p>
          <w:p>
            <w:pPr>
              <w:keepNext w:val="0"/>
              <w:keepLines w:val="0"/>
              <w:pageBreakBefore w:val="0"/>
              <w:widowControl w:val="0"/>
              <w:kinsoku/>
              <w:wordWrap/>
              <w:overflowPunct/>
              <w:topLinePunct w:val="0"/>
              <w:autoSpaceDE/>
              <w:autoSpaceDN/>
              <w:bidi w:val="0"/>
              <w:spacing w:line="356" w:lineRule="auto"/>
              <w:ind w:firstLine="482" w:firstLineChars="200"/>
              <w:textAlignment w:val="auto"/>
              <w:outlineLvl w:val="9"/>
              <w:rPr>
                <w:rFonts w:hint="default" w:ascii="Times New Roman" w:hAnsi="Times New Roman" w:eastAsia="宋体" w:cs="Times New Roman"/>
                <w:b/>
                <w:bCs/>
                <w:sz w:val="24"/>
                <w:szCs w:val="24"/>
                <w:lang w:val="zh-CN"/>
              </w:rPr>
            </w:pPr>
            <w:r>
              <w:rPr>
                <w:rFonts w:hint="eastAsia" w:ascii="Times New Roman" w:hAnsi="Times New Roman" w:cs="Times New Roman"/>
                <w:b/>
                <w:bCs/>
                <w:sz w:val="24"/>
                <w:szCs w:val="24"/>
                <w:lang w:val="zh-CN"/>
              </w:rPr>
              <w:t>（</w:t>
            </w:r>
            <w:r>
              <w:rPr>
                <w:rFonts w:hint="eastAsia" w:cs="Times New Roman"/>
                <w:b/>
                <w:bCs/>
                <w:sz w:val="24"/>
                <w:szCs w:val="24"/>
                <w:lang w:val="en-US" w:eastAsia="zh-CN"/>
              </w:rPr>
              <w:t>3</w:t>
            </w:r>
            <w:r>
              <w:rPr>
                <w:rFonts w:hint="eastAsia" w:ascii="Times New Roman" w:hAnsi="Times New Roman" w:cs="Times New Roman"/>
                <w:b/>
                <w:bCs/>
                <w:sz w:val="24"/>
                <w:szCs w:val="24"/>
                <w:lang w:val="zh-CN"/>
              </w:rPr>
              <w:t>）食堂油烟废气</w:t>
            </w:r>
          </w:p>
          <w:p>
            <w:pPr>
              <w:keepNext w:val="0"/>
              <w:keepLines w:val="0"/>
              <w:pageBreakBefore w:val="0"/>
              <w:widowControl w:val="0"/>
              <w:kinsoku/>
              <w:wordWrap/>
              <w:overflowPunct/>
              <w:topLinePunct w:val="0"/>
              <w:autoSpaceDE/>
              <w:autoSpaceDN/>
              <w:bidi w:val="0"/>
              <w:spacing w:line="356" w:lineRule="auto"/>
              <w:ind w:firstLine="480" w:firstLineChars="200"/>
              <w:textAlignment w:val="auto"/>
              <w:outlineLvl w:val="9"/>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项目设有一栋食堂，主要是供部分工作人员吃饭，不对外营业。油烟废气主要产生于项目食堂的厨房，食堂能源主要以罐装液化气和电为主，属清洁能源，污染物产生量较少。</w:t>
            </w:r>
          </w:p>
          <w:p>
            <w:pPr>
              <w:keepNext w:val="0"/>
              <w:keepLines w:val="0"/>
              <w:pageBreakBefore w:val="0"/>
              <w:widowControl w:val="0"/>
              <w:kinsoku/>
              <w:wordWrap/>
              <w:overflowPunct/>
              <w:topLinePunct w:val="0"/>
              <w:autoSpaceDE/>
              <w:autoSpaceDN/>
              <w:bidi w:val="0"/>
              <w:spacing w:line="356" w:lineRule="auto"/>
              <w:ind w:firstLine="480" w:firstLineChars="200"/>
              <w:textAlignment w:val="auto"/>
              <w:outlineLvl w:val="9"/>
              <w:rPr>
                <w:rFonts w:hint="eastAsia"/>
                <w:b/>
                <w:bCs/>
                <w:lang w:val="en-US" w:eastAsia="zh-CN"/>
              </w:rPr>
            </w:pPr>
            <w:r>
              <w:rPr>
                <w:rFonts w:hint="eastAsia"/>
                <w:sz w:val="24"/>
                <w:szCs w:val="24"/>
              </w:rPr>
              <w:t>在食物烹饪过程中将有油烟产生。一般食堂的食用油耗油系数为35g/（人</w:t>
            </w:r>
            <w:r>
              <w:rPr>
                <w:rFonts w:hint="default" w:ascii="Times New Roman" w:hAnsi="Times New Roman" w:cs="Times New Roman"/>
                <w:sz w:val="24"/>
                <w:szCs w:val="24"/>
              </w:rPr>
              <w:t>·</w:t>
            </w:r>
            <w:r>
              <w:rPr>
                <w:rFonts w:hint="eastAsia"/>
                <w:sz w:val="24"/>
                <w:szCs w:val="24"/>
              </w:rPr>
              <w:t>d），该食堂</w:t>
            </w:r>
            <w:r>
              <w:rPr>
                <w:rFonts w:hint="eastAsia"/>
                <w:sz w:val="24"/>
                <w:szCs w:val="24"/>
                <w:lang w:eastAsia="zh-CN"/>
              </w:rPr>
              <w:t>每天用餐人数为</w:t>
            </w:r>
            <w:r>
              <w:rPr>
                <w:rFonts w:hint="eastAsia"/>
                <w:sz w:val="24"/>
                <w:szCs w:val="24"/>
                <w:lang w:val="en-US" w:eastAsia="zh-CN"/>
              </w:rPr>
              <w:t>20人，</w:t>
            </w:r>
            <w:r>
              <w:rPr>
                <w:rFonts w:hint="eastAsia"/>
                <w:sz w:val="24"/>
                <w:szCs w:val="24"/>
              </w:rPr>
              <w:t>可推算出一天的食用油的用量约为0.</w:t>
            </w:r>
            <w:r>
              <w:rPr>
                <w:rFonts w:hint="eastAsia"/>
                <w:sz w:val="24"/>
                <w:szCs w:val="24"/>
                <w:lang w:val="en-US" w:eastAsia="zh-CN"/>
              </w:rPr>
              <w:t>35</w:t>
            </w:r>
            <w:r>
              <w:rPr>
                <w:rFonts w:hint="eastAsia"/>
                <w:sz w:val="24"/>
                <w:szCs w:val="24"/>
              </w:rPr>
              <w:t>kg，一般油烟和油的挥发量占总耗油量的2％～4％之间，取其均值</w:t>
            </w:r>
            <w:r>
              <w:rPr>
                <w:rFonts w:hint="default" w:ascii="Times New Roman" w:hAnsi="Times New Roman" w:cs="Times New Roman"/>
                <w:sz w:val="24"/>
                <w:szCs w:val="24"/>
              </w:rPr>
              <w:t>3％</w:t>
            </w:r>
            <w:r>
              <w:rPr>
                <w:rFonts w:hint="eastAsia"/>
                <w:sz w:val="24"/>
                <w:szCs w:val="24"/>
              </w:rPr>
              <w:t>，则油烟的产生量约为0.0</w:t>
            </w:r>
            <w:r>
              <w:rPr>
                <w:rFonts w:hint="eastAsia"/>
                <w:sz w:val="24"/>
                <w:szCs w:val="24"/>
                <w:lang w:val="en-US" w:eastAsia="zh-CN"/>
              </w:rPr>
              <w:t>21</w:t>
            </w:r>
            <w:r>
              <w:rPr>
                <w:rFonts w:hint="eastAsia"/>
                <w:sz w:val="24"/>
                <w:szCs w:val="24"/>
              </w:rPr>
              <w:t>kg/d</w:t>
            </w:r>
            <w:r>
              <w:rPr>
                <w:rFonts w:hint="eastAsia"/>
                <w:sz w:val="24"/>
                <w:szCs w:val="24"/>
                <w:lang w:eastAsia="zh-CN"/>
              </w:rPr>
              <w:t>，项目油烟产生量为</w:t>
            </w:r>
            <w:r>
              <w:rPr>
                <w:rFonts w:hint="eastAsia"/>
                <w:sz w:val="24"/>
                <w:szCs w:val="24"/>
                <w:lang w:val="en-US" w:eastAsia="zh-CN"/>
              </w:rPr>
              <w:t>6.3kg/a</w:t>
            </w:r>
            <w:r>
              <w:rPr>
                <w:rFonts w:hint="eastAsia"/>
                <w:sz w:val="24"/>
                <w:szCs w:val="24"/>
              </w:rPr>
              <w:t>。抽油烟机油烟净化效果约</w:t>
            </w:r>
            <w:r>
              <w:rPr>
                <w:rFonts w:hint="eastAsia"/>
                <w:sz w:val="24"/>
                <w:szCs w:val="24"/>
                <w:lang w:val="en-US" w:eastAsia="zh-CN"/>
              </w:rPr>
              <w:t>8</w:t>
            </w:r>
            <w:r>
              <w:rPr>
                <w:rFonts w:hint="eastAsia"/>
                <w:sz w:val="24"/>
                <w:szCs w:val="24"/>
              </w:rPr>
              <w:t>0%（风量2000m</w:t>
            </w:r>
            <w:r>
              <w:rPr>
                <w:rFonts w:hint="eastAsia"/>
                <w:sz w:val="24"/>
                <w:szCs w:val="24"/>
                <w:vertAlign w:val="superscript"/>
              </w:rPr>
              <w:t>3</w:t>
            </w:r>
            <w:r>
              <w:rPr>
                <w:rFonts w:hint="eastAsia"/>
                <w:sz w:val="24"/>
                <w:szCs w:val="24"/>
              </w:rPr>
              <w:t>/h），项目油烟排放量为</w:t>
            </w:r>
            <w:r>
              <w:rPr>
                <w:rFonts w:hint="eastAsia"/>
                <w:sz w:val="24"/>
                <w:szCs w:val="24"/>
                <w:lang w:val="en-US" w:eastAsia="zh-CN"/>
              </w:rPr>
              <w:t>1.26</w:t>
            </w:r>
            <w:r>
              <w:rPr>
                <w:rFonts w:hint="eastAsia"/>
                <w:sz w:val="24"/>
                <w:szCs w:val="24"/>
              </w:rPr>
              <w:t>kg</w:t>
            </w:r>
            <w:r>
              <w:rPr>
                <w:rFonts w:hint="eastAsia"/>
                <w:sz w:val="24"/>
                <w:szCs w:val="24"/>
                <w:lang w:val="en-US" w:eastAsia="zh-CN"/>
              </w:rPr>
              <w:t>/a</w:t>
            </w:r>
            <w:r>
              <w:rPr>
                <w:rFonts w:hint="eastAsia"/>
                <w:sz w:val="24"/>
                <w:szCs w:val="24"/>
              </w:rPr>
              <w:t>。油烟排放集中时间约为4h</w:t>
            </w:r>
            <w:r>
              <w:rPr>
                <w:rFonts w:hint="default" w:ascii="Times New Roman" w:hAnsi="Times New Roman" w:eastAsia="宋体" w:cs="Times New Roman"/>
                <w:sz w:val="24"/>
                <w:szCs w:val="24"/>
                <w:lang w:val="zh-CN"/>
              </w:rPr>
              <w:t>，经油烟净化装置处理后由食堂屋顶外排</w:t>
            </w:r>
            <w:r>
              <w:rPr>
                <w:rFonts w:hint="eastAsia" w:eastAsia="宋体" w:cs="Times New Roman"/>
                <w:sz w:val="24"/>
                <w:szCs w:val="24"/>
                <w:lang w:val="zh-CN"/>
              </w:rPr>
              <w:t>，</w:t>
            </w:r>
            <w:r>
              <w:rPr>
                <w:rFonts w:hint="default" w:ascii="Times New Roman" w:hAnsi="Times New Roman" w:eastAsia="宋体" w:cs="Times New Roman"/>
                <w:sz w:val="24"/>
                <w:szCs w:val="24"/>
                <w:lang w:val="zh-CN"/>
              </w:rPr>
              <w:t>排烟口应高于自身建筑1.5m，且距离周选建筑在10m以外，属间歇性无组织排放。</w:t>
            </w:r>
          </w:p>
          <w:p>
            <w:pPr>
              <w:keepNext w:val="0"/>
              <w:keepLines w:val="0"/>
              <w:pageBreakBefore w:val="0"/>
              <w:widowControl w:val="0"/>
              <w:kinsoku/>
              <w:wordWrap/>
              <w:overflowPunct/>
              <w:topLinePunct w:val="0"/>
              <w:autoSpaceDE/>
              <w:autoSpaceDN/>
              <w:bidi w:val="0"/>
              <w:spacing w:line="240" w:lineRule="auto"/>
              <w:ind w:firstLine="422" w:firstLineChars="200"/>
              <w:jc w:val="center"/>
              <w:textAlignment w:val="auto"/>
              <w:outlineLvl w:val="9"/>
              <w:rPr>
                <w:rFonts w:hint="eastAsia"/>
                <w:b/>
                <w:bCs/>
                <w:lang w:val="en-US" w:eastAsia="zh-CN"/>
              </w:rPr>
            </w:pPr>
          </w:p>
          <w:p>
            <w:pPr>
              <w:keepNext w:val="0"/>
              <w:keepLines w:val="0"/>
              <w:pageBreakBefore w:val="0"/>
              <w:widowControl w:val="0"/>
              <w:kinsoku/>
              <w:wordWrap/>
              <w:overflowPunct/>
              <w:topLinePunct w:val="0"/>
              <w:autoSpaceDE/>
              <w:autoSpaceDN/>
              <w:bidi w:val="0"/>
              <w:spacing w:line="240" w:lineRule="auto"/>
              <w:ind w:firstLine="422" w:firstLineChars="200"/>
              <w:jc w:val="center"/>
              <w:textAlignment w:val="auto"/>
              <w:outlineLvl w:val="9"/>
              <w:rPr>
                <w:rFonts w:hint="eastAsia"/>
                <w:b/>
                <w:bCs/>
                <w:lang w:val="en-US" w:eastAsia="zh-CN"/>
              </w:rPr>
            </w:pPr>
            <w:r>
              <w:rPr>
                <w:rFonts w:hint="eastAsia"/>
                <w:b/>
                <w:bCs/>
                <w:lang w:val="en-US" w:eastAsia="zh-CN"/>
              </w:rPr>
              <w:t>表5-8营运期产排污情况</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742"/>
              <w:gridCol w:w="657"/>
              <w:gridCol w:w="884"/>
              <w:gridCol w:w="827"/>
              <w:gridCol w:w="899"/>
              <w:gridCol w:w="793"/>
              <w:gridCol w:w="809"/>
              <w:gridCol w:w="827"/>
              <w:gridCol w:w="820"/>
              <w:gridCol w:w="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排放形式</w:t>
                  </w:r>
                </w:p>
              </w:tc>
              <w:tc>
                <w:tcPr>
                  <w:tcW w:w="0" w:type="auto"/>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污染物</w:t>
                  </w:r>
                </w:p>
              </w:tc>
              <w:tc>
                <w:tcPr>
                  <w:tcW w:w="661" w:type="dxa"/>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风量m</w:t>
                  </w:r>
                  <w:r>
                    <w:rPr>
                      <w:rFonts w:hint="eastAsia"/>
                      <w:b w:val="0"/>
                      <w:bCs w:val="0"/>
                      <w:sz w:val="21"/>
                      <w:szCs w:val="21"/>
                      <w:vertAlign w:val="superscript"/>
                      <w:lang w:val="en-US" w:eastAsia="zh-CN"/>
                    </w:rPr>
                    <w:t>3</w:t>
                  </w:r>
                  <w:r>
                    <w:rPr>
                      <w:rFonts w:hint="eastAsia"/>
                      <w:b w:val="0"/>
                      <w:bCs w:val="0"/>
                      <w:sz w:val="21"/>
                      <w:szCs w:val="21"/>
                      <w:lang w:val="en-US" w:eastAsia="zh-CN"/>
                    </w:rPr>
                    <w:t>/h</w:t>
                  </w:r>
                </w:p>
              </w:tc>
              <w:tc>
                <w:tcPr>
                  <w:tcW w:w="899" w:type="dxa"/>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产生量t/a</w:t>
                  </w:r>
                </w:p>
              </w:tc>
              <w:tc>
                <w:tcPr>
                  <w:tcW w:w="833" w:type="dxa"/>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产生速率kg/h</w:t>
                  </w:r>
                </w:p>
              </w:tc>
              <w:tc>
                <w:tcPr>
                  <w:tcW w:w="0" w:type="auto"/>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产生浓度mg/m</w:t>
                  </w:r>
                  <w:r>
                    <w:rPr>
                      <w:rFonts w:hint="eastAsia"/>
                      <w:b w:val="0"/>
                      <w:bCs w:val="0"/>
                      <w:sz w:val="21"/>
                      <w:szCs w:val="21"/>
                      <w:vertAlign w:val="superscript"/>
                      <w:lang w:val="en-US" w:eastAsia="zh-CN"/>
                    </w:rPr>
                    <w:t>3</w:t>
                  </w:r>
                </w:p>
              </w:tc>
              <w:tc>
                <w:tcPr>
                  <w:tcW w:w="0" w:type="auto"/>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去除量t/a</w:t>
                  </w:r>
                </w:p>
              </w:tc>
              <w:tc>
                <w:tcPr>
                  <w:tcW w:w="0" w:type="auto"/>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排放量t/a</w:t>
                  </w:r>
                </w:p>
              </w:tc>
              <w:tc>
                <w:tcPr>
                  <w:tcW w:w="0" w:type="auto"/>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排放速率kg/h</w:t>
                  </w:r>
                </w:p>
              </w:tc>
              <w:tc>
                <w:tcPr>
                  <w:tcW w:w="0" w:type="auto"/>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排放浓度mg/m</w:t>
                  </w:r>
                  <w:r>
                    <w:rPr>
                      <w:rFonts w:hint="eastAsia"/>
                      <w:b w:val="0"/>
                      <w:bCs w:val="0"/>
                      <w:sz w:val="21"/>
                      <w:szCs w:val="21"/>
                      <w:vertAlign w:val="superscript"/>
                      <w:lang w:val="en-US" w:eastAsia="zh-CN"/>
                    </w:rPr>
                    <w:t>3</w:t>
                  </w:r>
                </w:p>
              </w:tc>
              <w:tc>
                <w:tcPr>
                  <w:tcW w:w="0" w:type="auto"/>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排气筒高度m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0" w:type="auto"/>
                  <w:vMerge w:val="restart"/>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有组织</w:t>
                  </w:r>
                </w:p>
              </w:tc>
              <w:tc>
                <w:tcPr>
                  <w:tcW w:w="0" w:type="auto"/>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VOCs</w:t>
                  </w:r>
                </w:p>
              </w:tc>
              <w:tc>
                <w:tcPr>
                  <w:tcW w:w="661" w:type="dxa"/>
                  <w:vMerge w:val="restart"/>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6000</w:t>
                  </w:r>
                </w:p>
              </w:tc>
              <w:tc>
                <w:tcPr>
                  <w:tcW w:w="899"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color w:val="auto"/>
                      <w:sz w:val="21"/>
                      <w:szCs w:val="21"/>
                      <w:lang w:val="en-US" w:eastAsia="zh-CN"/>
                    </w:rPr>
                    <w:t>1.5435</w:t>
                  </w:r>
                </w:p>
              </w:tc>
              <w:tc>
                <w:tcPr>
                  <w:tcW w:w="833" w:type="dxa"/>
                  <w:vAlign w:val="center"/>
                </w:tcPr>
                <w:p>
                  <w:pPr>
                    <w:pStyle w:val="53"/>
                    <w:bidi w:val="0"/>
                    <w:spacing w:line="240" w:lineRule="auto"/>
                    <w:ind w:firstLine="0" w:firstLineChars="0"/>
                    <w:rPr>
                      <w:rFonts w:hint="default"/>
                      <w:b w:val="0"/>
                      <w:bCs w:val="0"/>
                      <w:color w:val="auto"/>
                      <w:sz w:val="21"/>
                      <w:szCs w:val="21"/>
                      <w:lang w:val="en-US" w:eastAsia="zh-CN"/>
                    </w:rPr>
                  </w:pPr>
                  <w:r>
                    <w:rPr>
                      <w:rFonts w:hint="eastAsia"/>
                      <w:b w:val="0"/>
                      <w:bCs w:val="0"/>
                      <w:color w:val="auto"/>
                      <w:sz w:val="21"/>
                      <w:szCs w:val="21"/>
                      <w:lang w:val="en-US" w:eastAsia="zh-CN"/>
                    </w:rPr>
                    <w:t>0.643</w:t>
                  </w:r>
                </w:p>
              </w:tc>
              <w:tc>
                <w:tcPr>
                  <w:tcW w:w="828" w:type="dxa"/>
                  <w:vAlign w:val="center"/>
                </w:tcPr>
                <w:p>
                  <w:pPr>
                    <w:pStyle w:val="53"/>
                    <w:bidi w:val="0"/>
                    <w:spacing w:line="240" w:lineRule="auto"/>
                    <w:ind w:firstLine="0" w:firstLineChars="0"/>
                    <w:rPr>
                      <w:rFonts w:hint="default"/>
                      <w:b w:val="0"/>
                      <w:bCs w:val="0"/>
                      <w:color w:val="auto"/>
                      <w:sz w:val="21"/>
                      <w:szCs w:val="21"/>
                      <w:lang w:val="en-US" w:eastAsia="zh-CN"/>
                    </w:rPr>
                  </w:pPr>
                  <w:r>
                    <w:rPr>
                      <w:rFonts w:hint="eastAsia"/>
                      <w:b w:val="0"/>
                      <w:bCs w:val="0"/>
                      <w:color w:val="auto"/>
                      <w:sz w:val="21"/>
                      <w:szCs w:val="21"/>
                      <w:lang w:val="en-US" w:eastAsia="zh-CN"/>
                    </w:rPr>
                    <w:t>107.188</w:t>
                  </w:r>
                </w:p>
              </w:tc>
              <w:tc>
                <w:tcPr>
                  <w:tcW w:w="811" w:type="dxa"/>
                  <w:vAlign w:val="center"/>
                </w:tcPr>
                <w:p>
                  <w:pPr>
                    <w:pStyle w:val="53"/>
                    <w:bidi w:val="0"/>
                    <w:spacing w:line="240" w:lineRule="auto"/>
                    <w:ind w:firstLine="0" w:firstLineChars="0"/>
                    <w:rPr>
                      <w:rFonts w:hint="default"/>
                      <w:b w:val="0"/>
                      <w:bCs w:val="0"/>
                      <w:color w:val="auto"/>
                      <w:sz w:val="21"/>
                      <w:szCs w:val="21"/>
                      <w:lang w:val="en-US" w:eastAsia="zh-CN"/>
                    </w:rPr>
                  </w:pPr>
                  <w:r>
                    <w:rPr>
                      <w:rFonts w:hint="eastAsia"/>
                      <w:b w:val="0"/>
                      <w:bCs w:val="0"/>
                      <w:color w:val="auto"/>
                      <w:sz w:val="21"/>
                      <w:szCs w:val="21"/>
                      <w:lang w:val="en-US" w:eastAsia="zh-CN"/>
                    </w:rPr>
                    <w:t>1.181</w:t>
                  </w:r>
                </w:p>
              </w:tc>
              <w:tc>
                <w:tcPr>
                  <w:tcW w:w="811" w:type="dxa"/>
                  <w:vAlign w:val="center"/>
                </w:tcPr>
                <w:p>
                  <w:pPr>
                    <w:pStyle w:val="53"/>
                    <w:bidi w:val="0"/>
                    <w:spacing w:line="240" w:lineRule="auto"/>
                    <w:ind w:firstLine="0" w:firstLineChars="0"/>
                    <w:rPr>
                      <w:rFonts w:hint="default"/>
                      <w:b w:val="0"/>
                      <w:bCs w:val="0"/>
                      <w:color w:val="auto"/>
                      <w:sz w:val="21"/>
                      <w:szCs w:val="21"/>
                      <w:lang w:val="en-US" w:eastAsia="zh-CN"/>
                    </w:rPr>
                  </w:pPr>
                  <w:r>
                    <w:rPr>
                      <w:rFonts w:hint="eastAsia"/>
                      <w:b w:val="0"/>
                      <w:bCs w:val="0"/>
                      <w:color w:val="auto"/>
                      <w:sz w:val="21"/>
                      <w:szCs w:val="21"/>
                      <w:lang w:val="en-US" w:eastAsia="zh-CN"/>
                    </w:rPr>
                    <w:t>0.231</w:t>
                  </w:r>
                </w:p>
              </w:tc>
              <w:tc>
                <w:tcPr>
                  <w:tcW w:w="832" w:type="dxa"/>
                  <w:vAlign w:val="center"/>
                </w:tcPr>
                <w:p>
                  <w:pPr>
                    <w:pStyle w:val="53"/>
                    <w:bidi w:val="0"/>
                    <w:spacing w:line="240" w:lineRule="auto"/>
                    <w:ind w:firstLine="0" w:firstLineChars="0"/>
                    <w:rPr>
                      <w:rFonts w:hint="default"/>
                      <w:b w:val="0"/>
                      <w:bCs w:val="0"/>
                      <w:color w:val="auto"/>
                      <w:sz w:val="21"/>
                      <w:szCs w:val="21"/>
                      <w:lang w:val="en-US" w:eastAsia="zh-CN"/>
                    </w:rPr>
                  </w:pPr>
                  <w:r>
                    <w:rPr>
                      <w:rFonts w:hint="eastAsia"/>
                      <w:b w:val="0"/>
                      <w:bCs w:val="0"/>
                      <w:color w:val="auto"/>
                      <w:sz w:val="21"/>
                      <w:szCs w:val="21"/>
                      <w:lang w:val="en-US" w:eastAsia="zh-CN"/>
                    </w:rPr>
                    <w:t>0.0963</w:t>
                  </w:r>
                </w:p>
              </w:tc>
              <w:tc>
                <w:tcPr>
                  <w:tcW w:w="828" w:type="dxa"/>
                  <w:vAlign w:val="center"/>
                </w:tcPr>
                <w:p>
                  <w:pPr>
                    <w:pStyle w:val="53"/>
                    <w:bidi w:val="0"/>
                    <w:spacing w:line="240" w:lineRule="auto"/>
                    <w:ind w:firstLine="0" w:firstLineChars="0"/>
                    <w:rPr>
                      <w:rFonts w:hint="default"/>
                      <w:b w:val="0"/>
                      <w:bCs w:val="0"/>
                      <w:color w:val="auto"/>
                      <w:sz w:val="21"/>
                      <w:szCs w:val="21"/>
                      <w:lang w:val="en-US" w:eastAsia="zh-CN"/>
                    </w:rPr>
                  </w:pPr>
                  <w:r>
                    <w:rPr>
                      <w:rFonts w:hint="eastAsia"/>
                      <w:b w:val="0"/>
                      <w:bCs w:val="0"/>
                      <w:color w:val="auto"/>
                      <w:sz w:val="21"/>
                      <w:szCs w:val="21"/>
                      <w:lang w:val="en-US" w:eastAsia="zh-CN"/>
                    </w:rPr>
                    <w:t>16.04</w:t>
                  </w:r>
                </w:p>
              </w:tc>
              <w:tc>
                <w:tcPr>
                  <w:tcW w:w="485" w:type="dxa"/>
                  <w:vMerge w:val="restart"/>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pPr>
                    <w:pStyle w:val="53"/>
                    <w:bidi w:val="0"/>
                    <w:spacing w:line="240" w:lineRule="auto"/>
                    <w:rPr>
                      <w:rFonts w:hint="eastAsia"/>
                      <w:b w:val="0"/>
                      <w:bCs w:val="0"/>
                      <w:sz w:val="21"/>
                      <w:szCs w:val="21"/>
                      <w:lang w:val="en-US" w:eastAsia="zh-CN"/>
                    </w:rPr>
                  </w:pPr>
                </w:p>
              </w:tc>
              <w:tc>
                <w:tcPr>
                  <w:tcW w:w="0" w:type="auto"/>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漆雾</w:t>
                  </w:r>
                </w:p>
              </w:tc>
              <w:tc>
                <w:tcPr>
                  <w:tcW w:w="661" w:type="dxa"/>
                  <w:vMerge w:val="continue"/>
                  <w:vAlign w:val="center"/>
                </w:tcPr>
                <w:p>
                  <w:pPr>
                    <w:pStyle w:val="53"/>
                    <w:bidi w:val="0"/>
                    <w:spacing w:line="240" w:lineRule="auto"/>
                    <w:rPr>
                      <w:rFonts w:hint="eastAsia"/>
                      <w:b w:val="0"/>
                      <w:bCs w:val="0"/>
                      <w:sz w:val="21"/>
                      <w:szCs w:val="21"/>
                      <w:lang w:val="en-US" w:eastAsia="zh-CN"/>
                    </w:rPr>
                  </w:pPr>
                </w:p>
              </w:tc>
              <w:tc>
                <w:tcPr>
                  <w:tcW w:w="899"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0.6544</w:t>
                  </w:r>
                </w:p>
              </w:tc>
              <w:tc>
                <w:tcPr>
                  <w:tcW w:w="833" w:type="dxa"/>
                  <w:vAlign w:val="center"/>
                </w:tcPr>
                <w:p>
                  <w:pPr>
                    <w:pStyle w:val="53"/>
                    <w:bidi w:val="0"/>
                    <w:spacing w:line="240" w:lineRule="auto"/>
                    <w:ind w:firstLine="0" w:firstLineChars="0"/>
                    <w:rPr>
                      <w:rFonts w:hint="default"/>
                      <w:b w:val="0"/>
                      <w:bCs w:val="0"/>
                      <w:color w:val="auto"/>
                      <w:sz w:val="21"/>
                      <w:szCs w:val="21"/>
                      <w:lang w:val="en-US" w:eastAsia="zh-CN"/>
                    </w:rPr>
                  </w:pPr>
                  <w:r>
                    <w:rPr>
                      <w:rFonts w:hint="eastAsia"/>
                      <w:b w:val="0"/>
                      <w:bCs w:val="0"/>
                      <w:color w:val="auto"/>
                      <w:sz w:val="21"/>
                      <w:szCs w:val="21"/>
                      <w:lang w:val="en-US" w:eastAsia="zh-CN"/>
                    </w:rPr>
                    <w:t>0.2727</w:t>
                  </w:r>
                </w:p>
              </w:tc>
              <w:tc>
                <w:tcPr>
                  <w:tcW w:w="828" w:type="dxa"/>
                  <w:vAlign w:val="center"/>
                </w:tcPr>
                <w:p>
                  <w:pPr>
                    <w:pStyle w:val="53"/>
                    <w:bidi w:val="0"/>
                    <w:spacing w:line="240" w:lineRule="auto"/>
                    <w:ind w:firstLine="0" w:firstLineChars="0"/>
                    <w:rPr>
                      <w:rFonts w:hint="default"/>
                      <w:b w:val="0"/>
                      <w:bCs w:val="0"/>
                      <w:color w:val="auto"/>
                      <w:sz w:val="21"/>
                      <w:szCs w:val="21"/>
                      <w:lang w:val="en-US" w:eastAsia="zh-CN"/>
                    </w:rPr>
                  </w:pPr>
                  <w:r>
                    <w:rPr>
                      <w:rFonts w:hint="eastAsia"/>
                      <w:b w:val="0"/>
                      <w:bCs w:val="0"/>
                      <w:color w:val="auto"/>
                      <w:sz w:val="21"/>
                      <w:szCs w:val="21"/>
                      <w:lang w:val="en-US" w:eastAsia="zh-CN"/>
                    </w:rPr>
                    <w:t>45.44</w:t>
                  </w:r>
                </w:p>
              </w:tc>
              <w:tc>
                <w:tcPr>
                  <w:tcW w:w="811" w:type="dxa"/>
                  <w:vAlign w:val="center"/>
                </w:tcPr>
                <w:p>
                  <w:pPr>
                    <w:pStyle w:val="53"/>
                    <w:bidi w:val="0"/>
                    <w:spacing w:line="240" w:lineRule="auto"/>
                    <w:ind w:firstLine="0" w:firstLineChars="0"/>
                    <w:rPr>
                      <w:rFonts w:hint="default"/>
                      <w:b w:val="0"/>
                      <w:bCs w:val="0"/>
                      <w:color w:val="auto"/>
                      <w:sz w:val="21"/>
                      <w:szCs w:val="21"/>
                      <w:lang w:val="en-US" w:eastAsia="zh-CN"/>
                    </w:rPr>
                  </w:pPr>
                  <w:r>
                    <w:rPr>
                      <w:rFonts w:hint="eastAsia"/>
                      <w:b w:val="0"/>
                      <w:bCs w:val="0"/>
                      <w:color w:val="auto"/>
                      <w:sz w:val="21"/>
                      <w:szCs w:val="21"/>
                      <w:lang w:val="en-US" w:eastAsia="zh-CN"/>
                    </w:rPr>
                    <w:t>0.445</w:t>
                  </w:r>
                </w:p>
              </w:tc>
              <w:tc>
                <w:tcPr>
                  <w:tcW w:w="811" w:type="dxa"/>
                  <w:vAlign w:val="center"/>
                </w:tcPr>
                <w:p>
                  <w:pPr>
                    <w:pStyle w:val="53"/>
                    <w:bidi w:val="0"/>
                    <w:spacing w:line="240" w:lineRule="auto"/>
                    <w:ind w:firstLine="0" w:firstLineChars="0"/>
                    <w:rPr>
                      <w:rFonts w:hint="default"/>
                      <w:b w:val="0"/>
                      <w:bCs w:val="0"/>
                      <w:color w:val="auto"/>
                      <w:sz w:val="21"/>
                      <w:szCs w:val="21"/>
                      <w:lang w:val="en-US" w:eastAsia="zh-CN"/>
                    </w:rPr>
                  </w:pPr>
                  <w:r>
                    <w:rPr>
                      <w:rFonts w:hint="eastAsia"/>
                      <w:b w:val="0"/>
                      <w:bCs w:val="0"/>
                      <w:color w:val="auto"/>
                      <w:sz w:val="21"/>
                      <w:szCs w:val="21"/>
                      <w:lang w:val="en-US" w:eastAsia="zh-CN"/>
                    </w:rPr>
                    <w:t>0.0982</w:t>
                  </w:r>
                </w:p>
              </w:tc>
              <w:tc>
                <w:tcPr>
                  <w:tcW w:w="832" w:type="dxa"/>
                  <w:vAlign w:val="center"/>
                </w:tcPr>
                <w:p>
                  <w:pPr>
                    <w:pStyle w:val="53"/>
                    <w:bidi w:val="0"/>
                    <w:spacing w:line="240" w:lineRule="auto"/>
                    <w:ind w:firstLine="0" w:firstLineChars="0"/>
                    <w:rPr>
                      <w:rFonts w:hint="default"/>
                      <w:b w:val="0"/>
                      <w:bCs w:val="0"/>
                      <w:color w:val="auto"/>
                      <w:sz w:val="21"/>
                      <w:szCs w:val="21"/>
                      <w:lang w:val="en-US" w:eastAsia="zh-CN"/>
                    </w:rPr>
                  </w:pPr>
                  <w:r>
                    <w:rPr>
                      <w:rFonts w:hint="eastAsia"/>
                      <w:b w:val="0"/>
                      <w:bCs w:val="0"/>
                      <w:color w:val="auto"/>
                      <w:sz w:val="21"/>
                      <w:szCs w:val="21"/>
                      <w:lang w:val="en-US" w:eastAsia="zh-CN"/>
                    </w:rPr>
                    <w:t>0.041</w:t>
                  </w:r>
                </w:p>
              </w:tc>
              <w:tc>
                <w:tcPr>
                  <w:tcW w:w="828" w:type="dxa"/>
                  <w:vAlign w:val="center"/>
                </w:tcPr>
                <w:p>
                  <w:pPr>
                    <w:pStyle w:val="53"/>
                    <w:bidi w:val="0"/>
                    <w:spacing w:line="240" w:lineRule="auto"/>
                    <w:ind w:firstLine="0" w:firstLineChars="0"/>
                    <w:rPr>
                      <w:rFonts w:hint="default"/>
                      <w:b w:val="0"/>
                      <w:bCs w:val="0"/>
                      <w:color w:val="auto"/>
                      <w:sz w:val="21"/>
                      <w:szCs w:val="21"/>
                      <w:lang w:val="en-US" w:eastAsia="zh-CN"/>
                    </w:rPr>
                  </w:pPr>
                  <w:r>
                    <w:rPr>
                      <w:rFonts w:hint="eastAsia"/>
                      <w:b w:val="0"/>
                      <w:bCs w:val="0"/>
                      <w:color w:val="auto"/>
                      <w:sz w:val="21"/>
                      <w:szCs w:val="21"/>
                      <w:lang w:val="en-US" w:eastAsia="zh-CN"/>
                    </w:rPr>
                    <w:t>6.819</w:t>
                  </w:r>
                </w:p>
              </w:tc>
              <w:tc>
                <w:tcPr>
                  <w:tcW w:w="485" w:type="dxa"/>
                  <w:vMerge w:val="continue"/>
                  <w:vAlign w:val="center"/>
                </w:tcPr>
                <w:p>
                  <w:pPr>
                    <w:pStyle w:val="53"/>
                    <w:bidi w:val="0"/>
                    <w:spacing w:line="240" w:lineRule="auto"/>
                    <w:rPr>
                      <w:rFonts w:hint="default"/>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Merge w:val="restart"/>
                  <w:vAlign w:val="center"/>
                </w:tcPr>
                <w:p>
                  <w:pPr>
                    <w:pStyle w:val="53"/>
                    <w:bidi w:val="0"/>
                    <w:spacing w:line="240" w:lineRule="auto"/>
                    <w:jc w:val="center"/>
                    <w:rPr>
                      <w:rFonts w:hint="eastAsia"/>
                      <w:b w:val="0"/>
                      <w:bCs w:val="0"/>
                      <w:sz w:val="21"/>
                      <w:szCs w:val="21"/>
                      <w:lang w:val="en-US" w:eastAsia="zh-CN"/>
                    </w:rPr>
                  </w:pPr>
                  <w:r>
                    <w:rPr>
                      <w:rFonts w:hint="eastAsia"/>
                      <w:b w:val="0"/>
                      <w:bCs w:val="0"/>
                      <w:sz w:val="21"/>
                      <w:szCs w:val="21"/>
                      <w:lang w:val="en-US" w:eastAsia="zh-CN"/>
                    </w:rPr>
                    <w:t>无组织</w:t>
                  </w:r>
                </w:p>
              </w:tc>
              <w:tc>
                <w:tcPr>
                  <w:tcW w:w="0" w:type="auto"/>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VOCs</w:t>
                  </w:r>
                </w:p>
              </w:tc>
              <w:tc>
                <w:tcPr>
                  <w:tcW w:w="661" w:type="dxa"/>
                  <w:vMerge w:val="restart"/>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w:t>
                  </w:r>
                </w:p>
              </w:tc>
              <w:tc>
                <w:tcPr>
                  <w:tcW w:w="899" w:type="dxa"/>
                  <w:vAlign w:val="center"/>
                </w:tcPr>
                <w:p>
                  <w:pPr>
                    <w:pStyle w:val="53"/>
                    <w:bidi w:val="0"/>
                    <w:spacing w:line="240" w:lineRule="auto"/>
                    <w:ind w:firstLine="0" w:firstLineChars="0"/>
                    <w:rPr>
                      <w:rFonts w:hint="eastAsia"/>
                      <w:b w:val="0"/>
                      <w:bCs w:val="0"/>
                      <w:sz w:val="21"/>
                      <w:szCs w:val="21"/>
                      <w:lang w:val="en-US" w:eastAsia="zh-CN"/>
                    </w:rPr>
                  </w:pPr>
                  <w:r>
                    <w:rPr>
                      <w:rFonts w:hint="eastAsia"/>
                      <w:b w:val="0"/>
                      <w:bCs w:val="0"/>
                      <w:color w:val="auto"/>
                      <w:sz w:val="21"/>
                      <w:szCs w:val="21"/>
                      <w:lang w:val="en-US" w:eastAsia="zh-CN"/>
                    </w:rPr>
                    <w:t>0.1715</w:t>
                  </w:r>
                </w:p>
              </w:tc>
              <w:tc>
                <w:tcPr>
                  <w:tcW w:w="833" w:type="dxa"/>
                  <w:vAlign w:val="center"/>
                </w:tcPr>
                <w:p>
                  <w:pPr>
                    <w:pStyle w:val="53"/>
                    <w:bidi w:val="0"/>
                    <w:spacing w:line="240" w:lineRule="auto"/>
                    <w:ind w:firstLine="0" w:firstLineChars="0"/>
                    <w:rPr>
                      <w:rFonts w:hint="eastAsia"/>
                      <w:b w:val="0"/>
                      <w:bCs w:val="0"/>
                      <w:color w:val="auto"/>
                      <w:sz w:val="21"/>
                      <w:szCs w:val="21"/>
                      <w:lang w:val="en-US" w:eastAsia="zh-CN"/>
                    </w:rPr>
                  </w:pPr>
                  <w:r>
                    <w:rPr>
                      <w:rFonts w:hint="eastAsia"/>
                      <w:b w:val="0"/>
                      <w:bCs w:val="0"/>
                      <w:color w:val="auto"/>
                      <w:sz w:val="21"/>
                      <w:szCs w:val="21"/>
                      <w:lang w:val="en-US" w:eastAsia="zh-CN"/>
                    </w:rPr>
                    <w:t>0.0715</w:t>
                  </w:r>
                </w:p>
              </w:tc>
              <w:tc>
                <w:tcPr>
                  <w:tcW w:w="828" w:type="dxa"/>
                  <w:vMerge w:val="restart"/>
                  <w:vAlign w:val="center"/>
                </w:tcPr>
                <w:p>
                  <w:pPr>
                    <w:pStyle w:val="53"/>
                    <w:bidi w:val="0"/>
                    <w:spacing w:line="240" w:lineRule="auto"/>
                    <w:ind w:firstLine="0" w:firstLineChars="0"/>
                    <w:rPr>
                      <w:rFonts w:hint="eastAsia"/>
                      <w:b w:val="0"/>
                      <w:bCs w:val="0"/>
                      <w:color w:val="auto"/>
                      <w:sz w:val="21"/>
                      <w:szCs w:val="21"/>
                      <w:lang w:val="en-US" w:eastAsia="zh-CN"/>
                    </w:rPr>
                  </w:pPr>
                  <w:r>
                    <w:rPr>
                      <w:rFonts w:hint="eastAsia"/>
                      <w:b w:val="0"/>
                      <w:bCs w:val="0"/>
                      <w:color w:val="auto"/>
                      <w:sz w:val="21"/>
                      <w:szCs w:val="21"/>
                      <w:lang w:val="en-US" w:eastAsia="zh-CN"/>
                    </w:rPr>
                    <w:t>/</w:t>
                  </w:r>
                </w:p>
              </w:tc>
              <w:tc>
                <w:tcPr>
                  <w:tcW w:w="811" w:type="dxa"/>
                  <w:vAlign w:val="center"/>
                </w:tcPr>
                <w:p>
                  <w:pPr>
                    <w:pStyle w:val="53"/>
                    <w:bidi w:val="0"/>
                    <w:spacing w:line="240" w:lineRule="auto"/>
                    <w:ind w:firstLine="0" w:firstLineChars="0"/>
                    <w:rPr>
                      <w:rFonts w:hint="eastAsia"/>
                      <w:b w:val="0"/>
                      <w:bCs w:val="0"/>
                      <w:color w:val="auto"/>
                      <w:sz w:val="21"/>
                      <w:szCs w:val="21"/>
                      <w:lang w:val="en-US" w:eastAsia="zh-CN"/>
                    </w:rPr>
                  </w:pPr>
                  <w:r>
                    <w:rPr>
                      <w:rFonts w:hint="eastAsia"/>
                      <w:b w:val="0"/>
                      <w:bCs w:val="0"/>
                      <w:color w:val="auto"/>
                      <w:sz w:val="21"/>
                      <w:szCs w:val="21"/>
                      <w:lang w:val="en-US" w:eastAsia="zh-CN"/>
                    </w:rPr>
                    <w:t>/</w:t>
                  </w:r>
                </w:p>
              </w:tc>
              <w:tc>
                <w:tcPr>
                  <w:tcW w:w="811" w:type="dxa"/>
                  <w:vAlign w:val="center"/>
                </w:tcPr>
                <w:p>
                  <w:pPr>
                    <w:pStyle w:val="53"/>
                    <w:bidi w:val="0"/>
                    <w:spacing w:line="240" w:lineRule="auto"/>
                    <w:ind w:firstLine="0" w:firstLineChars="0"/>
                    <w:rPr>
                      <w:rFonts w:hint="eastAsia"/>
                      <w:b w:val="0"/>
                      <w:bCs w:val="0"/>
                      <w:color w:val="auto"/>
                      <w:sz w:val="21"/>
                      <w:szCs w:val="21"/>
                      <w:lang w:val="en-US" w:eastAsia="zh-CN"/>
                    </w:rPr>
                  </w:pPr>
                  <w:r>
                    <w:rPr>
                      <w:rFonts w:hint="eastAsia"/>
                      <w:b w:val="0"/>
                      <w:bCs w:val="0"/>
                      <w:color w:val="auto"/>
                      <w:sz w:val="21"/>
                      <w:szCs w:val="21"/>
                      <w:lang w:val="en-US" w:eastAsia="zh-CN"/>
                    </w:rPr>
                    <w:t>0.1715</w:t>
                  </w:r>
                </w:p>
              </w:tc>
              <w:tc>
                <w:tcPr>
                  <w:tcW w:w="832" w:type="dxa"/>
                  <w:vAlign w:val="center"/>
                </w:tcPr>
                <w:p>
                  <w:pPr>
                    <w:pStyle w:val="53"/>
                    <w:bidi w:val="0"/>
                    <w:spacing w:line="240" w:lineRule="auto"/>
                    <w:ind w:firstLine="0" w:firstLineChars="0"/>
                    <w:rPr>
                      <w:rFonts w:hint="eastAsia"/>
                      <w:b w:val="0"/>
                      <w:bCs w:val="0"/>
                      <w:color w:val="auto"/>
                      <w:sz w:val="21"/>
                      <w:szCs w:val="21"/>
                      <w:lang w:val="en-US" w:eastAsia="zh-CN"/>
                    </w:rPr>
                  </w:pPr>
                  <w:r>
                    <w:rPr>
                      <w:rFonts w:hint="eastAsia"/>
                      <w:b w:val="0"/>
                      <w:bCs w:val="0"/>
                      <w:color w:val="auto"/>
                      <w:sz w:val="21"/>
                      <w:szCs w:val="21"/>
                      <w:lang w:val="en-US" w:eastAsia="zh-CN"/>
                    </w:rPr>
                    <w:t>0.0715</w:t>
                  </w:r>
                </w:p>
              </w:tc>
              <w:tc>
                <w:tcPr>
                  <w:tcW w:w="828" w:type="dxa"/>
                  <w:vAlign w:val="center"/>
                </w:tcPr>
                <w:p>
                  <w:pPr>
                    <w:pStyle w:val="53"/>
                    <w:bidi w:val="0"/>
                    <w:spacing w:line="240" w:lineRule="auto"/>
                    <w:ind w:firstLine="0" w:firstLineChars="0"/>
                    <w:rPr>
                      <w:rFonts w:hint="eastAsia"/>
                      <w:b w:val="0"/>
                      <w:bCs w:val="0"/>
                      <w:color w:val="auto"/>
                      <w:sz w:val="21"/>
                      <w:szCs w:val="21"/>
                      <w:lang w:val="en-US" w:eastAsia="zh-CN"/>
                    </w:rPr>
                  </w:pPr>
                  <w:r>
                    <w:rPr>
                      <w:rFonts w:hint="eastAsia"/>
                      <w:b w:val="0"/>
                      <w:bCs w:val="0"/>
                      <w:color w:val="auto"/>
                      <w:sz w:val="21"/>
                      <w:szCs w:val="21"/>
                      <w:lang w:val="en-US" w:eastAsia="zh-CN"/>
                    </w:rPr>
                    <w:t>/</w:t>
                  </w:r>
                </w:p>
              </w:tc>
              <w:tc>
                <w:tcPr>
                  <w:tcW w:w="485" w:type="dxa"/>
                  <w:vMerge w:val="restart"/>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Merge w:val="continue"/>
                  <w:vAlign w:val="center"/>
                </w:tcPr>
                <w:p>
                  <w:pPr>
                    <w:pStyle w:val="53"/>
                    <w:bidi w:val="0"/>
                    <w:spacing w:line="240" w:lineRule="auto"/>
                    <w:jc w:val="center"/>
                    <w:rPr>
                      <w:rFonts w:hint="eastAsia"/>
                      <w:b w:val="0"/>
                      <w:bCs w:val="0"/>
                      <w:sz w:val="21"/>
                      <w:szCs w:val="21"/>
                      <w:lang w:val="en-US" w:eastAsia="zh-CN"/>
                    </w:rPr>
                  </w:pPr>
                </w:p>
              </w:tc>
              <w:tc>
                <w:tcPr>
                  <w:tcW w:w="0" w:type="auto"/>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切割烟尘</w:t>
                  </w:r>
                </w:p>
              </w:tc>
              <w:tc>
                <w:tcPr>
                  <w:tcW w:w="661" w:type="dxa"/>
                  <w:vMerge w:val="continue"/>
                  <w:vAlign w:val="center"/>
                </w:tcPr>
                <w:p>
                  <w:pPr>
                    <w:pStyle w:val="53"/>
                    <w:bidi w:val="0"/>
                    <w:spacing w:line="240" w:lineRule="auto"/>
                    <w:rPr>
                      <w:rFonts w:hint="default"/>
                      <w:b w:val="0"/>
                      <w:bCs w:val="0"/>
                      <w:sz w:val="21"/>
                      <w:szCs w:val="21"/>
                      <w:lang w:val="en-US" w:eastAsia="zh-CN"/>
                    </w:rPr>
                  </w:pPr>
                </w:p>
              </w:tc>
              <w:tc>
                <w:tcPr>
                  <w:tcW w:w="899" w:type="dxa"/>
                  <w:vAlign w:val="center"/>
                </w:tcPr>
                <w:p>
                  <w:pPr>
                    <w:pStyle w:val="53"/>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b w:val="0"/>
                      <w:bCs w:val="0"/>
                      <w:sz w:val="21"/>
                      <w:szCs w:val="21"/>
                      <w:lang w:val="en-US" w:eastAsia="zh-CN"/>
                    </w:rPr>
                  </w:pPr>
                  <w:r>
                    <w:rPr>
                      <w:rFonts w:hint="eastAsia"/>
                      <w:b w:val="0"/>
                      <w:bCs w:val="0"/>
                      <w:sz w:val="21"/>
                      <w:szCs w:val="21"/>
                      <w:lang w:val="en-US" w:eastAsia="zh-CN"/>
                    </w:rPr>
                    <w:t>1.179</w:t>
                  </w:r>
                </w:p>
              </w:tc>
              <w:tc>
                <w:tcPr>
                  <w:tcW w:w="833" w:type="dxa"/>
                  <w:vAlign w:val="center"/>
                </w:tcPr>
                <w:p>
                  <w:pPr>
                    <w:pStyle w:val="53"/>
                    <w:bidi w:val="0"/>
                    <w:spacing w:line="240" w:lineRule="auto"/>
                    <w:ind w:firstLine="0" w:firstLineChars="0"/>
                    <w:rPr>
                      <w:rFonts w:hint="default"/>
                      <w:b w:val="0"/>
                      <w:bCs w:val="0"/>
                      <w:color w:val="auto"/>
                      <w:sz w:val="21"/>
                      <w:szCs w:val="21"/>
                      <w:lang w:val="en-US" w:eastAsia="zh-CN"/>
                    </w:rPr>
                  </w:pPr>
                  <w:r>
                    <w:rPr>
                      <w:rFonts w:hint="eastAsia"/>
                      <w:b w:val="0"/>
                      <w:bCs w:val="0"/>
                      <w:color w:val="auto"/>
                      <w:sz w:val="21"/>
                      <w:szCs w:val="21"/>
                      <w:lang w:val="en-US" w:eastAsia="zh-CN"/>
                    </w:rPr>
                    <w:t>0.491</w:t>
                  </w:r>
                </w:p>
              </w:tc>
              <w:tc>
                <w:tcPr>
                  <w:tcW w:w="828" w:type="dxa"/>
                  <w:vMerge w:val="continue"/>
                  <w:vAlign w:val="center"/>
                </w:tcPr>
                <w:p>
                  <w:pPr>
                    <w:pStyle w:val="53"/>
                    <w:bidi w:val="0"/>
                    <w:spacing w:line="240" w:lineRule="auto"/>
                    <w:ind w:firstLine="0" w:firstLineChars="0"/>
                    <w:rPr>
                      <w:rFonts w:hint="eastAsia"/>
                      <w:b w:val="0"/>
                      <w:bCs w:val="0"/>
                      <w:color w:val="auto"/>
                      <w:sz w:val="21"/>
                      <w:szCs w:val="21"/>
                      <w:lang w:val="en-US" w:eastAsia="zh-CN"/>
                    </w:rPr>
                  </w:pPr>
                </w:p>
              </w:tc>
              <w:tc>
                <w:tcPr>
                  <w:tcW w:w="811" w:type="dxa"/>
                  <w:vAlign w:val="center"/>
                </w:tcPr>
                <w:p>
                  <w:pPr>
                    <w:pStyle w:val="53"/>
                    <w:bidi w:val="0"/>
                    <w:spacing w:line="240" w:lineRule="auto"/>
                    <w:ind w:firstLine="0" w:firstLineChars="0"/>
                    <w:rPr>
                      <w:rFonts w:hint="default"/>
                      <w:b w:val="0"/>
                      <w:bCs w:val="0"/>
                      <w:color w:val="auto"/>
                      <w:sz w:val="21"/>
                      <w:szCs w:val="21"/>
                      <w:lang w:val="en-US" w:eastAsia="zh-CN"/>
                    </w:rPr>
                  </w:pPr>
                  <w:r>
                    <w:rPr>
                      <w:rFonts w:hint="eastAsia"/>
                      <w:b w:val="0"/>
                      <w:bCs w:val="0"/>
                      <w:color w:val="auto"/>
                      <w:sz w:val="21"/>
                      <w:szCs w:val="21"/>
                      <w:lang w:val="en-US" w:eastAsia="zh-CN"/>
                    </w:rPr>
                    <w:t>1.01</w:t>
                  </w:r>
                </w:p>
              </w:tc>
              <w:tc>
                <w:tcPr>
                  <w:tcW w:w="811" w:type="dxa"/>
                  <w:vAlign w:val="center"/>
                </w:tcPr>
                <w:p>
                  <w:pPr>
                    <w:pStyle w:val="53"/>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b w:val="0"/>
                      <w:bCs w:val="0"/>
                      <w:color w:val="auto"/>
                      <w:sz w:val="21"/>
                      <w:szCs w:val="21"/>
                      <w:lang w:val="en-US" w:eastAsia="zh-CN"/>
                    </w:rPr>
                  </w:pPr>
                  <w:r>
                    <w:rPr>
                      <w:rFonts w:hint="eastAsia"/>
                      <w:b w:val="0"/>
                      <w:bCs w:val="0"/>
                      <w:color w:val="auto"/>
                      <w:sz w:val="21"/>
                      <w:szCs w:val="21"/>
                      <w:lang w:val="en-US" w:eastAsia="zh-CN"/>
                    </w:rPr>
                    <w:t>0.171</w:t>
                  </w:r>
                </w:p>
              </w:tc>
              <w:tc>
                <w:tcPr>
                  <w:tcW w:w="832" w:type="dxa"/>
                  <w:vAlign w:val="center"/>
                </w:tcPr>
                <w:p>
                  <w:pPr>
                    <w:pStyle w:val="53"/>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b w:val="0"/>
                      <w:bCs w:val="0"/>
                      <w:color w:val="auto"/>
                      <w:sz w:val="21"/>
                      <w:szCs w:val="21"/>
                      <w:lang w:val="en-US" w:eastAsia="zh-CN"/>
                    </w:rPr>
                  </w:pPr>
                  <w:r>
                    <w:rPr>
                      <w:rFonts w:hint="eastAsia"/>
                      <w:b w:val="0"/>
                      <w:bCs w:val="0"/>
                      <w:color w:val="auto"/>
                      <w:sz w:val="21"/>
                      <w:szCs w:val="21"/>
                      <w:lang w:val="en-US" w:eastAsia="zh-CN"/>
                    </w:rPr>
                    <w:t>0.0713</w:t>
                  </w:r>
                </w:p>
              </w:tc>
              <w:tc>
                <w:tcPr>
                  <w:tcW w:w="828" w:type="dxa"/>
                  <w:vAlign w:val="center"/>
                </w:tcPr>
                <w:p>
                  <w:pPr>
                    <w:pStyle w:val="53"/>
                    <w:bidi w:val="0"/>
                    <w:spacing w:line="240" w:lineRule="auto"/>
                    <w:ind w:firstLine="0" w:firstLineChars="0"/>
                    <w:rPr>
                      <w:rFonts w:hint="eastAsia"/>
                      <w:b w:val="0"/>
                      <w:bCs w:val="0"/>
                      <w:color w:val="auto"/>
                      <w:sz w:val="21"/>
                      <w:szCs w:val="21"/>
                      <w:lang w:val="en-US" w:eastAsia="zh-CN"/>
                    </w:rPr>
                  </w:pPr>
                  <w:r>
                    <w:rPr>
                      <w:rFonts w:hint="eastAsia"/>
                      <w:b w:val="0"/>
                      <w:bCs w:val="0"/>
                      <w:color w:val="auto"/>
                      <w:sz w:val="21"/>
                      <w:szCs w:val="21"/>
                      <w:lang w:val="en-US" w:eastAsia="zh-CN"/>
                    </w:rPr>
                    <w:t>/</w:t>
                  </w:r>
                </w:p>
              </w:tc>
              <w:tc>
                <w:tcPr>
                  <w:tcW w:w="485" w:type="dxa"/>
                  <w:vMerge w:val="continue"/>
                  <w:vAlign w:val="center"/>
                </w:tcPr>
                <w:p>
                  <w:pPr>
                    <w:pStyle w:val="53"/>
                    <w:bidi w:val="0"/>
                    <w:spacing w:line="240" w:lineRule="auto"/>
                    <w:rPr>
                      <w:rFonts w:hint="eastAsia"/>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Merge w:val="continue"/>
                  <w:vAlign w:val="top"/>
                </w:tcPr>
                <w:p>
                  <w:pPr>
                    <w:pStyle w:val="53"/>
                    <w:bidi w:val="0"/>
                    <w:spacing w:line="240" w:lineRule="auto"/>
                    <w:jc w:val="left"/>
                    <w:rPr>
                      <w:rFonts w:hint="eastAsia"/>
                      <w:b w:val="0"/>
                      <w:bCs w:val="0"/>
                      <w:sz w:val="21"/>
                      <w:szCs w:val="21"/>
                      <w:lang w:val="en-US" w:eastAsia="zh-CN"/>
                    </w:rPr>
                  </w:pPr>
                </w:p>
              </w:tc>
              <w:tc>
                <w:tcPr>
                  <w:tcW w:w="0" w:type="auto"/>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焊接烟尘</w:t>
                  </w:r>
                </w:p>
              </w:tc>
              <w:tc>
                <w:tcPr>
                  <w:tcW w:w="661" w:type="dxa"/>
                  <w:vMerge w:val="continue"/>
                  <w:vAlign w:val="center"/>
                </w:tcPr>
                <w:p>
                  <w:pPr>
                    <w:pStyle w:val="53"/>
                    <w:bidi w:val="0"/>
                    <w:spacing w:line="240" w:lineRule="auto"/>
                    <w:rPr>
                      <w:rFonts w:hint="eastAsia"/>
                      <w:b w:val="0"/>
                      <w:bCs w:val="0"/>
                      <w:sz w:val="21"/>
                      <w:szCs w:val="21"/>
                      <w:lang w:val="en-US" w:eastAsia="zh-CN"/>
                    </w:rPr>
                  </w:pPr>
                </w:p>
              </w:tc>
              <w:tc>
                <w:tcPr>
                  <w:tcW w:w="899" w:type="dxa"/>
                  <w:vAlign w:val="center"/>
                </w:tcPr>
                <w:p>
                  <w:pPr>
                    <w:pStyle w:val="53"/>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b w:val="0"/>
                      <w:bCs w:val="0"/>
                      <w:sz w:val="21"/>
                      <w:szCs w:val="21"/>
                      <w:lang w:val="en-US" w:eastAsia="zh-CN"/>
                    </w:rPr>
                  </w:pPr>
                  <w:r>
                    <w:rPr>
                      <w:rFonts w:hint="eastAsia"/>
                      <w:b w:val="0"/>
                      <w:bCs w:val="0"/>
                      <w:sz w:val="21"/>
                      <w:szCs w:val="21"/>
                      <w:lang w:val="en-US" w:eastAsia="zh-CN"/>
                    </w:rPr>
                    <w:t>0.459</w:t>
                  </w:r>
                </w:p>
              </w:tc>
              <w:tc>
                <w:tcPr>
                  <w:tcW w:w="833" w:type="dxa"/>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0.191</w:t>
                  </w:r>
                </w:p>
              </w:tc>
              <w:tc>
                <w:tcPr>
                  <w:tcW w:w="828" w:type="dxa"/>
                  <w:vMerge w:val="continue"/>
                  <w:vAlign w:val="center"/>
                </w:tcPr>
                <w:p>
                  <w:pPr>
                    <w:pStyle w:val="53"/>
                    <w:bidi w:val="0"/>
                    <w:spacing w:line="240" w:lineRule="auto"/>
                    <w:rPr>
                      <w:rFonts w:hint="eastAsia"/>
                      <w:b w:val="0"/>
                      <w:bCs w:val="0"/>
                      <w:color w:val="auto"/>
                      <w:sz w:val="21"/>
                      <w:szCs w:val="21"/>
                      <w:lang w:val="en-US" w:eastAsia="zh-CN"/>
                    </w:rPr>
                  </w:pPr>
                </w:p>
              </w:tc>
              <w:tc>
                <w:tcPr>
                  <w:tcW w:w="0" w:type="auto"/>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0.392</w:t>
                  </w:r>
                </w:p>
              </w:tc>
              <w:tc>
                <w:tcPr>
                  <w:tcW w:w="811" w:type="dxa"/>
                  <w:vAlign w:val="center"/>
                </w:tcPr>
                <w:p>
                  <w:pPr>
                    <w:pStyle w:val="53"/>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b w:val="0"/>
                      <w:bCs w:val="0"/>
                      <w:color w:val="auto"/>
                      <w:sz w:val="21"/>
                      <w:szCs w:val="21"/>
                      <w:lang w:val="en-US" w:eastAsia="zh-CN"/>
                    </w:rPr>
                  </w:pPr>
                  <w:r>
                    <w:rPr>
                      <w:rFonts w:hint="eastAsia"/>
                      <w:b w:val="0"/>
                      <w:bCs w:val="0"/>
                      <w:color w:val="auto"/>
                      <w:sz w:val="21"/>
                      <w:szCs w:val="21"/>
                      <w:lang w:val="en-US" w:eastAsia="zh-CN"/>
                    </w:rPr>
                    <w:t>0.08</w:t>
                  </w:r>
                </w:p>
              </w:tc>
              <w:tc>
                <w:tcPr>
                  <w:tcW w:w="832" w:type="dxa"/>
                  <w:vAlign w:val="center"/>
                </w:tcPr>
                <w:p>
                  <w:pPr>
                    <w:pStyle w:val="53"/>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b w:val="0"/>
                      <w:bCs w:val="0"/>
                      <w:color w:val="auto"/>
                      <w:sz w:val="21"/>
                      <w:szCs w:val="21"/>
                      <w:lang w:val="en-US" w:eastAsia="zh-CN"/>
                    </w:rPr>
                  </w:pPr>
                  <w:r>
                    <w:rPr>
                      <w:rFonts w:hint="eastAsia"/>
                      <w:b w:val="0"/>
                      <w:bCs w:val="0"/>
                      <w:color w:val="auto"/>
                      <w:sz w:val="21"/>
                      <w:szCs w:val="21"/>
                      <w:lang w:val="en-US" w:eastAsia="zh-CN"/>
                    </w:rPr>
                    <w:t>0.033</w:t>
                  </w:r>
                </w:p>
              </w:tc>
              <w:tc>
                <w:tcPr>
                  <w:tcW w:w="0" w:type="auto"/>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w:t>
                  </w:r>
                </w:p>
              </w:tc>
              <w:tc>
                <w:tcPr>
                  <w:tcW w:w="485" w:type="dxa"/>
                  <w:vMerge w:val="continue"/>
                  <w:vAlign w:val="center"/>
                </w:tcPr>
                <w:p>
                  <w:pPr>
                    <w:pStyle w:val="53"/>
                    <w:bidi w:val="0"/>
                    <w:spacing w:line="240" w:lineRule="auto"/>
                    <w:rPr>
                      <w:rFonts w:hint="eastAsia"/>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Merge w:val="continue"/>
                  <w:vAlign w:val="top"/>
                </w:tcPr>
                <w:p>
                  <w:pPr>
                    <w:pStyle w:val="53"/>
                    <w:bidi w:val="0"/>
                    <w:spacing w:line="240" w:lineRule="auto"/>
                    <w:jc w:val="left"/>
                    <w:rPr>
                      <w:rFonts w:hint="eastAsia"/>
                      <w:b w:val="0"/>
                      <w:bCs w:val="0"/>
                      <w:sz w:val="21"/>
                      <w:szCs w:val="21"/>
                      <w:lang w:val="en-US" w:eastAsia="zh-CN"/>
                    </w:rPr>
                  </w:pPr>
                </w:p>
              </w:tc>
              <w:tc>
                <w:tcPr>
                  <w:tcW w:w="0" w:type="auto"/>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打磨粉尘</w:t>
                  </w:r>
                </w:p>
              </w:tc>
              <w:tc>
                <w:tcPr>
                  <w:tcW w:w="661" w:type="dxa"/>
                  <w:vMerge w:val="continue"/>
                  <w:vAlign w:val="center"/>
                </w:tcPr>
                <w:p>
                  <w:pPr>
                    <w:pStyle w:val="53"/>
                    <w:bidi w:val="0"/>
                    <w:spacing w:line="240" w:lineRule="auto"/>
                    <w:rPr>
                      <w:rFonts w:hint="eastAsia"/>
                      <w:b w:val="0"/>
                      <w:bCs w:val="0"/>
                      <w:sz w:val="21"/>
                      <w:szCs w:val="21"/>
                      <w:lang w:val="en-US" w:eastAsia="zh-CN"/>
                    </w:rPr>
                  </w:pPr>
                </w:p>
              </w:tc>
              <w:tc>
                <w:tcPr>
                  <w:tcW w:w="899" w:type="dxa"/>
                  <w:vAlign w:val="center"/>
                </w:tcPr>
                <w:p>
                  <w:pPr>
                    <w:pStyle w:val="53"/>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sz w:val="21"/>
                      <w:szCs w:val="21"/>
                      <w:lang w:val="en-US" w:eastAsia="zh-CN"/>
                    </w:rPr>
                  </w:pPr>
                  <w:r>
                    <w:rPr>
                      <w:rFonts w:hint="eastAsia"/>
                      <w:b w:val="0"/>
                      <w:bCs w:val="0"/>
                      <w:sz w:val="21"/>
                      <w:szCs w:val="21"/>
                      <w:lang w:val="en-US" w:eastAsia="zh-CN"/>
                    </w:rPr>
                    <w:t>1.577</w:t>
                  </w:r>
                </w:p>
              </w:tc>
              <w:tc>
                <w:tcPr>
                  <w:tcW w:w="833" w:type="dxa"/>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0.6571</w:t>
                  </w:r>
                </w:p>
              </w:tc>
              <w:tc>
                <w:tcPr>
                  <w:tcW w:w="828" w:type="dxa"/>
                  <w:vMerge w:val="continue"/>
                  <w:vAlign w:val="center"/>
                </w:tcPr>
                <w:p>
                  <w:pPr>
                    <w:pStyle w:val="53"/>
                    <w:bidi w:val="0"/>
                    <w:spacing w:line="240" w:lineRule="auto"/>
                    <w:rPr>
                      <w:rFonts w:hint="eastAsia"/>
                      <w:b w:val="0"/>
                      <w:bCs w:val="0"/>
                      <w:sz w:val="21"/>
                      <w:szCs w:val="21"/>
                      <w:lang w:val="en-US" w:eastAsia="zh-CN"/>
                    </w:rPr>
                  </w:pPr>
                </w:p>
              </w:tc>
              <w:tc>
                <w:tcPr>
                  <w:tcW w:w="0" w:type="auto"/>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1.423</w:t>
                  </w:r>
                </w:p>
              </w:tc>
              <w:tc>
                <w:tcPr>
                  <w:tcW w:w="811" w:type="dxa"/>
                  <w:vAlign w:val="center"/>
                </w:tcPr>
                <w:p>
                  <w:pPr>
                    <w:pStyle w:val="53"/>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b w:val="0"/>
                      <w:bCs w:val="0"/>
                      <w:sz w:val="21"/>
                      <w:szCs w:val="21"/>
                      <w:lang w:val="en-US" w:eastAsia="zh-CN"/>
                    </w:rPr>
                  </w:pPr>
                  <w:r>
                    <w:rPr>
                      <w:rFonts w:hint="eastAsia"/>
                      <w:b w:val="0"/>
                      <w:bCs w:val="0"/>
                      <w:sz w:val="21"/>
                      <w:szCs w:val="21"/>
                      <w:lang w:val="en-US" w:eastAsia="zh-CN"/>
                    </w:rPr>
                    <w:t>0.067</w:t>
                  </w:r>
                </w:p>
              </w:tc>
              <w:tc>
                <w:tcPr>
                  <w:tcW w:w="832" w:type="dxa"/>
                  <w:vAlign w:val="center"/>
                </w:tcPr>
                <w:p>
                  <w:pPr>
                    <w:pStyle w:val="53"/>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b w:val="0"/>
                      <w:bCs w:val="0"/>
                      <w:sz w:val="21"/>
                      <w:szCs w:val="21"/>
                      <w:lang w:val="en-US" w:eastAsia="zh-CN"/>
                    </w:rPr>
                  </w:pPr>
                  <w:r>
                    <w:rPr>
                      <w:rFonts w:hint="eastAsia"/>
                      <w:b w:val="0"/>
                      <w:bCs w:val="0"/>
                      <w:sz w:val="21"/>
                      <w:szCs w:val="21"/>
                      <w:lang w:val="en-US" w:eastAsia="zh-CN"/>
                    </w:rPr>
                    <w:t>0.0279</w:t>
                  </w:r>
                </w:p>
              </w:tc>
              <w:tc>
                <w:tcPr>
                  <w:tcW w:w="0" w:type="auto"/>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w:t>
                  </w:r>
                </w:p>
              </w:tc>
              <w:tc>
                <w:tcPr>
                  <w:tcW w:w="485" w:type="dxa"/>
                  <w:vMerge w:val="continue"/>
                  <w:vAlign w:val="center"/>
                </w:tcPr>
                <w:p>
                  <w:pPr>
                    <w:pStyle w:val="53"/>
                    <w:bidi w:val="0"/>
                    <w:spacing w:line="240" w:lineRule="auto"/>
                    <w:rPr>
                      <w:rFonts w:hint="eastAsia"/>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Merge w:val="continue"/>
                  <w:vAlign w:val="top"/>
                </w:tcPr>
                <w:p>
                  <w:pPr>
                    <w:pStyle w:val="53"/>
                    <w:bidi w:val="0"/>
                    <w:spacing w:line="240" w:lineRule="auto"/>
                    <w:jc w:val="left"/>
                    <w:rPr>
                      <w:rFonts w:hint="eastAsia"/>
                      <w:b w:val="0"/>
                      <w:bCs w:val="0"/>
                      <w:sz w:val="21"/>
                      <w:szCs w:val="21"/>
                      <w:lang w:val="en-US" w:eastAsia="zh-CN"/>
                    </w:rPr>
                  </w:pPr>
                </w:p>
              </w:tc>
              <w:tc>
                <w:tcPr>
                  <w:tcW w:w="0" w:type="auto"/>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漆雾</w:t>
                  </w:r>
                </w:p>
              </w:tc>
              <w:tc>
                <w:tcPr>
                  <w:tcW w:w="661" w:type="dxa"/>
                  <w:vMerge w:val="continue"/>
                  <w:vAlign w:val="center"/>
                </w:tcPr>
                <w:p>
                  <w:pPr>
                    <w:pStyle w:val="53"/>
                    <w:bidi w:val="0"/>
                    <w:spacing w:line="240" w:lineRule="auto"/>
                    <w:rPr>
                      <w:rFonts w:hint="eastAsia"/>
                      <w:b w:val="0"/>
                      <w:bCs w:val="0"/>
                      <w:sz w:val="21"/>
                      <w:szCs w:val="21"/>
                      <w:lang w:val="en-US" w:eastAsia="zh-CN"/>
                    </w:rPr>
                  </w:pPr>
                </w:p>
              </w:tc>
              <w:tc>
                <w:tcPr>
                  <w:tcW w:w="899" w:type="dxa"/>
                  <w:vAlign w:val="center"/>
                </w:tcPr>
                <w:p>
                  <w:pPr>
                    <w:pStyle w:val="53"/>
                    <w:bidi w:val="0"/>
                    <w:spacing w:line="240" w:lineRule="auto"/>
                    <w:ind w:firstLine="0" w:firstLineChars="0"/>
                    <w:rPr>
                      <w:rFonts w:hint="eastAsia"/>
                      <w:b w:val="0"/>
                      <w:bCs w:val="0"/>
                      <w:sz w:val="21"/>
                      <w:szCs w:val="21"/>
                      <w:lang w:val="en-US" w:eastAsia="zh-CN"/>
                    </w:rPr>
                  </w:pPr>
                  <w:r>
                    <w:rPr>
                      <w:rFonts w:hint="eastAsia"/>
                      <w:b w:val="0"/>
                      <w:bCs w:val="0"/>
                      <w:sz w:val="21"/>
                      <w:szCs w:val="21"/>
                      <w:lang w:val="en-US" w:eastAsia="zh-CN"/>
                    </w:rPr>
                    <w:t>0.1636</w:t>
                  </w:r>
                </w:p>
              </w:tc>
              <w:tc>
                <w:tcPr>
                  <w:tcW w:w="833" w:type="dxa"/>
                  <w:vAlign w:val="center"/>
                </w:tcPr>
                <w:p>
                  <w:pPr>
                    <w:pStyle w:val="53"/>
                    <w:bidi w:val="0"/>
                    <w:spacing w:line="240" w:lineRule="auto"/>
                    <w:ind w:firstLine="0" w:firstLineChars="0"/>
                    <w:rPr>
                      <w:rFonts w:hint="eastAsia"/>
                      <w:b w:val="0"/>
                      <w:bCs w:val="0"/>
                      <w:sz w:val="21"/>
                      <w:szCs w:val="21"/>
                      <w:lang w:val="en-US" w:eastAsia="zh-CN"/>
                    </w:rPr>
                  </w:pPr>
                  <w:r>
                    <w:rPr>
                      <w:rFonts w:hint="eastAsia"/>
                      <w:b w:val="0"/>
                      <w:bCs w:val="0"/>
                      <w:sz w:val="21"/>
                      <w:szCs w:val="21"/>
                      <w:lang w:val="en-US" w:eastAsia="zh-CN"/>
                    </w:rPr>
                    <w:t>0.0682</w:t>
                  </w:r>
                </w:p>
              </w:tc>
              <w:tc>
                <w:tcPr>
                  <w:tcW w:w="828" w:type="dxa"/>
                  <w:vAlign w:val="center"/>
                </w:tcPr>
                <w:p>
                  <w:pPr>
                    <w:pStyle w:val="53"/>
                    <w:bidi w:val="0"/>
                    <w:spacing w:line="240" w:lineRule="auto"/>
                    <w:ind w:firstLine="0" w:firstLineChars="0"/>
                    <w:rPr>
                      <w:rFonts w:hint="eastAsia"/>
                      <w:b w:val="0"/>
                      <w:bCs w:val="0"/>
                      <w:sz w:val="21"/>
                      <w:szCs w:val="21"/>
                      <w:lang w:val="en-US" w:eastAsia="zh-CN"/>
                    </w:rPr>
                  </w:pPr>
                  <w:r>
                    <w:rPr>
                      <w:rFonts w:hint="eastAsia"/>
                      <w:b w:val="0"/>
                      <w:bCs w:val="0"/>
                      <w:sz w:val="21"/>
                      <w:szCs w:val="21"/>
                      <w:lang w:val="en-US" w:eastAsia="zh-CN"/>
                    </w:rPr>
                    <w:t>/</w:t>
                  </w:r>
                </w:p>
              </w:tc>
              <w:tc>
                <w:tcPr>
                  <w:tcW w:w="811" w:type="dxa"/>
                  <w:vAlign w:val="center"/>
                </w:tcPr>
                <w:p>
                  <w:pPr>
                    <w:pStyle w:val="53"/>
                    <w:bidi w:val="0"/>
                    <w:spacing w:line="240" w:lineRule="auto"/>
                    <w:ind w:firstLine="0" w:firstLineChars="0"/>
                    <w:rPr>
                      <w:rFonts w:hint="eastAsia"/>
                      <w:b w:val="0"/>
                      <w:bCs w:val="0"/>
                      <w:sz w:val="21"/>
                      <w:szCs w:val="21"/>
                      <w:lang w:val="en-US" w:eastAsia="zh-CN"/>
                    </w:rPr>
                  </w:pPr>
                  <w:r>
                    <w:rPr>
                      <w:rFonts w:hint="eastAsia"/>
                      <w:b w:val="0"/>
                      <w:bCs w:val="0"/>
                      <w:sz w:val="21"/>
                      <w:szCs w:val="21"/>
                      <w:lang w:val="en-US" w:eastAsia="zh-CN"/>
                    </w:rPr>
                    <w:t>0</w:t>
                  </w:r>
                </w:p>
              </w:tc>
              <w:tc>
                <w:tcPr>
                  <w:tcW w:w="811" w:type="dxa"/>
                  <w:vAlign w:val="center"/>
                </w:tcPr>
                <w:p>
                  <w:pPr>
                    <w:pStyle w:val="53"/>
                    <w:bidi w:val="0"/>
                    <w:spacing w:line="240" w:lineRule="auto"/>
                    <w:ind w:firstLine="0" w:firstLineChars="0"/>
                    <w:rPr>
                      <w:rFonts w:hint="eastAsia"/>
                      <w:b w:val="0"/>
                      <w:bCs w:val="0"/>
                      <w:sz w:val="21"/>
                      <w:szCs w:val="21"/>
                      <w:lang w:val="en-US" w:eastAsia="zh-CN"/>
                    </w:rPr>
                  </w:pPr>
                  <w:r>
                    <w:rPr>
                      <w:rFonts w:hint="eastAsia"/>
                      <w:b w:val="0"/>
                      <w:bCs w:val="0"/>
                      <w:sz w:val="21"/>
                      <w:szCs w:val="21"/>
                      <w:lang w:val="en-US" w:eastAsia="zh-CN"/>
                    </w:rPr>
                    <w:t>0.1636</w:t>
                  </w:r>
                </w:p>
              </w:tc>
              <w:tc>
                <w:tcPr>
                  <w:tcW w:w="832" w:type="dxa"/>
                  <w:vAlign w:val="center"/>
                </w:tcPr>
                <w:p>
                  <w:pPr>
                    <w:pStyle w:val="53"/>
                    <w:bidi w:val="0"/>
                    <w:spacing w:line="240" w:lineRule="auto"/>
                    <w:ind w:firstLine="0" w:firstLineChars="0"/>
                    <w:rPr>
                      <w:rFonts w:hint="eastAsia"/>
                      <w:b w:val="0"/>
                      <w:bCs w:val="0"/>
                      <w:sz w:val="21"/>
                      <w:szCs w:val="21"/>
                      <w:lang w:val="en-US" w:eastAsia="zh-CN"/>
                    </w:rPr>
                  </w:pPr>
                  <w:r>
                    <w:rPr>
                      <w:rFonts w:hint="eastAsia"/>
                      <w:b w:val="0"/>
                      <w:bCs w:val="0"/>
                      <w:sz w:val="21"/>
                      <w:szCs w:val="21"/>
                      <w:lang w:val="en-US" w:eastAsia="zh-CN"/>
                    </w:rPr>
                    <w:t>0.0682</w:t>
                  </w:r>
                </w:p>
              </w:tc>
              <w:tc>
                <w:tcPr>
                  <w:tcW w:w="828" w:type="dxa"/>
                  <w:vAlign w:val="center"/>
                </w:tcPr>
                <w:p>
                  <w:pPr>
                    <w:pStyle w:val="53"/>
                    <w:bidi w:val="0"/>
                    <w:spacing w:line="240" w:lineRule="auto"/>
                    <w:ind w:firstLine="0" w:firstLineChars="0"/>
                    <w:rPr>
                      <w:rFonts w:hint="eastAsia"/>
                      <w:b w:val="0"/>
                      <w:bCs w:val="0"/>
                      <w:sz w:val="21"/>
                      <w:szCs w:val="21"/>
                      <w:lang w:val="en-US" w:eastAsia="zh-CN"/>
                    </w:rPr>
                  </w:pPr>
                  <w:r>
                    <w:rPr>
                      <w:rFonts w:hint="eastAsia"/>
                      <w:b w:val="0"/>
                      <w:bCs w:val="0"/>
                      <w:sz w:val="21"/>
                      <w:szCs w:val="21"/>
                      <w:lang w:val="en-US" w:eastAsia="zh-CN"/>
                    </w:rPr>
                    <w:t>/</w:t>
                  </w:r>
                </w:p>
              </w:tc>
              <w:tc>
                <w:tcPr>
                  <w:tcW w:w="485" w:type="dxa"/>
                  <w:vMerge w:val="continue"/>
                  <w:vAlign w:val="center"/>
                </w:tcPr>
                <w:p>
                  <w:pPr>
                    <w:pStyle w:val="53"/>
                    <w:bidi w:val="0"/>
                    <w:spacing w:line="240" w:lineRule="auto"/>
                    <w:rPr>
                      <w:rFonts w:hint="eastAsia"/>
                      <w:b w:val="0"/>
                      <w:bCs w:val="0"/>
                      <w:sz w:val="21"/>
                      <w:szCs w:val="21"/>
                      <w:lang w:val="en-US" w:eastAsia="zh-CN"/>
                    </w:rPr>
                  </w:pPr>
                </w:p>
              </w:tc>
            </w:tr>
          </w:tbl>
          <w:p>
            <w:pPr>
              <w:pStyle w:val="2"/>
              <w:rPr>
                <w:rFonts w:hint="default"/>
                <w:lang w:val="en-US" w:eastAsia="zh-CN"/>
              </w:rPr>
            </w:pPr>
          </w:p>
          <w:p>
            <w:pPr>
              <w:spacing w:line="360" w:lineRule="auto"/>
              <w:ind w:firstLine="492" w:firstLineChars="204"/>
              <w:rPr>
                <w:rFonts w:hint="default" w:ascii="Times New Roman" w:hAnsi="Times New Roman" w:cs="Times New Roman"/>
                <w:b/>
                <w:bCs/>
                <w:sz w:val="24"/>
                <w:szCs w:val="22"/>
                <w:lang w:val="en-US" w:eastAsia="zh-CN"/>
              </w:rPr>
            </w:pPr>
            <w:r>
              <w:rPr>
                <w:rFonts w:hint="default" w:ascii="Times New Roman" w:hAnsi="Times New Roman" w:cs="Times New Roman"/>
                <w:b/>
                <w:bCs/>
                <w:sz w:val="24"/>
                <w:szCs w:val="22"/>
                <w:lang w:val="en-US" w:eastAsia="zh-CN"/>
              </w:rPr>
              <w:t>2、废水</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项目运营期用水主要为生产用水、生活用水，</w:t>
            </w:r>
            <w:r>
              <w:rPr>
                <w:rFonts w:hint="eastAsia" w:ascii="Times New Roman" w:hAnsi="Times New Roman" w:cs="Times New Roman"/>
                <w:sz w:val="24"/>
                <w:szCs w:val="22"/>
                <w:lang w:val="en-US" w:eastAsia="zh-CN"/>
              </w:rPr>
              <w:t>生产永久全部自然蒸发，不外排，项目区</w:t>
            </w:r>
            <w:r>
              <w:rPr>
                <w:rFonts w:hint="eastAsia" w:cs="Times New Roman"/>
                <w:sz w:val="24"/>
                <w:szCs w:val="22"/>
                <w:lang w:val="en-US" w:eastAsia="zh-CN"/>
              </w:rPr>
              <w:t>设置有</w:t>
            </w:r>
            <w:r>
              <w:rPr>
                <w:rFonts w:hint="eastAsia" w:ascii="Times New Roman" w:hAnsi="Times New Roman" w:cs="Times New Roman"/>
                <w:sz w:val="24"/>
                <w:szCs w:val="22"/>
                <w:lang w:val="en-US" w:eastAsia="zh-CN"/>
              </w:rPr>
              <w:t>食宿，生活用水主要为生产人员</w:t>
            </w:r>
            <w:r>
              <w:rPr>
                <w:rFonts w:hint="eastAsia" w:cs="Times New Roman"/>
                <w:sz w:val="24"/>
                <w:szCs w:val="22"/>
                <w:lang w:val="en-US" w:eastAsia="zh-CN"/>
              </w:rPr>
              <w:t>餐饮废水、冲厕废水</w:t>
            </w:r>
            <w:r>
              <w:rPr>
                <w:rFonts w:hint="eastAsia" w:ascii="Times New Roman" w:hAnsi="Times New Roman" w:cs="Times New Roman"/>
                <w:sz w:val="24"/>
                <w:szCs w:val="22"/>
                <w:lang w:val="en-US" w:eastAsia="zh-CN"/>
              </w:rPr>
              <w:t>，员工产生的生活污水进入化粪池处理后排入</w:t>
            </w:r>
            <w:r>
              <w:rPr>
                <w:rFonts w:hint="eastAsia" w:ascii="Times New Roman" w:hAnsi="Times New Roman" w:cs="Times New Roman"/>
                <w:bCs/>
                <w:color w:val="auto"/>
                <w:sz w:val="24"/>
                <w:lang w:eastAsia="zh-CN"/>
              </w:rPr>
              <w:t>园区污水</w:t>
            </w:r>
            <w:r>
              <w:rPr>
                <w:rFonts w:hint="default" w:ascii="Times New Roman" w:hAnsi="Times New Roman" w:cs="Times New Roman"/>
                <w:bCs/>
                <w:color w:val="auto"/>
                <w:sz w:val="24"/>
              </w:rPr>
              <w:t>管网</w:t>
            </w:r>
            <w:r>
              <w:rPr>
                <w:rFonts w:hint="default" w:ascii="Times New Roman" w:hAnsi="Times New Roman" w:cs="Times New Roman"/>
                <w:sz w:val="24"/>
                <w:szCs w:val="22"/>
                <w:lang w:val="en-US" w:eastAsia="zh-CN"/>
              </w:rPr>
              <w:t>。</w:t>
            </w:r>
          </w:p>
          <w:p>
            <w:pPr>
              <w:numPr>
                <w:ilvl w:val="0"/>
                <w:numId w:val="3"/>
              </w:numPr>
              <w:spacing w:line="360" w:lineRule="auto"/>
              <w:ind w:firstLine="492" w:firstLineChars="204"/>
              <w:rPr>
                <w:rFonts w:hint="default"/>
                <w:lang w:val="en-US" w:eastAsia="zh-CN"/>
              </w:rPr>
            </w:pPr>
            <w:r>
              <w:rPr>
                <w:rFonts w:hint="default" w:ascii="Times New Roman" w:hAnsi="Times New Roman" w:cs="Times New Roman"/>
                <w:b/>
                <w:bCs/>
                <w:sz w:val="24"/>
                <w:szCs w:val="22"/>
                <w:lang w:val="en-US" w:eastAsia="zh-CN"/>
              </w:rPr>
              <w:t>生产用水</w:t>
            </w:r>
          </w:p>
          <w:p>
            <w:pPr>
              <w:numPr>
                <w:ilvl w:val="0"/>
                <w:numId w:val="0"/>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①调漆用水</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本项目为钢材生产，生产过程中水性丙烯酸涂料在生产过程中需要用自来水进行调漆。根据工程分析，项目丙烯酸涂料和自来水的调和比例为</w:t>
            </w:r>
            <w:r>
              <w:rPr>
                <w:rFonts w:hint="eastAsia" w:ascii="Times New Roman" w:hAnsi="Times New Roman" w:cs="Times New Roman"/>
                <w:sz w:val="24"/>
                <w:szCs w:val="22"/>
                <w:lang w:val="en-US" w:eastAsia="zh-CN"/>
              </w:rPr>
              <w:t>2</w:t>
            </w:r>
            <w:r>
              <w:rPr>
                <w:rFonts w:hint="default" w:ascii="Times New Roman" w:hAnsi="Times New Roman" w:cs="Times New Roman"/>
                <w:sz w:val="24"/>
                <w:szCs w:val="22"/>
                <w:lang w:val="en-US" w:eastAsia="zh-CN"/>
              </w:rPr>
              <w:t>：1，项目年使用水性漆量为</w:t>
            </w:r>
            <w:r>
              <w:rPr>
                <w:rFonts w:hint="eastAsia" w:cs="Times New Roman"/>
                <w:sz w:val="24"/>
                <w:szCs w:val="22"/>
                <w:lang w:val="en-US" w:eastAsia="zh-CN"/>
              </w:rPr>
              <w:t>8.18</w:t>
            </w:r>
            <w:r>
              <w:rPr>
                <w:rFonts w:hint="default" w:ascii="Times New Roman" w:hAnsi="Times New Roman" w:cs="Times New Roman"/>
                <w:sz w:val="24"/>
                <w:szCs w:val="22"/>
                <w:lang w:val="en-US" w:eastAsia="zh-CN"/>
              </w:rPr>
              <w:t>t，则调漆用水量为</w:t>
            </w:r>
            <w:r>
              <w:rPr>
                <w:rFonts w:hint="eastAsia" w:cs="Times New Roman"/>
                <w:sz w:val="24"/>
                <w:szCs w:val="22"/>
                <w:lang w:val="en-US" w:eastAsia="zh-CN"/>
              </w:rPr>
              <w:t>4.09</w:t>
            </w:r>
            <w:r>
              <w:rPr>
                <w:rFonts w:hint="eastAsia" w:ascii="Times New Roman" w:hAnsi="Times New Roman" w:cs="Times New Roman"/>
                <w:sz w:val="24"/>
                <w:szCs w:val="22"/>
                <w:lang w:val="en-US" w:eastAsia="zh-CN"/>
              </w:rPr>
              <w:t>t</w:t>
            </w:r>
            <w:r>
              <w:rPr>
                <w:rFonts w:hint="default" w:ascii="Times New Roman" w:hAnsi="Times New Roman" w:cs="Times New Roman"/>
                <w:sz w:val="24"/>
                <w:szCs w:val="22"/>
                <w:lang w:val="en-US" w:eastAsia="zh-CN"/>
              </w:rPr>
              <w:t>/a，日均用水量约为</w:t>
            </w:r>
            <w:r>
              <w:rPr>
                <w:rFonts w:hint="eastAsia" w:cs="Times New Roman"/>
                <w:sz w:val="24"/>
                <w:szCs w:val="22"/>
                <w:lang w:val="en-US" w:eastAsia="zh-CN"/>
              </w:rPr>
              <w:t>13.63</w:t>
            </w:r>
            <w:r>
              <w:rPr>
                <w:rFonts w:hint="eastAsia" w:ascii="Times New Roman" w:hAnsi="Times New Roman" w:cs="Times New Roman"/>
                <w:sz w:val="24"/>
                <w:szCs w:val="22"/>
                <w:lang w:val="en-US" w:eastAsia="zh-CN"/>
              </w:rPr>
              <w:t>L</w:t>
            </w:r>
            <w:r>
              <w:rPr>
                <w:rFonts w:hint="default" w:ascii="Times New Roman" w:hAnsi="Times New Roman" w:cs="Times New Roman"/>
                <w:sz w:val="24"/>
                <w:szCs w:val="22"/>
                <w:lang w:val="en-US" w:eastAsia="zh-CN"/>
              </w:rPr>
              <w:t>，本项目调漆用水全部挥发或进入产品，因此生产过程中无生产废水产生。</w:t>
            </w:r>
          </w:p>
          <w:p>
            <w:pPr>
              <w:numPr>
                <w:ilvl w:val="0"/>
                <w:numId w:val="0"/>
              </w:numPr>
              <w:spacing w:line="360" w:lineRule="auto"/>
              <w:ind w:firstLine="480" w:firstLineChars="200"/>
              <w:rPr>
                <w:rFonts w:hint="default"/>
                <w:sz w:val="24"/>
                <w:szCs w:val="24"/>
                <w:lang w:val="en-US" w:eastAsia="zh-CN"/>
              </w:rPr>
            </w:pPr>
            <w:r>
              <w:rPr>
                <w:rFonts w:hint="default" w:ascii="Times New Roman" w:hAnsi="Times New Roman" w:cs="Times New Roman"/>
                <w:sz w:val="24"/>
                <w:szCs w:val="24"/>
                <w:lang w:val="en-US" w:eastAsia="zh-CN"/>
              </w:rPr>
              <w:t>②</w:t>
            </w:r>
            <w:r>
              <w:rPr>
                <w:rFonts w:hint="eastAsia"/>
                <w:sz w:val="24"/>
                <w:szCs w:val="24"/>
              </w:rPr>
              <w:t>打孔工段冷却水</w:t>
            </w:r>
          </w:p>
          <w:p>
            <w:pPr>
              <w:spacing w:line="360" w:lineRule="auto"/>
              <w:ind w:firstLine="489" w:firstLineChars="204"/>
              <w:rPr>
                <w:rFonts w:hint="default" w:ascii="Times New Roman" w:hAnsi="Times New Roman" w:cs="Times New Roman"/>
                <w:b/>
                <w:bCs/>
                <w:sz w:val="24"/>
                <w:szCs w:val="22"/>
                <w:lang w:val="en-US" w:eastAsia="zh-CN"/>
              </w:rPr>
            </w:pPr>
            <w:r>
              <w:rPr>
                <w:rFonts w:hint="eastAsia" w:ascii="Times New Roman" w:hAnsi="Times New Roman" w:cs="Times New Roman"/>
                <w:sz w:val="24"/>
                <w:szCs w:val="22"/>
                <w:lang w:val="en-US" w:eastAsia="zh-CN"/>
              </w:rPr>
              <w:t>本项目生产厂房内设置</w:t>
            </w:r>
            <w:r>
              <w:rPr>
                <w:rFonts w:hint="eastAsia" w:cs="Times New Roman"/>
                <w:sz w:val="24"/>
                <w:szCs w:val="22"/>
                <w:lang w:val="en-US" w:eastAsia="zh-CN"/>
              </w:rPr>
              <w:t>有1摇臂钻床进行打孔作业</w:t>
            </w:r>
            <w:r>
              <w:rPr>
                <w:rFonts w:hint="eastAsia" w:ascii="Times New Roman" w:hAnsi="Times New Roman" w:cs="Times New Roman"/>
                <w:sz w:val="24"/>
                <w:szCs w:val="22"/>
                <w:lang w:val="en-US" w:eastAsia="zh-CN"/>
              </w:rPr>
              <w:t>，打孔面设置喷头对钢材进行快速冷却，喷淋水量约2.5L/min，根据业主介绍，项目每日</w:t>
            </w:r>
            <w:r>
              <w:rPr>
                <w:rFonts w:hint="eastAsia" w:cs="Times New Roman"/>
                <w:sz w:val="24"/>
                <w:szCs w:val="22"/>
                <w:lang w:val="en-US" w:eastAsia="zh-CN"/>
              </w:rPr>
              <w:t>钻床</w:t>
            </w:r>
            <w:r>
              <w:rPr>
                <w:rFonts w:hint="eastAsia" w:ascii="Times New Roman" w:hAnsi="Times New Roman" w:cs="Times New Roman"/>
                <w:sz w:val="24"/>
                <w:szCs w:val="22"/>
                <w:lang w:val="en-US" w:eastAsia="zh-CN"/>
              </w:rPr>
              <w:t>使用时间为3h，则喷头用水量为4.5m</w:t>
            </w:r>
            <w:r>
              <w:rPr>
                <w:rFonts w:hint="eastAsia" w:ascii="Times New Roman" w:hAnsi="Times New Roman" w:cs="Times New Roman"/>
                <w:sz w:val="24"/>
                <w:szCs w:val="22"/>
                <w:vertAlign w:val="superscript"/>
                <w:lang w:val="en-US" w:eastAsia="zh-CN"/>
              </w:rPr>
              <w:t>3</w:t>
            </w:r>
            <w:r>
              <w:rPr>
                <w:rFonts w:hint="eastAsia" w:ascii="Times New Roman" w:hAnsi="Times New Roman" w:cs="Times New Roman"/>
                <w:sz w:val="24"/>
                <w:szCs w:val="22"/>
                <w:lang w:val="en-US" w:eastAsia="zh-CN"/>
              </w:rPr>
              <w:t>/d（1350 m</w:t>
            </w:r>
            <w:r>
              <w:rPr>
                <w:rFonts w:hint="eastAsia" w:ascii="Times New Roman" w:hAnsi="Times New Roman" w:cs="Times New Roman"/>
                <w:sz w:val="24"/>
                <w:szCs w:val="22"/>
                <w:vertAlign w:val="superscript"/>
                <w:lang w:val="en-US" w:eastAsia="zh-CN"/>
              </w:rPr>
              <w:t>3</w:t>
            </w:r>
            <w:r>
              <w:rPr>
                <w:rFonts w:hint="eastAsia" w:ascii="Times New Roman" w:hAnsi="Times New Roman" w:cs="Times New Roman"/>
                <w:sz w:val="24"/>
                <w:szCs w:val="22"/>
                <w:lang w:val="en-US" w:eastAsia="zh-CN"/>
              </w:rPr>
              <w:t>/a）。喷淋后约15%的水自然蒸发或钢材带走，则</w:t>
            </w:r>
            <w:r>
              <w:rPr>
                <w:rFonts w:hint="eastAsia" w:cs="Times New Roman"/>
                <w:sz w:val="24"/>
                <w:szCs w:val="22"/>
                <w:lang w:val="en-US" w:eastAsia="zh-CN"/>
              </w:rPr>
              <w:t>钻床</w:t>
            </w:r>
            <w:r>
              <w:rPr>
                <w:rFonts w:hint="eastAsia" w:ascii="Times New Roman" w:hAnsi="Times New Roman" w:cs="Times New Roman"/>
                <w:sz w:val="24"/>
                <w:szCs w:val="22"/>
                <w:lang w:val="en-US" w:eastAsia="zh-CN"/>
              </w:rPr>
              <w:t>废水产生量为3.825m</w:t>
            </w:r>
            <w:r>
              <w:rPr>
                <w:rFonts w:hint="eastAsia" w:ascii="Times New Roman" w:hAnsi="Times New Roman" w:cs="Times New Roman"/>
                <w:sz w:val="24"/>
                <w:szCs w:val="22"/>
                <w:vertAlign w:val="superscript"/>
                <w:lang w:val="en-US" w:eastAsia="zh-CN"/>
              </w:rPr>
              <w:t>3</w:t>
            </w:r>
            <w:r>
              <w:rPr>
                <w:rFonts w:hint="eastAsia" w:ascii="Times New Roman" w:hAnsi="Times New Roman" w:cs="Times New Roman"/>
                <w:sz w:val="24"/>
                <w:szCs w:val="22"/>
                <w:lang w:val="en-US" w:eastAsia="zh-CN"/>
              </w:rPr>
              <w:t>/d（1147.5m</w:t>
            </w:r>
            <w:r>
              <w:rPr>
                <w:rFonts w:hint="eastAsia" w:ascii="Times New Roman" w:hAnsi="Times New Roman" w:cs="Times New Roman"/>
                <w:sz w:val="24"/>
                <w:szCs w:val="22"/>
                <w:vertAlign w:val="superscript"/>
                <w:lang w:val="en-US" w:eastAsia="zh-CN"/>
              </w:rPr>
              <w:t>3</w:t>
            </w:r>
            <w:r>
              <w:rPr>
                <w:rFonts w:hint="eastAsia" w:ascii="Times New Roman" w:hAnsi="Times New Roman" w:cs="Times New Roman"/>
                <w:sz w:val="24"/>
                <w:szCs w:val="22"/>
                <w:lang w:val="en-US" w:eastAsia="zh-CN"/>
              </w:rPr>
              <w:t>/a）。产生的废水进入冲床下方的冷却水收集池，收集池有效容积为4m</w:t>
            </w:r>
            <w:r>
              <w:rPr>
                <w:rFonts w:hint="eastAsia" w:ascii="Times New Roman" w:hAnsi="Times New Roman" w:cs="Times New Roman"/>
                <w:sz w:val="24"/>
                <w:szCs w:val="22"/>
                <w:vertAlign w:val="superscript"/>
                <w:lang w:val="en-US" w:eastAsia="zh-CN"/>
              </w:rPr>
              <w:t>3</w:t>
            </w:r>
            <w:r>
              <w:rPr>
                <w:rFonts w:hint="eastAsia" w:ascii="Times New Roman" w:hAnsi="Times New Roman" w:cs="Times New Roman"/>
                <w:sz w:val="24"/>
                <w:szCs w:val="22"/>
                <w:lang w:val="en-US" w:eastAsia="zh-CN"/>
              </w:rPr>
              <w:t>，废水主要的污染物为金属碎屑，浓度为200mg/L，经滤网快速过滤后回用于原环节。此工段单台冲床新鲜水补充量为0.675 m</w:t>
            </w:r>
            <w:r>
              <w:rPr>
                <w:rFonts w:hint="eastAsia" w:ascii="Times New Roman" w:hAnsi="Times New Roman" w:cs="Times New Roman"/>
                <w:sz w:val="24"/>
                <w:szCs w:val="22"/>
                <w:vertAlign w:val="superscript"/>
                <w:lang w:val="en-US" w:eastAsia="zh-CN"/>
              </w:rPr>
              <w:t>3</w:t>
            </w:r>
            <w:r>
              <w:rPr>
                <w:rFonts w:hint="eastAsia" w:ascii="Times New Roman" w:hAnsi="Times New Roman" w:cs="Times New Roman"/>
                <w:sz w:val="24"/>
                <w:szCs w:val="22"/>
                <w:lang w:val="en-US" w:eastAsia="zh-CN"/>
              </w:rPr>
              <w:t>/d（202.5 m</w:t>
            </w:r>
            <w:r>
              <w:rPr>
                <w:rFonts w:hint="eastAsia" w:ascii="Times New Roman" w:hAnsi="Times New Roman" w:cs="Times New Roman"/>
                <w:sz w:val="24"/>
                <w:szCs w:val="22"/>
                <w:vertAlign w:val="superscript"/>
                <w:lang w:val="en-US" w:eastAsia="zh-CN"/>
              </w:rPr>
              <w:t>3</w:t>
            </w:r>
            <w:r>
              <w:rPr>
                <w:rFonts w:hint="eastAsia" w:ascii="Times New Roman" w:hAnsi="Times New Roman" w:cs="Times New Roman"/>
                <w:sz w:val="24"/>
                <w:szCs w:val="22"/>
                <w:lang w:val="en-US" w:eastAsia="zh-CN"/>
              </w:rPr>
              <w:t>/a）。</w:t>
            </w:r>
          </w:p>
          <w:p>
            <w:pPr>
              <w:spacing w:line="360" w:lineRule="auto"/>
              <w:ind w:firstLine="492" w:firstLineChars="204"/>
              <w:rPr>
                <w:rFonts w:hint="default" w:ascii="Times New Roman" w:hAnsi="Times New Roman" w:cs="Times New Roman"/>
                <w:b/>
                <w:bCs/>
                <w:sz w:val="24"/>
                <w:szCs w:val="22"/>
                <w:lang w:val="en-US" w:eastAsia="zh-CN"/>
              </w:rPr>
            </w:pPr>
            <w:r>
              <w:rPr>
                <w:rFonts w:hint="default" w:ascii="Times New Roman" w:hAnsi="Times New Roman" w:cs="Times New Roman"/>
                <w:b/>
                <w:bCs/>
                <w:sz w:val="24"/>
                <w:szCs w:val="22"/>
                <w:lang w:val="en-US" w:eastAsia="zh-CN"/>
              </w:rPr>
              <w:t>（2）生活用水</w:t>
            </w:r>
          </w:p>
          <w:p>
            <w:pPr>
              <w:spacing w:line="360" w:lineRule="auto"/>
              <w:ind w:firstLine="489" w:firstLineChars="204"/>
              <w:rPr>
                <w:rFonts w:hint="eastAsia" w:ascii="Times New Roman" w:hAnsi="Times New Roman" w:eastAsia="宋体" w:cs="Times New Roman"/>
                <w:sz w:val="24"/>
                <w:szCs w:val="22"/>
                <w:lang w:val="en-US" w:eastAsia="zh-CN"/>
              </w:rPr>
            </w:pPr>
            <w:r>
              <w:rPr>
                <w:rFonts w:hint="default" w:ascii="Times New Roman" w:hAnsi="Times New Roman" w:cs="Times New Roman"/>
                <w:sz w:val="24"/>
                <w:szCs w:val="22"/>
                <w:lang w:val="en-US" w:eastAsia="zh-CN"/>
              </w:rPr>
              <w:t>项目厂内工作人员</w:t>
            </w:r>
            <w:r>
              <w:rPr>
                <w:rFonts w:hint="eastAsia" w:ascii="Times New Roman" w:hAnsi="Times New Roman" w:cs="Times New Roman"/>
                <w:sz w:val="24"/>
                <w:szCs w:val="22"/>
                <w:lang w:val="en-US" w:eastAsia="zh-CN"/>
              </w:rPr>
              <w:t>20</w:t>
            </w:r>
            <w:r>
              <w:rPr>
                <w:rFonts w:hint="default" w:ascii="Times New Roman" w:hAnsi="Times New Roman" w:cs="Times New Roman"/>
                <w:sz w:val="24"/>
                <w:szCs w:val="22"/>
                <w:lang w:val="en-US" w:eastAsia="zh-CN"/>
              </w:rPr>
              <w:t>人，</w:t>
            </w:r>
            <w:r>
              <w:rPr>
                <w:rFonts w:hint="eastAsia" w:ascii="Times New Roman" w:hAnsi="Times New Roman" w:cs="Times New Roman"/>
                <w:sz w:val="24"/>
                <w:szCs w:val="22"/>
                <w:lang w:val="en-US" w:eastAsia="zh-CN"/>
              </w:rPr>
              <w:t>项目区</w:t>
            </w:r>
            <w:r>
              <w:rPr>
                <w:rFonts w:hint="eastAsia" w:cs="Times New Roman"/>
                <w:sz w:val="24"/>
                <w:szCs w:val="22"/>
                <w:lang w:val="en-US" w:eastAsia="zh-CN"/>
              </w:rPr>
              <w:t>内设置有食宿</w:t>
            </w:r>
            <w:r>
              <w:rPr>
                <w:rFonts w:hint="eastAsia" w:ascii="Times New Roman" w:hAnsi="Times New Roman" w:cs="Times New Roman"/>
                <w:sz w:val="24"/>
                <w:szCs w:val="22"/>
                <w:lang w:val="en-US" w:eastAsia="zh-CN"/>
              </w:rPr>
              <w:t>，</w:t>
            </w:r>
            <w:r>
              <w:rPr>
                <w:rFonts w:hint="eastAsia" w:cs="Times New Roman"/>
                <w:sz w:val="24"/>
                <w:szCs w:val="22"/>
                <w:lang w:val="en-US" w:eastAsia="zh-CN"/>
              </w:rPr>
              <w:t>全年工作300天，其余时间不在项目区内食宿。</w:t>
            </w:r>
            <w:r>
              <w:rPr>
                <w:rFonts w:hint="default" w:ascii="Times New Roman" w:hAnsi="Times New Roman" w:cs="Times New Roman"/>
                <w:bCs/>
                <w:color w:val="auto"/>
                <w:sz w:val="24"/>
                <w:szCs w:val="22"/>
              </w:rPr>
              <w:t>参照《云南省地方标准用水定额》（DB53/T168-201</w:t>
            </w:r>
            <w:r>
              <w:rPr>
                <w:rFonts w:hint="eastAsia" w:cs="Times New Roman"/>
                <w:bCs/>
                <w:color w:val="auto"/>
                <w:sz w:val="24"/>
                <w:szCs w:val="22"/>
                <w:lang w:val="en-US" w:eastAsia="zh-CN"/>
              </w:rPr>
              <w:t>9</w:t>
            </w:r>
            <w:r>
              <w:rPr>
                <w:rFonts w:hint="default" w:ascii="Times New Roman" w:hAnsi="Times New Roman" w:cs="Times New Roman"/>
                <w:bCs/>
                <w:color w:val="auto"/>
                <w:sz w:val="24"/>
                <w:szCs w:val="22"/>
              </w:rPr>
              <w:t>）中</w:t>
            </w:r>
            <w:r>
              <w:rPr>
                <w:rFonts w:hint="eastAsia" w:cs="Times New Roman"/>
                <w:bCs/>
                <w:color w:val="auto"/>
                <w:sz w:val="24"/>
                <w:szCs w:val="22"/>
                <w:lang w:eastAsia="zh-CN"/>
              </w:rPr>
              <w:t>城镇居民生活用水定额</w:t>
            </w:r>
            <w:r>
              <w:rPr>
                <w:rFonts w:hint="default" w:ascii="Times New Roman" w:hAnsi="Times New Roman" w:cs="Times New Roman"/>
                <w:bCs/>
                <w:color w:val="auto"/>
                <w:sz w:val="24"/>
                <w:szCs w:val="22"/>
              </w:rPr>
              <w:t>为</w:t>
            </w:r>
            <w:r>
              <w:rPr>
                <w:rFonts w:hint="eastAsia" w:cs="Times New Roman"/>
                <w:bCs/>
                <w:color w:val="auto"/>
                <w:sz w:val="24"/>
                <w:szCs w:val="22"/>
                <w:lang w:val="en-US" w:eastAsia="zh-CN"/>
              </w:rPr>
              <w:t>100</w:t>
            </w:r>
            <w:r>
              <w:rPr>
                <w:rFonts w:hint="default" w:ascii="Times New Roman" w:hAnsi="Times New Roman" w:cs="Times New Roman"/>
                <w:bCs/>
                <w:color w:val="auto"/>
                <w:sz w:val="24"/>
                <w:szCs w:val="22"/>
              </w:rPr>
              <w:t>L</w:t>
            </w:r>
            <w:r>
              <w:rPr>
                <w:rFonts w:hint="eastAsia" w:cs="Times New Roman"/>
                <w:bCs/>
                <w:color w:val="auto"/>
                <w:sz w:val="24"/>
                <w:szCs w:val="22"/>
                <w:lang w:val="en-US" w:eastAsia="zh-CN"/>
              </w:rPr>
              <w:t>/（人</w:t>
            </w:r>
            <w:r>
              <w:rPr>
                <w:rFonts w:hint="eastAsia" w:ascii="微软雅黑" w:hAnsi="微软雅黑" w:eastAsia="微软雅黑" w:cs="微软雅黑"/>
                <w:bCs/>
                <w:color w:val="auto"/>
                <w:sz w:val="24"/>
                <w:szCs w:val="22"/>
                <w:lang w:val="en-US" w:eastAsia="zh-CN"/>
              </w:rPr>
              <w:t>∙</w:t>
            </w:r>
            <w:r>
              <w:rPr>
                <w:rFonts w:hint="eastAsia" w:cs="Times New Roman"/>
                <w:bCs/>
                <w:color w:val="auto"/>
                <w:sz w:val="24"/>
                <w:szCs w:val="22"/>
                <w:lang w:val="en-US" w:eastAsia="zh-CN"/>
              </w:rPr>
              <w:t>d）</w:t>
            </w:r>
            <w:r>
              <w:rPr>
                <w:rFonts w:hint="default" w:ascii="Times New Roman" w:hAnsi="Times New Roman" w:cs="Times New Roman"/>
                <w:bCs/>
                <w:color w:val="auto"/>
                <w:sz w:val="24"/>
                <w:szCs w:val="22"/>
              </w:rPr>
              <w:t>，结合项目实际情况按</w:t>
            </w:r>
            <w:r>
              <w:rPr>
                <w:rFonts w:hint="eastAsia" w:cs="Times New Roman"/>
                <w:bCs/>
                <w:color w:val="auto"/>
                <w:sz w:val="24"/>
                <w:szCs w:val="22"/>
                <w:lang w:val="en-US" w:eastAsia="zh-CN"/>
              </w:rPr>
              <w:t>10</w:t>
            </w:r>
            <w:r>
              <w:rPr>
                <w:rFonts w:hint="default" w:ascii="Times New Roman" w:hAnsi="Times New Roman" w:cs="Times New Roman"/>
                <w:bCs/>
                <w:color w:val="auto"/>
                <w:sz w:val="24"/>
                <w:szCs w:val="22"/>
              </w:rPr>
              <w:t>0L/(人·d)核算，则场区员工用水量为</w:t>
            </w:r>
            <w:r>
              <w:rPr>
                <w:rFonts w:hint="eastAsia" w:cs="Times New Roman"/>
                <w:bCs/>
                <w:color w:val="auto"/>
                <w:sz w:val="24"/>
                <w:szCs w:val="22"/>
                <w:lang w:val="en-US" w:eastAsia="zh-CN"/>
              </w:rPr>
              <w:t>2</w:t>
            </w:r>
            <w:r>
              <w:rPr>
                <w:rFonts w:hint="default" w:ascii="Times New Roman" w:hAnsi="Times New Roman" w:cs="Times New Roman"/>
                <w:bCs/>
                <w:color w:val="auto"/>
                <w:sz w:val="24"/>
                <w:szCs w:val="22"/>
              </w:rPr>
              <w:t>m</w:t>
            </w:r>
            <w:r>
              <w:rPr>
                <w:rFonts w:hint="default" w:ascii="Times New Roman" w:hAnsi="Times New Roman" w:cs="Times New Roman"/>
                <w:bCs/>
                <w:color w:val="auto"/>
                <w:sz w:val="24"/>
                <w:szCs w:val="22"/>
                <w:vertAlign w:val="superscript"/>
              </w:rPr>
              <w:t>3</w:t>
            </w:r>
            <w:r>
              <w:rPr>
                <w:rFonts w:hint="default" w:ascii="Times New Roman" w:hAnsi="Times New Roman" w:cs="Times New Roman"/>
                <w:bCs/>
                <w:color w:val="auto"/>
                <w:sz w:val="24"/>
                <w:szCs w:val="22"/>
              </w:rPr>
              <w:t>/d（</w:t>
            </w:r>
            <w:r>
              <w:rPr>
                <w:rFonts w:hint="eastAsia" w:cs="Times New Roman"/>
                <w:bCs/>
                <w:color w:val="auto"/>
                <w:sz w:val="24"/>
                <w:szCs w:val="22"/>
                <w:lang w:val="en-US" w:eastAsia="zh-CN"/>
              </w:rPr>
              <w:t>600</w:t>
            </w:r>
            <w:r>
              <w:rPr>
                <w:rFonts w:hint="default" w:ascii="Times New Roman" w:hAnsi="Times New Roman" w:cs="Times New Roman"/>
                <w:bCs/>
                <w:color w:val="auto"/>
                <w:sz w:val="24"/>
                <w:szCs w:val="22"/>
              </w:rPr>
              <w:t xml:space="preserve"> m</w:t>
            </w:r>
            <w:r>
              <w:rPr>
                <w:rFonts w:hint="default" w:ascii="Times New Roman" w:hAnsi="Times New Roman" w:cs="Times New Roman"/>
                <w:bCs/>
                <w:color w:val="auto"/>
                <w:sz w:val="24"/>
                <w:szCs w:val="22"/>
                <w:vertAlign w:val="superscript"/>
              </w:rPr>
              <w:t>3</w:t>
            </w:r>
            <w:r>
              <w:rPr>
                <w:rFonts w:hint="default" w:ascii="Times New Roman" w:hAnsi="Times New Roman" w:cs="Times New Roman"/>
                <w:bCs/>
                <w:color w:val="auto"/>
                <w:sz w:val="24"/>
                <w:szCs w:val="22"/>
              </w:rPr>
              <w:t>/a），排放系数取0.8，污水产生量为</w:t>
            </w:r>
            <w:r>
              <w:rPr>
                <w:rFonts w:hint="eastAsia" w:cs="Times New Roman"/>
                <w:bCs/>
                <w:color w:val="auto"/>
                <w:sz w:val="24"/>
                <w:szCs w:val="22"/>
                <w:lang w:val="en-US" w:eastAsia="zh-CN"/>
              </w:rPr>
              <w:t>1.6</w:t>
            </w:r>
            <w:r>
              <w:rPr>
                <w:rFonts w:hint="default" w:ascii="Times New Roman" w:hAnsi="Times New Roman" w:cs="Times New Roman"/>
                <w:bCs/>
                <w:color w:val="auto"/>
                <w:sz w:val="24"/>
                <w:szCs w:val="22"/>
              </w:rPr>
              <w:t>m</w:t>
            </w:r>
            <w:r>
              <w:rPr>
                <w:rFonts w:hint="default" w:ascii="Times New Roman" w:hAnsi="Times New Roman" w:cs="Times New Roman"/>
                <w:bCs/>
                <w:color w:val="auto"/>
                <w:sz w:val="24"/>
                <w:szCs w:val="22"/>
                <w:vertAlign w:val="superscript"/>
              </w:rPr>
              <w:t>3</w:t>
            </w:r>
            <w:r>
              <w:rPr>
                <w:rFonts w:hint="default" w:ascii="Times New Roman" w:hAnsi="Times New Roman" w:cs="Times New Roman"/>
                <w:bCs/>
                <w:color w:val="auto"/>
                <w:sz w:val="24"/>
                <w:szCs w:val="22"/>
              </w:rPr>
              <w:t>/d（</w:t>
            </w:r>
            <w:r>
              <w:rPr>
                <w:rFonts w:hint="eastAsia" w:cs="Times New Roman"/>
                <w:bCs/>
                <w:color w:val="auto"/>
                <w:sz w:val="24"/>
                <w:szCs w:val="22"/>
                <w:lang w:val="en-US" w:eastAsia="zh-CN"/>
              </w:rPr>
              <w:t>480</w:t>
            </w:r>
            <w:r>
              <w:rPr>
                <w:rFonts w:hint="default" w:ascii="Times New Roman" w:hAnsi="Times New Roman" w:cs="Times New Roman"/>
                <w:bCs/>
                <w:color w:val="auto"/>
                <w:sz w:val="24"/>
                <w:szCs w:val="22"/>
              </w:rPr>
              <w:t>m</w:t>
            </w:r>
            <w:r>
              <w:rPr>
                <w:rFonts w:hint="default" w:ascii="Times New Roman" w:hAnsi="Times New Roman" w:cs="Times New Roman"/>
                <w:bCs/>
                <w:color w:val="auto"/>
                <w:sz w:val="24"/>
                <w:szCs w:val="22"/>
                <w:vertAlign w:val="superscript"/>
              </w:rPr>
              <w:t>3</w:t>
            </w:r>
            <w:r>
              <w:rPr>
                <w:rFonts w:hint="default" w:ascii="Times New Roman" w:hAnsi="Times New Roman" w:cs="Times New Roman"/>
                <w:bCs/>
                <w:color w:val="auto"/>
                <w:sz w:val="24"/>
                <w:szCs w:val="22"/>
              </w:rPr>
              <w:t>/a）。生活污水中主要污染物为SS、BOD</w:t>
            </w:r>
            <w:r>
              <w:rPr>
                <w:rFonts w:hint="default" w:ascii="Times New Roman" w:hAnsi="Times New Roman" w:cs="Times New Roman"/>
                <w:bCs/>
                <w:color w:val="auto"/>
                <w:sz w:val="24"/>
                <w:szCs w:val="22"/>
                <w:vertAlign w:val="subscript"/>
              </w:rPr>
              <w:t>5</w:t>
            </w:r>
            <w:r>
              <w:rPr>
                <w:rFonts w:hint="default" w:ascii="Times New Roman" w:hAnsi="Times New Roman" w:cs="Times New Roman"/>
                <w:bCs/>
                <w:color w:val="auto"/>
                <w:sz w:val="24"/>
                <w:szCs w:val="22"/>
              </w:rPr>
              <w:t>、COD、动植物油。</w:t>
            </w:r>
            <w:r>
              <w:rPr>
                <w:rFonts w:hint="default" w:ascii="Times New Roman" w:hAnsi="Times New Roman" w:cs="Times New Roman"/>
                <w:b w:val="0"/>
                <w:bCs w:val="0"/>
                <w:sz w:val="24"/>
                <w:szCs w:val="22"/>
                <w:lang w:val="en-US" w:eastAsia="zh-CN"/>
              </w:rPr>
              <w:t>项目营运期</w:t>
            </w:r>
            <w:r>
              <w:rPr>
                <w:rFonts w:hint="eastAsia" w:cs="Times New Roman"/>
                <w:b w:val="0"/>
                <w:bCs w:val="0"/>
                <w:sz w:val="24"/>
                <w:szCs w:val="22"/>
                <w:lang w:val="en-US" w:eastAsia="zh-CN"/>
              </w:rPr>
              <w:t>冲厕废水与生活污水</w:t>
            </w:r>
            <w:r>
              <w:rPr>
                <w:rFonts w:hint="default" w:ascii="Times New Roman" w:hAnsi="Times New Roman" w:cs="Times New Roman"/>
                <w:b w:val="0"/>
                <w:bCs w:val="0"/>
                <w:sz w:val="24"/>
                <w:szCs w:val="22"/>
                <w:lang w:val="en-US" w:eastAsia="zh-CN"/>
              </w:rPr>
              <w:t>排入化粪池处理</w:t>
            </w:r>
            <w:r>
              <w:rPr>
                <w:rFonts w:hint="eastAsia" w:ascii="Times New Roman" w:hAnsi="Times New Roman" w:cs="Times New Roman"/>
                <w:b w:val="0"/>
                <w:bCs w:val="0"/>
                <w:sz w:val="24"/>
                <w:szCs w:val="22"/>
                <w:lang w:val="en-US" w:eastAsia="zh-CN"/>
              </w:rPr>
              <w:t>，</w:t>
            </w:r>
            <w:r>
              <w:rPr>
                <w:rFonts w:hint="default" w:ascii="Times New Roman" w:hAnsi="Times New Roman" w:cs="Times New Roman"/>
                <w:b w:val="0"/>
                <w:bCs w:val="0"/>
                <w:sz w:val="24"/>
                <w:szCs w:val="22"/>
                <w:lang w:val="en-US" w:eastAsia="zh-CN"/>
              </w:rPr>
              <w:t>经</w:t>
            </w:r>
            <w:r>
              <w:rPr>
                <w:rFonts w:hint="default" w:ascii="Times New Roman" w:hAnsi="Times New Roman" w:cs="Times New Roman"/>
                <w:bCs/>
                <w:color w:val="auto"/>
                <w:sz w:val="24"/>
              </w:rPr>
              <w:t>化粪池处理</w:t>
            </w:r>
            <w:r>
              <w:rPr>
                <w:rFonts w:hint="default" w:ascii="Times New Roman" w:hAnsi="Times New Roman" w:cs="Times New Roman"/>
                <w:bCs/>
                <w:color w:val="auto"/>
                <w:sz w:val="24"/>
                <w:lang w:val="en-US" w:eastAsia="zh-CN"/>
              </w:rPr>
              <w:t>达到</w:t>
            </w:r>
            <w:r>
              <w:rPr>
                <w:rFonts w:ascii="Times New Roman"/>
                <w:sz w:val="24"/>
                <w:szCs w:val="24"/>
              </w:rPr>
              <w:t>《污水排入城镇下水道水质标准》（</w:t>
            </w:r>
            <w:r>
              <w:rPr>
                <w:rFonts w:ascii="Times New Roman" w:hAnsi="Times New Roman"/>
                <w:sz w:val="24"/>
                <w:szCs w:val="24"/>
              </w:rPr>
              <w:t>GB/T31962-2015</w:t>
            </w:r>
            <w:r>
              <w:rPr>
                <w:rFonts w:ascii="Times New Roman"/>
                <w:sz w:val="24"/>
                <w:szCs w:val="24"/>
              </w:rPr>
              <w:t>）</w:t>
            </w:r>
            <w:r>
              <w:rPr>
                <w:rFonts w:ascii="Times New Roman" w:hAnsi="Times New Roman"/>
                <w:sz w:val="24"/>
                <w:szCs w:val="24"/>
              </w:rPr>
              <w:t>表1中</w:t>
            </w:r>
            <w:r>
              <w:rPr>
                <w:rFonts w:hint="eastAsia"/>
                <w:sz w:val="24"/>
                <w:szCs w:val="24"/>
                <w:lang w:eastAsia="zh-CN"/>
              </w:rPr>
              <w:t>A级标准</w:t>
            </w:r>
            <w:r>
              <w:rPr>
                <w:rFonts w:hint="eastAsia"/>
                <w:sz w:val="24"/>
                <w:szCs w:val="24"/>
                <w:lang w:val="en-US" w:eastAsia="zh-CN"/>
              </w:rPr>
              <w:t>后</w:t>
            </w:r>
            <w:r>
              <w:rPr>
                <w:rFonts w:hint="eastAsia" w:ascii="Times New Roman" w:hAnsi="Times New Roman"/>
                <w:sz w:val="24"/>
                <w:szCs w:val="24"/>
                <w:lang w:eastAsia="zh-CN"/>
              </w:rPr>
              <w:t>排入园区污水管网</w:t>
            </w:r>
            <w:r>
              <w:rPr>
                <w:rFonts w:hint="eastAsia"/>
                <w:sz w:val="24"/>
                <w:szCs w:val="24"/>
                <w:lang w:eastAsia="zh-CN"/>
              </w:rPr>
              <w:t>，</w:t>
            </w:r>
            <w:r>
              <w:rPr>
                <w:rFonts w:hint="eastAsia"/>
                <w:sz w:val="24"/>
                <w:szCs w:val="24"/>
                <w:lang w:val="en-US" w:eastAsia="zh-CN"/>
              </w:rPr>
              <w:t>最终进入</w:t>
            </w:r>
            <w:r>
              <w:rPr>
                <w:rFonts w:hint="eastAsia" w:ascii="Times New Roman" w:hAnsi="Times New Roman"/>
                <w:sz w:val="24"/>
                <w:szCs w:val="24"/>
                <w:lang w:eastAsia="zh-CN"/>
              </w:rPr>
              <w:t>工业园区污水处理厂处理</w:t>
            </w:r>
            <w:r>
              <w:rPr>
                <w:rFonts w:hint="eastAsia"/>
                <w:sz w:val="24"/>
                <w:szCs w:val="24"/>
                <w:lang w:eastAsia="zh-CN"/>
              </w:rPr>
              <w:t>。</w:t>
            </w:r>
          </w:p>
          <w:p>
            <w:pPr>
              <w:spacing w:line="360" w:lineRule="auto"/>
              <w:ind w:firstLine="492" w:firstLineChars="204"/>
              <w:rPr>
                <w:rFonts w:hint="default" w:ascii="Times New Roman" w:hAnsi="Times New Roman" w:cs="Times New Roman"/>
                <w:b/>
                <w:bCs/>
                <w:sz w:val="24"/>
                <w:szCs w:val="22"/>
                <w:lang w:val="en-US" w:eastAsia="zh-CN"/>
              </w:rPr>
            </w:pPr>
            <w:r>
              <w:rPr>
                <w:rFonts w:hint="default" w:ascii="Times New Roman" w:hAnsi="Times New Roman" w:cs="Times New Roman"/>
                <w:b/>
                <w:bCs/>
                <w:sz w:val="24"/>
                <w:szCs w:val="22"/>
                <w:lang w:val="en-US" w:eastAsia="zh-CN"/>
              </w:rPr>
              <w:t>（</w:t>
            </w:r>
            <w:r>
              <w:rPr>
                <w:rFonts w:hint="eastAsia" w:cs="Times New Roman"/>
                <w:b/>
                <w:bCs/>
                <w:sz w:val="24"/>
                <w:szCs w:val="22"/>
                <w:lang w:val="en-US" w:eastAsia="zh-CN"/>
              </w:rPr>
              <w:t>3</w:t>
            </w:r>
            <w:r>
              <w:rPr>
                <w:rFonts w:hint="default" w:ascii="Times New Roman" w:hAnsi="Times New Roman" w:cs="Times New Roman"/>
                <w:b/>
                <w:bCs/>
                <w:sz w:val="24"/>
                <w:szCs w:val="22"/>
                <w:lang w:val="en-US" w:eastAsia="zh-CN"/>
              </w:rPr>
              <w:t>）水量平衡</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本项目给排水情况见表5-</w:t>
            </w:r>
            <w:r>
              <w:rPr>
                <w:rFonts w:hint="eastAsia" w:cs="Times New Roman"/>
                <w:sz w:val="24"/>
                <w:szCs w:val="22"/>
                <w:lang w:val="en-US" w:eastAsia="zh-CN"/>
              </w:rPr>
              <w:t>9</w:t>
            </w:r>
            <w:r>
              <w:rPr>
                <w:rFonts w:hint="default" w:ascii="Times New Roman" w:hAnsi="Times New Roman" w:cs="Times New Roman"/>
                <w:sz w:val="24"/>
                <w:szCs w:val="22"/>
                <w:lang w:val="en-US" w:eastAsia="zh-CN"/>
              </w:rPr>
              <w:t>。本项目水量平衡图详见图5-</w:t>
            </w:r>
            <w:r>
              <w:rPr>
                <w:rFonts w:hint="eastAsia" w:cs="Times New Roman"/>
                <w:sz w:val="24"/>
                <w:szCs w:val="22"/>
                <w:lang w:val="en-US" w:eastAsia="zh-CN"/>
              </w:rPr>
              <w:t>2</w:t>
            </w:r>
            <w:r>
              <w:rPr>
                <w:rFonts w:hint="default" w:ascii="Times New Roman" w:hAnsi="Times New Roman" w:cs="Times New Roman"/>
                <w:sz w:val="24"/>
                <w:szCs w:val="22"/>
                <w:lang w:val="en-US" w:eastAsia="zh-CN"/>
              </w:rPr>
              <w:t>所示。</w:t>
            </w:r>
          </w:p>
          <w:p>
            <w:pPr>
              <w:pStyle w:val="52"/>
              <w:bidi w:val="0"/>
              <w:spacing w:line="240" w:lineRule="auto"/>
              <w:rPr>
                <w:rFonts w:hint="eastAsia" w:eastAsia="宋体"/>
                <w:lang w:eastAsia="zh-CN"/>
              </w:rPr>
            </w:pPr>
            <w:r>
              <w:t>表5-</w:t>
            </w:r>
            <w:r>
              <w:rPr>
                <w:rFonts w:hint="eastAsia"/>
                <w:lang w:val="en-US" w:eastAsia="zh-CN"/>
              </w:rPr>
              <w:t>9</w:t>
            </w:r>
            <w:r>
              <w:t xml:space="preserve"> 项目区给排水情况一览表</w:t>
            </w:r>
            <w:r>
              <w:rPr>
                <w:rFonts w:hint="eastAsia"/>
                <w:lang w:eastAsia="zh-CN"/>
              </w:rPr>
              <w:t>（单位：</w:t>
            </w:r>
            <w:r>
              <w:rPr>
                <w:rFonts w:hint="eastAsia"/>
                <w:lang w:val="en-US" w:eastAsia="zh-CN"/>
              </w:rPr>
              <w:t>m</w:t>
            </w:r>
            <w:r>
              <w:rPr>
                <w:rFonts w:hint="eastAsia"/>
                <w:vertAlign w:val="superscript"/>
                <w:lang w:val="en-US" w:eastAsia="zh-CN"/>
              </w:rPr>
              <w:t>3</w:t>
            </w:r>
            <w:r>
              <w:rPr>
                <w:rFonts w:hint="eastAsia"/>
                <w:lang w:eastAsia="zh-CN"/>
              </w:rPr>
              <w:t>）</w:t>
            </w:r>
          </w:p>
          <w:tbl>
            <w:tblPr>
              <w:tblStyle w:val="3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4"/>
              <w:gridCol w:w="1364"/>
              <w:gridCol w:w="1365"/>
              <w:gridCol w:w="1365"/>
              <w:gridCol w:w="1365"/>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pct"/>
                  <w:noWrap w:val="0"/>
                  <w:vAlign w:val="top"/>
                </w:tcPr>
                <w:p>
                  <w:pPr>
                    <w:pStyle w:val="53"/>
                    <w:bidi w:val="0"/>
                    <w:spacing w:line="240" w:lineRule="auto"/>
                    <w:rPr>
                      <w:rFonts w:hint="eastAsia"/>
                      <w:b w:val="0"/>
                      <w:bCs w:val="0"/>
                      <w:sz w:val="21"/>
                      <w:szCs w:val="21"/>
                      <w:lang w:eastAsia="zh-CN"/>
                    </w:rPr>
                  </w:pPr>
                  <w:r>
                    <w:rPr>
                      <w:rFonts w:hint="eastAsia"/>
                      <w:b w:val="0"/>
                      <w:bCs w:val="0"/>
                      <w:sz w:val="21"/>
                      <w:szCs w:val="21"/>
                      <w:lang w:eastAsia="zh-CN"/>
                    </w:rPr>
                    <w:t>用水环节</w:t>
                  </w:r>
                </w:p>
              </w:tc>
              <w:tc>
                <w:tcPr>
                  <w:tcW w:w="832" w:type="pct"/>
                  <w:noWrap w:val="0"/>
                  <w:vAlign w:val="top"/>
                </w:tcPr>
                <w:p>
                  <w:pPr>
                    <w:pStyle w:val="53"/>
                    <w:bidi w:val="0"/>
                    <w:spacing w:line="240" w:lineRule="auto"/>
                    <w:rPr>
                      <w:rFonts w:hint="eastAsia"/>
                      <w:b w:val="0"/>
                      <w:bCs w:val="0"/>
                      <w:sz w:val="21"/>
                      <w:szCs w:val="21"/>
                      <w:lang w:eastAsia="zh-CN"/>
                    </w:rPr>
                  </w:pPr>
                  <w:r>
                    <w:rPr>
                      <w:rFonts w:hint="eastAsia"/>
                      <w:b w:val="0"/>
                      <w:bCs w:val="0"/>
                      <w:sz w:val="21"/>
                      <w:szCs w:val="21"/>
                      <w:lang w:eastAsia="zh-CN"/>
                    </w:rPr>
                    <w:t>用水标准</w:t>
                  </w:r>
                </w:p>
              </w:tc>
              <w:tc>
                <w:tcPr>
                  <w:tcW w:w="833" w:type="pct"/>
                  <w:noWrap w:val="0"/>
                  <w:vAlign w:val="top"/>
                </w:tcPr>
                <w:p>
                  <w:pPr>
                    <w:pStyle w:val="53"/>
                    <w:bidi w:val="0"/>
                    <w:spacing w:line="240" w:lineRule="auto"/>
                    <w:rPr>
                      <w:rFonts w:hint="eastAsia"/>
                      <w:b w:val="0"/>
                      <w:bCs w:val="0"/>
                      <w:sz w:val="21"/>
                      <w:szCs w:val="21"/>
                      <w:lang w:eastAsia="zh-CN"/>
                    </w:rPr>
                  </w:pPr>
                  <w:r>
                    <w:rPr>
                      <w:rFonts w:hint="eastAsia"/>
                      <w:b w:val="0"/>
                      <w:bCs w:val="0"/>
                      <w:sz w:val="21"/>
                      <w:szCs w:val="21"/>
                      <w:lang w:eastAsia="zh-CN"/>
                    </w:rPr>
                    <w:t>日用水量</w:t>
                  </w:r>
                </w:p>
              </w:tc>
              <w:tc>
                <w:tcPr>
                  <w:tcW w:w="833" w:type="pct"/>
                  <w:noWrap w:val="0"/>
                  <w:vAlign w:val="top"/>
                </w:tcPr>
                <w:p>
                  <w:pPr>
                    <w:pStyle w:val="53"/>
                    <w:bidi w:val="0"/>
                    <w:spacing w:line="240" w:lineRule="auto"/>
                    <w:rPr>
                      <w:rFonts w:hint="eastAsia"/>
                      <w:b w:val="0"/>
                      <w:bCs w:val="0"/>
                      <w:sz w:val="21"/>
                      <w:szCs w:val="21"/>
                      <w:lang w:eastAsia="zh-CN"/>
                    </w:rPr>
                  </w:pPr>
                  <w:r>
                    <w:rPr>
                      <w:rFonts w:hint="eastAsia"/>
                      <w:b w:val="0"/>
                      <w:bCs w:val="0"/>
                      <w:sz w:val="21"/>
                      <w:szCs w:val="21"/>
                      <w:lang w:eastAsia="zh-CN"/>
                    </w:rPr>
                    <w:t>年用水量</w:t>
                  </w:r>
                </w:p>
              </w:tc>
              <w:tc>
                <w:tcPr>
                  <w:tcW w:w="833" w:type="pct"/>
                  <w:noWrap w:val="0"/>
                  <w:vAlign w:val="top"/>
                </w:tcPr>
                <w:p>
                  <w:pPr>
                    <w:pStyle w:val="53"/>
                    <w:bidi w:val="0"/>
                    <w:spacing w:line="240" w:lineRule="auto"/>
                    <w:rPr>
                      <w:rFonts w:hint="eastAsia"/>
                      <w:b w:val="0"/>
                      <w:bCs w:val="0"/>
                      <w:sz w:val="21"/>
                      <w:szCs w:val="21"/>
                      <w:lang w:eastAsia="zh-CN"/>
                    </w:rPr>
                  </w:pPr>
                  <w:r>
                    <w:rPr>
                      <w:rFonts w:hint="eastAsia"/>
                      <w:b w:val="0"/>
                      <w:bCs w:val="0"/>
                      <w:sz w:val="21"/>
                      <w:szCs w:val="21"/>
                      <w:lang w:eastAsia="zh-CN"/>
                    </w:rPr>
                    <w:t>日废水量</w:t>
                  </w:r>
                </w:p>
              </w:tc>
              <w:tc>
                <w:tcPr>
                  <w:tcW w:w="833" w:type="pct"/>
                  <w:noWrap w:val="0"/>
                  <w:vAlign w:val="top"/>
                </w:tcPr>
                <w:p>
                  <w:pPr>
                    <w:pStyle w:val="53"/>
                    <w:bidi w:val="0"/>
                    <w:spacing w:line="240" w:lineRule="auto"/>
                    <w:rPr>
                      <w:rFonts w:hint="eastAsia"/>
                      <w:b w:val="0"/>
                      <w:bCs w:val="0"/>
                      <w:sz w:val="21"/>
                      <w:szCs w:val="21"/>
                      <w:lang w:eastAsia="zh-CN"/>
                    </w:rPr>
                  </w:pPr>
                  <w:r>
                    <w:rPr>
                      <w:rFonts w:hint="eastAsia"/>
                      <w:b w:val="0"/>
                      <w:bCs w:val="0"/>
                      <w:sz w:val="21"/>
                      <w:szCs w:val="21"/>
                      <w:lang w:eastAsia="zh-CN"/>
                    </w:rPr>
                    <w:t>年废水量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pct"/>
                  <w:noWrap w:val="0"/>
                  <w:vAlign w:val="top"/>
                </w:tcPr>
                <w:p>
                  <w:pPr>
                    <w:pStyle w:val="53"/>
                    <w:bidi w:val="0"/>
                    <w:spacing w:line="240" w:lineRule="auto"/>
                    <w:rPr>
                      <w:rFonts w:hint="eastAsia"/>
                      <w:b w:val="0"/>
                      <w:bCs w:val="0"/>
                      <w:sz w:val="21"/>
                      <w:szCs w:val="21"/>
                      <w:lang w:eastAsia="zh-CN"/>
                    </w:rPr>
                  </w:pPr>
                  <w:r>
                    <w:rPr>
                      <w:rFonts w:hint="eastAsia"/>
                      <w:b w:val="0"/>
                      <w:bCs w:val="0"/>
                      <w:sz w:val="21"/>
                      <w:szCs w:val="21"/>
                      <w:lang w:eastAsia="zh-CN"/>
                    </w:rPr>
                    <w:t>调漆用水</w:t>
                  </w:r>
                </w:p>
              </w:tc>
              <w:tc>
                <w:tcPr>
                  <w:tcW w:w="832" w:type="pct"/>
                  <w:noWrap w:val="0"/>
                  <w:vAlign w:val="top"/>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w:t>
                  </w:r>
                </w:p>
              </w:tc>
              <w:tc>
                <w:tcPr>
                  <w:tcW w:w="833" w:type="pct"/>
                  <w:noWrap w:val="0"/>
                  <w:vAlign w:val="top"/>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0.013</w:t>
                  </w:r>
                </w:p>
              </w:tc>
              <w:tc>
                <w:tcPr>
                  <w:tcW w:w="833" w:type="pct"/>
                  <w:noWrap w:val="0"/>
                  <w:vAlign w:val="top"/>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4</w:t>
                  </w:r>
                </w:p>
              </w:tc>
              <w:tc>
                <w:tcPr>
                  <w:tcW w:w="833" w:type="pct"/>
                  <w:noWrap w:val="0"/>
                  <w:vAlign w:val="top"/>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0</w:t>
                  </w:r>
                </w:p>
              </w:tc>
              <w:tc>
                <w:tcPr>
                  <w:tcW w:w="833" w:type="pct"/>
                  <w:noWrap w:val="0"/>
                  <w:vAlign w:val="top"/>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pct"/>
                  <w:noWrap w:val="0"/>
                  <w:vAlign w:val="top"/>
                </w:tcPr>
                <w:p>
                  <w:pPr>
                    <w:pStyle w:val="53"/>
                    <w:bidi w:val="0"/>
                    <w:spacing w:line="240" w:lineRule="auto"/>
                    <w:rPr>
                      <w:rFonts w:hint="eastAsia"/>
                      <w:b w:val="0"/>
                      <w:bCs w:val="0"/>
                      <w:sz w:val="21"/>
                      <w:szCs w:val="21"/>
                      <w:lang w:eastAsia="zh-CN"/>
                    </w:rPr>
                  </w:pPr>
                  <w:r>
                    <w:rPr>
                      <w:rFonts w:hint="eastAsia"/>
                      <w:b w:val="0"/>
                      <w:bCs w:val="0"/>
                      <w:sz w:val="21"/>
                      <w:szCs w:val="21"/>
                      <w:lang w:eastAsia="zh-CN"/>
                    </w:rPr>
                    <w:t>打孔冷却水</w:t>
                  </w:r>
                </w:p>
              </w:tc>
              <w:tc>
                <w:tcPr>
                  <w:tcW w:w="832" w:type="pct"/>
                  <w:noWrap w:val="0"/>
                  <w:vAlign w:val="top"/>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w:t>
                  </w:r>
                </w:p>
              </w:tc>
              <w:tc>
                <w:tcPr>
                  <w:tcW w:w="833" w:type="pct"/>
                  <w:noWrap w:val="0"/>
                  <w:vAlign w:val="top"/>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4.5</w:t>
                  </w:r>
                </w:p>
              </w:tc>
              <w:tc>
                <w:tcPr>
                  <w:tcW w:w="833" w:type="pct"/>
                  <w:noWrap w:val="0"/>
                  <w:vAlign w:val="top"/>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1350</w:t>
                  </w:r>
                </w:p>
              </w:tc>
              <w:tc>
                <w:tcPr>
                  <w:tcW w:w="833" w:type="pct"/>
                  <w:noWrap w:val="0"/>
                  <w:vAlign w:val="top"/>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0</w:t>
                  </w:r>
                </w:p>
              </w:tc>
              <w:tc>
                <w:tcPr>
                  <w:tcW w:w="833" w:type="pct"/>
                  <w:noWrap w:val="0"/>
                  <w:vAlign w:val="top"/>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pct"/>
                  <w:noWrap w:val="0"/>
                  <w:vAlign w:val="top"/>
                </w:tcPr>
                <w:p>
                  <w:pPr>
                    <w:pStyle w:val="53"/>
                    <w:bidi w:val="0"/>
                    <w:spacing w:line="240" w:lineRule="auto"/>
                    <w:rPr>
                      <w:rFonts w:hint="eastAsia"/>
                      <w:b w:val="0"/>
                      <w:bCs w:val="0"/>
                      <w:sz w:val="21"/>
                      <w:szCs w:val="21"/>
                      <w:lang w:eastAsia="zh-CN"/>
                    </w:rPr>
                  </w:pPr>
                  <w:r>
                    <w:rPr>
                      <w:rFonts w:hint="eastAsia"/>
                      <w:b w:val="0"/>
                      <w:bCs w:val="0"/>
                      <w:sz w:val="21"/>
                      <w:szCs w:val="21"/>
                      <w:lang w:eastAsia="zh-CN"/>
                    </w:rPr>
                    <w:t>生活用水</w:t>
                  </w:r>
                </w:p>
              </w:tc>
              <w:tc>
                <w:tcPr>
                  <w:tcW w:w="832" w:type="pct"/>
                  <w:noWrap w:val="0"/>
                  <w:vAlign w:val="top"/>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100L/（人·d）</w:t>
                  </w:r>
                </w:p>
              </w:tc>
              <w:tc>
                <w:tcPr>
                  <w:tcW w:w="833" w:type="pct"/>
                  <w:noWrap w:val="0"/>
                  <w:vAlign w:val="top"/>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2</w:t>
                  </w:r>
                </w:p>
              </w:tc>
              <w:tc>
                <w:tcPr>
                  <w:tcW w:w="833" w:type="pct"/>
                  <w:noWrap w:val="0"/>
                  <w:vAlign w:val="top"/>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600</w:t>
                  </w:r>
                </w:p>
              </w:tc>
              <w:tc>
                <w:tcPr>
                  <w:tcW w:w="833" w:type="pct"/>
                  <w:noWrap w:val="0"/>
                  <w:vAlign w:val="top"/>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1.6</w:t>
                  </w:r>
                </w:p>
              </w:tc>
              <w:tc>
                <w:tcPr>
                  <w:tcW w:w="833" w:type="pct"/>
                  <w:noWrap w:val="0"/>
                  <w:vAlign w:val="top"/>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480</w:t>
                  </w:r>
                </w:p>
              </w:tc>
            </w:tr>
          </w:tbl>
          <w:p>
            <w:pPr>
              <w:bidi w:val="0"/>
              <w:ind w:left="0" w:leftChars="0" w:firstLine="0" w:firstLineChars="0"/>
              <w:jc w:val="center"/>
            </w:pPr>
            <w:r>
              <w:object>
                <v:shape id="_x0000_i1026" o:spt="75" type="#_x0000_t75" style="height:121.95pt;width:369.1pt;" o:ole="t" filled="f" o:preferrelative="t" stroked="f" coordsize="21600,21600">
                  <v:path/>
                  <v:fill on="f" focussize="0,0"/>
                  <v:stroke on="f"/>
                  <v:imagedata r:id="rId13" o:title=""/>
                  <o:lock v:ext="edit" aspectratio="f"/>
                  <w10:wrap type="none"/>
                  <w10:anchorlock/>
                </v:shape>
                <o:OLEObject Type="Embed" ProgID="Visio.Drawing.15" ShapeID="_x0000_i1026" DrawAspect="Content" ObjectID="_1468075726" r:id="rId12">
                  <o:LockedField>false</o:LockedField>
                </o:OLEObject>
              </w:object>
            </w:r>
          </w:p>
          <w:p>
            <w:pPr>
              <w:pStyle w:val="52"/>
              <w:bidi w:val="0"/>
              <w:rPr>
                <w:rFonts w:hint="eastAsia"/>
                <w:lang w:val="en-US" w:eastAsia="zh-CN"/>
              </w:rPr>
            </w:pPr>
            <w:r>
              <w:rPr>
                <w:rFonts w:hint="eastAsia"/>
                <w:lang w:eastAsia="zh-CN"/>
              </w:rPr>
              <w:t>图</w:t>
            </w:r>
            <w:r>
              <w:rPr>
                <w:rFonts w:hint="eastAsia"/>
                <w:lang w:val="en-US" w:eastAsia="zh-CN"/>
              </w:rPr>
              <w:t>5-2  项目水平衡图  单位m</w:t>
            </w:r>
            <w:r>
              <w:rPr>
                <w:rFonts w:hint="eastAsia"/>
                <w:vertAlign w:val="superscript"/>
                <w:lang w:val="en-US" w:eastAsia="zh-CN"/>
              </w:rPr>
              <w:t>3</w:t>
            </w:r>
            <w:r>
              <w:rPr>
                <w:rFonts w:hint="eastAsia"/>
                <w:lang w:val="en-US" w:eastAsia="zh-CN"/>
              </w:rPr>
              <w:t>/d</w:t>
            </w:r>
          </w:p>
          <w:p>
            <w:pPr>
              <w:pStyle w:val="51"/>
              <w:bidi w:val="0"/>
              <w:jc w:val="both"/>
              <w:rPr>
                <w:rFonts w:hint="default"/>
                <w:lang w:val="en-US" w:eastAsia="zh-CN"/>
              </w:rPr>
            </w:pPr>
            <w:r>
              <w:rPr>
                <w:rFonts w:hint="eastAsia" w:cs="Times New Roman"/>
                <w:bCs/>
                <w:color w:val="auto"/>
                <w:sz w:val="24"/>
                <w:szCs w:val="22"/>
                <w:lang w:val="en-US" w:eastAsia="zh-CN"/>
              </w:rPr>
              <w:t>本项目废水产生量为：2</w:t>
            </w:r>
            <w:r>
              <w:rPr>
                <w:rFonts w:hint="default"/>
                <w:sz w:val="24"/>
                <w:szCs w:val="24"/>
                <w:lang w:val="en-US" w:eastAsia="zh-CN"/>
              </w:rPr>
              <w:t>m</w:t>
            </w:r>
            <w:r>
              <w:rPr>
                <w:rFonts w:hint="default"/>
                <w:sz w:val="24"/>
                <w:szCs w:val="24"/>
                <w:vertAlign w:val="superscript"/>
                <w:lang w:val="en-US" w:eastAsia="zh-CN"/>
              </w:rPr>
              <w:t>3</w:t>
            </w:r>
            <w:r>
              <w:rPr>
                <w:rFonts w:hint="default"/>
                <w:sz w:val="24"/>
                <w:szCs w:val="24"/>
                <w:lang w:val="en-US" w:eastAsia="zh-CN"/>
              </w:rPr>
              <w:t>/d</w:t>
            </w:r>
            <w:r>
              <w:rPr>
                <w:rFonts w:hint="eastAsia"/>
                <w:sz w:val="24"/>
                <w:szCs w:val="24"/>
                <w:lang w:val="en-US" w:eastAsia="zh-CN"/>
              </w:rPr>
              <w:t>，600</w:t>
            </w:r>
            <w:r>
              <w:rPr>
                <w:rFonts w:hint="default"/>
                <w:sz w:val="24"/>
                <w:szCs w:val="24"/>
                <w:lang w:val="en-US" w:eastAsia="zh-CN"/>
              </w:rPr>
              <w:t>m</w:t>
            </w:r>
            <w:r>
              <w:rPr>
                <w:rFonts w:hint="default"/>
                <w:sz w:val="24"/>
                <w:szCs w:val="24"/>
                <w:vertAlign w:val="superscript"/>
                <w:lang w:val="en-US" w:eastAsia="zh-CN"/>
              </w:rPr>
              <w:t>3</w:t>
            </w:r>
            <w:r>
              <w:rPr>
                <w:rFonts w:hint="default"/>
                <w:sz w:val="24"/>
                <w:szCs w:val="24"/>
                <w:lang w:val="en-US" w:eastAsia="zh-CN"/>
              </w:rPr>
              <w:t>/a</w:t>
            </w:r>
            <w:r>
              <w:rPr>
                <w:rFonts w:hint="eastAsia"/>
                <w:sz w:val="24"/>
                <w:szCs w:val="24"/>
                <w:lang w:val="en-US" w:eastAsia="zh-CN"/>
              </w:rPr>
              <w:t>，废水排放量为：1.6</w:t>
            </w:r>
            <w:r>
              <w:rPr>
                <w:rFonts w:hint="default"/>
                <w:sz w:val="24"/>
                <w:szCs w:val="24"/>
                <w:lang w:val="en-US" w:eastAsia="zh-CN"/>
              </w:rPr>
              <w:t>m</w:t>
            </w:r>
            <w:r>
              <w:rPr>
                <w:rFonts w:hint="default"/>
                <w:sz w:val="24"/>
                <w:szCs w:val="24"/>
                <w:vertAlign w:val="superscript"/>
                <w:lang w:val="en-US" w:eastAsia="zh-CN"/>
              </w:rPr>
              <w:t>3</w:t>
            </w:r>
            <w:r>
              <w:rPr>
                <w:rFonts w:hint="default"/>
                <w:sz w:val="24"/>
                <w:szCs w:val="24"/>
                <w:lang w:val="en-US" w:eastAsia="zh-CN"/>
              </w:rPr>
              <w:t>/d</w:t>
            </w:r>
            <w:r>
              <w:rPr>
                <w:rFonts w:hint="eastAsia"/>
                <w:sz w:val="24"/>
                <w:szCs w:val="24"/>
                <w:lang w:val="en-US" w:eastAsia="zh-CN"/>
              </w:rPr>
              <w:t>，480</w:t>
            </w:r>
            <w:r>
              <w:rPr>
                <w:rFonts w:hint="default"/>
                <w:sz w:val="24"/>
                <w:szCs w:val="24"/>
                <w:lang w:val="en-US" w:eastAsia="zh-CN"/>
              </w:rPr>
              <w:t>m</w:t>
            </w:r>
            <w:r>
              <w:rPr>
                <w:rFonts w:hint="default"/>
                <w:sz w:val="24"/>
                <w:szCs w:val="24"/>
                <w:vertAlign w:val="superscript"/>
                <w:lang w:val="en-US" w:eastAsia="zh-CN"/>
              </w:rPr>
              <w:t>3</w:t>
            </w:r>
            <w:r>
              <w:rPr>
                <w:rFonts w:hint="default"/>
                <w:sz w:val="24"/>
                <w:szCs w:val="24"/>
                <w:lang w:val="en-US" w:eastAsia="zh-CN"/>
              </w:rPr>
              <w:t>/a</w:t>
            </w:r>
            <w:r>
              <w:rPr>
                <w:rFonts w:hint="eastAsia"/>
                <w:sz w:val="24"/>
                <w:szCs w:val="24"/>
                <w:lang w:val="en-US" w:eastAsia="zh-CN"/>
              </w:rPr>
              <w:t>。</w:t>
            </w:r>
            <w:r>
              <w:rPr>
                <w:rFonts w:hint="default" w:ascii="Times New Roman" w:hAnsi="Times New Roman" w:cs="Times New Roman"/>
                <w:bCs/>
                <w:color w:val="auto"/>
                <w:sz w:val="24"/>
                <w:szCs w:val="22"/>
                <w:lang w:val="en-US" w:eastAsia="zh-CN"/>
              </w:rPr>
              <w:t>本项目废水中污染物产生浓度约：COD</w:t>
            </w:r>
            <w:r>
              <w:rPr>
                <w:rFonts w:hint="default" w:ascii="Times New Roman" w:hAnsi="Times New Roman" w:cs="Times New Roman"/>
                <w:bCs/>
                <w:color w:val="auto"/>
                <w:sz w:val="24"/>
                <w:szCs w:val="22"/>
                <w:vertAlign w:val="subscript"/>
                <w:lang w:val="en-US" w:eastAsia="zh-CN"/>
              </w:rPr>
              <w:t>Cr</w:t>
            </w:r>
            <w:r>
              <w:rPr>
                <w:rFonts w:hint="default" w:ascii="Times New Roman" w:hAnsi="Times New Roman" w:cs="Times New Roman"/>
                <w:bCs/>
                <w:color w:val="auto"/>
                <w:sz w:val="24"/>
                <w:szCs w:val="22"/>
                <w:lang w:val="en-US" w:eastAsia="zh-CN"/>
              </w:rPr>
              <w:t>330mg/L，BOD</w:t>
            </w:r>
            <w:r>
              <w:rPr>
                <w:rFonts w:hint="default" w:ascii="Times New Roman" w:hAnsi="Times New Roman" w:cs="Times New Roman"/>
                <w:bCs/>
                <w:color w:val="auto"/>
                <w:sz w:val="24"/>
                <w:szCs w:val="22"/>
                <w:vertAlign w:val="subscript"/>
                <w:lang w:val="en-US" w:eastAsia="zh-CN"/>
              </w:rPr>
              <w:t>5</w:t>
            </w:r>
            <w:r>
              <w:rPr>
                <w:rFonts w:hint="default" w:ascii="Times New Roman" w:hAnsi="Times New Roman" w:cs="Times New Roman"/>
                <w:bCs/>
                <w:color w:val="auto"/>
                <w:sz w:val="24"/>
                <w:szCs w:val="22"/>
                <w:lang w:val="en-US" w:eastAsia="zh-CN"/>
              </w:rPr>
              <w:t>180 mg/L</w:t>
            </w:r>
            <w:r>
              <w:rPr>
                <w:rFonts w:hint="eastAsia" w:ascii="Times New Roman" w:hAnsi="Times New Roman" w:cs="Times New Roman"/>
                <w:bCs/>
                <w:color w:val="auto"/>
                <w:sz w:val="24"/>
                <w:szCs w:val="22"/>
                <w:lang w:val="en-US" w:eastAsia="zh-CN"/>
              </w:rPr>
              <w:t>，</w:t>
            </w:r>
            <w:r>
              <w:rPr>
                <w:rFonts w:hint="default" w:ascii="Times New Roman" w:hAnsi="Times New Roman" w:cs="Times New Roman"/>
                <w:bCs/>
                <w:color w:val="auto"/>
                <w:sz w:val="24"/>
                <w:szCs w:val="22"/>
                <w:lang w:val="en-US" w:eastAsia="zh-CN"/>
              </w:rPr>
              <w:t>SS150mg/L，氨氮40mg/L，总磷5mg/L，</w:t>
            </w:r>
            <w:r>
              <w:rPr>
                <w:rFonts w:hint="eastAsia" w:ascii="Times New Roman" w:hAnsi="Times New Roman" w:cs="Times New Roman"/>
                <w:bCs/>
                <w:color w:val="auto"/>
                <w:sz w:val="24"/>
                <w:szCs w:val="22"/>
                <w:lang w:val="en-US" w:eastAsia="zh-CN"/>
              </w:rPr>
              <w:t>动植物油100</w:t>
            </w:r>
            <w:r>
              <w:rPr>
                <w:rFonts w:hint="default" w:ascii="Times New Roman" w:hAnsi="Times New Roman" w:cs="Times New Roman"/>
                <w:bCs/>
                <w:color w:val="auto"/>
                <w:sz w:val="24"/>
                <w:szCs w:val="22"/>
                <w:lang w:val="en-US" w:eastAsia="zh-CN"/>
              </w:rPr>
              <w:t xml:space="preserve"> mg/L。项目污水通过化粪池处理后，外排废水水质约为：COD</w:t>
            </w:r>
            <w:r>
              <w:rPr>
                <w:rFonts w:hint="default" w:ascii="Times New Roman" w:hAnsi="Times New Roman" w:cs="Times New Roman"/>
                <w:bCs/>
                <w:color w:val="auto"/>
                <w:sz w:val="24"/>
                <w:szCs w:val="22"/>
                <w:vertAlign w:val="subscript"/>
                <w:lang w:val="en-US" w:eastAsia="zh-CN"/>
              </w:rPr>
              <w:t>Cr</w:t>
            </w:r>
            <w:r>
              <w:rPr>
                <w:rFonts w:hint="default" w:ascii="Times New Roman" w:hAnsi="Times New Roman" w:cs="Times New Roman"/>
                <w:bCs/>
                <w:color w:val="auto"/>
                <w:sz w:val="24"/>
                <w:szCs w:val="22"/>
                <w:lang w:val="en-US" w:eastAsia="zh-CN"/>
              </w:rPr>
              <w:t>300mg/L，BOD</w:t>
            </w:r>
            <w:r>
              <w:rPr>
                <w:rFonts w:hint="default" w:ascii="Times New Roman" w:hAnsi="Times New Roman" w:cs="Times New Roman"/>
                <w:bCs/>
                <w:color w:val="auto"/>
                <w:sz w:val="24"/>
                <w:szCs w:val="22"/>
                <w:vertAlign w:val="subscript"/>
                <w:lang w:val="en-US" w:eastAsia="zh-CN"/>
              </w:rPr>
              <w:t>5</w:t>
            </w:r>
            <w:r>
              <w:rPr>
                <w:rFonts w:hint="default" w:ascii="Times New Roman" w:hAnsi="Times New Roman" w:cs="Times New Roman"/>
                <w:bCs/>
                <w:color w:val="auto"/>
                <w:sz w:val="24"/>
                <w:szCs w:val="22"/>
                <w:lang w:val="en-US" w:eastAsia="zh-CN"/>
              </w:rPr>
              <w:t>150mg/L，SS100mg/L，氨氮30mg/L，总磷3mg/L，</w:t>
            </w:r>
            <w:r>
              <w:rPr>
                <w:rFonts w:hint="eastAsia" w:ascii="Times New Roman" w:hAnsi="Times New Roman" w:cs="Times New Roman"/>
                <w:bCs/>
                <w:color w:val="auto"/>
                <w:sz w:val="24"/>
                <w:szCs w:val="22"/>
                <w:lang w:val="en-US" w:eastAsia="zh-CN"/>
              </w:rPr>
              <w:t>动植物油2</w:t>
            </w:r>
            <w:r>
              <w:rPr>
                <w:rFonts w:hint="default" w:ascii="Times New Roman" w:hAnsi="Times New Roman" w:cs="Times New Roman"/>
                <w:bCs/>
                <w:color w:val="auto"/>
                <w:sz w:val="24"/>
                <w:szCs w:val="22"/>
                <w:lang w:val="en-US" w:eastAsia="zh-CN"/>
              </w:rPr>
              <w:t>0mg/L</w:t>
            </w:r>
            <w:r>
              <w:rPr>
                <w:rFonts w:hint="eastAsia" w:cs="Times New Roman"/>
                <w:bCs/>
                <w:color w:val="auto"/>
                <w:sz w:val="24"/>
                <w:szCs w:val="22"/>
                <w:lang w:val="en-US" w:eastAsia="zh-CN"/>
              </w:rPr>
              <w:t>。</w:t>
            </w:r>
            <w:r>
              <w:rPr>
                <w:rFonts w:hint="default" w:ascii="Times New Roman" w:hAnsi="Times New Roman" w:cs="Times New Roman"/>
                <w:bCs/>
                <w:color w:val="auto"/>
                <w:sz w:val="24"/>
                <w:szCs w:val="22"/>
                <w:lang w:val="en-US" w:eastAsia="zh-CN"/>
              </w:rPr>
              <w:t>污染物产生</w:t>
            </w:r>
            <w:r>
              <w:rPr>
                <w:rFonts w:hint="eastAsia" w:cs="Times New Roman"/>
                <w:bCs/>
                <w:color w:val="auto"/>
                <w:sz w:val="24"/>
                <w:szCs w:val="22"/>
                <w:lang w:val="en-US" w:eastAsia="zh-CN"/>
              </w:rPr>
              <w:t>的量为</w:t>
            </w:r>
            <w:r>
              <w:rPr>
                <w:rFonts w:hint="default" w:ascii="Times New Roman" w:hAnsi="Times New Roman" w:cs="Times New Roman"/>
                <w:bCs/>
                <w:color w:val="auto"/>
                <w:sz w:val="24"/>
                <w:szCs w:val="22"/>
                <w:lang w:val="en-US" w:eastAsia="zh-CN"/>
              </w:rPr>
              <w:t>约：COD</w:t>
            </w:r>
            <w:r>
              <w:rPr>
                <w:rFonts w:hint="default" w:ascii="Times New Roman" w:hAnsi="Times New Roman" w:cs="Times New Roman"/>
                <w:bCs/>
                <w:color w:val="auto"/>
                <w:sz w:val="24"/>
                <w:szCs w:val="22"/>
                <w:vertAlign w:val="subscript"/>
                <w:lang w:val="en-US" w:eastAsia="zh-CN"/>
              </w:rPr>
              <w:t>Cr</w:t>
            </w:r>
            <w:r>
              <w:rPr>
                <w:rFonts w:hint="eastAsia" w:cs="Times New Roman"/>
                <w:bCs/>
                <w:color w:val="auto"/>
                <w:sz w:val="24"/>
                <w:szCs w:val="22"/>
                <w:lang w:val="en-US" w:eastAsia="zh-CN"/>
              </w:rPr>
              <w:t>144kg/a</w:t>
            </w:r>
            <w:r>
              <w:rPr>
                <w:rFonts w:hint="default" w:ascii="Times New Roman" w:hAnsi="Times New Roman" w:cs="Times New Roman"/>
                <w:bCs/>
                <w:color w:val="auto"/>
                <w:sz w:val="24"/>
                <w:szCs w:val="22"/>
                <w:lang w:val="en-US" w:eastAsia="zh-CN"/>
              </w:rPr>
              <w:t>，BOD</w:t>
            </w:r>
            <w:r>
              <w:rPr>
                <w:rFonts w:hint="default" w:ascii="Times New Roman" w:hAnsi="Times New Roman" w:cs="Times New Roman"/>
                <w:bCs/>
                <w:color w:val="auto"/>
                <w:sz w:val="24"/>
                <w:szCs w:val="22"/>
                <w:vertAlign w:val="subscript"/>
                <w:lang w:val="en-US" w:eastAsia="zh-CN"/>
              </w:rPr>
              <w:t>5</w:t>
            </w:r>
            <w:r>
              <w:rPr>
                <w:rFonts w:hint="eastAsia" w:cs="Times New Roman"/>
                <w:bCs/>
                <w:color w:val="auto"/>
                <w:sz w:val="24"/>
                <w:szCs w:val="22"/>
                <w:lang w:val="en-US" w:eastAsia="zh-CN"/>
              </w:rPr>
              <w:t>72kg/a</w:t>
            </w:r>
            <w:r>
              <w:rPr>
                <w:rFonts w:hint="default" w:ascii="Times New Roman" w:hAnsi="Times New Roman" w:cs="Times New Roman"/>
                <w:bCs/>
                <w:color w:val="auto"/>
                <w:sz w:val="24"/>
                <w:szCs w:val="22"/>
                <w:lang w:val="en-US" w:eastAsia="zh-CN"/>
              </w:rPr>
              <w:t>，SS</w:t>
            </w:r>
            <w:r>
              <w:rPr>
                <w:rFonts w:hint="eastAsia" w:cs="Times New Roman"/>
                <w:bCs/>
                <w:color w:val="auto"/>
                <w:sz w:val="24"/>
                <w:szCs w:val="22"/>
                <w:lang w:val="en-US" w:eastAsia="zh-CN"/>
              </w:rPr>
              <w:t xml:space="preserve"> 48kg/a</w:t>
            </w:r>
            <w:r>
              <w:rPr>
                <w:rFonts w:hint="default" w:ascii="Times New Roman" w:hAnsi="Times New Roman" w:cs="Times New Roman"/>
                <w:bCs/>
                <w:color w:val="auto"/>
                <w:sz w:val="24"/>
                <w:szCs w:val="22"/>
                <w:lang w:val="en-US" w:eastAsia="zh-CN"/>
              </w:rPr>
              <w:t>，氨氮</w:t>
            </w:r>
            <w:r>
              <w:rPr>
                <w:rFonts w:hint="eastAsia" w:cs="Times New Roman"/>
                <w:bCs/>
                <w:color w:val="auto"/>
                <w:sz w:val="24"/>
                <w:szCs w:val="22"/>
                <w:lang w:val="en-US" w:eastAsia="zh-CN"/>
              </w:rPr>
              <w:t>19.2kg/a</w:t>
            </w:r>
            <w:r>
              <w:rPr>
                <w:rFonts w:hint="default" w:ascii="Times New Roman" w:hAnsi="Times New Roman" w:cs="Times New Roman"/>
                <w:bCs/>
                <w:color w:val="auto"/>
                <w:sz w:val="24"/>
                <w:szCs w:val="22"/>
                <w:lang w:val="en-US" w:eastAsia="zh-CN"/>
              </w:rPr>
              <w:t>，总磷</w:t>
            </w:r>
            <w:r>
              <w:rPr>
                <w:rFonts w:hint="eastAsia" w:cs="Times New Roman"/>
                <w:bCs/>
                <w:color w:val="auto"/>
                <w:sz w:val="24"/>
                <w:szCs w:val="22"/>
                <w:lang w:val="en-US" w:eastAsia="zh-CN"/>
              </w:rPr>
              <w:t>1.44kg/a</w:t>
            </w:r>
            <w:r>
              <w:rPr>
                <w:rFonts w:hint="default" w:ascii="Times New Roman" w:hAnsi="Times New Roman" w:cs="Times New Roman"/>
                <w:bCs/>
                <w:color w:val="auto"/>
                <w:sz w:val="24"/>
                <w:szCs w:val="22"/>
                <w:lang w:val="en-US" w:eastAsia="zh-CN"/>
              </w:rPr>
              <w:t>，</w:t>
            </w:r>
            <w:r>
              <w:rPr>
                <w:rFonts w:hint="eastAsia" w:ascii="Times New Roman" w:hAnsi="Times New Roman" w:cs="Times New Roman"/>
                <w:bCs/>
                <w:color w:val="auto"/>
                <w:sz w:val="24"/>
                <w:szCs w:val="22"/>
                <w:lang w:val="en-US" w:eastAsia="zh-CN"/>
              </w:rPr>
              <w:t>动植物油</w:t>
            </w:r>
            <w:r>
              <w:rPr>
                <w:rFonts w:hint="eastAsia" w:cs="Times New Roman"/>
                <w:bCs/>
                <w:color w:val="auto"/>
                <w:sz w:val="24"/>
                <w:szCs w:val="22"/>
                <w:lang w:val="en-US" w:eastAsia="zh-CN"/>
              </w:rPr>
              <w:t>9.6kg/a。</w:t>
            </w:r>
          </w:p>
          <w:p>
            <w:pPr>
              <w:spacing w:line="360" w:lineRule="auto"/>
              <w:ind w:firstLine="492" w:firstLineChars="204"/>
              <w:rPr>
                <w:rFonts w:hint="default" w:ascii="Times New Roman" w:hAnsi="Times New Roman" w:cs="Times New Roman"/>
                <w:b/>
                <w:bCs/>
                <w:sz w:val="24"/>
                <w:szCs w:val="22"/>
                <w:lang w:val="en-US" w:eastAsia="zh-CN"/>
              </w:rPr>
            </w:pPr>
            <w:r>
              <w:rPr>
                <w:rFonts w:hint="default" w:ascii="Times New Roman" w:hAnsi="Times New Roman" w:cs="Times New Roman"/>
                <w:b/>
                <w:bCs/>
                <w:sz w:val="24"/>
                <w:szCs w:val="22"/>
                <w:lang w:val="en-US" w:eastAsia="zh-CN"/>
              </w:rPr>
              <w:t>3、噪声</w:t>
            </w:r>
          </w:p>
          <w:p>
            <w:pPr>
              <w:spacing w:line="360" w:lineRule="auto"/>
              <w:ind w:firstLine="489" w:firstLineChars="204"/>
              <w:rPr>
                <w:rFonts w:hint="default"/>
              </w:rPr>
            </w:pPr>
            <w:r>
              <w:rPr>
                <w:rFonts w:hint="default" w:ascii="Times New Roman" w:hAnsi="Times New Roman" w:cs="Times New Roman"/>
                <w:sz w:val="24"/>
                <w:szCs w:val="22"/>
                <w:lang w:val="en-US" w:eastAsia="zh-CN"/>
              </w:rPr>
              <w:t>项目营运期噪声主要为设备噪声，其中设备噪声源为</w:t>
            </w:r>
            <w:r>
              <w:rPr>
                <w:rFonts w:hint="eastAsia" w:ascii="Times New Roman" w:hAnsi="Times New Roman" w:cs="Times New Roman"/>
                <w:sz w:val="24"/>
                <w:szCs w:val="22"/>
                <w:lang w:val="en-US" w:eastAsia="zh-CN"/>
              </w:rPr>
              <w:t>剪板机、折弯机、液压机、卷板机等</w:t>
            </w:r>
            <w:r>
              <w:rPr>
                <w:rFonts w:hint="default" w:ascii="Times New Roman" w:hAnsi="Times New Roman" w:cs="Times New Roman"/>
                <w:sz w:val="24"/>
                <w:szCs w:val="22"/>
                <w:lang w:val="en-US" w:eastAsia="zh-CN"/>
              </w:rPr>
              <w:t>，其主要噪声源强见表5-</w:t>
            </w:r>
            <w:r>
              <w:rPr>
                <w:rFonts w:hint="eastAsia" w:cs="Times New Roman"/>
                <w:sz w:val="24"/>
                <w:szCs w:val="22"/>
                <w:lang w:val="en-US" w:eastAsia="zh-CN"/>
              </w:rPr>
              <w:t>10</w:t>
            </w:r>
            <w:r>
              <w:rPr>
                <w:rFonts w:hint="default" w:ascii="Times New Roman" w:hAnsi="Times New Roman" w:cs="Times New Roman"/>
                <w:sz w:val="24"/>
                <w:szCs w:val="22"/>
                <w:lang w:val="en-US" w:eastAsia="zh-CN"/>
              </w:rPr>
              <w:t>。</w:t>
            </w:r>
          </w:p>
          <w:p>
            <w:pPr>
              <w:pStyle w:val="52"/>
              <w:bidi w:val="0"/>
              <w:spacing w:line="240" w:lineRule="auto"/>
              <w:rPr>
                <w:rFonts w:hint="default"/>
              </w:rPr>
            </w:pPr>
            <w:r>
              <w:rPr>
                <w:rFonts w:hint="default"/>
              </w:rPr>
              <w:t>表5-</w:t>
            </w:r>
            <w:r>
              <w:rPr>
                <w:rFonts w:hint="eastAsia"/>
                <w:lang w:val="en-US" w:eastAsia="zh-CN"/>
              </w:rPr>
              <w:t>10</w:t>
            </w:r>
            <w:r>
              <w:rPr>
                <w:rFonts w:hint="default"/>
              </w:rPr>
              <w:t xml:space="preserve">  运营期各类噪声源强及治理措施</w:t>
            </w:r>
          </w:p>
          <w:tbl>
            <w:tblPr>
              <w:tblStyle w:val="3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2194"/>
              <w:gridCol w:w="1086"/>
              <w:gridCol w:w="1889"/>
              <w:gridCol w:w="2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序号</w:t>
                  </w:r>
                </w:p>
              </w:tc>
              <w:tc>
                <w:tcPr>
                  <w:tcW w:w="1339" w:type="pct"/>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设备名称</w:t>
                  </w:r>
                </w:p>
              </w:tc>
              <w:tc>
                <w:tcPr>
                  <w:tcW w:w="663" w:type="pct"/>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数量</w:t>
                  </w:r>
                </w:p>
              </w:tc>
              <w:tc>
                <w:tcPr>
                  <w:tcW w:w="1153" w:type="pct"/>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源强</w:t>
                  </w:r>
                </w:p>
              </w:tc>
              <w:tc>
                <w:tcPr>
                  <w:tcW w:w="1415" w:type="pct"/>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w:t>
                  </w:r>
                </w:p>
              </w:tc>
              <w:tc>
                <w:tcPr>
                  <w:tcW w:w="2194" w:type="dxa"/>
                  <w:noWrap w:val="0"/>
                  <w:vAlign w:val="top"/>
                </w:tcPr>
                <w:p>
                  <w:pPr>
                    <w:pStyle w:val="104"/>
                    <w:spacing w:line="360" w:lineRule="auto"/>
                    <w:jc w:val="center"/>
                    <w:rPr>
                      <w:rFonts w:hint="eastAsia"/>
                      <w:b w:val="0"/>
                      <w:bCs w:val="0"/>
                      <w:sz w:val="21"/>
                      <w:szCs w:val="21"/>
                      <w:lang w:val="en-US" w:eastAsia="zh-CN"/>
                    </w:rPr>
                  </w:pPr>
                  <w:r>
                    <w:rPr>
                      <w:rFonts w:hint="eastAsia" w:ascii="Times New Roman"/>
                      <w:sz w:val="21"/>
                      <w:szCs w:val="21"/>
                      <w:lang w:eastAsia="zh-CN"/>
                    </w:rPr>
                    <w:t>液压式折弯机</w:t>
                  </w:r>
                </w:p>
              </w:tc>
              <w:tc>
                <w:tcPr>
                  <w:tcW w:w="663"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1台</w:t>
                  </w:r>
                </w:p>
              </w:tc>
              <w:tc>
                <w:tcPr>
                  <w:tcW w:w="1889" w:type="dxa"/>
                  <w:noWrap w:val="0"/>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90</w:t>
                  </w:r>
                </w:p>
              </w:tc>
              <w:tc>
                <w:tcPr>
                  <w:tcW w:w="1415" w:type="pct"/>
                  <w:vMerge w:val="restart"/>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低噪声设备、基础减震、车间隔声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2</w:t>
                  </w:r>
                </w:p>
              </w:tc>
              <w:tc>
                <w:tcPr>
                  <w:tcW w:w="2194" w:type="dxa"/>
                  <w:noWrap w:val="0"/>
                  <w:vAlign w:val="top"/>
                </w:tcPr>
                <w:p>
                  <w:pPr>
                    <w:pStyle w:val="104"/>
                    <w:spacing w:line="360" w:lineRule="auto"/>
                    <w:jc w:val="center"/>
                    <w:rPr>
                      <w:rFonts w:hint="eastAsia"/>
                      <w:b w:val="0"/>
                      <w:bCs w:val="0"/>
                      <w:sz w:val="21"/>
                      <w:szCs w:val="21"/>
                      <w:lang w:val="en-US" w:eastAsia="zh-CN"/>
                    </w:rPr>
                  </w:pPr>
                  <w:r>
                    <w:rPr>
                      <w:rFonts w:hint="eastAsia" w:ascii="Times New Roman"/>
                      <w:sz w:val="21"/>
                      <w:szCs w:val="21"/>
                      <w:lang w:eastAsia="zh-CN"/>
                    </w:rPr>
                    <w:t>摇臂钻床</w:t>
                  </w:r>
                </w:p>
              </w:tc>
              <w:tc>
                <w:tcPr>
                  <w:tcW w:w="663"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1台</w:t>
                  </w:r>
                </w:p>
              </w:tc>
              <w:tc>
                <w:tcPr>
                  <w:tcW w:w="1889" w:type="dxa"/>
                  <w:noWrap w:val="0"/>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85</w:t>
                  </w:r>
                </w:p>
              </w:tc>
              <w:tc>
                <w:tcPr>
                  <w:tcW w:w="1415" w:type="pct"/>
                  <w:vMerge w:val="continue"/>
                  <w:noWrap w:val="0"/>
                  <w:vAlign w:val="center"/>
                </w:tcPr>
                <w:p>
                  <w:pPr>
                    <w:pStyle w:val="53"/>
                    <w:bidi w:val="0"/>
                    <w:spacing w:line="240" w:lineRule="auto"/>
                    <w:rPr>
                      <w:rFonts w:hint="eastAsia"/>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3</w:t>
                  </w:r>
                </w:p>
              </w:tc>
              <w:tc>
                <w:tcPr>
                  <w:tcW w:w="2194" w:type="dxa"/>
                  <w:noWrap w:val="0"/>
                  <w:vAlign w:val="top"/>
                </w:tcPr>
                <w:p>
                  <w:pPr>
                    <w:pStyle w:val="104"/>
                    <w:spacing w:line="360" w:lineRule="auto"/>
                    <w:jc w:val="center"/>
                    <w:rPr>
                      <w:rFonts w:hint="eastAsia"/>
                      <w:b w:val="0"/>
                      <w:bCs w:val="0"/>
                      <w:sz w:val="21"/>
                      <w:szCs w:val="21"/>
                      <w:lang w:val="en-US" w:eastAsia="zh-CN"/>
                    </w:rPr>
                  </w:pPr>
                  <w:r>
                    <w:rPr>
                      <w:rFonts w:hint="eastAsia" w:ascii="Times New Roman"/>
                      <w:sz w:val="21"/>
                      <w:szCs w:val="21"/>
                      <w:lang w:eastAsia="zh-CN"/>
                    </w:rPr>
                    <w:t>激光切割机</w:t>
                  </w:r>
                </w:p>
              </w:tc>
              <w:tc>
                <w:tcPr>
                  <w:tcW w:w="663"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1台</w:t>
                  </w:r>
                </w:p>
              </w:tc>
              <w:tc>
                <w:tcPr>
                  <w:tcW w:w="1889" w:type="dxa"/>
                  <w:noWrap w:val="0"/>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95</w:t>
                  </w:r>
                </w:p>
              </w:tc>
              <w:tc>
                <w:tcPr>
                  <w:tcW w:w="1415" w:type="pct"/>
                  <w:vMerge w:val="continue"/>
                  <w:noWrap w:val="0"/>
                  <w:vAlign w:val="center"/>
                </w:tcPr>
                <w:p>
                  <w:pPr>
                    <w:pStyle w:val="53"/>
                    <w:bidi w:val="0"/>
                    <w:spacing w:line="240" w:lineRule="auto"/>
                    <w:rPr>
                      <w:rFonts w:hint="eastAsia"/>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4</w:t>
                  </w:r>
                </w:p>
              </w:tc>
              <w:tc>
                <w:tcPr>
                  <w:tcW w:w="2194" w:type="dxa"/>
                  <w:noWrap w:val="0"/>
                  <w:vAlign w:val="top"/>
                </w:tcPr>
                <w:p>
                  <w:pPr>
                    <w:pStyle w:val="104"/>
                    <w:spacing w:line="360" w:lineRule="auto"/>
                    <w:jc w:val="center"/>
                    <w:rPr>
                      <w:rFonts w:hint="eastAsia"/>
                      <w:b w:val="0"/>
                      <w:bCs w:val="0"/>
                      <w:sz w:val="21"/>
                      <w:szCs w:val="21"/>
                      <w:lang w:val="en-US" w:eastAsia="zh-CN"/>
                    </w:rPr>
                  </w:pPr>
                  <w:r>
                    <w:rPr>
                      <w:rFonts w:hint="eastAsia" w:ascii="Times New Roman"/>
                      <w:sz w:val="21"/>
                      <w:szCs w:val="21"/>
                      <w:lang w:eastAsia="zh-CN"/>
                    </w:rPr>
                    <w:t>行吊</w:t>
                  </w:r>
                </w:p>
              </w:tc>
              <w:tc>
                <w:tcPr>
                  <w:tcW w:w="663"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4台</w:t>
                  </w:r>
                </w:p>
              </w:tc>
              <w:tc>
                <w:tcPr>
                  <w:tcW w:w="1889" w:type="dxa"/>
                  <w:noWrap w:val="0"/>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85</w:t>
                  </w:r>
                </w:p>
              </w:tc>
              <w:tc>
                <w:tcPr>
                  <w:tcW w:w="1415" w:type="pct"/>
                  <w:vMerge w:val="continue"/>
                  <w:noWrap w:val="0"/>
                  <w:vAlign w:val="center"/>
                </w:tcPr>
                <w:p>
                  <w:pPr>
                    <w:pStyle w:val="53"/>
                    <w:bidi w:val="0"/>
                    <w:spacing w:line="240" w:lineRule="auto"/>
                    <w:rPr>
                      <w:rFonts w:hint="eastAsia"/>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5</w:t>
                  </w:r>
                </w:p>
              </w:tc>
              <w:tc>
                <w:tcPr>
                  <w:tcW w:w="2194" w:type="dxa"/>
                  <w:noWrap w:val="0"/>
                  <w:vAlign w:val="top"/>
                </w:tcPr>
                <w:p>
                  <w:pPr>
                    <w:pStyle w:val="104"/>
                    <w:spacing w:line="360" w:lineRule="auto"/>
                    <w:jc w:val="center"/>
                    <w:rPr>
                      <w:rFonts w:hint="eastAsia"/>
                      <w:b w:val="0"/>
                      <w:bCs w:val="0"/>
                      <w:sz w:val="21"/>
                      <w:szCs w:val="21"/>
                      <w:lang w:val="en-US" w:eastAsia="zh-CN"/>
                    </w:rPr>
                  </w:pPr>
                  <w:r>
                    <w:rPr>
                      <w:rFonts w:hint="eastAsia" w:ascii="Times New Roman"/>
                      <w:sz w:val="21"/>
                      <w:szCs w:val="21"/>
                      <w:lang w:eastAsia="zh-CN"/>
                    </w:rPr>
                    <w:t>空压机</w:t>
                  </w:r>
                </w:p>
              </w:tc>
              <w:tc>
                <w:tcPr>
                  <w:tcW w:w="663"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4台</w:t>
                  </w:r>
                </w:p>
              </w:tc>
              <w:tc>
                <w:tcPr>
                  <w:tcW w:w="1889" w:type="dxa"/>
                  <w:noWrap w:val="0"/>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95</w:t>
                  </w:r>
                </w:p>
              </w:tc>
              <w:tc>
                <w:tcPr>
                  <w:tcW w:w="1415" w:type="pct"/>
                  <w:vMerge w:val="continue"/>
                  <w:noWrap w:val="0"/>
                  <w:vAlign w:val="center"/>
                </w:tcPr>
                <w:p>
                  <w:pPr>
                    <w:pStyle w:val="53"/>
                    <w:bidi w:val="0"/>
                    <w:spacing w:line="240" w:lineRule="auto"/>
                    <w:rPr>
                      <w:rFonts w:hint="eastAsia"/>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6</w:t>
                  </w:r>
                </w:p>
              </w:tc>
              <w:tc>
                <w:tcPr>
                  <w:tcW w:w="2194" w:type="dxa"/>
                  <w:noWrap w:val="0"/>
                  <w:vAlign w:val="top"/>
                </w:tcPr>
                <w:p>
                  <w:pPr>
                    <w:pStyle w:val="104"/>
                    <w:spacing w:line="360" w:lineRule="auto"/>
                    <w:jc w:val="center"/>
                    <w:rPr>
                      <w:rFonts w:hint="eastAsia"/>
                      <w:b w:val="0"/>
                      <w:bCs w:val="0"/>
                      <w:sz w:val="21"/>
                      <w:szCs w:val="21"/>
                      <w:lang w:val="en-US" w:eastAsia="zh-CN"/>
                    </w:rPr>
                  </w:pPr>
                  <w:r>
                    <w:rPr>
                      <w:rFonts w:hint="eastAsia" w:ascii="Times New Roman"/>
                      <w:sz w:val="21"/>
                      <w:szCs w:val="21"/>
                      <w:lang w:eastAsia="zh-CN"/>
                    </w:rPr>
                    <w:t>焊机</w:t>
                  </w:r>
                </w:p>
              </w:tc>
              <w:tc>
                <w:tcPr>
                  <w:tcW w:w="663"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10台</w:t>
                  </w:r>
                </w:p>
              </w:tc>
              <w:tc>
                <w:tcPr>
                  <w:tcW w:w="1889" w:type="dxa"/>
                  <w:noWrap w:val="0"/>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80</w:t>
                  </w:r>
                </w:p>
              </w:tc>
              <w:tc>
                <w:tcPr>
                  <w:tcW w:w="1415" w:type="pct"/>
                  <w:vMerge w:val="continue"/>
                  <w:noWrap w:val="0"/>
                  <w:vAlign w:val="center"/>
                </w:tcPr>
                <w:p>
                  <w:pPr>
                    <w:pStyle w:val="53"/>
                    <w:bidi w:val="0"/>
                    <w:spacing w:line="240" w:lineRule="auto"/>
                    <w:rPr>
                      <w:rFonts w:hint="eastAsia"/>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7</w:t>
                  </w:r>
                </w:p>
              </w:tc>
              <w:tc>
                <w:tcPr>
                  <w:tcW w:w="2194" w:type="dxa"/>
                  <w:noWrap w:val="0"/>
                  <w:vAlign w:val="top"/>
                </w:tcPr>
                <w:p>
                  <w:pPr>
                    <w:pStyle w:val="104"/>
                    <w:spacing w:line="360" w:lineRule="auto"/>
                    <w:jc w:val="center"/>
                    <w:rPr>
                      <w:rFonts w:hint="eastAsia"/>
                      <w:b w:val="0"/>
                      <w:bCs w:val="0"/>
                      <w:sz w:val="21"/>
                      <w:szCs w:val="21"/>
                      <w:lang w:val="en-US" w:eastAsia="zh-CN"/>
                    </w:rPr>
                  </w:pPr>
                  <w:r>
                    <w:rPr>
                      <w:rFonts w:hint="eastAsia" w:ascii="Times New Roman"/>
                      <w:sz w:val="21"/>
                      <w:szCs w:val="21"/>
                      <w:lang w:eastAsia="zh-CN"/>
                    </w:rPr>
                    <w:t>锯床</w:t>
                  </w:r>
                </w:p>
              </w:tc>
              <w:tc>
                <w:tcPr>
                  <w:tcW w:w="663"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3台</w:t>
                  </w:r>
                </w:p>
              </w:tc>
              <w:tc>
                <w:tcPr>
                  <w:tcW w:w="1889" w:type="dxa"/>
                  <w:noWrap w:val="0"/>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90</w:t>
                  </w:r>
                </w:p>
              </w:tc>
              <w:tc>
                <w:tcPr>
                  <w:tcW w:w="1415" w:type="pct"/>
                  <w:vMerge w:val="continue"/>
                  <w:noWrap w:val="0"/>
                  <w:vAlign w:val="center"/>
                </w:tcPr>
                <w:p>
                  <w:pPr>
                    <w:pStyle w:val="53"/>
                    <w:bidi w:val="0"/>
                    <w:spacing w:line="240" w:lineRule="auto"/>
                    <w:rPr>
                      <w:rFonts w:hint="eastAsia"/>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8</w:t>
                  </w:r>
                </w:p>
              </w:tc>
              <w:tc>
                <w:tcPr>
                  <w:tcW w:w="2194" w:type="dxa"/>
                  <w:noWrap w:val="0"/>
                  <w:vAlign w:val="top"/>
                </w:tcPr>
                <w:p>
                  <w:pPr>
                    <w:pStyle w:val="104"/>
                    <w:spacing w:line="360" w:lineRule="auto"/>
                    <w:jc w:val="center"/>
                    <w:rPr>
                      <w:rFonts w:hint="eastAsia"/>
                      <w:b w:val="0"/>
                      <w:bCs w:val="0"/>
                      <w:sz w:val="21"/>
                      <w:szCs w:val="21"/>
                      <w:lang w:val="en-US" w:eastAsia="zh-CN"/>
                    </w:rPr>
                  </w:pPr>
                  <w:r>
                    <w:rPr>
                      <w:rFonts w:hint="eastAsia" w:ascii="Times New Roman"/>
                      <w:sz w:val="21"/>
                      <w:szCs w:val="21"/>
                      <w:lang w:eastAsia="zh-CN"/>
                    </w:rPr>
                    <w:t>喷砂机</w:t>
                  </w:r>
                </w:p>
              </w:tc>
              <w:tc>
                <w:tcPr>
                  <w:tcW w:w="663"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1套</w:t>
                  </w:r>
                </w:p>
              </w:tc>
              <w:tc>
                <w:tcPr>
                  <w:tcW w:w="1889" w:type="dxa"/>
                  <w:noWrap w:val="0"/>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90</w:t>
                  </w:r>
                </w:p>
              </w:tc>
              <w:tc>
                <w:tcPr>
                  <w:tcW w:w="1415" w:type="pct"/>
                  <w:vMerge w:val="continue"/>
                  <w:noWrap w:val="0"/>
                  <w:vAlign w:val="center"/>
                </w:tcPr>
                <w:p>
                  <w:pPr>
                    <w:pStyle w:val="53"/>
                    <w:bidi w:val="0"/>
                    <w:spacing w:line="240" w:lineRule="auto"/>
                    <w:rPr>
                      <w:rFonts w:hint="eastAsia"/>
                      <w:b w:val="0"/>
                      <w:bCs w:val="0"/>
                      <w:sz w:val="21"/>
                      <w:szCs w:val="21"/>
                      <w:lang w:val="en-US" w:eastAsia="zh-CN"/>
                    </w:rPr>
                  </w:pPr>
                </w:p>
              </w:tc>
            </w:tr>
          </w:tbl>
          <w:p>
            <w:pPr>
              <w:spacing w:line="360" w:lineRule="auto"/>
              <w:ind w:firstLine="492" w:firstLineChars="204"/>
              <w:rPr>
                <w:rFonts w:hint="default" w:ascii="Times New Roman" w:hAnsi="Times New Roman" w:cs="Times New Roman"/>
                <w:b/>
                <w:bCs/>
                <w:sz w:val="24"/>
                <w:szCs w:val="22"/>
                <w:lang w:val="en-US" w:eastAsia="zh-CN"/>
              </w:rPr>
            </w:pPr>
            <w:r>
              <w:rPr>
                <w:rFonts w:hint="default" w:ascii="Times New Roman" w:hAnsi="Times New Roman" w:cs="Times New Roman"/>
                <w:b/>
                <w:bCs/>
                <w:sz w:val="24"/>
                <w:szCs w:val="22"/>
                <w:lang w:val="en-US" w:eastAsia="zh-CN"/>
              </w:rPr>
              <w:t>4、固体废物</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项目运营期产生的固废主要有边角废料、收集的</w:t>
            </w:r>
            <w:r>
              <w:rPr>
                <w:rFonts w:hint="eastAsia" w:cs="Times New Roman"/>
                <w:sz w:val="24"/>
                <w:szCs w:val="22"/>
                <w:lang w:val="en-US" w:eastAsia="zh-CN"/>
              </w:rPr>
              <w:t>打磨粉尘</w:t>
            </w:r>
            <w:r>
              <w:rPr>
                <w:rFonts w:hint="default" w:ascii="Times New Roman" w:hAnsi="Times New Roman" w:cs="Times New Roman"/>
                <w:sz w:val="24"/>
                <w:szCs w:val="22"/>
                <w:lang w:val="en-US" w:eastAsia="zh-CN"/>
              </w:rPr>
              <w:t>、焊渣、废包装材料、废</w:t>
            </w:r>
            <w:r>
              <w:rPr>
                <w:rFonts w:hint="eastAsia" w:ascii="Times New Roman" w:hAnsi="Times New Roman" w:cs="Times New Roman"/>
                <w:sz w:val="24"/>
                <w:szCs w:val="22"/>
                <w:lang w:val="en-US" w:eastAsia="zh-CN"/>
              </w:rPr>
              <w:t>机</w:t>
            </w:r>
            <w:r>
              <w:rPr>
                <w:rFonts w:hint="default" w:ascii="Times New Roman" w:hAnsi="Times New Roman" w:cs="Times New Roman"/>
                <w:sz w:val="24"/>
                <w:szCs w:val="22"/>
                <w:lang w:val="en-US" w:eastAsia="zh-CN"/>
              </w:rPr>
              <w:t>油、废</w:t>
            </w:r>
            <w:r>
              <w:rPr>
                <w:rFonts w:hint="eastAsia" w:ascii="Times New Roman" w:hAnsi="Times New Roman" w:cs="Times New Roman"/>
                <w:sz w:val="24"/>
                <w:szCs w:val="22"/>
                <w:lang w:val="en-US" w:eastAsia="zh-CN"/>
              </w:rPr>
              <w:t>过滤棉、废活性炭</w:t>
            </w:r>
            <w:r>
              <w:rPr>
                <w:rFonts w:hint="default" w:ascii="Times New Roman" w:hAnsi="Times New Roman" w:cs="Times New Roman"/>
                <w:sz w:val="24"/>
                <w:szCs w:val="22"/>
                <w:lang w:val="en-US" w:eastAsia="zh-CN"/>
              </w:rPr>
              <w:t>、废原料桶、生活垃圾。</w:t>
            </w:r>
          </w:p>
          <w:p>
            <w:pPr>
              <w:spacing w:line="360" w:lineRule="auto"/>
              <w:ind w:firstLine="492" w:firstLineChars="204"/>
              <w:rPr>
                <w:rFonts w:hint="default" w:ascii="Times New Roman" w:hAnsi="Times New Roman" w:cs="Times New Roman"/>
                <w:b/>
                <w:bCs/>
                <w:sz w:val="24"/>
                <w:szCs w:val="22"/>
                <w:lang w:val="en-US" w:eastAsia="zh-CN"/>
              </w:rPr>
            </w:pPr>
            <w:r>
              <w:rPr>
                <w:rFonts w:hint="default" w:ascii="Times New Roman" w:hAnsi="Times New Roman" w:cs="Times New Roman"/>
                <w:b/>
                <w:bCs/>
                <w:sz w:val="24"/>
                <w:szCs w:val="22"/>
                <w:lang w:val="en-US" w:eastAsia="zh-CN"/>
              </w:rPr>
              <w:t>（1）生活垃圾</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项目年工作300天，项目定员</w:t>
            </w:r>
            <w:r>
              <w:rPr>
                <w:rFonts w:hint="eastAsia" w:ascii="Times New Roman" w:hAnsi="Times New Roman" w:cs="Times New Roman"/>
                <w:sz w:val="24"/>
                <w:szCs w:val="22"/>
                <w:lang w:val="en-US" w:eastAsia="zh-CN"/>
              </w:rPr>
              <w:t>20</w:t>
            </w:r>
            <w:r>
              <w:rPr>
                <w:rFonts w:hint="default" w:ascii="Times New Roman" w:hAnsi="Times New Roman" w:cs="Times New Roman"/>
                <w:sz w:val="24"/>
                <w:szCs w:val="22"/>
                <w:lang w:val="en-US" w:eastAsia="zh-CN"/>
              </w:rPr>
              <w:t>人，生活垃圾产生量按0.5kg/(人·d)计，则项目生活垃圾产生量为</w:t>
            </w:r>
            <w:r>
              <w:rPr>
                <w:rFonts w:hint="eastAsia" w:ascii="Times New Roman" w:hAnsi="Times New Roman" w:cs="Times New Roman"/>
                <w:sz w:val="24"/>
                <w:szCs w:val="22"/>
                <w:lang w:val="en-US" w:eastAsia="zh-CN"/>
              </w:rPr>
              <w:t>10</w:t>
            </w:r>
            <w:r>
              <w:rPr>
                <w:rFonts w:hint="default" w:ascii="Times New Roman" w:hAnsi="Times New Roman" w:cs="Times New Roman"/>
                <w:sz w:val="24"/>
                <w:szCs w:val="22"/>
                <w:lang w:val="en-US" w:eastAsia="zh-CN"/>
              </w:rPr>
              <w:t>kg/d，年产生垃圾量为</w:t>
            </w:r>
            <w:r>
              <w:rPr>
                <w:rFonts w:hint="eastAsia" w:ascii="Times New Roman" w:hAnsi="Times New Roman" w:cs="Times New Roman"/>
                <w:sz w:val="24"/>
                <w:szCs w:val="22"/>
                <w:lang w:val="en-US" w:eastAsia="zh-CN"/>
              </w:rPr>
              <w:t>3</w:t>
            </w:r>
            <w:r>
              <w:rPr>
                <w:rFonts w:hint="default" w:ascii="Times New Roman" w:hAnsi="Times New Roman" w:cs="Times New Roman"/>
                <w:sz w:val="24"/>
                <w:szCs w:val="22"/>
                <w:lang w:val="en-US" w:eastAsia="zh-CN"/>
              </w:rPr>
              <w:t>t/a。生活垃圾集中收集清运至园区垃圾收集处后，由环卫部门处理。</w:t>
            </w:r>
          </w:p>
          <w:p>
            <w:pPr>
              <w:spacing w:line="360" w:lineRule="auto"/>
              <w:ind w:firstLine="492" w:firstLineChars="204"/>
              <w:rPr>
                <w:rFonts w:hint="default" w:ascii="Times New Roman" w:hAnsi="Times New Roman" w:cs="Times New Roman"/>
                <w:b/>
                <w:bCs/>
                <w:sz w:val="24"/>
                <w:szCs w:val="22"/>
                <w:lang w:val="en-US" w:eastAsia="zh-CN"/>
              </w:rPr>
            </w:pPr>
            <w:r>
              <w:rPr>
                <w:rFonts w:hint="default" w:ascii="Times New Roman" w:hAnsi="Times New Roman" w:cs="Times New Roman"/>
                <w:b/>
                <w:bCs/>
                <w:sz w:val="24"/>
                <w:szCs w:val="22"/>
                <w:lang w:val="en-US" w:eastAsia="zh-CN"/>
              </w:rPr>
              <w:t>（2）</w:t>
            </w:r>
            <w:r>
              <w:rPr>
                <w:rFonts w:hint="eastAsia" w:ascii="Times New Roman" w:hAnsi="Times New Roman" w:cs="Times New Roman"/>
                <w:b/>
                <w:bCs/>
                <w:sz w:val="24"/>
                <w:szCs w:val="22"/>
                <w:lang w:val="en-US" w:eastAsia="zh-CN"/>
              </w:rPr>
              <w:t>一般工业固废</w:t>
            </w:r>
          </w:p>
          <w:p>
            <w:pPr>
              <w:spacing w:line="360" w:lineRule="auto"/>
              <w:ind w:firstLine="489" w:firstLineChars="204"/>
              <w:rPr>
                <w:rFonts w:hint="eastAsia" w:ascii="Times New Roman" w:hAnsi="Times New Roman" w:cs="Times New Roman"/>
                <w:sz w:val="24"/>
                <w:szCs w:val="22"/>
                <w:lang w:val="en-US" w:eastAsia="zh-CN"/>
              </w:rPr>
            </w:pPr>
            <w:r>
              <w:rPr>
                <w:rFonts w:hint="default" w:ascii="Times New Roman" w:hAnsi="Times New Roman" w:cs="Times New Roman"/>
                <w:sz w:val="24"/>
                <w:szCs w:val="22"/>
                <w:lang w:val="en-US" w:eastAsia="zh-CN"/>
              </w:rPr>
              <w:t>①</w:t>
            </w:r>
            <w:r>
              <w:rPr>
                <w:rFonts w:hint="eastAsia" w:ascii="Times New Roman" w:hAnsi="Times New Roman" w:cs="Times New Roman"/>
                <w:sz w:val="24"/>
                <w:szCs w:val="22"/>
                <w:lang w:val="en-US" w:eastAsia="zh-CN"/>
              </w:rPr>
              <w:t>边角废料</w:t>
            </w:r>
          </w:p>
          <w:p>
            <w:pPr>
              <w:spacing w:line="360" w:lineRule="auto"/>
              <w:ind w:firstLine="489" w:firstLineChars="204"/>
              <w:rPr>
                <w:rFonts w:hint="default"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本项目产品在生产加工过程中，开料、剪板等工序会产生废钢板等边角料，边角料产量约为原料钢材用量的1%，原料钢材用量约</w:t>
            </w:r>
            <w:r>
              <w:rPr>
                <w:rFonts w:hint="eastAsia" w:cs="Times New Roman"/>
                <w:sz w:val="24"/>
                <w:szCs w:val="22"/>
                <w:lang w:val="en-US" w:eastAsia="zh-CN"/>
              </w:rPr>
              <w:t>3400</w:t>
            </w:r>
            <w:r>
              <w:rPr>
                <w:rFonts w:hint="eastAsia" w:ascii="Times New Roman" w:hAnsi="Times New Roman" w:cs="Times New Roman"/>
                <w:sz w:val="24"/>
                <w:szCs w:val="22"/>
                <w:lang w:val="en-US" w:eastAsia="zh-CN"/>
              </w:rPr>
              <w:t>t/a，则本项目边角余料产生量为</w:t>
            </w:r>
            <w:r>
              <w:rPr>
                <w:rFonts w:hint="eastAsia" w:cs="Times New Roman"/>
                <w:sz w:val="24"/>
                <w:szCs w:val="22"/>
                <w:lang w:val="en-US" w:eastAsia="zh-CN"/>
              </w:rPr>
              <w:t>34t/a</w:t>
            </w:r>
            <w:r>
              <w:rPr>
                <w:rFonts w:hint="eastAsia" w:ascii="Times New Roman" w:hAnsi="Times New Roman" w:cs="Times New Roman"/>
                <w:sz w:val="24"/>
                <w:szCs w:val="22"/>
                <w:lang w:val="en-US" w:eastAsia="zh-CN"/>
              </w:rPr>
              <w:t>，集中收集后外售。</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②</w:t>
            </w:r>
            <w:r>
              <w:rPr>
                <w:rFonts w:hint="eastAsia" w:ascii="Times New Roman" w:hAnsi="Times New Roman" w:cs="Times New Roman"/>
                <w:sz w:val="24"/>
                <w:szCs w:val="22"/>
                <w:lang w:val="en-US" w:eastAsia="zh-CN"/>
              </w:rPr>
              <w:t>包装材料</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本项目生产过程中会产生一定量的原辅材料包装材料，其主要成分为纸质、塑料等，根据建设单位提供的资料，废包装材料产生量约为</w:t>
            </w:r>
            <w:r>
              <w:rPr>
                <w:rFonts w:hint="eastAsia" w:cs="Times New Roman"/>
                <w:sz w:val="24"/>
                <w:szCs w:val="22"/>
                <w:lang w:val="en-US" w:eastAsia="zh-CN"/>
              </w:rPr>
              <w:t>0.3</w:t>
            </w:r>
            <w:r>
              <w:rPr>
                <w:rFonts w:hint="default" w:ascii="Times New Roman" w:hAnsi="Times New Roman" w:cs="Times New Roman"/>
                <w:sz w:val="24"/>
                <w:szCs w:val="22"/>
                <w:lang w:val="en-US" w:eastAsia="zh-CN"/>
              </w:rPr>
              <w:t>t/a，集中收集</w:t>
            </w:r>
            <w:r>
              <w:rPr>
                <w:rFonts w:hint="eastAsia" w:ascii="Times New Roman" w:hAnsi="Times New Roman" w:cs="Times New Roman"/>
                <w:sz w:val="24"/>
                <w:szCs w:val="22"/>
                <w:lang w:val="en-US" w:eastAsia="zh-CN"/>
              </w:rPr>
              <w:t>后外售</w:t>
            </w:r>
            <w:r>
              <w:rPr>
                <w:rFonts w:hint="default" w:ascii="Times New Roman" w:hAnsi="Times New Roman" w:cs="Times New Roman"/>
                <w:sz w:val="24"/>
                <w:szCs w:val="22"/>
                <w:lang w:val="en-US" w:eastAsia="zh-CN"/>
              </w:rPr>
              <w:t>。</w:t>
            </w:r>
          </w:p>
          <w:p>
            <w:pPr>
              <w:spacing w:line="360" w:lineRule="auto"/>
              <w:ind w:firstLine="489" w:firstLineChars="204"/>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③焊渣</w:t>
            </w:r>
          </w:p>
          <w:p>
            <w:pPr>
              <w:spacing w:line="360" w:lineRule="auto"/>
              <w:ind w:firstLine="489" w:firstLineChars="204"/>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焊接工序中焊材夹持部分使用后和清理焊缝后产生废弃物--焊渣，根据《机加工行业环境影响评价中常见污染物源强估算及污染治理》（湖南大学学报，2010.9）可知，夹持部分占焊材量（</w:t>
            </w:r>
            <w:r>
              <w:rPr>
                <w:rFonts w:hint="eastAsia" w:cs="Times New Roman"/>
                <w:sz w:val="24"/>
                <w:szCs w:val="22"/>
                <w:lang w:val="en-US" w:eastAsia="zh-CN"/>
              </w:rPr>
              <w:t>50</w:t>
            </w:r>
            <w:r>
              <w:rPr>
                <w:rFonts w:hint="eastAsia" w:ascii="Times New Roman" w:hAnsi="Times New Roman" w:cs="Times New Roman"/>
                <w:sz w:val="24"/>
                <w:szCs w:val="22"/>
                <w:lang w:val="en-US" w:eastAsia="zh-CN"/>
              </w:rPr>
              <w:t>t/a）的1/11，约</w:t>
            </w:r>
            <w:r>
              <w:rPr>
                <w:rFonts w:hint="eastAsia" w:cs="Times New Roman"/>
                <w:sz w:val="24"/>
                <w:szCs w:val="22"/>
                <w:lang w:val="en-US" w:eastAsia="zh-CN"/>
              </w:rPr>
              <w:t>4.55</w:t>
            </w:r>
            <w:r>
              <w:rPr>
                <w:rFonts w:hint="eastAsia" w:ascii="Times New Roman" w:hAnsi="Times New Roman" w:cs="Times New Roman"/>
                <w:sz w:val="24"/>
                <w:szCs w:val="22"/>
                <w:lang w:val="en-US" w:eastAsia="zh-CN"/>
              </w:rPr>
              <w:t>t/a；清理焊缝时焊渣量为焊材使用量的4%左右，约</w:t>
            </w:r>
            <w:r>
              <w:rPr>
                <w:rFonts w:hint="eastAsia" w:cs="Times New Roman"/>
                <w:sz w:val="24"/>
                <w:szCs w:val="22"/>
                <w:lang w:val="en-US" w:eastAsia="zh-CN"/>
              </w:rPr>
              <w:t>2</w:t>
            </w:r>
            <w:r>
              <w:rPr>
                <w:rFonts w:hint="eastAsia" w:ascii="Times New Roman" w:hAnsi="Times New Roman" w:cs="Times New Roman"/>
                <w:sz w:val="24"/>
                <w:szCs w:val="22"/>
                <w:lang w:val="en-US" w:eastAsia="zh-CN"/>
              </w:rPr>
              <w:t>t/a，共计约</w:t>
            </w:r>
            <w:r>
              <w:rPr>
                <w:rFonts w:hint="eastAsia" w:cs="Times New Roman"/>
                <w:sz w:val="24"/>
                <w:szCs w:val="22"/>
                <w:lang w:val="en-US" w:eastAsia="zh-CN"/>
              </w:rPr>
              <w:t>6.55</w:t>
            </w:r>
            <w:r>
              <w:rPr>
                <w:rFonts w:hint="eastAsia" w:ascii="Times New Roman" w:hAnsi="Times New Roman" w:cs="Times New Roman"/>
                <w:sz w:val="24"/>
                <w:szCs w:val="22"/>
                <w:lang w:val="en-US" w:eastAsia="zh-CN"/>
              </w:rPr>
              <w:t>t/a，焊材不含铅，属于一般固体废物，收集后外售处置。</w:t>
            </w:r>
          </w:p>
          <w:p>
            <w:pPr>
              <w:spacing w:line="360" w:lineRule="auto"/>
              <w:ind w:firstLine="489" w:firstLineChars="204"/>
              <w:rPr>
                <w:rFonts w:hint="eastAsia" w:ascii="Times New Roman" w:hAnsi="Times New Roman" w:eastAsia="宋体" w:cs="Times New Roman"/>
                <w:sz w:val="24"/>
                <w:szCs w:val="22"/>
                <w:lang w:val="en-US" w:eastAsia="zh-CN"/>
              </w:rPr>
            </w:pPr>
            <w:r>
              <w:rPr>
                <w:rFonts w:hint="eastAsia" w:ascii="Times New Roman" w:hAnsi="Times New Roman" w:cs="Times New Roman"/>
                <w:sz w:val="24"/>
                <w:szCs w:val="22"/>
                <w:lang w:val="en-US" w:eastAsia="zh-CN"/>
              </w:rPr>
              <w:t>④</w:t>
            </w:r>
            <w:r>
              <w:rPr>
                <w:rFonts w:hint="eastAsia" w:ascii="Times New Roman" w:hAnsi="Times New Roman" w:eastAsia="宋体" w:cs="Times New Roman"/>
                <w:sz w:val="24"/>
                <w:szCs w:val="22"/>
                <w:lang w:val="en-US" w:eastAsia="zh-CN"/>
              </w:rPr>
              <w:t>移动式烟尘净化器收集的粉尘</w:t>
            </w:r>
          </w:p>
          <w:p>
            <w:pPr>
              <w:spacing w:line="360" w:lineRule="auto"/>
              <w:ind w:firstLine="489" w:firstLineChars="204"/>
              <w:rPr>
                <w:rFonts w:hint="eastAsia"/>
                <w:lang w:val="en-US" w:eastAsia="zh-CN"/>
              </w:rPr>
            </w:pPr>
            <w:r>
              <w:rPr>
                <w:rFonts w:hint="eastAsia" w:ascii="Times New Roman" w:hAnsi="Times New Roman" w:eastAsia="宋体" w:cs="Times New Roman"/>
                <w:sz w:val="24"/>
                <w:szCs w:val="22"/>
                <w:lang w:val="en-US" w:eastAsia="zh-CN"/>
              </w:rPr>
              <w:t>本项目切割工段、焊接工段会产生烟尘，切割烟尘产生量为</w:t>
            </w:r>
            <w:r>
              <w:rPr>
                <w:rFonts w:hint="eastAsia" w:cs="Times New Roman"/>
                <w:sz w:val="24"/>
                <w:szCs w:val="22"/>
                <w:lang w:val="en-US" w:eastAsia="zh-CN"/>
              </w:rPr>
              <w:t>1.179</w:t>
            </w:r>
            <w:r>
              <w:rPr>
                <w:rFonts w:hint="eastAsia" w:ascii="Times New Roman" w:hAnsi="Times New Roman" w:eastAsia="宋体" w:cs="Times New Roman"/>
                <w:sz w:val="24"/>
                <w:szCs w:val="22"/>
                <w:lang w:val="en-US" w:eastAsia="zh-CN"/>
              </w:rPr>
              <w:t>t/a，焊接烟尘产生量为</w:t>
            </w:r>
            <w:r>
              <w:rPr>
                <w:rFonts w:hint="eastAsia" w:cs="Times New Roman"/>
                <w:sz w:val="24"/>
                <w:szCs w:val="22"/>
                <w:lang w:val="en-US" w:eastAsia="zh-CN"/>
              </w:rPr>
              <w:t>0.459</w:t>
            </w:r>
            <w:r>
              <w:rPr>
                <w:rFonts w:hint="eastAsia" w:ascii="Times New Roman" w:hAnsi="Times New Roman" w:eastAsia="宋体" w:cs="Times New Roman"/>
                <w:sz w:val="24"/>
                <w:szCs w:val="22"/>
                <w:lang w:val="en-US" w:eastAsia="zh-CN"/>
              </w:rPr>
              <w:t>t/a，移动式烟尘净化器收集效率90%，处理效率95%，移动式烟尘净化器收集的切割烟尘为</w:t>
            </w:r>
            <w:r>
              <w:rPr>
                <w:rFonts w:hint="eastAsia" w:cs="Times New Roman"/>
                <w:sz w:val="24"/>
                <w:szCs w:val="22"/>
                <w:lang w:val="en-US" w:eastAsia="zh-CN"/>
              </w:rPr>
              <w:t>1.01</w:t>
            </w:r>
            <w:r>
              <w:rPr>
                <w:rFonts w:hint="eastAsia" w:ascii="Times New Roman" w:hAnsi="Times New Roman" w:eastAsia="宋体" w:cs="Times New Roman"/>
                <w:sz w:val="24"/>
                <w:szCs w:val="22"/>
                <w:lang w:val="en-US" w:eastAsia="zh-CN"/>
              </w:rPr>
              <w:t>t/a，焊接烟尘</w:t>
            </w:r>
            <w:r>
              <w:rPr>
                <w:rFonts w:hint="eastAsia" w:cs="Times New Roman"/>
                <w:sz w:val="24"/>
                <w:szCs w:val="22"/>
                <w:lang w:val="en-US" w:eastAsia="zh-CN"/>
              </w:rPr>
              <w:t>0.392</w:t>
            </w:r>
            <w:r>
              <w:rPr>
                <w:rFonts w:hint="eastAsia" w:ascii="Times New Roman" w:hAnsi="Times New Roman" w:eastAsia="宋体" w:cs="Times New Roman"/>
                <w:sz w:val="24"/>
                <w:szCs w:val="22"/>
                <w:lang w:val="en-US" w:eastAsia="zh-CN"/>
              </w:rPr>
              <w:t>t/a，合计</w:t>
            </w:r>
            <w:r>
              <w:rPr>
                <w:rFonts w:hint="eastAsia" w:cs="Times New Roman"/>
                <w:sz w:val="24"/>
                <w:szCs w:val="22"/>
                <w:lang w:val="en-US" w:eastAsia="zh-CN"/>
              </w:rPr>
              <w:t>1.402</w:t>
            </w:r>
            <w:r>
              <w:rPr>
                <w:rFonts w:hint="eastAsia" w:ascii="Times New Roman" w:hAnsi="Times New Roman" w:eastAsia="宋体" w:cs="Times New Roman"/>
                <w:sz w:val="24"/>
                <w:szCs w:val="22"/>
                <w:lang w:val="en-US" w:eastAsia="zh-CN"/>
              </w:rPr>
              <w:t>t/a</w:t>
            </w:r>
            <w:r>
              <w:rPr>
                <w:rFonts w:hint="eastAsia" w:cs="Times New Roman"/>
                <w:sz w:val="24"/>
                <w:szCs w:val="22"/>
                <w:lang w:val="en-US" w:eastAsia="zh-CN"/>
              </w:rPr>
              <w:t>，粉尘收集后放置于一般固废暂存间，定期外售</w:t>
            </w:r>
            <w:r>
              <w:rPr>
                <w:rFonts w:hint="eastAsia" w:ascii="Times New Roman" w:hAnsi="Times New Roman" w:eastAsia="宋体" w:cs="Times New Roman"/>
                <w:sz w:val="24"/>
                <w:szCs w:val="22"/>
                <w:lang w:val="en-US" w:eastAsia="zh-CN"/>
              </w:rPr>
              <w:t>。</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eastAsia="宋体" w:cs="Times New Roman"/>
                <w:sz w:val="24"/>
                <w:szCs w:val="22"/>
                <w:lang w:val="en-US" w:eastAsia="zh-CN"/>
              </w:rPr>
              <w:t>⑤</w:t>
            </w:r>
            <w:r>
              <w:rPr>
                <w:rFonts w:hint="eastAsia" w:cs="Times New Roman"/>
                <w:sz w:val="24"/>
                <w:szCs w:val="22"/>
                <w:lang w:val="en-US" w:eastAsia="zh-CN"/>
              </w:rPr>
              <w:t>布袋除尘器</w:t>
            </w:r>
            <w:r>
              <w:rPr>
                <w:rFonts w:hint="eastAsia" w:ascii="Times New Roman" w:hAnsi="Times New Roman" w:cs="Times New Roman"/>
                <w:sz w:val="24"/>
                <w:szCs w:val="22"/>
                <w:lang w:val="en-US" w:eastAsia="zh-CN"/>
              </w:rPr>
              <w:t>收集的</w:t>
            </w:r>
            <w:r>
              <w:rPr>
                <w:rFonts w:hint="eastAsia" w:cs="Times New Roman"/>
                <w:sz w:val="24"/>
                <w:szCs w:val="22"/>
                <w:lang w:val="en-US" w:eastAsia="zh-CN"/>
              </w:rPr>
              <w:t>打磨</w:t>
            </w:r>
            <w:r>
              <w:rPr>
                <w:rFonts w:hint="eastAsia" w:ascii="Times New Roman" w:hAnsi="Times New Roman" w:cs="Times New Roman"/>
                <w:sz w:val="24"/>
                <w:szCs w:val="22"/>
                <w:lang w:val="en-US" w:eastAsia="zh-CN"/>
              </w:rPr>
              <w:t>粉尘</w:t>
            </w:r>
          </w:p>
          <w:p>
            <w:pPr>
              <w:spacing w:line="360" w:lineRule="auto"/>
              <w:ind w:firstLine="489" w:firstLineChars="204"/>
              <w:rPr>
                <w:rFonts w:hint="default"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本项目</w:t>
            </w:r>
            <w:r>
              <w:rPr>
                <w:rFonts w:hint="eastAsia" w:cs="Times New Roman"/>
                <w:sz w:val="24"/>
                <w:szCs w:val="22"/>
                <w:lang w:val="en-US" w:eastAsia="zh-CN"/>
              </w:rPr>
              <w:t>打磨</w:t>
            </w:r>
            <w:r>
              <w:rPr>
                <w:rFonts w:hint="eastAsia" w:ascii="Times New Roman" w:hAnsi="Times New Roman" w:cs="Times New Roman"/>
                <w:sz w:val="24"/>
                <w:szCs w:val="22"/>
                <w:lang w:val="en-US" w:eastAsia="zh-CN"/>
              </w:rPr>
              <w:t>粉尘产生量为</w:t>
            </w:r>
            <w:r>
              <w:rPr>
                <w:rFonts w:hint="eastAsia" w:cs="Times New Roman"/>
                <w:sz w:val="24"/>
                <w:szCs w:val="22"/>
                <w:lang w:val="en-US" w:eastAsia="zh-CN"/>
              </w:rPr>
              <w:t>1.577</w:t>
            </w:r>
            <w:r>
              <w:rPr>
                <w:rFonts w:hint="eastAsia" w:ascii="Times New Roman" w:hAnsi="Times New Roman" w:cs="Times New Roman"/>
                <w:sz w:val="24"/>
                <w:szCs w:val="22"/>
                <w:lang w:val="en-US" w:eastAsia="zh-CN"/>
              </w:rPr>
              <w:t>t，</w:t>
            </w:r>
            <w:r>
              <w:rPr>
                <w:rFonts w:hint="eastAsia" w:cs="Times New Roman"/>
                <w:sz w:val="24"/>
                <w:szCs w:val="22"/>
                <w:lang w:val="en-US" w:eastAsia="zh-CN"/>
              </w:rPr>
              <w:t>布袋除尘器收集效率95%，处理效率</w:t>
            </w:r>
            <w:r>
              <w:rPr>
                <w:rFonts w:hint="eastAsia" w:ascii="Times New Roman" w:hAnsi="Times New Roman" w:cs="Times New Roman"/>
                <w:sz w:val="24"/>
                <w:szCs w:val="22"/>
                <w:lang w:val="en-US" w:eastAsia="zh-CN"/>
              </w:rPr>
              <w:t>为</w:t>
            </w:r>
            <w:r>
              <w:rPr>
                <w:rFonts w:hint="eastAsia" w:cs="Times New Roman"/>
                <w:sz w:val="24"/>
                <w:szCs w:val="22"/>
                <w:lang w:val="en-US" w:eastAsia="zh-CN"/>
              </w:rPr>
              <w:t>95</w:t>
            </w:r>
            <w:r>
              <w:rPr>
                <w:rFonts w:hint="eastAsia" w:ascii="Times New Roman" w:hAnsi="Times New Roman" w:cs="Times New Roman"/>
                <w:sz w:val="24"/>
                <w:szCs w:val="22"/>
                <w:lang w:val="en-US" w:eastAsia="zh-CN"/>
              </w:rPr>
              <w:t>%，则</w:t>
            </w:r>
            <w:r>
              <w:rPr>
                <w:rFonts w:hint="eastAsia" w:cs="Times New Roman"/>
                <w:sz w:val="24"/>
                <w:szCs w:val="22"/>
                <w:lang w:val="en-US" w:eastAsia="zh-CN"/>
              </w:rPr>
              <w:t>移动式烟尘净化器</w:t>
            </w:r>
            <w:r>
              <w:rPr>
                <w:rFonts w:hint="eastAsia" w:ascii="Times New Roman" w:hAnsi="Times New Roman" w:cs="Times New Roman"/>
                <w:sz w:val="24"/>
                <w:szCs w:val="22"/>
                <w:lang w:val="en-US" w:eastAsia="zh-CN"/>
              </w:rPr>
              <w:t>收集的</w:t>
            </w:r>
            <w:r>
              <w:rPr>
                <w:rFonts w:hint="eastAsia" w:cs="Times New Roman"/>
                <w:sz w:val="24"/>
                <w:szCs w:val="22"/>
                <w:lang w:val="en-US" w:eastAsia="zh-CN"/>
              </w:rPr>
              <w:t>打磨粉尘</w:t>
            </w:r>
            <w:r>
              <w:rPr>
                <w:rFonts w:hint="eastAsia" w:ascii="Times New Roman" w:hAnsi="Times New Roman" w:cs="Times New Roman"/>
                <w:sz w:val="24"/>
                <w:szCs w:val="22"/>
                <w:lang w:val="en-US" w:eastAsia="zh-CN"/>
              </w:rPr>
              <w:t>约为</w:t>
            </w:r>
            <w:r>
              <w:rPr>
                <w:rFonts w:hint="eastAsia" w:cs="Times New Roman"/>
                <w:sz w:val="24"/>
                <w:szCs w:val="22"/>
                <w:lang w:val="en-US" w:eastAsia="zh-CN"/>
              </w:rPr>
              <w:t>1.423t</w:t>
            </w:r>
            <w:r>
              <w:rPr>
                <w:rFonts w:hint="eastAsia" w:ascii="Times New Roman" w:hAnsi="Times New Roman" w:cs="Times New Roman"/>
                <w:sz w:val="24"/>
                <w:szCs w:val="22"/>
                <w:lang w:val="en-US" w:eastAsia="zh-CN"/>
              </w:rPr>
              <w:t>/a</w:t>
            </w:r>
            <w:r>
              <w:rPr>
                <w:rFonts w:hint="eastAsia" w:cs="Times New Roman"/>
                <w:sz w:val="24"/>
                <w:szCs w:val="22"/>
                <w:lang w:val="en-US" w:eastAsia="zh-CN"/>
              </w:rPr>
              <w:t>，未收集的打磨粉尘经过车间阻隔沉降到地面，收集后的粉尘放置于一般固废暂存间，定期外售</w:t>
            </w:r>
            <w:r>
              <w:rPr>
                <w:rFonts w:hint="eastAsia" w:ascii="Times New Roman" w:hAnsi="Times New Roman" w:cs="Times New Roman"/>
                <w:sz w:val="24"/>
                <w:szCs w:val="22"/>
                <w:lang w:val="en-US" w:eastAsia="zh-CN"/>
              </w:rPr>
              <w:t>。</w:t>
            </w:r>
          </w:p>
          <w:p>
            <w:pPr>
              <w:spacing w:line="360" w:lineRule="auto"/>
              <w:ind w:firstLine="430" w:firstLineChars="204"/>
              <w:rPr>
                <w:rFonts w:hint="default" w:ascii="Times New Roman" w:hAnsi="Times New Roman" w:cs="Times New Roman"/>
                <w:b/>
                <w:bCs/>
                <w:color w:val="auto"/>
                <w:sz w:val="24"/>
                <w:szCs w:val="22"/>
                <w:lang w:val="en-US" w:eastAsia="zh-CN"/>
              </w:rPr>
            </w:pPr>
            <w:r>
              <w:rPr>
                <w:rFonts w:hint="default"/>
                <w:b/>
                <w:bCs/>
                <w:color w:val="auto"/>
                <w:lang w:val="en-US" w:eastAsia="zh-CN"/>
              </w:rPr>
              <w:t>（</w:t>
            </w:r>
            <w:r>
              <w:rPr>
                <w:rFonts w:hint="default" w:ascii="Times New Roman" w:hAnsi="Times New Roman" w:cs="Times New Roman"/>
                <w:b/>
                <w:bCs/>
                <w:color w:val="auto"/>
                <w:sz w:val="24"/>
                <w:szCs w:val="22"/>
                <w:lang w:val="en-US" w:eastAsia="zh-CN"/>
              </w:rPr>
              <w:t>3）危险固废</w:t>
            </w:r>
          </w:p>
          <w:p>
            <w:pPr>
              <w:spacing w:line="360" w:lineRule="auto"/>
              <w:ind w:firstLine="489" w:firstLineChars="204"/>
              <w:rPr>
                <w:rFonts w:hint="default" w:ascii="Times New Roman" w:hAnsi="Times New Roman" w:cs="Times New Roman"/>
                <w:color w:val="auto"/>
                <w:sz w:val="24"/>
                <w:szCs w:val="22"/>
                <w:lang w:val="en-US" w:eastAsia="zh-CN"/>
              </w:rPr>
            </w:pPr>
            <w:r>
              <w:rPr>
                <w:rFonts w:hint="default" w:ascii="Times New Roman" w:hAnsi="Times New Roman" w:cs="Times New Roman"/>
                <w:color w:val="auto"/>
                <w:sz w:val="24"/>
                <w:szCs w:val="22"/>
                <w:lang w:val="en-US" w:eastAsia="zh-CN"/>
              </w:rPr>
              <w:t>①</w:t>
            </w:r>
            <w:r>
              <w:rPr>
                <w:rFonts w:hint="eastAsia" w:ascii="Times New Roman" w:hAnsi="Times New Roman" w:cs="Times New Roman"/>
                <w:color w:val="auto"/>
                <w:sz w:val="24"/>
                <w:szCs w:val="22"/>
                <w:lang w:val="en-US" w:eastAsia="zh-CN"/>
              </w:rPr>
              <w:t>废过滤棉、废活性炭</w:t>
            </w:r>
          </w:p>
          <w:p>
            <w:pPr>
              <w:spacing w:line="360" w:lineRule="auto"/>
              <w:ind w:firstLine="489" w:firstLineChars="204"/>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废过滤棉（含漆雾）：项目喷漆过程采用过滤棉吸附喷漆漆渣，按1kg过滤棉吸附5kg漆渣计算，吸附漆雾量约</w:t>
            </w:r>
            <w:r>
              <w:rPr>
                <w:rFonts w:hint="eastAsia" w:cs="Times New Roman"/>
                <w:sz w:val="24"/>
                <w:szCs w:val="22"/>
                <w:lang w:val="en-US" w:eastAsia="zh-CN"/>
              </w:rPr>
              <w:t>0.5758t</w:t>
            </w:r>
            <w:r>
              <w:rPr>
                <w:rFonts w:hint="eastAsia" w:ascii="Times New Roman" w:hAnsi="Times New Roman" w:cs="Times New Roman"/>
                <w:sz w:val="24"/>
                <w:szCs w:val="22"/>
                <w:lang w:val="en-US" w:eastAsia="zh-CN"/>
              </w:rPr>
              <w:t>/a，则需要过滤棉</w:t>
            </w:r>
            <w:r>
              <w:rPr>
                <w:rFonts w:hint="eastAsia" w:cs="Times New Roman"/>
                <w:sz w:val="24"/>
                <w:szCs w:val="22"/>
                <w:lang w:val="en-US" w:eastAsia="zh-CN"/>
              </w:rPr>
              <w:t>115.16</w:t>
            </w:r>
            <w:r>
              <w:rPr>
                <w:rFonts w:hint="eastAsia" w:ascii="Times New Roman" w:hAnsi="Times New Roman" w:cs="Times New Roman"/>
                <w:sz w:val="24"/>
                <w:szCs w:val="22"/>
                <w:lang w:val="en-US" w:eastAsia="zh-CN"/>
              </w:rPr>
              <w:t>kg，则产生废过滤棉（含漆雾）量约为</w:t>
            </w:r>
            <w:r>
              <w:rPr>
                <w:rFonts w:hint="eastAsia" w:cs="Times New Roman"/>
                <w:sz w:val="24"/>
                <w:szCs w:val="22"/>
                <w:lang w:val="en-US" w:eastAsia="zh-CN"/>
              </w:rPr>
              <w:t>0.691</w:t>
            </w:r>
            <w:r>
              <w:rPr>
                <w:rFonts w:hint="eastAsia" w:ascii="Times New Roman" w:hAnsi="Times New Roman" w:cs="Times New Roman"/>
                <w:sz w:val="24"/>
                <w:szCs w:val="22"/>
                <w:lang w:val="en-US" w:eastAsia="zh-CN"/>
              </w:rPr>
              <w:t>t/a。经查阅《国家危险废物名录》（2016年），废过滤棉属于HW49其他废物非特定行业中的“含有或沾染毒性、感染性危险废物的废弃包装物、容器、过滤吸附介质”类别，危险废物编号为900-041-49。</w:t>
            </w:r>
          </w:p>
          <w:p>
            <w:pPr>
              <w:spacing w:line="360" w:lineRule="auto"/>
              <w:ind w:firstLine="489" w:firstLineChars="204"/>
              <w:jc w:val="both"/>
              <w:rPr>
                <w:rFonts w:hint="default"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废活性炭：全年活性炭吸附装置吸咐有机废气约</w:t>
            </w:r>
            <w:r>
              <w:rPr>
                <w:rFonts w:hint="eastAsia" w:cs="Times New Roman"/>
                <w:sz w:val="24"/>
                <w:szCs w:val="22"/>
                <w:lang w:val="en-US" w:eastAsia="zh-CN"/>
              </w:rPr>
              <w:t>1.184</w:t>
            </w:r>
            <w:r>
              <w:rPr>
                <w:rFonts w:hint="eastAsia" w:ascii="Times New Roman" w:hAnsi="Times New Roman" w:cs="Times New Roman"/>
                <w:sz w:val="24"/>
                <w:szCs w:val="22"/>
                <w:lang w:val="en-US" w:eastAsia="zh-CN"/>
              </w:rPr>
              <w:t>t，活性碳的吸咐能力约为4：1（即吸收1t有机废气需要4t活性碳），则需要</w:t>
            </w:r>
            <w:r>
              <w:rPr>
                <w:rFonts w:hint="eastAsia" w:cs="Times New Roman"/>
                <w:sz w:val="24"/>
                <w:szCs w:val="22"/>
                <w:lang w:val="en-US" w:eastAsia="zh-CN"/>
              </w:rPr>
              <w:t>活性炭4.7362t，</w:t>
            </w:r>
            <w:r>
              <w:rPr>
                <w:rFonts w:hint="eastAsia" w:ascii="Times New Roman" w:hAnsi="Times New Roman" w:cs="Times New Roman"/>
                <w:sz w:val="24"/>
                <w:szCs w:val="22"/>
                <w:lang w:val="en-US" w:eastAsia="zh-CN"/>
              </w:rPr>
              <w:t>因此废活性炭的产生量</w:t>
            </w:r>
            <w:r>
              <w:rPr>
                <w:rFonts w:hint="eastAsia" w:cs="Times New Roman"/>
                <w:sz w:val="24"/>
                <w:szCs w:val="22"/>
                <w:lang w:val="en-US" w:eastAsia="zh-CN"/>
              </w:rPr>
              <w:t>（含有机废气）</w:t>
            </w:r>
            <w:r>
              <w:rPr>
                <w:rFonts w:hint="eastAsia" w:ascii="Times New Roman" w:hAnsi="Times New Roman" w:cs="Times New Roman"/>
                <w:sz w:val="24"/>
                <w:szCs w:val="22"/>
                <w:lang w:val="en-US" w:eastAsia="zh-CN"/>
              </w:rPr>
              <w:t>预计约为</w:t>
            </w:r>
            <w:r>
              <w:rPr>
                <w:rFonts w:hint="eastAsia" w:cs="Times New Roman"/>
                <w:sz w:val="24"/>
                <w:szCs w:val="22"/>
                <w:lang w:val="en-US" w:eastAsia="zh-CN"/>
              </w:rPr>
              <w:t>5.92</w:t>
            </w:r>
            <w:r>
              <w:rPr>
                <w:rFonts w:hint="eastAsia" w:ascii="Times New Roman" w:hAnsi="Times New Roman" w:cs="Times New Roman"/>
                <w:sz w:val="24"/>
                <w:szCs w:val="22"/>
                <w:lang w:val="en-US" w:eastAsia="zh-CN"/>
              </w:rPr>
              <w:t>t/a。经查阅《国家危险废物名录》（2016 年），废过滤棉+活性炭属于HW49其他废物非特定行业中的“含有或沾染毒性、感染性危险废物的废弃包装物、容器、过滤吸附介质”类别，危险废物编号为900-041-49。</w:t>
            </w:r>
          </w:p>
          <w:p>
            <w:pPr>
              <w:spacing w:line="360" w:lineRule="auto"/>
              <w:ind w:firstLine="489" w:firstLineChars="204"/>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②废机油</w:t>
            </w:r>
          </w:p>
          <w:p>
            <w:pPr>
              <w:spacing w:line="360" w:lineRule="auto"/>
              <w:ind w:firstLine="489" w:firstLineChars="204"/>
              <w:rPr>
                <w:rFonts w:hint="default"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本项目生产过程中产生废机油0.2t/a，经查阅《国家危险废物名录》（2016年），废机油属于HW08废矿物油与含矿物油废物非特定行业中的“车辆、机械维修和拆解过程中产生的废发动机油、制动器油、自动变速器油、齿轮油等废润滑油”类别，危险废物编号为900-214-08。</w:t>
            </w:r>
          </w:p>
          <w:p>
            <w:pPr>
              <w:spacing w:line="360" w:lineRule="auto"/>
              <w:ind w:firstLine="489" w:firstLineChars="204"/>
              <w:rPr>
                <w:rFonts w:hint="eastAsia" w:ascii="Times New Roman" w:hAnsi="Times New Roman" w:cs="Times New Roman"/>
                <w:sz w:val="24"/>
                <w:szCs w:val="22"/>
                <w:lang w:val="en-US" w:eastAsia="zh-CN"/>
              </w:rPr>
            </w:pPr>
            <w:r>
              <w:rPr>
                <w:rFonts w:hint="eastAsia" w:ascii="Times New Roman" w:hAnsi="Times New Roman" w:cs="Times New Roman"/>
                <w:sz w:val="24"/>
                <w:szCs w:val="22"/>
                <w:lang w:val="en-US" w:eastAsia="zh-CN"/>
              </w:rPr>
              <w:t>③废原料桶</w:t>
            </w:r>
          </w:p>
          <w:p>
            <w:pPr>
              <w:spacing w:line="360" w:lineRule="auto"/>
              <w:ind w:firstLine="489" w:firstLineChars="204"/>
              <w:rPr>
                <w:rFonts w:hint="default" w:ascii="Times New Roman" w:hAnsi="Times New Roman" w:cs="Times New Roman"/>
                <w:sz w:val="24"/>
                <w:szCs w:val="22"/>
                <w:lang w:val="en-US" w:eastAsia="zh-CN"/>
              </w:rPr>
            </w:pPr>
            <w:r>
              <w:rPr>
                <w:rFonts w:hint="default" w:ascii="Times New Roman" w:hAnsi="Times New Roman" w:cs="Times New Roman"/>
                <w:sz w:val="24"/>
                <w:szCs w:val="22"/>
                <w:lang w:val="en-US" w:eastAsia="zh-CN"/>
              </w:rPr>
              <w:t>本项目桶装涂料使用量为</w:t>
            </w:r>
            <w:r>
              <w:rPr>
                <w:rFonts w:hint="eastAsia" w:cs="Times New Roman"/>
                <w:sz w:val="24"/>
                <w:szCs w:val="22"/>
                <w:lang w:val="en-US" w:eastAsia="zh-CN"/>
              </w:rPr>
              <w:t>8.18</w:t>
            </w:r>
            <w:r>
              <w:rPr>
                <w:rFonts w:hint="default" w:ascii="Times New Roman" w:hAnsi="Times New Roman" w:cs="Times New Roman"/>
                <w:sz w:val="24"/>
                <w:szCs w:val="22"/>
                <w:lang w:val="en-US" w:eastAsia="zh-CN"/>
              </w:rPr>
              <w:t>t/a，每桶重量为</w:t>
            </w:r>
            <w:r>
              <w:rPr>
                <w:rFonts w:hint="eastAsia" w:ascii="Times New Roman" w:hAnsi="Times New Roman" w:cs="Times New Roman"/>
                <w:sz w:val="24"/>
                <w:szCs w:val="22"/>
                <w:lang w:val="en-US" w:eastAsia="zh-CN"/>
              </w:rPr>
              <w:t>5</w:t>
            </w:r>
            <w:r>
              <w:rPr>
                <w:rFonts w:hint="default" w:ascii="Times New Roman" w:hAnsi="Times New Roman" w:cs="Times New Roman"/>
                <w:sz w:val="24"/>
                <w:szCs w:val="22"/>
                <w:lang w:val="en-US" w:eastAsia="zh-CN"/>
              </w:rPr>
              <w:t>0kg，则年使用</w:t>
            </w:r>
            <w:r>
              <w:rPr>
                <w:rFonts w:hint="eastAsia" w:cs="Times New Roman"/>
                <w:sz w:val="24"/>
                <w:szCs w:val="22"/>
                <w:lang w:val="en-US" w:eastAsia="zh-CN"/>
              </w:rPr>
              <w:t>169</w:t>
            </w:r>
            <w:r>
              <w:rPr>
                <w:rFonts w:hint="default" w:ascii="Times New Roman" w:hAnsi="Times New Roman" w:cs="Times New Roman"/>
                <w:sz w:val="24"/>
                <w:szCs w:val="22"/>
                <w:lang w:val="en-US" w:eastAsia="zh-CN"/>
              </w:rPr>
              <w:t>桶涂料，涂料使用后产生废料桶，每个废料桶重量按5kg计算，则废料桶产生量为</w:t>
            </w:r>
            <w:r>
              <w:rPr>
                <w:rFonts w:hint="eastAsia" w:cs="Times New Roman"/>
                <w:sz w:val="24"/>
                <w:szCs w:val="22"/>
                <w:lang w:val="en-US" w:eastAsia="zh-CN"/>
              </w:rPr>
              <w:t>0.845</w:t>
            </w:r>
            <w:r>
              <w:rPr>
                <w:rFonts w:hint="default" w:ascii="Times New Roman" w:hAnsi="Times New Roman" w:cs="Times New Roman"/>
                <w:sz w:val="24"/>
                <w:szCs w:val="22"/>
                <w:lang w:val="en-US" w:eastAsia="zh-CN"/>
              </w:rPr>
              <w:t>t/a。经查阅《国家危险废物名录》（2016 年），废料桶属于HW49其</w:t>
            </w:r>
            <w:r>
              <w:rPr>
                <w:rFonts w:hint="eastAsia" w:ascii="Times New Roman" w:hAnsi="Times New Roman" w:cs="Times New Roman"/>
                <w:sz w:val="24"/>
                <w:szCs w:val="22"/>
                <w:lang w:val="en-US" w:eastAsia="zh-CN"/>
              </w:rPr>
              <w:t>他废物非特定行业中的“含有或沾染毒性、感染性危险废物的废弃包装物、容器、过滤吸附介质”类别，危险废物编号为900-041-49。</w:t>
            </w:r>
          </w:p>
          <w:p>
            <w:pPr>
              <w:spacing w:line="360" w:lineRule="auto"/>
              <w:ind w:firstLine="489" w:firstLineChars="204"/>
              <w:rPr>
                <w:rFonts w:hint="default"/>
              </w:rPr>
            </w:pPr>
            <w:r>
              <w:rPr>
                <w:rFonts w:hint="default" w:ascii="Times New Roman" w:hAnsi="Times New Roman" w:cs="Times New Roman"/>
                <w:sz w:val="24"/>
                <w:szCs w:val="22"/>
                <w:lang w:val="en-US" w:eastAsia="zh-CN"/>
              </w:rPr>
              <w:t>根据《国家危险废物名录》（2016）进行危险废物识别，具体见下表5-</w:t>
            </w:r>
            <w:r>
              <w:rPr>
                <w:rFonts w:hint="eastAsia" w:cs="Times New Roman"/>
                <w:sz w:val="24"/>
                <w:szCs w:val="22"/>
                <w:lang w:val="en-US" w:eastAsia="zh-CN"/>
              </w:rPr>
              <w:t>11</w:t>
            </w:r>
            <w:r>
              <w:rPr>
                <w:rFonts w:hint="default" w:ascii="Times New Roman" w:hAnsi="Times New Roman" w:cs="Times New Roman"/>
                <w:sz w:val="24"/>
                <w:szCs w:val="22"/>
                <w:lang w:val="en-US" w:eastAsia="zh-CN"/>
              </w:rPr>
              <w:t>。</w:t>
            </w:r>
          </w:p>
          <w:p>
            <w:pPr>
              <w:pStyle w:val="52"/>
              <w:bidi w:val="0"/>
              <w:spacing w:line="240" w:lineRule="auto"/>
              <w:rPr>
                <w:rFonts w:hint="default"/>
              </w:rPr>
            </w:pPr>
            <w:r>
              <w:rPr>
                <w:rFonts w:hint="default"/>
              </w:rPr>
              <w:t>表</w:t>
            </w:r>
            <w:r>
              <w:rPr>
                <w:rFonts w:hint="default"/>
                <w:lang w:val="en-US" w:eastAsia="zh-CN"/>
              </w:rPr>
              <w:t>5</w:t>
            </w:r>
            <w:r>
              <w:rPr>
                <w:rFonts w:hint="eastAsia"/>
                <w:lang w:val="en-US" w:eastAsia="zh-CN"/>
              </w:rPr>
              <w:t>-11</w:t>
            </w:r>
            <w:r>
              <w:rPr>
                <w:rFonts w:hint="default"/>
              </w:rPr>
              <w:t xml:space="preserve"> 项目危险废物识别一览表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2501"/>
              <w:gridCol w:w="2433"/>
              <w:gridCol w:w="1542"/>
              <w:gridCol w:w="1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8" w:type="dxa"/>
                  <w:noWrap w:val="0"/>
                  <w:vAlign w:val="center"/>
                </w:tcPr>
                <w:p>
                  <w:pPr>
                    <w:pStyle w:val="53"/>
                    <w:bidi w:val="0"/>
                    <w:spacing w:line="240" w:lineRule="auto"/>
                    <w:rPr>
                      <w:rFonts w:hint="default"/>
                      <w:b w:val="0"/>
                      <w:bCs w:val="0"/>
                      <w:sz w:val="21"/>
                      <w:szCs w:val="21"/>
                    </w:rPr>
                  </w:pPr>
                  <w:r>
                    <w:rPr>
                      <w:rFonts w:hint="default"/>
                      <w:b w:val="0"/>
                      <w:bCs w:val="0"/>
                      <w:sz w:val="21"/>
                      <w:szCs w:val="21"/>
                    </w:rPr>
                    <w:t>序号</w:t>
                  </w:r>
                </w:p>
              </w:tc>
              <w:tc>
                <w:tcPr>
                  <w:tcW w:w="2545" w:type="dxa"/>
                  <w:noWrap w:val="0"/>
                  <w:vAlign w:val="center"/>
                </w:tcPr>
                <w:p>
                  <w:pPr>
                    <w:pStyle w:val="53"/>
                    <w:bidi w:val="0"/>
                    <w:spacing w:line="240" w:lineRule="auto"/>
                    <w:rPr>
                      <w:rFonts w:hint="default"/>
                      <w:b w:val="0"/>
                      <w:bCs w:val="0"/>
                      <w:sz w:val="21"/>
                      <w:szCs w:val="21"/>
                    </w:rPr>
                  </w:pPr>
                  <w:r>
                    <w:rPr>
                      <w:rFonts w:hint="default"/>
                      <w:b w:val="0"/>
                      <w:bCs w:val="0"/>
                      <w:sz w:val="21"/>
                      <w:szCs w:val="21"/>
                    </w:rPr>
                    <w:t>固废种类</w:t>
                  </w:r>
                </w:p>
              </w:tc>
              <w:tc>
                <w:tcPr>
                  <w:tcW w:w="2468" w:type="dxa"/>
                  <w:noWrap w:val="0"/>
                  <w:vAlign w:val="center"/>
                </w:tcPr>
                <w:p>
                  <w:pPr>
                    <w:pStyle w:val="53"/>
                    <w:bidi w:val="0"/>
                    <w:spacing w:line="240" w:lineRule="auto"/>
                    <w:rPr>
                      <w:rFonts w:hint="default"/>
                      <w:b w:val="0"/>
                      <w:bCs w:val="0"/>
                      <w:sz w:val="21"/>
                      <w:szCs w:val="21"/>
                    </w:rPr>
                  </w:pPr>
                  <w:r>
                    <w:rPr>
                      <w:rFonts w:hint="default"/>
                      <w:b w:val="0"/>
                      <w:bCs w:val="0"/>
                      <w:sz w:val="21"/>
                      <w:szCs w:val="21"/>
                    </w:rPr>
                    <w:t>危险类别</w:t>
                  </w:r>
                </w:p>
              </w:tc>
              <w:tc>
                <w:tcPr>
                  <w:tcW w:w="1549" w:type="dxa"/>
                  <w:noWrap w:val="0"/>
                  <w:vAlign w:val="center"/>
                </w:tcPr>
                <w:p>
                  <w:pPr>
                    <w:pStyle w:val="53"/>
                    <w:bidi w:val="0"/>
                    <w:spacing w:line="240" w:lineRule="auto"/>
                    <w:rPr>
                      <w:rFonts w:hint="default"/>
                      <w:b w:val="0"/>
                      <w:bCs w:val="0"/>
                      <w:sz w:val="21"/>
                      <w:szCs w:val="21"/>
                    </w:rPr>
                  </w:pPr>
                  <w:r>
                    <w:rPr>
                      <w:rFonts w:hint="default"/>
                      <w:b w:val="0"/>
                      <w:bCs w:val="0"/>
                      <w:sz w:val="21"/>
                      <w:szCs w:val="21"/>
                    </w:rPr>
                    <w:t>危废代码</w:t>
                  </w:r>
                </w:p>
              </w:tc>
              <w:tc>
                <w:tcPr>
                  <w:tcW w:w="1076" w:type="dxa"/>
                  <w:noWrap w:val="0"/>
                  <w:vAlign w:val="center"/>
                </w:tcPr>
                <w:p>
                  <w:pPr>
                    <w:pStyle w:val="53"/>
                    <w:bidi w:val="0"/>
                    <w:spacing w:line="240" w:lineRule="auto"/>
                    <w:rPr>
                      <w:rFonts w:hint="default"/>
                      <w:b w:val="0"/>
                      <w:bCs w:val="0"/>
                      <w:sz w:val="21"/>
                      <w:szCs w:val="21"/>
                    </w:rPr>
                  </w:pPr>
                  <w:r>
                    <w:rPr>
                      <w:rFonts w:hint="default"/>
                      <w:b w:val="0"/>
                      <w:bCs w:val="0"/>
                      <w:sz w:val="21"/>
                      <w:szCs w:val="21"/>
                    </w:rPr>
                    <w:t>危险特性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8" w:type="dxa"/>
                  <w:noWrap w:val="0"/>
                  <w:vAlign w:val="center"/>
                </w:tcPr>
                <w:p>
                  <w:pPr>
                    <w:pStyle w:val="53"/>
                    <w:bidi w:val="0"/>
                    <w:spacing w:line="240" w:lineRule="auto"/>
                    <w:rPr>
                      <w:rFonts w:hint="default"/>
                      <w:b w:val="0"/>
                      <w:bCs w:val="0"/>
                      <w:sz w:val="21"/>
                      <w:szCs w:val="21"/>
                    </w:rPr>
                  </w:pPr>
                  <w:r>
                    <w:rPr>
                      <w:rFonts w:hint="default"/>
                      <w:b w:val="0"/>
                      <w:bCs w:val="0"/>
                      <w:sz w:val="21"/>
                      <w:szCs w:val="21"/>
                    </w:rPr>
                    <w:t>1</w:t>
                  </w:r>
                </w:p>
              </w:tc>
              <w:tc>
                <w:tcPr>
                  <w:tcW w:w="2545"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废过滤棉+活性炭</w:t>
                  </w:r>
                </w:p>
              </w:tc>
              <w:tc>
                <w:tcPr>
                  <w:tcW w:w="2468" w:type="dxa"/>
                  <w:noWrap w:val="0"/>
                  <w:vAlign w:val="center"/>
                </w:tcPr>
                <w:p>
                  <w:pPr>
                    <w:pStyle w:val="53"/>
                    <w:bidi w:val="0"/>
                    <w:spacing w:line="240" w:lineRule="auto"/>
                    <w:rPr>
                      <w:rFonts w:hint="default"/>
                      <w:b w:val="0"/>
                      <w:bCs w:val="0"/>
                      <w:sz w:val="21"/>
                      <w:szCs w:val="21"/>
                    </w:rPr>
                  </w:pPr>
                  <w:r>
                    <w:rPr>
                      <w:rFonts w:hint="eastAsia"/>
                      <w:b w:val="0"/>
                      <w:bCs w:val="0"/>
                      <w:sz w:val="21"/>
                      <w:szCs w:val="21"/>
                      <w:lang w:val="en-US" w:eastAsia="zh-CN"/>
                    </w:rPr>
                    <w:t>HW06</w:t>
                  </w:r>
                </w:p>
              </w:tc>
              <w:tc>
                <w:tcPr>
                  <w:tcW w:w="1549"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900-041-49</w:t>
                  </w:r>
                </w:p>
              </w:tc>
              <w:tc>
                <w:tcPr>
                  <w:tcW w:w="1076" w:type="dxa"/>
                  <w:noWrap w:val="0"/>
                  <w:vAlign w:val="center"/>
                </w:tcPr>
                <w:p>
                  <w:pPr>
                    <w:pStyle w:val="53"/>
                    <w:bidi w:val="0"/>
                    <w:spacing w:line="240" w:lineRule="auto"/>
                    <w:rPr>
                      <w:rFonts w:hint="default"/>
                      <w:b w:val="0"/>
                      <w:bCs w:val="0"/>
                      <w:sz w:val="21"/>
                      <w:szCs w:val="21"/>
                    </w:rPr>
                  </w:pPr>
                  <w:r>
                    <w:rPr>
                      <w:rFonts w:hint="default"/>
                      <w:b w:val="0"/>
                      <w:bCs w:val="0"/>
                      <w:sz w:val="21"/>
                      <w:szCs w:val="21"/>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8" w:type="dxa"/>
                  <w:noWrap w:val="0"/>
                  <w:vAlign w:val="center"/>
                </w:tcPr>
                <w:p>
                  <w:pPr>
                    <w:pStyle w:val="53"/>
                    <w:bidi w:val="0"/>
                    <w:spacing w:line="240" w:lineRule="auto"/>
                    <w:rPr>
                      <w:rFonts w:hint="default"/>
                      <w:b w:val="0"/>
                      <w:bCs w:val="0"/>
                      <w:sz w:val="21"/>
                      <w:szCs w:val="21"/>
                    </w:rPr>
                  </w:pPr>
                  <w:r>
                    <w:rPr>
                      <w:rFonts w:hint="default"/>
                      <w:b w:val="0"/>
                      <w:bCs w:val="0"/>
                      <w:sz w:val="21"/>
                      <w:szCs w:val="21"/>
                    </w:rPr>
                    <w:t>2</w:t>
                  </w:r>
                </w:p>
              </w:tc>
              <w:tc>
                <w:tcPr>
                  <w:tcW w:w="2545" w:type="dxa"/>
                  <w:noWrap w:val="0"/>
                  <w:vAlign w:val="center"/>
                </w:tcPr>
                <w:p>
                  <w:pPr>
                    <w:pStyle w:val="53"/>
                    <w:bidi w:val="0"/>
                    <w:spacing w:line="240" w:lineRule="auto"/>
                    <w:rPr>
                      <w:rFonts w:hint="default"/>
                      <w:b w:val="0"/>
                      <w:bCs w:val="0"/>
                      <w:sz w:val="21"/>
                      <w:szCs w:val="21"/>
                      <w:lang w:eastAsia="zh-CN"/>
                    </w:rPr>
                  </w:pPr>
                  <w:r>
                    <w:rPr>
                      <w:rFonts w:hint="default"/>
                      <w:b w:val="0"/>
                      <w:bCs w:val="0"/>
                      <w:sz w:val="21"/>
                      <w:szCs w:val="21"/>
                      <w:lang w:val="en-US" w:eastAsia="zh-CN"/>
                    </w:rPr>
                    <w:t>废机油</w:t>
                  </w:r>
                </w:p>
              </w:tc>
              <w:tc>
                <w:tcPr>
                  <w:tcW w:w="2468" w:type="dxa"/>
                  <w:noWrap w:val="0"/>
                  <w:vAlign w:val="center"/>
                </w:tcPr>
                <w:p>
                  <w:pPr>
                    <w:pStyle w:val="53"/>
                    <w:bidi w:val="0"/>
                    <w:spacing w:line="240" w:lineRule="auto"/>
                    <w:rPr>
                      <w:rFonts w:hint="default"/>
                      <w:b w:val="0"/>
                      <w:bCs w:val="0"/>
                      <w:sz w:val="21"/>
                      <w:szCs w:val="21"/>
                    </w:rPr>
                  </w:pPr>
                  <w:r>
                    <w:rPr>
                      <w:rFonts w:hint="eastAsia"/>
                      <w:b w:val="0"/>
                      <w:bCs w:val="0"/>
                      <w:sz w:val="21"/>
                      <w:szCs w:val="21"/>
                      <w:lang w:eastAsia="zh-CN"/>
                    </w:rPr>
                    <w:t>HW08</w:t>
                  </w:r>
                </w:p>
              </w:tc>
              <w:tc>
                <w:tcPr>
                  <w:tcW w:w="1549" w:type="dxa"/>
                  <w:noWrap w:val="0"/>
                  <w:vAlign w:val="center"/>
                </w:tcPr>
                <w:p>
                  <w:pPr>
                    <w:pStyle w:val="53"/>
                    <w:bidi w:val="0"/>
                    <w:spacing w:line="240" w:lineRule="auto"/>
                    <w:rPr>
                      <w:rFonts w:hint="default"/>
                      <w:b w:val="0"/>
                      <w:bCs w:val="0"/>
                      <w:sz w:val="21"/>
                      <w:szCs w:val="21"/>
                    </w:rPr>
                  </w:pPr>
                  <w:r>
                    <w:rPr>
                      <w:rFonts w:hint="eastAsia"/>
                      <w:b w:val="0"/>
                      <w:bCs w:val="0"/>
                      <w:sz w:val="21"/>
                      <w:szCs w:val="21"/>
                      <w:lang w:eastAsia="zh-CN"/>
                    </w:rPr>
                    <w:t>900-214-08</w:t>
                  </w:r>
                </w:p>
              </w:tc>
              <w:tc>
                <w:tcPr>
                  <w:tcW w:w="1076" w:type="dxa"/>
                  <w:noWrap w:val="0"/>
                  <w:vAlign w:val="center"/>
                </w:tcPr>
                <w:p>
                  <w:pPr>
                    <w:pStyle w:val="53"/>
                    <w:bidi w:val="0"/>
                    <w:spacing w:line="240" w:lineRule="auto"/>
                    <w:rPr>
                      <w:rFonts w:hint="default"/>
                      <w:b w:val="0"/>
                      <w:bCs w:val="0"/>
                      <w:sz w:val="21"/>
                      <w:szCs w:val="21"/>
                    </w:rPr>
                  </w:pPr>
                  <w:r>
                    <w:rPr>
                      <w:rFonts w:hint="default"/>
                      <w:b w:val="0"/>
                      <w:bCs w:val="0"/>
                      <w:sz w:val="21"/>
                      <w:szCs w:val="21"/>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8" w:type="dxa"/>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val="en-US" w:eastAsia="zh-CN"/>
                    </w:rPr>
                    <w:t>3</w:t>
                  </w:r>
                </w:p>
              </w:tc>
              <w:tc>
                <w:tcPr>
                  <w:tcW w:w="2545" w:type="dxa"/>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废原料桶</w:t>
                  </w:r>
                </w:p>
              </w:tc>
              <w:tc>
                <w:tcPr>
                  <w:tcW w:w="2468" w:type="dxa"/>
                  <w:noWrap w:val="0"/>
                  <w:vAlign w:val="center"/>
                </w:tcPr>
                <w:p>
                  <w:pPr>
                    <w:pStyle w:val="53"/>
                    <w:bidi w:val="0"/>
                    <w:spacing w:line="240" w:lineRule="auto"/>
                    <w:rPr>
                      <w:rFonts w:hint="default"/>
                      <w:b w:val="0"/>
                      <w:bCs w:val="0"/>
                      <w:sz w:val="21"/>
                      <w:szCs w:val="21"/>
                    </w:rPr>
                  </w:pPr>
                  <w:r>
                    <w:rPr>
                      <w:rFonts w:hint="eastAsia"/>
                      <w:b w:val="0"/>
                      <w:bCs w:val="0"/>
                      <w:sz w:val="21"/>
                      <w:szCs w:val="21"/>
                      <w:lang w:eastAsia="zh-CN"/>
                    </w:rPr>
                    <w:t>HW49</w:t>
                  </w:r>
                </w:p>
              </w:tc>
              <w:tc>
                <w:tcPr>
                  <w:tcW w:w="1549" w:type="dxa"/>
                  <w:noWrap w:val="0"/>
                  <w:vAlign w:val="center"/>
                </w:tcPr>
                <w:p>
                  <w:pPr>
                    <w:pStyle w:val="53"/>
                    <w:bidi w:val="0"/>
                    <w:spacing w:line="240" w:lineRule="auto"/>
                    <w:rPr>
                      <w:rFonts w:hint="default"/>
                      <w:b w:val="0"/>
                      <w:bCs w:val="0"/>
                      <w:sz w:val="21"/>
                      <w:szCs w:val="21"/>
                    </w:rPr>
                  </w:pPr>
                  <w:r>
                    <w:rPr>
                      <w:rFonts w:hint="eastAsia"/>
                      <w:b w:val="0"/>
                      <w:bCs w:val="0"/>
                      <w:sz w:val="21"/>
                      <w:szCs w:val="21"/>
                      <w:lang w:val="en-US" w:eastAsia="zh-CN"/>
                    </w:rPr>
                    <w:t>900-041-49</w:t>
                  </w:r>
                </w:p>
              </w:tc>
              <w:tc>
                <w:tcPr>
                  <w:tcW w:w="1076" w:type="dxa"/>
                  <w:noWrap w:val="0"/>
                  <w:vAlign w:val="center"/>
                </w:tcPr>
                <w:p>
                  <w:pPr>
                    <w:pStyle w:val="53"/>
                    <w:bidi w:val="0"/>
                    <w:spacing w:line="240" w:lineRule="auto"/>
                    <w:rPr>
                      <w:rFonts w:hint="default"/>
                      <w:b w:val="0"/>
                      <w:bCs w:val="0"/>
                      <w:sz w:val="21"/>
                      <w:szCs w:val="21"/>
                    </w:rPr>
                  </w:pPr>
                  <w:r>
                    <w:rPr>
                      <w:rFonts w:hint="default"/>
                      <w:b w:val="0"/>
                      <w:bCs w:val="0"/>
                      <w:sz w:val="21"/>
                      <w:szCs w:val="21"/>
                    </w:rPr>
                    <w:t>T</w:t>
                  </w:r>
                </w:p>
              </w:tc>
            </w:tr>
          </w:tbl>
          <w:p>
            <w:pPr>
              <w:spacing w:line="360" w:lineRule="auto"/>
              <w:ind w:firstLine="489" w:firstLineChars="204"/>
              <w:rPr>
                <w:rFonts w:hint="default"/>
                <w:sz w:val="24"/>
                <w:szCs w:val="22"/>
                <w:lang w:val="en-US" w:eastAsia="zh-CN"/>
              </w:rPr>
            </w:pPr>
            <w:r>
              <w:rPr>
                <w:rFonts w:hint="default"/>
                <w:sz w:val="24"/>
                <w:szCs w:val="22"/>
                <w:lang w:val="en-US" w:eastAsia="zh-CN"/>
              </w:rPr>
              <w:t>项目</w:t>
            </w:r>
            <w:r>
              <w:rPr>
                <w:rFonts w:hint="eastAsia"/>
                <w:sz w:val="24"/>
                <w:szCs w:val="22"/>
                <w:lang w:val="en-US" w:eastAsia="zh-CN"/>
              </w:rPr>
              <w:t>厂区西</w:t>
            </w:r>
            <w:r>
              <w:rPr>
                <w:rFonts w:hint="default"/>
                <w:sz w:val="24"/>
                <w:szCs w:val="22"/>
                <w:lang w:val="en-US" w:eastAsia="zh-CN"/>
              </w:rPr>
              <w:t>侧设置</w:t>
            </w:r>
            <w:r>
              <w:rPr>
                <w:rFonts w:hint="eastAsia"/>
                <w:sz w:val="24"/>
                <w:szCs w:val="22"/>
                <w:lang w:val="en-US" w:eastAsia="zh-CN"/>
              </w:rPr>
              <w:t>1</w:t>
            </w:r>
            <w:r>
              <w:rPr>
                <w:rFonts w:hint="default"/>
                <w:sz w:val="24"/>
                <w:szCs w:val="22"/>
                <w:lang w:val="en-US" w:eastAsia="zh-CN"/>
              </w:rPr>
              <w:t>间面积为</w:t>
            </w:r>
            <w:r>
              <w:rPr>
                <w:rFonts w:hint="eastAsia"/>
                <w:sz w:val="24"/>
                <w:szCs w:val="22"/>
                <w:lang w:val="en-US" w:eastAsia="zh-CN"/>
              </w:rPr>
              <w:t>8</w:t>
            </w:r>
            <w:r>
              <w:rPr>
                <w:rFonts w:hint="eastAsia"/>
                <w:color w:val="auto"/>
                <w:sz w:val="24"/>
                <w:szCs w:val="22"/>
                <w:lang w:val="en-US" w:eastAsia="zh-CN"/>
              </w:rPr>
              <w:t>m</w:t>
            </w:r>
            <w:r>
              <w:rPr>
                <w:rFonts w:hint="eastAsia"/>
                <w:color w:val="auto"/>
                <w:sz w:val="24"/>
                <w:szCs w:val="22"/>
                <w:vertAlign w:val="superscript"/>
                <w:lang w:val="en-US" w:eastAsia="zh-CN"/>
              </w:rPr>
              <w:t>2</w:t>
            </w:r>
            <w:r>
              <w:rPr>
                <w:rFonts w:hint="default"/>
                <w:sz w:val="24"/>
                <w:szCs w:val="22"/>
                <w:lang w:val="en-US" w:eastAsia="zh-CN"/>
              </w:rPr>
              <w:t xml:space="preserve">的危废暂存间，危险废物暂存间需严格按照《危险废物贮存污染控制标准》（GB 18597-2001）进行建设，基础必须防渗，防渗层为不少于1m后粘土层（渗透系数≤10 </w:t>
            </w:r>
            <w:r>
              <w:rPr>
                <w:rFonts w:hint="default"/>
                <w:sz w:val="24"/>
                <w:szCs w:val="22"/>
                <w:vertAlign w:val="superscript"/>
                <w:lang w:val="en-US" w:eastAsia="zh-CN"/>
              </w:rPr>
              <w:t>-7</w:t>
            </w:r>
            <w:r>
              <w:rPr>
                <w:rFonts w:hint="default"/>
                <w:sz w:val="24"/>
                <w:szCs w:val="22"/>
                <w:lang w:val="en-US" w:eastAsia="zh-CN"/>
              </w:rPr>
              <w:t>cm/s），或2mm后高密度聚乙烯，或至少2mm后其他人工材料，渗透系数≤10-10cm/s，地面及与裙角要用坚固、防渗的材料建造。危险废物暂存间需进行分区，不相容的危险废物必须分开存放。废</w:t>
            </w:r>
            <w:r>
              <w:rPr>
                <w:rFonts w:hint="eastAsia"/>
                <w:sz w:val="24"/>
                <w:szCs w:val="22"/>
                <w:lang w:val="en-US" w:eastAsia="zh-CN"/>
              </w:rPr>
              <w:t>机</w:t>
            </w:r>
            <w:r>
              <w:rPr>
                <w:rFonts w:hint="default"/>
                <w:sz w:val="24"/>
                <w:szCs w:val="22"/>
                <w:lang w:val="en-US" w:eastAsia="zh-CN"/>
              </w:rPr>
              <w:t>油、废</w:t>
            </w:r>
            <w:r>
              <w:rPr>
                <w:rFonts w:hint="eastAsia"/>
                <w:sz w:val="24"/>
                <w:szCs w:val="22"/>
                <w:lang w:val="en-US" w:eastAsia="zh-CN"/>
              </w:rPr>
              <w:t>过滤棉+活性炭</w:t>
            </w:r>
            <w:r>
              <w:rPr>
                <w:rFonts w:hint="default"/>
                <w:sz w:val="24"/>
                <w:szCs w:val="22"/>
                <w:lang w:val="en-US" w:eastAsia="zh-CN"/>
              </w:rPr>
              <w:t>需分别收集盛装于危险废物收集容器内，废原料桶无法装入常用容器，可用防胶袋盛装。项目区产生的危险废物分类、分区收集暂存于危险废物暂存间，</w:t>
            </w:r>
            <w:r>
              <w:rPr>
                <w:rFonts w:hint="eastAsia"/>
                <w:sz w:val="24"/>
                <w:szCs w:val="22"/>
                <w:lang w:val="en-US" w:eastAsia="zh-CN"/>
              </w:rPr>
              <w:t>废机油作为项目运营过程中设备润滑使用，</w:t>
            </w:r>
            <w:r>
              <w:rPr>
                <w:rFonts w:hint="eastAsia"/>
                <w:sz w:val="24"/>
                <w:szCs w:val="22"/>
                <w:lang w:eastAsia="zh-CN"/>
              </w:rPr>
              <w:t>废过滤棉+活性炭交由有资质的单位进行处理</w:t>
            </w:r>
            <w:r>
              <w:rPr>
                <w:rFonts w:hint="eastAsia"/>
                <w:sz w:val="24"/>
                <w:szCs w:val="22"/>
                <w:lang w:val="en-US" w:eastAsia="zh-CN"/>
              </w:rPr>
              <w:t>，废原料桶交由有资质的单位进行处理</w:t>
            </w:r>
            <w:r>
              <w:rPr>
                <w:rFonts w:hint="default"/>
                <w:sz w:val="24"/>
                <w:szCs w:val="22"/>
                <w:lang w:val="en-US" w:eastAsia="zh-CN"/>
              </w:rPr>
              <w:t>。</w:t>
            </w:r>
          </w:p>
          <w:p>
            <w:pPr>
              <w:spacing w:line="360" w:lineRule="auto"/>
              <w:ind w:firstLine="480" w:firstLineChars="200"/>
              <w:rPr>
                <w:rFonts w:hint="default"/>
                <w:sz w:val="24"/>
                <w:szCs w:val="22"/>
                <w:lang w:val="en-US" w:eastAsia="zh-CN"/>
              </w:rPr>
            </w:pPr>
            <w:r>
              <w:rPr>
                <w:rFonts w:hint="default"/>
                <w:sz w:val="24"/>
                <w:szCs w:val="22"/>
                <w:lang w:val="en-US" w:eastAsia="zh-CN"/>
              </w:rPr>
              <w:t>（4）固体废物产生量汇总</w:t>
            </w:r>
          </w:p>
          <w:p>
            <w:pPr>
              <w:spacing w:line="360" w:lineRule="auto"/>
              <w:ind w:firstLine="480" w:firstLineChars="200"/>
              <w:rPr>
                <w:rFonts w:hint="default"/>
                <w:sz w:val="24"/>
                <w:szCs w:val="22"/>
              </w:rPr>
            </w:pPr>
            <w:r>
              <w:rPr>
                <w:rFonts w:hint="default"/>
                <w:sz w:val="24"/>
                <w:szCs w:val="22"/>
                <w:lang w:val="en-US" w:eastAsia="zh-CN"/>
              </w:rPr>
              <w:t>项目运营期的固体废物产生量见表5-</w:t>
            </w:r>
            <w:r>
              <w:rPr>
                <w:rFonts w:hint="eastAsia"/>
                <w:sz w:val="24"/>
                <w:szCs w:val="22"/>
                <w:lang w:val="en-US" w:eastAsia="zh-CN"/>
              </w:rPr>
              <w:t>12</w:t>
            </w:r>
            <w:r>
              <w:rPr>
                <w:rFonts w:hint="default"/>
                <w:sz w:val="24"/>
                <w:szCs w:val="22"/>
                <w:lang w:val="en-US" w:eastAsia="zh-CN"/>
              </w:rPr>
              <w:t xml:space="preserve">。 </w:t>
            </w:r>
          </w:p>
          <w:p>
            <w:pPr>
              <w:pStyle w:val="52"/>
              <w:bidi w:val="0"/>
              <w:spacing w:line="240" w:lineRule="auto"/>
              <w:rPr>
                <w:rFonts w:hint="default"/>
              </w:rPr>
            </w:pPr>
            <w:r>
              <w:rPr>
                <w:rFonts w:hint="default"/>
              </w:rPr>
              <w:t>表</w:t>
            </w:r>
            <w:r>
              <w:rPr>
                <w:rFonts w:hint="default"/>
                <w:lang w:val="en-US" w:eastAsia="zh-CN"/>
              </w:rPr>
              <w:t>5</w:t>
            </w:r>
            <w:r>
              <w:rPr>
                <w:rFonts w:hint="eastAsia"/>
                <w:lang w:val="en-US" w:eastAsia="zh-CN"/>
              </w:rPr>
              <w:t>-12</w:t>
            </w:r>
            <w:r>
              <w:rPr>
                <w:rFonts w:hint="default"/>
                <w:lang w:val="en-US" w:eastAsia="zh-CN"/>
              </w:rPr>
              <w:t xml:space="preserve"> </w:t>
            </w:r>
            <w:r>
              <w:rPr>
                <w:rFonts w:hint="default"/>
              </w:rPr>
              <w:t xml:space="preserve">  项目固废产生情况一览表</w:t>
            </w:r>
          </w:p>
          <w:tbl>
            <w:tblPr>
              <w:tblStyle w:val="3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1406"/>
              <w:gridCol w:w="1139"/>
              <w:gridCol w:w="1044"/>
              <w:gridCol w:w="1076"/>
              <w:gridCol w:w="2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blHeader/>
                <w:jc w:val="center"/>
              </w:trPr>
              <w:tc>
                <w:tcPr>
                  <w:tcW w:w="457" w:type="pct"/>
                  <w:noWrap w:val="0"/>
                  <w:vAlign w:val="center"/>
                </w:tcPr>
                <w:p>
                  <w:pPr>
                    <w:pStyle w:val="53"/>
                    <w:bidi w:val="0"/>
                    <w:spacing w:line="240" w:lineRule="auto"/>
                    <w:rPr>
                      <w:rFonts w:hint="default"/>
                      <w:b w:val="0"/>
                      <w:bCs w:val="0"/>
                      <w:sz w:val="21"/>
                      <w:szCs w:val="21"/>
                    </w:rPr>
                  </w:pPr>
                  <w:r>
                    <w:rPr>
                      <w:rFonts w:hint="default"/>
                      <w:b w:val="0"/>
                      <w:bCs w:val="0"/>
                      <w:sz w:val="21"/>
                      <w:szCs w:val="21"/>
                    </w:rPr>
                    <w:t>序号</w:t>
                  </w:r>
                </w:p>
              </w:tc>
              <w:tc>
                <w:tcPr>
                  <w:tcW w:w="858" w:type="pct"/>
                  <w:noWrap w:val="0"/>
                  <w:vAlign w:val="center"/>
                </w:tcPr>
                <w:p>
                  <w:pPr>
                    <w:pStyle w:val="53"/>
                    <w:bidi w:val="0"/>
                    <w:spacing w:line="240" w:lineRule="auto"/>
                    <w:rPr>
                      <w:rFonts w:hint="default"/>
                      <w:b w:val="0"/>
                      <w:bCs w:val="0"/>
                      <w:sz w:val="21"/>
                      <w:szCs w:val="21"/>
                    </w:rPr>
                  </w:pPr>
                  <w:r>
                    <w:rPr>
                      <w:rFonts w:hint="default"/>
                      <w:b w:val="0"/>
                      <w:bCs w:val="0"/>
                      <w:sz w:val="21"/>
                      <w:szCs w:val="21"/>
                    </w:rPr>
                    <w:t>名称</w:t>
                  </w:r>
                </w:p>
              </w:tc>
              <w:tc>
                <w:tcPr>
                  <w:tcW w:w="695" w:type="pct"/>
                  <w:noWrap w:val="0"/>
                  <w:vAlign w:val="center"/>
                </w:tcPr>
                <w:p>
                  <w:pPr>
                    <w:pStyle w:val="53"/>
                    <w:bidi w:val="0"/>
                    <w:spacing w:line="240" w:lineRule="auto"/>
                    <w:rPr>
                      <w:rFonts w:hint="default"/>
                      <w:b w:val="0"/>
                      <w:bCs w:val="0"/>
                      <w:sz w:val="21"/>
                      <w:szCs w:val="21"/>
                    </w:rPr>
                  </w:pPr>
                  <w:r>
                    <w:rPr>
                      <w:rFonts w:hint="default"/>
                      <w:b w:val="0"/>
                      <w:bCs w:val="0"/>
                      <w:sz w:val="21"/>
                      <w:szCs w:val="21"/>
                    </w:rPr>
                    <w:t>产生量t/a</w:t>
                  </w:r>
                </w:p>
              </w:tc>
              <w:tc>
                <w:tcPr>
                  <w:tcW w:w="637" w:type="pct"/>
                  <w:noWrap w:val="0"/>
                  <w:vAlign w:val="center"/>
                </w:tcPr>
                <w:p>
                  <w:pPr>
                    <w:pStyle w:val="53"/>
                    <w:bidi w:val="0"/>
                    <w:spacing w:line="240" w:lineRule="auto"/>
                    <w:rPr>
                      <w:rFonts w:hint="default"/>
                      <w:b w:val="0"/>
                      <w:bCs w:val="0"/>
                      <w:sz w:val="21"/>
                      <w:szCs w:val="21"/>
                    </w:rPr>
                  </w:pPr>
                  <w:r>
                    <w:rPr>
                      <w:rFonts w:hint="default"/>
                      <w:b w:val="0"/>
                      <w:bCs w:val="0"/>
                      <w:sz w:val="21"/>
                      <w:szCs w:val="21"/>
                    </w:rPr>
                    <w:t>属性</w:t>
                  </w:r>
                </w:p>
              </w:tc>
              <w:tc>
                <w:tcPr>
                  <w:tcW w:w="657" w:type="pct"/>
                  <w:noWrap w:val="0"/>
                  <w:vAlign w:val="center"/>
                </w:tcPr>
                <w:p>
                  <w:pPr>
                    <w:pStyle w:val="53"/>
                    <w:bidi w:val="0"/>
                    <w:spacing w:line="240" w:lineRule="auto"/>
                    <w:rPr>
                      <w:rFonts w:hint="eastAsia"/>
                      <w:b w:val="0"/>
                      <w:bCs w:val="0"/>
                      <w:sz w:val="21"/>
                      <w:szCs w:val="21"/>
                      <w:lang w:eastAsia="zh-CN"/>
                    </w:rPr>
                  </w:pPr>
                  <w:r>
                    <w:rPr>
                      <w:rFonts w:hint="default"/>
                      <w:b w:val="0"/>
                      <w:bCs w:val="0"/>
                      <w:sz w:val="21"/>
                      <w:szCs w:val="21"/>
                    </w:rPr>
                    <w:t>危险</w:t>
                  </w:r>
                  <w:r>
                    <w:rPr>
                      <w:rFonts w:hint="eastAsia"/>
                      <w:b w:val="0"/>
                      <w:bCs w:val="0"/>
                      <w:sz w:val="21"/>
                      <w:szCs w:val="21"/>
                      <w:lang w:eastAsia="zh-CN"/>
                    </w:rPr>
                    <w:t>类别</w:t>
                  </w:r>
                </w:p>
              </w:tc>
              <w:tc>
                <w:tcPr>
                  <w:tcW w:w="1694" w:type="pct"/>
                  <w:noWrap w:val="0"/>
                  <w:vAlign w:val="center"/>
                </w:tcPr>
                <w:p>
                  <w:pPr>
                    <w:pStyle w:val="53"/>
                    <w:bidi w:val="0"/>
                    <w:spacing w:line="240" w:lineRule="auto"/>
                    <w:rPr>
                      <w:rFonts w:hint="default"/>
                      <w:b w:val="0"/>
                      <w:bCs w:val="0"/>
                      <w:sz w:val="21"/>
                      <w:szCs w:val="21"/>
                    </w:rPr>
                  </w:pPr>
                  <w:r>
                    <w:rPr>
                      <w:rFonts w:hint="default"/>
                      <w:b w:val="0"/>
                      <w:bCs w:val="0"/>
                      <w:sz w:val="21"/>
                      <w:szCs w:val="21"/>
                    </w:rPr>
                    <w:t>处理去向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7" w:type="pct"/>
                  <w:noWrap w:val="0"/>
                  <w:vAlign w:val="center"/>
                </w:tcPr>
                <w:p>
                  <w:pPr>
                    <w:pStyle w:val="53"/>
                    <w:bidi w:val="0"/>
                    <w:spacing w:line="240" w:lineRule="auto"/>
                    <w:rPr>
                      <w:rFonts w:hint="default"/>
                      <w:b w:val="0"/>
                      <w:bCs w:val="0"/>
                      <w:sz w:val="21"/>
                      <w:szCs w:val="21"/>
                    </w:rPr>
                  </w:pPr>
                  <w:r>
                    <w:rPr>
                      <w:rFonts w:hint="default"/>
                      <w:b w:val="0"/>
                      <w:bCs w:val="0"/>
                      <w:sz w:val="21"/>
                      <w:szCs w:val="21"/>
                    </w:rPr>
                    <w:t>1</w:t>
                  </w:r>
                </w:p>
              </w:tc>
              <w:tc>
                <w:tcPr>
                  <w:tcW w:w="858" w:type="pct"/>
                  <w:noWrap w:val="0"/>
                  <w:vAlign w:val="center"/>
                </w:tcPr>
                <w:p>
                  <w:pPr>
                    <w:pStyle w:val="53"/>
                    <w:bidi w:val="0"/>
                    <w:spacing w:line="240" w:lineRule="auto"/>
                    <w:rPr>
                      <w:rFonts w:hint="default"/>
                      <w:b w:val="0"/>
                      <w:bCs w:val="0"/>
                      <w:sz w:val="21"/>
                      <w:szCs w:val="21"/>
                      <w:lang w:eastAsia="zh-CN"/>
                    </w:rPr>
                  </w:pPr>
                  <w:r>
                    <w:rPr>
                      <w:rFonts w:hint="eastAsia"/>
                      <w:b w:val="0"/>
                      <w:bCs w:val="0"/>
                      <w:sz w:val="21"/>
                      <w:szCs w:val="21"/>
                      <w:lang w:eastAsia="zh-CN"/>
                    </w:rPr>
                    <w:t>金属边角料</w:t>
                  </w:r>
                </w:p>
              </w:tc>
              <w:tc>
                <w:tcPr>
                  <w:tcW w:w="695"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34</w:t>
                  </w:r>
                </w:p>
              </w:tc>
              <w:tc>
                <w:tcPr>
                  <w:tcW w:w="637" w:type="pct"/>
                  <w:vMerge w:val="restart"/>
                  <w:noWrap w:val="0"/>
                  <w:vAlign w:val="center"/>
                </w:tcPr>
                <w:p>
                  <w:pPr>
                    <w:pStyle w:val="53"/>
                    <w:bidi w:val="0"/>
                    <w:spacing w:line="240" w:lineRule="auto"/>
                    <w:rPr>
                      <w:rFonts w:hint="default"/>
                      <w:b w:val="0"/>
                      <w:bCs w:val="0"/>
                      <w:sz w:val="21"/>
                      <w:szCs w:val="21"/>
                    </w:rPr>
                  </w:pPr>
                  <w:r>
                    <w:rPr>
                      <w:rFonts w:hint="default"/>
                      <w:b w:val="0"/>
                      <w:bCs w:val="0"/>
                      <w:sz w:val="21"/>
                      <w:szCs w:val="21"/>
                    </w:rPr>
                    <w:t>一般</w:t>
                  </w:r>
                  <w:r>
                    <w:rPr>
                      <w:rFonts w:hint="default"/>
                      <w:b w:val="0"/>
                      <w:bCs w:val="0"/>
                      <w:sz w:val="21"/>
                      <w:szCs w:val="21"/>
                      <w:lang w:eastAsia="zh-CN"/>
                    </w:rPr>
                    <w:t>工业</w:t>
                  </w:r>
                  <w:r>
                    <w:rPr>
                      <w:rFonts w:hint="default"/>
                      <w:b w:val="0"/>
                      <w:bCs w:val="0"/>
                      <w:sz w:val="21"/>
                      <w:szCs w:val="21"/>
                    </w:rPr>
                    <w:t>固废</w:t>
                  </w:r>
                </w:p>
              </w:tc>
              <w:tc>
                <w:tcPr>
                  <w:tcW w:w="657" w:type="pct"/>
                  <w:noWrap w:val="0"/>
                  <w:vAlign w:val="center"/>
                </w:tcPr>
                <w:p>
                  <w:pPr>
                    <w:pStyle w:val="53"/>
                    <w:bidi w:val="0"/>
                    <w:spacing w:line="240" w:lineRule="auto"/>
                    <w:rPr>
                      <w:rFonts w:hint="default"/>
                      <w:b w:val="0"/>
                      <w:bCs w:val="0"/>
                      <w:sz w:val="21"/>
                      <w:szCs w:val="21"/>
                      <w:lang w:val="en-US" w:eastAsia="zh-CN"/>
                    </w:rPr>
                  </w:pPr>
                  <w:r>
                    <w:rPr>
                      <w:rFonts w:hint="default"/>
                      <w:b w:val="0"/>
                      <w:bCs w:val="0"/>
                      <w:sz w:val="21"/>
                      <w:szCs w:val="21"/>
                      <w:lang w:val="en-US" w:eastAsia="zh-CN"/>
                    </w:rPr>
                    <w:t>—</w:t>
                  </w:r>
                </w:p>
              </w:tc>
              <w:tc>
                <w:tcPr>
                  <w:tcW w:w="1694" w:type="pct"/>
                  <w:vMerge w:val="restart"/>
                  <w:noWrap w:val="0"/>
                  <w:vAlign w:val="center"/>
                </w:tcPr>
                <w:p>
                  <w:pPr>
                    <w:pStyle w:val="53"/>
                    <w:bidi w:val="0"/>
                    <w:spacing w:line="240" w:lineRule="auto"/>
                    <w:rPr>
                      <w:rFonts w:hint="default"/>
                      <w:b w:val="0"/>
                      <w:bCs w:val="0"/>
                      <w:sz w:val="21"/>
                      <w:szCs w:val="21"/>
                    </w:rPr>
                  </w:pPr>
                  <w:r>
                    <w:rPr>
                      <w:rFonts w:hint="eastAsia"/>
                      <w:b w:val="0"/>
                      <w:bCs w:val="0"/>
                      <w:sz w:val="21"/>
                      <w:szCs w:val="21"/>
                      <w:lang w:eastAsia="zh-CN"/>
                    </w:rPr>
                    <w:t>收集后外售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457" w:type="pct"/>
                  <w:noWrap w:val="0"/>
                  <w:vAlign w:val="center"/>
                </w:tcPr>
                <w:p>
                  <w:pPr>
                    <w:pStyle w:val="53"/>
                    <w:bidi w:val="0"/>
                    <w:spacing w:line="240" w:lineRule="auto"/>
                    <w:rPr>
                      <w:rFonts w:hint="default"/>
                      <w:b w:val="0"/>
                      <w:bCs w:val="0"/>
                      <w:sz w:val="21"/>
                      <w:szCs w:val="21"/>
                      <w:lang w:eastAsia="zh-CN"/>
                    </w:rPr>
                  </w:pPr>
                  <w:r>
                    <w:rPr>
                      <w:rFonts w:hint="default"/>
                      <w:b w:val="0"/>
                      <w:bCs w:val="0"/>
                      <w:sz w:val="21"/>
                      <w:szCs w:val="21"/>
                      <w:lang w:val="en-US" w:eastAsia="zh-CN"/>
                    </w:rPr>
                    <w:t>2</w:t>
                  </w:r>
                </w:p>
              </w:tc>
              <w:tc>
                <w:tcPr>
                  <w:tcW w:w="858" w:type="pct"/>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移动式烟尘净化器收集粉尘</w:t>
                  </w:r>
                </w:p>
              </w:tc>
              <w:tc>
                <w:tcPr>
                  <w:tcW w:w="695"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1.402</w:t>
                  </w:r>
                </w:p>
              </w:tc>
              <w:tc>
                <w:tcPr>
                  <w:tcW w:w="637" w:type="pct"/>
                  <w:vMerge w:val="continue"/>
                  <w:noWrap w:val="0"/>
                  <w:vAlign w:val="center"/>
                </w:tcPr>
                <w:p>
                  <w:pPr>
                    <w:pStyle w:val="53"/>
                    <w:bidi w:val="0"/>
                    <w:spacing w:line="240" w:lineRule="auto"/>
                    <w:rPr>
                      <w:rFonts w:hint="default"/>
                      <w:b w:val="0"/>
                      <w:bCs w:val="0"/>
                      <w:sz w:val="21"/>
                      <w:szCs w:val="21"/>
                    </w:rPr>
                  </w:pPr>
                </w:p>
              </w:tc>
              <w:tc>
                <w:tcPr>
                  <w:tcW w:w="657" w:type="pct"/>
                  <w:noWrap w:val="0"/>
                  <w:vAlign w:val="center"/>
                </w:tcPr>
                <w:p>
                  <w:pPr>
                    <w:pStyle w:val="53"/>
                    <w:bidi w:val="0"/>
                    <w:spacing w:line="240" w:lineRule="auto"/>
                    <w:rPr>
                      <w:rFonts w:hint="default"/>
                      <w:b w:val="0"/>
                      <w:bCs w:val="0"/>
                      <w:sz w:val="21"/>
                      <w:szCs w:val="21"/>
                      <w:lang w:val="en-US" w:eastAsia="zh-CN"/>
                    </w:rPr>
                  </w:pPr>
                  <w:r>
                    <w:rPr>
                      <w:rFonts w:hint="default"/>
                      <w:b w:val="0"/>
                      <w:bCs w:val="0"/>
                      <w:sz w:val="21"/>
                      <w:szCs w:val="21"/>
                      <w:lang w:val="en-US" w:eastAsia="zh-CN"/>
                    </w:rPr>
                    <w:t>—</w:t>
                  </w:r>
                </w:p>
              </w:tc>
              <w:tc>
                <w:tcPr>
                  <w:tcW w:w="1694" w:type="pct"/>
                  <w:vMerge w:val="continue"/>
                  <w:noWrap w:val="0"/>
                  <w:vAlign w:val="center"/>
                </w:tcPr>
                <w:p>
                  <w:pPr>
                    <w:pStyle w:val="53"/>
                    <w:bidi w:val="0"/>
                    <w:spacing w:line="240" w:lineRule="auto"/>
                    <w:rPr>
                      <w:rFonts w:hint="default"/>
                      <w:b w:val="0"/>
                      <w:bCs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457"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3</w:t>
                  </w:r>
                </w:p>
              </w:tc>
              <w:tc>
                <w:tcPr>
                  <w:tcW w:w="858" w:type="pct"/>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布袋除尘器收集粉尘</w:t>
                  </w:r>
                </w:p>
              </w:tc>
              <w:tc>
                <w:tcPr>
                  <w:tcW w:w="695"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1.423</w:t>
                  </w:r>
                </w:p>
              </w:tc>
              <w:tc>
                <w:tcPr>
                  <w:tcW w:w="637" w:type="pct"/>
                  <w:vMerge w:val="continue"/>
                  <w:noWrap w:val="0"/>
                  <w:vAlign w:val="center"/>
                </w:tcPr>
                <w:p>
                  <w:pPr>
                    <w:pStyle w:val="53"/>
                    <w:bidi w:val="0"/>
                    <w:spacing w:line="240" w:lineRule="auto"/>
                    <w:rPr>
                      <w:rFonts w:hint="default"/>
                      <w:b w:val="0"/>
                      <w:bCs w:val="0"/>
                      <w:sz w:val="21"/>
                      <w:szCs w:val="21"/>
                      <w:lang w:eastAsia="zh-CN"/>
                    </w:rPr>
                  </w:pPr>
                </w:p>
              </w:tc>
              <w:tc>
                <w:tcPr>
                  <w:tcW w:w="657" w:type="pct"/>
                  <w:noWrap w:val="0"/>
                  <w:vAlign w:val="center"/>
                </w:tcPr>
                <w:p>
                  <w:pPr>
                    <w:pStyle w:val="53"/>
                    <w:bidi w:val="0"/>
                    <w:spacing w:line="240" w:lineRule="auto"/>
                    <w:rPr>
                      <w:rFonts w:hint="default"/>
                      <w:b w:val="0"/>
                      <w:bCs w:val="0"/>
                      <w:sz w:val="21"/>
                      <w:szCs w:val="21"/>
                      <w:lang w:val="en-US" w:eastAsia="zh-CN"/>
                    </w:rPr>
                  </w:pPr>
                </w:p>
              </w:tc>
              <w:tc>
                <w:tcPr>
                  <w:tcW w:w="1694" w:type="pct"/>
                  <w:vMerge w:val="continue"/>
                  <w:noWrap w:val="0"/>
                  <w:vAlign w:val="center"/>
                </w:tcPr>
                <w:p>
                  <w:pPr>
                    <w:pStyle w:val="53"/>
                    <w:bidi w:val="0"/>
                    <w:spacing w:line="240" w:lineRule="auto"/>
                    <w:rPr>
                      <w:rFonts w:hint="default"/>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457"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3</w:t>
                  </w:r>
                </w:p>
              </w:tc>
              <w:tc>
                <w:tcPr>
                  <w:tcW w:w="858" w:type="pct"/>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焊渣</w:t>
                  </w:r>
                </w:p>
              </w:tc>
              <w:tc>
                <w:tcPr>
                  <w:tcW w:w="695"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6.55</w:t>
                  </w:r>
                </w:p>
              </w:tc>
              <w:tc>
                <w:tcPr>
                  <w:tcW w:w="637" w:type="pct"/>
                  <w:vMerge w:val="continue"/>
                  <w:noWrap w:val="0"/>
                  <w:vAlign w:val="center"/>
                </w:tcPr>
                <w:p>
                  <w:pPr>
                    <w:pStyle w:val="53"/>
                    <w:bidi w:val="0"/>
                    <w:spacing w:line="240" w:lineRule="auto"/>
                    <w:rPr>
                      <w:rFonts w:hint="default"/>
                      <w:b w:val="0"/>
                      <w:bCs w:val="0"/>
                      <w:sz w:val="21"/>
                      <w:szCs w:val="21"/>
                      <w:lang w:eastAsia="zh-CN"/>
                    </w:rPr>
                  </w:pPr>
                </w:p>
              </w:tc>
              <w:tc>
                <w:tcPr>
                  <w:tcW w:w="657" w:type="pct"/>
                  <w:noWrap w:val="0"/>
                  <w:vAlign w:val="center"/>
                </w:tcPr>
                <w:p>
                  <w:pPr>
                    <w:pStyle w:val="53"/>
                    <w:bidi w:val="0"/>
                    <w:spacing w:line="240" w:lineRule="auto"/>
                    <w:rPr>
                      <w:rFonts w:hint="default"/>
                      <w:b w:val="0"/>
                      <w:bCs w:val="0"/>
                      <w:sz w:val="21"/>
                      <w:szCs w:val="21"/>
                      <w:lang w:val="en-US" w:eastAsia="zh-CN"/>
                    </w:rPr>
                  </w:pPr>
                  <w:r>
                    <w:rPr>
                      <w:rFonts w:hint="default"/>
                      <w:b w:val="0"/>
                      <w:bCs w:val="0"/>
                      <w:sz w:val="21"/>
                      <w:szCs w:val="21"/>
                      <w:lang w:val="en-US" w:eastAsia="zh-CN"/>
                    </w:rPr>
                    <w:t>—</w:t>
                  </w:r>
                </w:p>
              </w:tc>
              <w:tc>
                <w:tcPr>
                  <w:tcW w:w="1694" w:type="pct"/>
                  <w:vMerge w:val="continue"/>
                  <w:noWrap w:val="0"/>
                  <w:vAlign w:val="center"/>
                </w:tcPr>
                <w:p>
                  <w:pPr>
                    <w:pStyle w:val="53"/>
                    <w:bidi w:val="0"/>
                    <w:spacing w:line="240" w:lineRule="auto"/>
                    <w:rPr>
                      <w:rFonts w:hint="default"/>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457"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4</w:t>
                  </w:r>
                </w:p>
              </w:tc>
              <w:tc>
                <w:tcPr>
                  <w:tcW w:w="858" w:type="pct"/>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废包装材料</w:t>
                  </w:r>
                </w:p>
              </w:tc>
              <w:tc>
                <w:tcPr>
                  <w:tcW w:w="695" w:type="pct"/>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0.3</w:t>
                  </w:r>
                </w:p>
              </w:tc>
              <w:tc>
                <w:tcPr>
                  <w:tcW w:w="637" w:type="pct"/>
                  <w:vMerge w:val="continue"/>
                  <w:noWrap w:val="0"/>
                  <w:vAlign w:val="center"/>
                </w:tcPr>
                <w:p>
                  <w:pPr>
                    <w:pStyle w:val="53"/>
                    <w:bidi w:val="0"/>
                    <w:spacing w:line="240" w:lineRule="auto"/>
                    <w:rPr>
                      <w:rFonts w:hint="default"/>
                      <w:b w:val="0"/>
                      <w:bCs w:val="0"/>
                      <w:sz w:val="21"/>
                      <w:szCs w:val="21"/>
                      <w:lang w:eastAsia="zh-CN"/>
                    </w:rPr>
                  </w:pPr>
                </w:p>
              </w:tc>
              <w:tc>
                <w:tcPr>
                  <w:tcW w:w="657" w:type="pct"/>
                  <w:noWrap w:val="0"/>
                  <w:vAlign w:val="center"/>
                </w:tcPr>
                <w:p>
                  <w:pPr>
                    <w:pStyle w:val="53"/>
                    <w:bidi w:val="0"/>
                    <w:spacing w:line="240" w:lineRule="auto"/>
                    <w:rPr>
                      <w:rFonts w:hint="default"/>
                      <w:b w:val="0"/>
                      <w:bCs w:val="0"/>
                      <w:sz w:val="21"/>
                      <w:szCs w:val="21"/>
                      <w:lang w:val="en-US" w:eastAsia="zh-CN"/>
                    </w:rPr>
                  </w:pPr>
                  <w:r>
                    <w:rPr>
                      <w:rFonts w:hint="default"/>
                      <w:b w:val="0"/>
                      <w:bCs w:val="0"/>
                      <w:sz w:val="21"/>
                      <w:szCs w:val="21"/>
                      <w:lang w:val="en-US" w:eastAsia="zh-CN"/>
                    </w:rPr>
                    <w:t>—</w:t>
                  </w:r>
                </w:p>
              </w:tc>
              <w:tc>
                <w:tcPr>
                  <w:tcW w:w="1694" w:type="pct"/>
                  <w:vMerge w:val="continue"/>
                  <w:noWrap w:val="0"/>
                  <w:vAlign w:val="center"/>
                </w:tcPr>
                <w:p>
                  <w:pPr>
                    <w:pStyle w:val="53"/>
                    <w:bidi w:val="0"/>
                    <w:spacing w:line="240" w:lineRule="auto"/>
                    <w:rPr>
                      <w:rFonts w:hint="default"/>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7"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5</w:t>
                  </w:r>
                </w:p>
              </w:tc>
              <w:tc>
                <w:tcPr>
                  <w:tcW w:w="858" w:type="pct"/>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生活垃圾</w:t>
                  </w:r>
                </w:p>
              </w:tc>
              <w:tc>
                <w:tcPr>
                  <w:tcW w:w="695" w:type="pct"/>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3</w:t>
                  </w:r>
                </w:p>
              </w:tc>
              <w:tc>
                <w:tcPr>
                  <w:tcW w:w="637" w:type="pct"/>
                  <w:noWrap w:val="0"/>
                  <w:vAlign w:val="center"/>
                </w:tcPr>
                <w:p>
                  <w:pPr>
                    <w:pStyle w:val="53"/>
                    <w:bidi w:val="0"/>
                    <w:spacing w:line="240" w:lineRule="auto"/>
                    <w:rPr>
                      <w:rFonts w:hint="default"/>
                      <w:b w:val="0"/>
                      <w:bCs w:val="0"/>
                      <w:sz w:val="21"/>
                      <w:szCs w:val="21"/>
                      <w:lang w:eastAsia="zh-CN"/>
                    </w:rPr>
                  </w:pPr>
                  <w:r>
                    <w:rPr>
                      <w:rFonts w:hint="eastAsia"/>
                      <w:b w:val="0"/>
                      <w:bCs w:val="0"/>
                      <w:sz w:val="21"/>
                      <w:szCs w:val="21"/>
                      <w:lang w:eastAsia="zh-CN"/>
                    </w:rPr>
                    <w:t>生活垃圾</w:t>
                  </w:r>
                </w:p>
              </w:tc>
              <w:tc>
                <w:tcPr>
                  <w:tcW w:w="657" w:type="pct"/>
                  <w:noWrap w:val="0"/>
                  <w:vAlign w:val="center"/>
                </w:tcPr>
                <w:p>
                  <w:pPr>
                    <w:pStyle w:val="53"/>
                    <w:bidi w:val="0"/>
                    <w:spacing w:line="240" w:lineRule="auto"/>
                    <w:rPr>
                      <w:rFonts w:hint="default"/>
                      <w:b w:val="0"/>
                      <w:bCs w:val="0"/>
                      <w:sz w:val="21"/>
                      <w:szCs w:val="21"/>
                      <w:lang w:val="en-US" w:eastAsia="zh-CN"/>
                    </w:rPr>
                  </w:pPr>
                  <w:r>
                    <w:rPr>
                      <w:rFonts w:hint="default"/>
                      <w:b w:val="0"/>
                      <w:bCs w:val="0"/>
                      <w:sz w:val="21"/>
                      <w:szCs w:val="21"/>
                      <w:lang w:val="en-US" w:eastAsia="zh-CN"/>
                    </w:rPr>
                    <w:t>—</w:t>
                  </w:r>
                </w:p>
              </w:tc>
              <w:tc>
                <w:tcPr>
                  <w:tcW w:w="1694" w:type="pct"/>
                  <w:noWrap w:val="0"/>
                  <w:vAlign w:val="center"/>
                </w:tcPr>
                <w:p>
                  <w:pPr>
                    <w:pStyle w:val="53"/>
                    <w:bidi w:val="0"/>
                    <w:spacing w:line="240" w:lineRule="auto"/>
                    <w:rPr>
                      <w:rFonts w:hint="default"/>
                      <w:b w:val="0"/>
                      <w:bCs w:val="0"/>
                      <w:sz w:val="21"/>
                      <w:szCs w:val="21"/>
                    </w:rPr>
                  </w:pPr>
                  <w:r>
                    <w:rPr>
                      <w:rFonts w:hint="default"/>
                      <w:b w:val="0"/>
                      <w:bCs w:val="0"/>
                      <w:sz w:val="21"/>
                      <w:szCs w:val="21"/>
                      <w:lang w:val="en-US" w:eastAsia="zh-CN"/>
                    </w:rPr>
                    <w:t>收集清由环卫部门处理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457" w:type="pct"/>
                  <w:noWrap w:val="0"/>
                  <w:vAlign w:val="center"/>
                </w:tcPr>
                <w:p>
                  <w:pPr>
                    <w:pStyle w:val="53"/>
                    <w:bidi w:val="0"/>
                    <w:spacing w:line="240" w:lineRule="auto"/>
                    <w:rPr>
                      <w:rFonts w:hint="default"/>
                      <w:b w:val="0"/>
                      <w:bCs w:val="0"/>
                      <w:sz w:val="21"/>
                      <w:szCs w:val="21"/>
                      <w:lang w:eastAsia="zh-CN"/>
                    </w:rPr>
                  </w:pPr>
                  <w:r>
                    <w:rPr>
                      <w:rFonts w:hint="eastAsia"/>
                      <w:b w:val="0"/>
                      <w:bCs w:val="0"/>
                      <w:sz w:val="21"/>
                      <w:szCs w:val="21"/>
                      <w:lang w:val="en-US" w:eastAsia="zh-CN"/>
                    </w:rPr>
                    <w:t>6</w:t>
                  </w:r>
                </w:p>
              </w:tc>
              <w:tc>
                <w:tcPr>
                  <w:tcW w:w="858" w:type="pct"/>
                  <w:noWrap w:val="0"/>
                  <w:vAlign w:val="center"/>
                </w:tcPr>
                <w:p>
                  <w:pPr>
                    <w:pStyle w:val="53"/>
                    <w:bidi w:val="0"/>
                    <w:spacing w:line="240" w:lineRule="auto"/>
                    <w:rPr>
                      <w:rFonts w:hint="default"/>
                      <w:b w:val="0"/>
                      <w:bCs w:val="0"/>
                      <w:sz w:val="21"/>
                      <w:szCs w:val="21"/>
                      <w:lang w:eastAsia="zh-CN"/>
                    </w:rPr>
                  </w:pPr>
                  <w:r>
                    <w:rPr>
                      <w:rFonts w:hint="eastAsia"/>
                      <w:b w:val="0"/>
                      <w:bCs w:val="0"/>
                      <w:sz w:val="21"/>
                      <w:szCs w:val="21"/>
                      <w:lang w:eastAsia="zh-CN"/>
                    </w:rPr>
                    <w:t>废过滤棉</w:t>
                  </w:r>
                </w:p>
              </w:tc>
              <w:tc>
                <w:tcPr>
                  <w:tcW w:w="695"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0.691</w:t>
                  </w:r>
                </w:p>
              </w:tc>
              <w:tc>
                <w:tcPr>
                  <w:tcW w:w="637" w:type="pct"/>
                  <w:vMerge w:val="restart"/>
                  <w:noWrap w:val="0"/>
                  <w:vAlign w:val="center"/>
                </w:tcPr>
                <w:p>
                  <w:pPr>
                    <w:pStyle w:val="53"/>
                    <w:bidi w:val="0"/>
                    <w:spacing w:line="240" w:lineRule="auto"/>
                    <w:rPr>
                      <w:rFonts w:hint="default"/>
                      <w:b w:val="0"/>
                      <w:bCs w:val="0"/>
                      <w:sz w:val="21"/>
                      <w:szCs w:val="21"/>
                    </w:rPr>
                  </w:pPr>
                  <w:r>
                    <w:rPr>
                      <w:rFonts w:hint="eastAsia"/>
                      <w:b w:val="0"/>
                      <w:bCs w:val="0"/>
                      <w:sz w:val="21"/>
                      <w:szCs w:val="21"/>
                      <w:lang w:val="en-US" w:eastAsia="zh-CN"/>
                    </w:rPr>
                    <w:t>危废</w:t>
                  </w:r>
                </w:p>
              </w:tc>
              <w:tc>
                <w:tcPr>
                  <w:tcW w:w="657" w:type="pct"/>
                  <w:tcBorders>
                    <w:bottom w:val="single" w:color="auto" w:sz="6" w:space="0"/>
                  </w:tcBorders>
                  <w:noWrap w:val="0"/>
                  <w:vAlign w:val="center"/>
                </w:tcPr>
                <w:p>
                  <w:pPr>
                    <w:pStyle w:val="53"/>
                    <w:bidi w:val="0"/>
                    <w:spacing w:line="240" w:lineRule="auto"/>
                    <w:rPr>
                      <w:rFonts w:hint="default"/>
                      <w:b w:val="0"/>
                      <w:bCs w:val="0"/>
                      <w:sz w:val="21"/>
                      <w:szCs w:val="21"/>
                    </w:rPr>
                  </w:pPr>
                  <w:r>
                    <w:rPr>
                      <w:rFonts w:hint="eastAsia"/>
                      <w:b w:val="0"/>
                      <w:bCs w:val="0"/>
                      <w:sz w:val="21"/>
                      <w:szCs w:val="21"/>
                      <w:lang w:val="en-US" w:eastAsia="zh-CN"/>
                    </w:rPr>
                    <w:t>HW06</w:t>
                  </w:r>
                </w:p>
              </w:tc>
              <w:tc>
                <w:tcPr>
                  <w:tcW w:w="1694" w:type="pct"/>
                  <w:noWrap w:val="0"/>
                  <w:vAlign w:val="center"/>
                </w:tcPr>
                <w:p>
                  <w:pPr>
                    <w:pStyle w:val="53"/>
                    <w:bidi w:val="0"/>
                    <w:spacing w:line="240" w:lineRule="auto"/>
                    <w:rPr>
                      <w:rFonts w:hint="default"/>
                      <w:b w:val="0"/>
                      <w:bCs w:val="0"/>
                      <w:sz w:val="21"/>
                      <w:szCs w:val="21"/>
                      <w:lang w:eastAsia="zh-CN"/>
                    </w:rPr>
                  </w:pPr>
                  <w:r>
                    <w:rPr>
                      <w:rFonts w:hint="eastAsia"/>
                      <w:b w:val="0"/>
                      <w:bCs w:val="0"/>
                      <w:sz w:val="21"/>
                      <w:szCs w:val="21"/>
                      <w:lang w:eastAsia="zh-CN"/>
                    </w:rPr>
                    <w:t>收集后交由有资质的单位进行处理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457"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7</w:t>
                  </w:r>
                </w:p>
              </w:tc>
              <w:tc>
                <w:tcPr>
                  <w:tcW w:w="858" w:type="pct"/>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废活性炭</w:t>
                  </w:r>
                </w:p>
              </w:tc>
              <w:tc>
                <w:tcPr>
                  <w:tcW w:w="695"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5.92</w:t>
                  </w:r>
                </w:p>
              </w:tc>
              <w:tc>
                <w:tcPr>
                  <w:tcW w:w="637" w:type="pct"/>
                  <w:vMerge w:val="continue"/>
                  <w:noWrap w:val="0"/>
                  <w:vAlign w:val="center"/>
                </w:tcPr>
                <w:p>
                  <w:pPr>
                    <w:pStyle w:val="53"/>
                    <w:bidi w:val="0"/>
                    <w:spacing w:line="240" w:lineRule="auto"/>
                    <w:rPr>
                      <w:rFonts w:hint="default"/>
                      <w:b w:val="0"/>
                      <w:bCs w:val="0"/>
                      <w:sz w:val="21"/>
                      <w:szCs w:val="21"/>
                    </w:rPr>
                  </w:pPr>
                </w:p>
              </w:tc>
              <w:tc>
                <w:tcPr>
                  <w:tcW w:w="657" w:type="pct"/>
                  <w:tcBorders>
                    <w:bottom w:val="single" w:color="auto" w:sz="6" w:space="0"/>
                  </w:tcBorders>
                  <w:noWrap w:val="0"/>
                  <w:vAlign w:val="center"/>
                </w:tcPr>
                <w:p>
                  <w:pPr>
                    <w:pStyle w:val="53"/>
                    <w:bidi w:val="0"/>
                    <w:spacing w:line="240" w:lineRule="auto"/>
                    <w:ind w:right="0" w:rightChars="0" w:firstLine="0" w:firstLineChars="0"/>
                    <w:rPr>
                      <w:rFonts w:hint="eastAsia"/>
                      <w:b w:val="0"/>
                      <w:bCs w:val="0"/>
                      <w:sz w:val="21"/>
                      <w:szCs w:val="21"/>
                      <w:lang w:val="en-US" w:eastAsia="zh-CN"/>
                    </w:rPr>
                  </w:pPr>
                  <w:r>
                    <w:rPr>
                      <w:rFonts w:hint="eastAsia"/>
                      <w:b w:val="0"/>
                      <w:bCs w:val="0"/>
                      <w:sz w:val="21"/>
                      <w:szCs w:val="21"/>
                      <w:lang w:val="en-US" w:eastAsia="zh-CN"/>
                    </w:rPr>
                    <w:t>HW06</w:t>
                  </w:r>
                </w:p>
              </w:tc>
              <w:tc>
                <w:tcPr>
                  <w:tcW w:w="1694" w:type="pct"/>
                  <w:noWrap w:val="0"/>
                  <w:vAlign w:val="center"/>
                </w:tcPr>
                <w:p>
                  <w:pPr>
                    <w:pStyle w:val="53"/>
                    <w:bidi w:val="0"/>
                    <w:spacing w:line="240" w:lineRule="auto"/>
                    <w:ind w:right="0" w:rightChars="0" w:firstLine="0" w:firstLineChars="0"/>
                    <w:rPr>
                      <w:rFonts w:hint="eastAsia"/>
                      <w:b w:val="0"/>
                      <w:bCs w:val="0"/>
                      <w:sz w:val="21"/>
                      <w:szCs w:val="21"/>
                      <w:lang w:eastAsia="zh-CN"/>
                    </w:rPr>
                  </w:pPr>
                  <w:r>
                    <w:rPr>
                      <w:rFonts w:hint="eastAsia"/>
                      <w:b w:val="0"/>
                      <w:bCs w:val="0"/>
                      <w:sz w:val="21"/>
                      <w:szCs w:val="21"/>
                      <w:lang w:eastAsia="zh-CN"/>
                    </w:rPr>
                    <w:t>收集后交由有资质的单位进行处理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57"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8</w:t>
                  </w:r>
                </w:p>
              </w:tc>
              <w:tc>
                <w:tcPr>
                  <w:tcW w:w="858" w:type="pct"/>
                  <w:noWrap w:val="0"/>
                  <w:vAlign w:val="center"/>
                </w:tcPr>
                <w:p>
                  <w:pPr>
                    <w:pStyle w:val="53"/>
                    <w:bidi w:val="0"/>
                    <w:spacing w:line="240" w:lineRule="auto"/>
                    <w:rPr>
                      <w:rFonts w:hint="default"/>
                      <w:b w:val="0"/>
                      <w:bCs w:val="0"/>
                      <w:sz w:val="21"/>
                      <w:szCs w:val="21"/>
                      <w:lang w:eastAsia="zh-CN"/>
                    </w:rPr>
                  </w:pPr>
                  <w:r>
                    <w:rPr>
                      <w:rFonts w:hint="eastAsia"/>
                      <w:b w:val="0"/>
                      <w:bCs w:val="0"/>
                      <w:sz w:val="21"/>
                      <w:szCs w:val="21"/>
                      <w:lang w:eastAsia="zh-CN"/>
                    </w:rPr>
                    <w:t>废原料桶</w:t>
                  </w:r>
                </w:p>
              </w:tc>
              <w:tc>
                <w:tcPr>
                  <w:tcW w:w="695"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0.845</w:t>
                  </w:r>
                </w:p>
              </w:tc>
              <w:tc>
                <w:tcPr>
                  <w:tcW w:w="637" w:type="pct"/>
                  <w:vMerge w:val="continue"/>
                  <w:noWrap w:val="0"/>
                  <w:vAlign w:val="center"/>
                </w:tcPr>
                <w:p>
                  <w:pPr>
                    <w:pStyle w:val="53"/>
                    <w:bidi w:val="0"/>
                    <w:spacing w:line="240" w:lineRule="auto"/>
                    <w:rPr>
                      <w:rFonts w:hint="default"/>
                      <w:b w:val="0"/>
                      <w:bCs w:val="0"/>
                      <w:sz w:val="21"/>
                      <w:szCs w:val="21"/>
                    </w:rPr>
                  </w:pPr>
                </w:p>
              </w:tc>
              <w:tc>
                <w:tcPr>
                  <w:tcW w:w="657" w:type="pct"/>
                  <w:tcBorders>
                    <w:bottom w:val="single" w:color="auto" w:sz="6" w:space="0"/>
                  </w:tcBorders>
                  <w:noWrap w:val="0"/>
                  <w:vAlign w:val="center"/>
                </w:tcPr>
                <w:p>
                  <w:pPr>
                    <w:pStyle w:val="53"/>
                    <w:bidi w:val="0"/>
                    <w:spacing w:line="240" w:lineRule="auto"/>
                    <w:rPr>
                      <w:rFonts w:hint="default"/>
                      <w:b w:val="0"/>
                      <w:bCs w:val="0"/>
                      <w:sz w:val="21"/>
                      <w:szCs w:val="21"/>
                    </w:rPr>
                  </w:pPr>
                  <w:r>
                    <w:rPr>
                      <w:rFonts w:hint="eastAsia"/>
                      <w:b w:val="0"/>
                      <w:bCs w:val="0"/>
                      <w:sz w:val="21"/>
                      <w:szCs w:val="21"/>
                      <w:lang w:eastAsia="zh-CN"/>
                    </w:rPr>
                    <w:t>HW49</w:t>
                  </w:r>
                </w:p>
              </w:tc>
              <w:tc>
                <w:tcPr>
                  <w:tcW w:w="1694" w:type="pct"/>
                  <w:noWrap w:val="0"/>
                  <w:vAlign w:val="center"/>
                </w:tcPr>
                <w:p>
                  <w:pPr>
                    <w:pStyle w:val="53"/>
                    <w:bidi w:val="0"/>
                    <w:spacing w:line="240" w:lineRule="auto"/>
                    <w:rPr>
                      <w:rFonts w:hint="default"/>
                      <w:b w:val="0"/>
                      <w:bCs w:val="0"/>
                      <w:sz w:val="21"/>
                      <w:szCs w:val="21"/>
                      <w:lang w:eastAsia="zh-CN"/>
                    </w:rPr>
                  </w:pPr>
                  <w:r>
                    <w:rPr>
                      <w:rFonts w:hint="eastAsia"/>
                      <w:b w:val="0"/>
                      <w:bCs w:val="0"/>
                      <w:sz w:val="21"/>
                      <w:szCs w:val="21"/>
                      <w:lang w:eastAsia="zh-CN"/>
                    </w:rPr>
                    <w:t>收集后交由有资质的单位进行处理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457" w:type="pct"/>
                  <w:tcBorders>
                    <w:right w:val="single" w:color="auto" w:sz="6" w:space="0"/>
                  </w:tcBorders>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9</w:t>
                  </w:r>
                </w:p>
              </w:tc>
              <w:tc>
                <w:tcPr>
                  <w:tcW w:w="858" w:type="pct"/>
                  <w:tcBorders>
                    <w:left w:val="single" w:color="auto" w:sz="6" w:space="0"/>
                  </w:tcBorders>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废机油</w:t>
                  </w:r>
                </w:p>
              </w:tc>
              <w:tc>
                <w:tcPr>
                  <w:tcW w:w="695"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0.2</w:t>
                  </w:r>
                </w:p>
              </w:tc>
              <w:tc>
                <w:tcPr>
                  <w:tcW w:w="637" w:type="pct"/>
                  <w:vMerge w:val="continue"/>
                  <w:noWrap w:val="0"/>
                  <w:vAlign w:val="center"/>
                </w:tcPr>
                <w:p>
                  <w:pPr>
                    <w:pStyle w:val="53"/>
                    <w:bidi w:val="0"/>
                    <w:spacing w:line="240" w:lineRule="auto"/>
                    <w:rPr>
                      <w:rFonts w:hint="default"/>
                      <w:b w:val="0"/>
                      <w:bCs w:val="0"/>
                      <w:sz w:val="21"/>
                      <w:szCs w:val="21"/>
                    </w:rPr>
                  </w:pPr>
                </w:p>
              </w:tc>
              <w:tc>
                <w:tcPr>
                  <w:tcW w:w="657" w:type="pct"/>
                  <w:tcBorders>
                    <w:top w:val="single" w:color="auto" w:sz="6" w:space="0"/>
                    <w:bottom w:val="single" w:color="auto" w:sz="6" w:space="0"/>
                  </w:tcBorders>
                  <w:noWrap w:val="0"/>
                  <w:vAlign w:val="center"/>
                </w:tcPr>
                <w:p>
                  <w:pPr>
                    <w:pStyle w:val="53"/>
                    <w:bidi w:val="0"/>
                    <w:spacing w:line="240" w:lineRule="auto"/>
                    <w:rPr>
                      <w:rFonts w:hint="default"/>
                      <w:b w:val="0"/>
                      <w:bCs w:val="0"/>
                      <w:sz w:val="21"/>
                      <w:szCs w:val="21"/>
                    </w:rPr>
                  </w:pPr>
                  <w:r>
                    <w:rPr>
                      <w:rFonts w:hint="eastAsia"/>
                      <w:b w:val="0"/>
                      <w:bCs w:val="0"/>
                      <w:sz w:val="21"/>
                      <w:szCs w:val="21"/>
                      <w:lang w:eastAsia="zh-CN"/>
                    </w:rPr>
                    <w:t>HW08</w:t>
                  </w:r>
                </w:p>
              </w:tc>
              <w:tc>
                <w:tcPr>
                  <w:tcW w:w="1694" w:type="pct"/>
                  <w:tcBorders>
                    <w:top w:val="single" w:color="auto" w:sz="6" w:space="0"/>
                    <w:bottom w:val="single" w:color="auto" w:sz="6" w:space="0"/>
                  </w:tcBorders>
                  <w:noWrap w:val="0"/>
                  <w:vAlign w:val="center"/>
                </w:tcPr>
                <w:p>
                  <w:pPr>
                    <w:pStyle w:val="53"/>
                    <w:bidi w:val="0"/>
                    <w:spacing w:line="240" w:lineRule="auto"/>
                    <w:rPr>
                      <w:rFonts w:hint="default"/>
                      <w:b w:val="0"/>
                      <w:bCs w:val="0"/>
                      <w:sz w:val="21"/>
                      <w:szCs w:val="21"/>
                    </w:rPr>
                  </w:pPr>
                  <w:r>
                    <w:rPr>
                      <w:rFonts w:hint="eastAsia"/>
                      <w:b w:val="0"/>
                      <w:bCs w:val="0"/>
                      <w:sz w:val="21"/>
                      <w:szCs w:val="21"/>
                      <w:lang w:val="en-US" w:eastAsia="zh-CN"/>
                    </w:rPr>
                    <w:t>收集后作为设备润滑使用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315" w:type="pct"/>
                  <w:gridSpan w:val="2"/>
                  <w:noWrap w:val="0"/>
                  <w:vAlign w:val="center"/>
                </w:tcPr>
                <w:p>
                  <w:pPr>
                    <w:pStyle w:val="53"/>
                    <w:bidi w:val="0"/>
                    <w:spacing w:line="240" w:lineRule="auto"/>
                    <w:rPr>
                      <w:rFonts w:hint="default"/>
                      <w:b w:val="0"/>
                      <w:bCs w:val="0"/>
                      <w:sz w:val="21"/>
                      <w:szCs w:val="21"/>
                      <w:lang w:eastAsia="zh-CN"/>
                    </w:rPr>
                  </w:pPr>
                  <w:r>
                    <w:rPr>
                      <w:rFonts w:hint="default"/>
                      <w:b w:val="0"/>
                      <w:bCs w:val="0"/>
                      <w:sz w:val="21"/>
                      <w:szCs w:val="21"/>
                      <w:lang w:eastAsia="zh-CN"/>
                    </w:rPr>
                    <w:t>合计</w:t>
                  </w:r>
                </w:p>
              </w:tc>
              <w:tc>
                <w:tcPr>
                  <w:tcW w:w="695"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54.331</w:t>
                  </w:r>
                </w:p>
              </w:tc>
              <w:tc>
                <w:tcPr>
                  <w:tcW w:w="637" w:type="pct"/>
                  <w:noWrap w:val="0"/>
                  <w:vAlign w:val="center"/>
                </w:tcPr>
                <w:p>
                  <w:pPr>
                    <w:pStyle w:val="53"/>
                    <w:bidi w:val="0"/>
                    <w:spacing w:line="240" w:lineRule="auto"/>
                    <w:rPr>
                      <w:rFonts w:hint="default"/>
                      <w:b w:val="0"/>
                      <w:bCs w:val="0"/>
                      <w:sz w:val="21"/>
                      <w:szCs w:val="21"/>
                      <w:lang w:val="en-US" w:eastAsia="zh-CN"/>
                    </w:rPr>
                  </w:pPr>
                  <w:r>
                    <w:rPr>
                      <w:rFonts w:hint="default"/>
                      <w:b w:val="0"/>
                      <w:bCs w:val="0"/>
                      <w:sz w:val="21"/>
                      <w:szCs w:val="21"/>
                      <w:lang w:val="en-US" w:eastAsia="zh-CN"/>
                    </w:rPr>
                    <w:t>—</w:t>
                  </w:r>
                </w:p>
              </w:tc>
              <w:tc>
                <w:tcPr>
                  <w:tcW w:w="657" w:type="pct"/>
                  <w:tcBorders>
                    <w:top w:val="single" w:color="auto" w:sz="6" w:space="0"/>
                    <w:bottom w:val="single" w:color="auto" w:sz="6" w:space="0"/>
                  </w:tcBorders>
                  <w:noWrap w:val="0"/>
                  <w:vAlign w:val="center"/>
                </w:tcPr>
                <w:p>
                  <w:pPr>
                    <w:pStyle w:val="53"/>
                    <w:bidi w:val="0"/>
                    <w:spacing w:line="240" w:lineRule="auto"/>
                    <w:rPr>
                      <w:rFonts w:hint="default"/>
                      <w:b w:val="0"/>
                      <w:bCs w:val="0"/>
                      <w:sz w:val="21"/>
                      <w:szCs w:val="21"/>
                      <w:lang w:val="en-US" w:eastAsia="zh-CN"/>
                    </w:rPr>
                  </w:pPr>
                  <w:r>
                    <w:rPr>
                      <w:rFonts w:hint="default"/>
                      <w:b w:val="0"/>
                      <w:bCs w:val="0"/>
                      <w:sz w:val="21"/>
                      <w:szCs w:val="21"/>
                      <w:lang w:val="en-US" w:eastAsia="zh-CN"/>
                    </w:rPr>
                    <w:t>—</w:t>
                  </w:r>
                </w:p>
              </w:tc>
              <w:tc>
                <w:tcPr>
                  <w:tcW w:w="1694" w:type="pct"/>
                  <w:tcBorders>
                    <w:top w:val="single" w:color="auto" w:sz="6" w:space="0"/>
                    <w:bottom w:val="single" w:color="auto" w:sz="6" w:space="0"/>
                  </w:tcBorders>
                  <w:noWrap w:val="0"/>
                  <w:vAlign w:val="center"/>
                </w:tcPr>
                <w:p>
                  <w:pPr>
                    <w:pStyle w:val="53"/>
                    <w:bidi w:val="0"/>
                    <w:spacing w:line="240" w:lineRule="auto"/>
                    <w:rPr>
                      <w:rFonts w:hint="default"/>
                      <w:b w:val="0"/>
                      <w:bCs w:val="0"/>
                      <w:sz w:val="21"/>
                      <w:szCs w:val="21"/>
                      <w:lang w:val="en-US" w:eastAsia="zh-CN"/>
                    </w:rPr>
                  </w:pPr>
                  <w:r>
                    <w:rPr>
                      <w:rFonts w:hint="default"/>
                      <w:b w:val="0"/>
                      <w:bCs w:val="0"/>
                      <w:sz w:val="21"/>
                      <w:szCs w:val="21"/>
                      <w:lang w:val="en-US" w:eastAsia="zh-CN"/>
                    </w:rPr>
                    <w:t>100%处置</w:t>
                  </w:r>
                </w:p>
              </w:tc>
            </w:tr>
          </w:tbl>
          <w:p>
            <w:pPr>
              <w:pStyle w:val="104"/>
              <w:kinsoku w:val="0"/>
              <w:overflowPunct w:val="0"/>
              <w:spacing w:line="240" w:lineRule="auto"/>
              <w:ind w:left="0" w:right="0" w:firstLine="0" w:firstLineChars="0"/>
              <w:jc w:val="both"/>
              <w:rPr>
                <w:rFonts w:hint="default" w:ascii="Times New Roman" w:hAnsi="Times New Roman" w:cs="Times New Roman"/>
                <w:sz w:val="24"/>
              </w:rPr>
            </w:pPr>
          </w:p>
          <w:p>
            <w:pPr>
              <w:pStyle w:val="18"/>
              <w:jc w:val="both"/>
              <w:rPr>
                <w:rFonts w:hint="eastAsia" w:ascii="宋体" w:hAnsi="宋体"/>
                <w:b w:val="0"/>
                <w:bCs/>
                <w:color w:val="auto"/>
                <w:szCs w:val="21"/>
              </w:rPr>
            </w:pPr>
          </w:p>
          <w:p>
            <w:pPr>
              <w:rPr>
                <w:rFonts w:hint="eastAsia" w:ascii="宋体" w:hAnsi="宋体"/>
                <w:b w:val="0"/>
                <w:bCs/>
                <w:color w:val="auto"/>
                <w:szCs w:val="21"/>
              </w:rPr>
            </w:pPr>
          </w:p>
          <w:p>
            <w:pPr>
              <w:pStyle w:val="49"/>
              <w:rPr>
                <w:rFonts w:hint="eastAsia" w:ascii="宋体" w:hAnsi="宋体"/>
                <w:b w:val="0"/>
                <w:bCs/>
                <w:color w:val="auto"/>
                <w:szCs w:val="21"/>
              </w:rPr>
            </w:pPr>
          </w:p>
          <w:p>
            <w:pPr>
              <w:spacing w:line="360" w:lineRule="auto"/>
              <w:rPr>
                <w:rFonts w:ascii="Times New Roman" w:hAnsi="Times New Roman"/>
                <w:color w:val="000000"/>
              </w:rPr>
            </w:pPr>
          </w:p>
        </w:tc>
      </w:tr>
    </w:tbl>
    <w:p>
      <w:pPr>
        <w:rPr>
          <w:rFonts w:ascii="Times New Roman" w:hAnsi="Times New Roman"/>
          <w:b/>
          <w:color w:val="000000"/>
          <w:sz w:val="32"/>
          <w:szCs w:val="32"/>
        </w:rPr>
      </w:pPr>
      <w:r>
        <w:rPr>
          <w:rFonts w:ascii="Times New Roman" w:hAnsi="Times New Roman"/>
          <w:b/>
          <w:color w:val="000000"/>
          <w:sz w:val="32"/>
          <w:szCs w:val="32"/>
        </w:rPr>
        <w:br w:type="page"/>
      </w:r>
    </w:p>
    <w:p>
      <w:pPr>
        <w:outlineLvl w:val="0"/>
        <w:rPr>
          <w:rFonts w:hint="default" w:ascii="Times New Roman" w:hAnsi="Times New Roman" w:cs="Times New Roman"/>
          <w:b/>
          <w:color w:val="000000"/>
          <w:sz w:val="32"/>
          <w:szCs w:val="32"/>
        </w:rPr>
      </w:pPr>
      <w:bookmarkStart w:id="91" w:name="_Toc8813"/>
      <w:bookmarkStart w:id="92" w:name="_Toc27811"/>
      <w:bookmarkStart w:id="93" w:name="_Toc26509"/>
      <w:bookmarkStart w:id="94" w:name="_Toc6614"/>
      <w:bookmarkStart w:id="95" w:name="_Toc4688"/>
      <w:bookmarkStart w:id="96" w:name="_Toc6245"/>
      <w:bookmarkStart w:id="97" w:name="_Toc15745"/>
      <w:bookmarkStart w:id="98" w:name="_Toc29706"/>
      <w:bookmarkStart w:id="99" w:name="_Toc22902"/>
      <w:r>
        <w:rPr>
          <w:rFonts w:hint="default" w:ascii="Times New Roman" w:hAnsi="Times New Roman" w:cs="Times New Roman"/>
          <w:b/>
          <w:color w:val="000000"/>
          <w:sz w:val="32"/>
          <w:szCs w:val="32"/>
        </w:rPr>
        <w:t>表六</w:t>
      </w:r>
      <w:r>
        <w:rPr>
          <w:rFonts w:hint="default" w:ascii="Times New Roman" w:hAnsi="Times New Roman" w:cs="Times New Roman"/>
          <w:b/>
          <w:color w:val="000000"/>
          <w:sz w:val="32"/>
          <w:szCs w:val="32"/>
          <w:lang w:val="en-US" w:eastAsia="zh-CN"/>
        </w:rPr>
        <w:t xml:space="preserve">  </w:t>
      </w:r>
      <w:r>
        <w:rPr>
          <w:rFonts w:hint="default" w:ascii="Times New Roman" w:hAnsi="Times New Roman" w:cs="Times New Roman"/>
          <w:b/>
          <w:color w:val="000000"/>
          <w:sz w:val="32"/>
          <w:szCs w:val="32"/>
        </w:rPr>
        <w:t>项目主要污染物产生及预计排放情况</w:t>
      </w:r>
      <w:bookmarkEnd w:id="91"/>
      <w:bookmarkEnd w:id="92"/>
      <w:bookmarkEnd w:id="93"/>
      <w:bookmarkEnd w:id="94"/>
      <w:bookmarkEnd w:id="95"/>
      <w:bookmarkEnd w:id="96"/>
      <w:bookmarkEnd w:id="97"/>
      <w:bookmarkEnd w:id="98"/>
      <w:bookmarkEnd w:id="99"/>
    </w:p>
    <w:tbl>
      <w:tblPr>
        <w:tblStyle w:val="3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426"/>
        <w:gridCol w:w="426"/>
        <w:gridCol w:w="826"/>
        <w:gridCol w:w="1077"/>
        <w:gridCol w:w="1373"/>
        <w:gridCol w:w="1210"/>
        <w:gridCol w:w="1256"/>
        <w:gridCol w:w="12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restart"/>
            <w:tcBorders>
              <w:tl2br w:val="single" w:color="auto" w:sz="4" w:space="0"/>
            </w:tcBorders>
            <w:noWrap w:val="0"/>
            <w:vAlign w:val="center"/>
          </w:tcPr>
          <w:p>
            <w:pPr>
              <w:pStyle w:val="53"/>
              <w:bidi w:val="0"/>
              <w:spacing w:line="240" w:lineRule="auto"/>
              <w:rPr>
                <w:rFonts w:hint="default"/>
                <w:b w:val="0"/>
                <w:bCs w:val="0"/>
                <w:color w:val="auto"/>
                <w:sz w:val="21"/>
                <w:szCs w:val="16"/>
              </w:rPr>
            </w:pPr>
            <w:r>
              <w:rPr>
                <w:rFonts w:hint="default"/>
                <w:b w:val="0"/>
                <w:bCs w:val="0"/>
                <w:color w:val="auto"/>
                <w:sz w:val="21"/>
                <w:szCs w:val="16"/>
              </w:rPr>
              <w:t>内容</w:t>
            </w:r>
          </w:p>
          <w:p>
            <w:pPr>
              <w:pStyle w:val="53"/>
              <w:bidi w:val="0"/>
              <w:spacing w:line="240" w:lineRule="auto"/>
              <w:rPr>
                <w:rFonts w:hint="default"/>
                <w:b w:val="0"/>
                <w:bCs w:val="0"/>
                <w:color w:val="auto"/>
                <w:sz w:val="21"/>
                <w:szCs w:val="16"/>
              </w:rPr>
            </w:pPr>
            <w:r>
              <w:rPr>
                <w:rFonts w:hint="default"/>
                <w:b w:val="0"/>
                <w:bCs w:val="0"/>
                <w:color w:val="auto"/>
                <w:sz w:val="21"/>
                <w:szCs w:val="16"/>
              </w:rPr>
              <w:t>类型</w:t>
            </w:r>
          </w:p>
        </w:tc>
        <w:tc>
          <w:tcPr>
            <w:tcW w:w="984" w:type="pct"/>
            <w:gridSpan w:val="3"/>
            <w:vMerge w:val="restart"/>
            <w:noWrap w:val="0"/>
            <w:vAlign w:val="center"/>
          </w:tcPr>
          <w:p>
            <w:pPr>
              <w:pStyle w:val="53"/>
              <w:bidi w:val="0"/>
              <w:spacing w:line="240" w:lineRule="auto"/>
              <w:rPr>
                <w:rFonts w:hint="default"/>
                <w:b w:val="0"/>
                <w:bCs w:val="0"/>
                <w:color w:val="auto"/>
                <w:sz w:val="21"/>
                <w:szCs w:val="16"/>
              </w:rPr>
            </w:pPr>
            <w:r>
              <w:rPr>
                <w:rFonts w:hint="default"/>
                <w:b w:val="0"/>
                <w:bCs w:val="0"/>
                <w:color w:val="auto"/>
                <w:sz w:val="21"/>
                <w:szCs w:val="16"/>
              </w:rPr>
              <w:t>排放源</w:t>
            </w:r>
          </w:p>
        </w:tc>
        <w:tc>
          <w:tcPr>
            <w:tcW w:w="632" w:type="pct"/>
            <w:vMerge w:val="restart"/>
            <w:noWrap w:val="0"/>
            <w:vAlign w:val="center"/>
          </w:tcPr>
          <w:p>
            <w:pPr>
              <w:pStyle w:val="53"/>
              <w:bidi w:val="0"/>
              <w:spacing w:line="240" w:lineRule="auto"/>
              <w:rPr>
                <w:rFonts w:hint="default"/>
                <w:b w:val="0"/>
                <w:bCs w:val="0"/>
                <w:color w:val="auto"/>
                <w:sz w:val="21"/>
                <w:szCs w:val="16"/>
              </w:rPr>
            </w:pPr>
            <w:r>
              <w:rPr>
                <w:rFonts w:hint="default"/>
                <w:b w:val="0"/>
                <w:bCs w:val="0"/>
                <w:color w:val="auto"/>
                <w:sz w:val="21"/>
                <w:szCs w:val="16"/>
              </w:rPr>
              <w:t>污染物名称</w:t>
            </w:r>
          </w:p>
        </w:tc>
        <w:tc>
          <w:tcPr>
            <w:tcW w:w="1516" w:type="pct"/>
            <w:gridSpan w:val="2"/>
            <w:noWrap w:val="0"/>
            <w:vAlign w:val="center"/>
          </w:tcPr>
          <w:p>
            <w:pPr>
              <w:pStyle w:val="53"/>
              <w:bidi w:val="0"/>
              <w:spacing w:line="240" w:lineRule="auto"/>
              <w:rPr>
                <w:rFonts w:hint="default"/>
                <w:b w:val="0"/>
                <w:bCs w:val="0"/>
                <w:color w:val="auto"/>
                <w:sz w:val="21"/>
                <w:szCs w:val="16"/>
              </w:rPr>
            </w:pPr>
            <w:r>
              <w:rPr>
                <w:rFonts w:hint="default"/>
                <w:b w:val="0"/>
                <w:bCs w:val="0"/>
                <w:color w:val="auto"/>
                <w:sz w:val="21"/>
                <w:szCs w:val="16"/>
              </w:rPr>
              <w:t>处理前</w:t>
            </w:r>
          </w:p>
        </w:tc>
        <w:tc>
          <w:tcPr>
            <w:tcW w:w="1474" w:type="pct"/>
            <w:gridSpan w:val="2"/>
            <w:noWrap w:val="0"/>
            <w:vAlign w:val="center"/>
          </w:tcPr>
          <w:p>
            <w:pPr>
              <w:pStyle w:val="53"/>
              <w:bidi w:val="0"/>
              <w:spacing w:line="240" w:lineRule="auto"/>
              <w:rPr>
                <w:rFonts w:hint="default"/>
                <w:b w:val="0"/>
                <w:bCs w:val="0"/>
                <w:color w:val="auto"/>
                <w:sz w:val="21"/>
                <w:szCs w:val="16"/>
              </w:rPr>
            </w:pPr>
            <w:r>
              <w:rPr>
                <w:rFonts w:hint="default"/>
                <w:b w:val="0"/>
                <w:bCs w:val="0"/>
                <w:color w:val="auto"/>
                <w:sz w:val="21"/>
                <w:szCs w:val="16"/>
              </w:rPr>
              <w:t>处理后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984" w:type="pct"/>
            <w:gridSpan w:val="3"/>
            <w:vMerge w:val="continue"/>
            <w:noWrap w:val="0"/>
            <w:vAlign w:val="center"/>
          </w:tcPr>
          <w:p>
            <w:pPr>
              <w:pStyle w:val="53"/>
              <w:bidi w:val="0"/>
              <w:spacing w:line="240" w:lineRule="auto"/>
              <w:rPr>
                <w:rFonts w:hint="default"/>
                <w:b w:val="0"/>
                <w:bCs w:val="0"/>
                <w:color w:val="auto"/>
                <w:sz w:val="21"/>
                <w:szCs w:val="16"/>
              </w:rPr>
            </w:pPr>
          </w:p>
        </w:tc>
        <w:tc>
          <w:tcPr>
            <w:tcW w:w="632" w:type="pct"/>
            <w:vMerge w:val="continue"/>
            <w:noWrap w:val="0"/>
            <w:vAlign w:val="center"/>
          </w:tcPr>
          <w:p>
            <w:pPr>
              <w:pStyle w:val="53"/>
              <w:bidi w:val="0"/>
              <w:spacing w:line="240" w:lineRule="auto"/>
              <w:rPr>
                <w:rFonts w:hint="default"/>
                <w:b w:val="0"/>
                <w:bCs w:val="0"/>
                <w:color w:val="auto"/>
                <w:sz w:val="21"/>
                <w:szCs w:val="16"/>
              </w:rPr>
            </w:pPr>
          </w:p>
        </w:tc>
        <w:tc>
          <w:tcPr>
            <w:tcW w:w="805" w:type="pct"/>
            <w:noWrap w:val="0"/>
            <w:vAlign w:val="center"/>
          </w:tcPr>
          <w:p>
            <w:pPr>
              <w:pStyle w:val="53"/>
              <w:bidi w:val="0"/>
              <w:spacing w:line="240" w:lineRule="auto"/>
              <w:rPr>
                <w:rFonts w:hint="default"/>
                <w:b w:val="0"/>
                <w:bCs w:val="0"/>
                <w:color w:val="auto"/>
                <w:sz w:val="21"/>
                <w:szCs w:val="16"/>
              </w:rPr>
            </w:pPr>
            <w:r>
              <w:rPr>
                <w:rFonts w:hint="default"/>
                <w:b w:val="0"/>
                <w:bCs w:val="0"/>
                <w:color w:val="auto"/>
                <w:sz w:val="21"/>
                <w:szCs w:val="16"/>
              </w:rPr>
              <w:t>浓度</w:t>
            </w:r>
          </w:p>
        </w:tc>
        <w:tc>
          <w:tcPr>
            <w:tcW w:w="710" w:type="pct"/>
            <w:noWrap w:val="0"/>
            <w:vAlign w:val="center"/>
          </w:tcPr>
          <w:p>
            <w:pPr>
              <w:pStyle w:val="53"/>
              <w:bidi w:val="0"/>
              <w:spacing w:line="240" w:lineRule="auto"/>
              <w:rPr>
                <w:rFonts w:hint="default"/>
                <w:b w:val="0"/>
                <w:bCs w:val="0"/>
                <w:color w:val="auto"/>
                <w:sz w:val="21"/>
                <w:szCs w:val="16"/>
              </w:rPr>
            </w:pPr>
            <w:r>
              <w:rPr>
                <w:rFonts w:hint="default"/>
                <w:b w:val="0"/>
                <w:bCs w:val="0"/>
                <w:color w:val="auto"/>
                <w:sz w:val="21"/>
                <w:szCs w:val="16"/>
              </w:rPr>
              <w:t>产生量</w:t>
            </w:r>
          </w:p>
        </w:tc>
        <w:tc>
          <w:tcPr>
            <w:tcW w:w="737" w:type="pct"/>
            <w:noWrap w:val="0"/>
            <w:vAlign w:val="center"/>
          </w:tcPr>
          <w:p>
            <w:pPr>
              <w:pStyle w:val="53"/>
              <w:bidi w:val="0"/>
              <w:spacing w:line="240" w:lineRule="auto"/>
              <w:rPr>
                <w:rFonts w:hint="default"/>
                <w:b w:val="0"/>
                <w:bCs w:val="0"/>
                <w:color w:val="auto"/>
                <w:sz w:val="21"/>
                <w:szCs w:val="16"/>
              </w:rPr>
            </w:pPr>
            <w:r>
              <w:rPr>
                <w:rFonts w:hint="default"/>
                <w:b w:val="0"/>
                <w:bCs w:val="0"/>
                <w:color w:val="auto"/>
                <w:sz w:val="21"/>
                <w:szCs w:val="16"/>
              </w:rPr>
              <w:t>浓度</w:t>
            </w:r>
          </w:p>
        </w:tc>
        <w:tc>
          <w:tcPr>
            <w:tcW w:w="737" w:type="pct"/>
            <w:noWrap w:val="0"/>
            <w:vAlign w:val="center"/>
          </w:tcPr>
          <w:p>
            <w:pPr>
              <w:pStyle w:val="53"/>
              <w:bidi w:val="0"/>
              <w:spacing w:line="240" w:lineRule="auto"/>
              <w:rPr>
                <w:rFonts w:hint="default"/>
                <w:b w:val="0"/>
                <w:bCs w:val="0"/>
                <w:color w:val="auto"/>
                <w:sz w:val="21"/>
                <w:szCs w:val="16"/>
              </w:rPr>
            </w:pPr>
            <w:r>
              <w:rPr>
                <w:rFonts w:hint="default"/>
                <w:b w:val="0"/>
                <w:bCs w:val="0"/>
                <w:color w:val="auto"/>
                <w:sz w:val="21"/>
                <w:szCs w:val="16"/>
              </w:rPr>
              <w:t>排放量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392" w:type="pct"/>
            <w:vMerge w:val="restart"/>
            <w:noWrap w:val="0"/>
            <w:vAlign w:val="center"/>
          </w:tcPr>
          <w:p>
            <w:pPr>
              <w:pStyle w:val="53"/>
              <w:bidi w:val="0"/>
              <w:spacing w:line="240" w:lineRule="auto"/>
              <w:rPr>
                <w:rFonts w:hint="default"/>
                <w:b w:val="0"/>
                <w:bCs w:val="0"/>
                <w:color w:val="auto"/>
                <w:sz w:val="21"/>
                <w:szCs w:val="16"/>
              </w:rPr>
            </w:pPr>
            <w:r>
              <w:rPr>
                <w:rFonts w:hint="default"/>
                <w:b w:val="0"/>
                <w:bCs w:val="0"/>
                <w:color w:val="auto"/>
                <w:sz w:val="21"/>
                <w:szCs w:val="16"/>
              </w:rPr>
              <w:t>大</w:t>
            </w:r>
          </w:p>
          <w:p>
            <w:pPr>
              <w:pStyle w:val="53"/>
              <w:bidi w:val="0"/>
              <w:spacing w:line="240" w:lineRule="auto"/>
              <w:rPr>
                <w:rFonts w:hint="default"/>
                <w:b w:val="0"/>
                <w:bCs w:val="0"/>
                <w:color w:val="auto"/>
                <w:sz w:val="21"/>
                <w:szCs w:val="16"/>
              </w:rPr>
            </w:pPr>
            <w:r>
              <w:rPr>
                <w:rFonts w:hint="default"/>
                <w:b w:val="0"/>
                <w:bCs w:val="0"/>
                <w:color w:val="auto"/>
                <w:sz w:val="21"/>
                <w:szCs w:val="16"/>
              </w:rPr>
              <w:t>气</w:t>
            </w:r>
          </w:p>
          <w:p>
            <w:pPr>
              <w:pStyle w:val="53"/>
              <w:bidi w:val="0"/>
              <w:spacing w:line="240" w:lineRule="auto"/>
              <w:rPr>
                <w:rFonts w:hint="default"/>
                <w:b w:val="0"/>
                <w:bCs w:val="0"/>
                <w:color w:val="auto"/>
                <w:sz w:val="21"/>
                <w:szCs w:val="16"/>
              </w:rPr>
            </w:pPr>
            <w:r>
              <w:rPr>
                <w:rFonts w:hint="default"/>
                <w:b w:val="0"/>
                <w:bCs w:val="0"/>
                <w:color w:val="auto"/>
                <w:sz w:val="21"/>
                <w:szCs w:val="16"/>
              </w:rPr>
              <w:t>污</w:t>
            </w:r>
          </w:p>
          <w:p>
            <w:pPr>
              <w:pStyle w:val="53"/>
              <w:bidi w:val="0"/>
              <w:spacing w:line="240" w:lineRule="auto"/>
              <w:rPr>
                <w:rFonts w:hint="default"/>
                <w:b w:val="0"/>
                <w:bCs w:val="0"/>
                <w:color w:val="auto"/>
                <w:sz w:val="21"/>
                <w:szCs w:val="16"/>
              </w:rPr>
            </w:pPr>
            <w:r>
              <w:rPr>
                <w:rFonts w:hint="default"/>
                <w:b w:val="0"/>
                <w:bCs w:val="0"/>
                <w:color w:val="auto"/>
                <w:sz w:val="21"/>
                <w:szCs w:val="16"/>
              </w:rPr>
              <w:t>染</w:t>
            </w:r>
          </w:p>
          <w:p>
            <w:pPr>
              <w:pStyle w:val="53"/>
              <w:bidi w:val="0"/>
              <w:spacing w:line="240" w:lineRule="auto"/>
              <w:rPr>
                <w:rFonts w:hint="default"/>
                <w:b w:val="0"/>
                <w:bCs w:val="0"/>
                <w:color w:val="auto"/>
                <w:sz w:val="21"/>
                <w:szCs w:val="16"/>
              </w:rPr>
            </w:pPr>
            <w:r>
              <w:rPr>
                <w:rFonts w:hint="default"/>
                <w:b w:val="0"/>
                <w:bCs w:val="0"/>
                <w:color w:val="auto"/>
                <w:sz w:val="21"/>
                <w:szCs w:val="16"/>
              </w:rPr>
              <w:t>物</w:t>
            </w:r>
          </w:p>
        </w:tc>
        <w:tc>
          <w:tcPr>
            <w:tcW w:w="984" w:type="pct"/>
            <w:gridSpan w:val="3"/>
            <w:noWrap w:val="0"/>
            <w:vAlign w:val="center"/>
          </w:tcPr>
          <w:p>
            <w:pPr>
              <w:pStyle w:val="53"/>
              <w:bidi w:val="0"/>
              <w:spacing w:line="240" w:lineRule="auto"/>
              <w:rPr>
                <w:rFonts w:hint="default"/>
                <w:b w:val="0"/>
                <w:bCs w:val="0"/>
                <w:color w:val="auto"/>
                <w:sz w:val="21"/>
                <w:szCs w:val="16"/>
              </w:rPr>
            </w:pPr>
            <w:r>
              <w:rPr>
                <w:rFonts w:hint="default"/>
                <w:b w:val="0"/>
                <w:bCs w:val="0"/>
                <w:color w:val="auto"/>
                <w:sz w:val="21"/>
                <w:szCs w:val="16"/>
                <w:lang w:eastAsia="zh-CN"/>
              </w:rPr>
              <w:t>施工期</w:t>
            </w:r>
          </w:p>
        </w:tc>
        <w:tc>
          <w:tcPr>
            <w:tcW w:w="632" w:type="pct"/>
            <w:noWrap w:val="0"/>
            <w:vAlign w:val="center"/>
          </w:tcPr>
          <w:p>
            <w:pPr>
              <w:pStyle w:val="53"/>
              <w:bidi w:val="0"/>
              <w:spacing w:line="240" w:lineRule="auto"/>
              <w:rPr>
                <w:rFonts w:hint="default"/>
                <w:b w:val="0"/>
                <w:bCs w:val="0"/>
                <w:color w:val="auto"/>
                <w:sz w:val="21"/>
                <w:szCs w:val="16"/>
              </w:rPr>
            </w:pPr>
            <w:r>
              <w:rPr>
                <w:rFonts w:hint="default"/>
                <w:b w:val="0"/>
                <w:bCs w:val="0"/>
                <w:color w:val="auto"/>
                <w:sz w:val="21"/>
                <w:szCs w:val="16"/>
              </w:rPr>
              <w:t>粉尘</w:t>
            </w:r>
            <w:r>
              <w:rPr>
                <w:rFonts w:hint="default"/>
                <w:b w:val="0"/>
                <w:bCs w:val="0"/>
                <w:color w:val="auto"/>
                <w:sz w:val="21"/>
                <w:szCs w:val="16"/>
                <w:lang w:eastAsia="zh-CN"/>
              </w:rPr>
              <w:t>、装修废气</w:t>
            </w:r>
          </w:p>
        </w:tc>
        <w:tc>
          <w:tcPr>
            <w:tcW w:w="805" w:type="pct"/>
            <w:noWrap w:val="0"/>
            <w:vAlign w:val="center"/>
          </w:tcPr>
          <w:p>
            <w:pPr>
              <w:pStyle w:val="53"/>
              <w:bidi w:val="0"/>
              <w:spacing w:line="240" w:lineRule="auto"/>
              <w:rPr>
                <w:rFonts w:hint="default"/>
                <w:b w:val="0"/>
                <w:bCs w:val="0"/>
                <w:color w:val="auto"/>
                <w:sz w:val="21"/>
                <w:szCs w:val="16"/>
              </w:rPr>
            </w:pPr>
            <w:r>
              <w:rPr>
                <w:rFonts w:hint="default"/>
                <w:b w:val="0"/>
                <w:bCs w:val="0"/>
                <w:color w:val="auto"/>
                <w:sz w:val="21"/>
                <w:szCs w:val="16"/>
              </w:rPr>
              <w:t>少量</w:t>
            </w:r>
          </w:p>
        </w:tc>
        <w:tc>
          <w:tcPr>
            <w:tcW w:w="710" w:type="pct"/>
            <w:noWrap w:val="0"/>
            <w:vAlign w:val="center"/>
          </w:tcPr>
          <w:p>
            <w:pPr>
              <w:pStyle w:val="53"/>
              <w:bidi w:val="0"/>
              <w:spacing w:line="240" w:lineRule="auto"/>
              <w:rPr>
                <w:rFonts w:hint="default"/>
                <w:b w:val="0"/>
                <w:bCs w:val="0"/>
                <w:color w:val="auto"/>
                <w:sz w:val="21"/>
                <w:szCs w:val="16"/>
                <w:lang w:val="en-US" w:eastAsia="zh-CN"/>
              </w:rPr>
            </w:pPr>
            <w:r>
              <w:rPr>
                <w:rFonts w:hint="default"/>
                <w:b w:val="0"/>
                <w:bCs w:val="0"/>
                <w:color w:val="auto"/>
                <w:sz w:val="21"/>
                <w:szCs w:val="16"/>
                <w:lang w:val="en-US" w:eastAsia="zh-CN"/>
              </w:rPr>
              <w:t>/</w:t>
            </w:r>
          </w:p>
        </w:tc>
        <w:tc>
          <w:tcPr>
            <w:tcW w:w="737" w:type="pct"/>
            <w:noWrap w:val="0"/>
            <w:vAlign w:val="center"/>
          </w:tcPr>
          <w:p>
            <w:pPr>
              <w:pStyle w:val="53"/>
              <w:bidi w:val="0"/>
              <w:spacing w:line="240" w:lineRule="auto"/>
              <w:rPr>
                <w:rFonts w:hint="default"/>
                <w:b w:val="0"/>
                <w:bCs w:val="0"/>
                <w:color w:val="auto"/>
                <w:sz w:val="21"/>
                <w:szCs w:val="16"/>
              </w:rPr>
            </w:pPr>
            <w:r>
              <w:rPr>
                <w:rFonts w:hint="default"/>
                <w:b w:val="0"/>
                <w:bCs w:val="0"/>
                <w:color w:val="auto"/>
                <w:sz w:val="21"/>
                <w:szCs w:val="16"/>
                <w:lang w:val="en-US" w:eastAsia="zh-CN"/>
              </w:rPr>
              <w:t>/</w:t>
            </w:r>
          </w:p>
        </w:tc>
        <w:tc>
          <w:tcPr>
            <w:tcW w:w="737" w:type="pct"/>
            <w:noWrap w:val="0"/>
            <w:vAlign w:val="center"/>
          </w:tcPr>
          <w:p>
            <w:pPr>
              <w:pStyle w:val="53"/>
              <w:bidi w:val="0"/>
              <w:spacing w:line="240" w:lineRule="auto"/>
              <w:rPr>
                <w:rFonts w:hint="default"/>
                <w:b w:val="0"/>
                <w:bCs w:val="0"/>
                <w:color w:val="auto"/>
                <w:sz w:val="21"/>
                <w:szCs w:val="16"/>
                <w:lang w:val="en-US" w:eastAsia="zh-CN"/>
              </w:rPr>
            </w:pPr>
            <w:r>
              <w:rPr>
                <w:rFonts w:hint="default"/>
                <w:b w:val="0"/>
                <w:bCs w:val="0"/>
                <w:color w:val="auto"/>
                <w:sz w:val="21"/>
                <w:szCs w:val="16"/>
              </w:rPr>
              <w:t>少量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restart"/>
            <w:noWrap w:val="0"/>
            <w:vAlign w:val="center"/>
          </w:tcPr>
          <w:p>
            <w:pPr>
              <w:pStyle w:val="53"/>
              <w:bidi w:val="0"/>
              <w:spacing w:line="240" w:lineRule="auto"/>
              <w:rPr>
                <w:rFonts w:hint="eastAsia"/>
                <w:b w:val="0"/>
                <w:bCs w:val="0"/>
                <w:color w:val="auto"/>
                <w:sz w:val="21"/>
                <w:szCs w:val="16"/>
                <w:lang w:eastAsia="zh-CN"/>
              </w:rPr>
            </w:pPr>
            <w:r>
              <w:rPr>
                <w:rFonts w:hint="eastAsia"/>
                <w:b w:val="0"/>
                <w:bCs w:val="0"/>
                <w:color w:val="auto"/>
                <w:sz w:val="21"/>
                <w:szCs w:val="16"/>
                <w:lang w:eastAsia="zh-CN"/>
              </w:rPr>
              <w:t>运营期</w:t>
            </w:r>
          </w:p>
        </w:tc>
        <w:tc>
          <w:tcPr>
            <w:tcW w:w="250" w:type="pct"/>
            <w:vMerge w:val="restart"/>
            <w:noWrap w:val="0"/>
            <w:vAlign w:val="center"/>
          </w:tcPr>
          <w:p>
            <w:pPr>
              <w:pStyle w:val="53"/>
              <w:bidi w:val="0"/>
              <w:spacing w:line="240" w:lineRule="auto"/>
              <w:rPr>
                <w:rFonts w:hint="default"/>
                <w:b w:val="0"/>
                <w:bCs w:val="0"/>
                <w:color w:val="auto"/>
                <w:sz w:val="21"/>
                <w:szCs w:val="16"/>
                <w:lang w:eastAsia="zh-CN"/>
              </w:rPr>
            </w:pPr>
            <w:r>
              <w:rPr>
                <w:rFonts w:hint="eastAsia"/>
                <w:b w:val="0"/>
                <w:bCs w:val="0"/>
                <w:color w:val="auto"/>
                <w:sz w:val="21"/>
                <w:szCs w:val="16"/>
                <w:lang w:eastAsia="zh-CN"/>
              </w:rPr>
              <w:t>有组织</w:t>
            </w:r>
          </w:p>
        </w:tc>
        <w:tc>
          <w:tcPr>
            <w:tcW w:w="484" w:type="pct"/>
            <w:vMerge w:val="restart"/>
            <w:noWrap w:val="0"/>
            <w:vAlign w:val="center"/>
          </w:tcPr>
          <w:p>
            <w:pPr>
              <w:pStyle w:val="53"/>
              <w:bidi w:val="0"/>
              <w:spacing w:line="240" w:lineRule="auto"/>
              <w:rPr>
                <w:rFonts w:hint="eastAsia"/>
                <w:b w:val="0"/>
                <w:bCs w:val="0"/>
                <w:color w:val="auto"/>
                <w:sz w:val="21"/>
                <w:szCs w:val="16"/>
                <w:lang w:eastAsia="zh-CN"/>
              </w:rPr>
            </w:pPr>
            <w:r>
              <w:rPr>
                <w:rFonts w:hint="eastAsia"/>
                <w:b w:val="0"/>
                <w:bCs w:val="0"/>
                <w:color w:val="auto"/>
                <w:sz w:val="21"/>
                <w:szCs w:val="16"/>
                <w:lang w:eastAsia="zh-CN"/>
              </w:rPr>
              <w:t>调漆、喷漆、晾干</w:t>
            </w:r>
          </w:p>
        </w:tc>
        <w:tc>
          <w:tcPr>
            <w:tcW w:w="632" w:type="pct"/>
            <w:noWrap w:val="0"/>
            <w:vAlign w:val="center"/>
          </w:tcPr>
          <w:p>
            <w:pPr>
              <w:pStyle w:val="53"/>
              <w:bidi w:val="0"/>
              <w:spacing w:line="240" w:lineRule="auto"/>
              <w:rPr>
                <w:rFonts w:hint="default"/>
                <w:b w:val="0"/>
                <w:bCs w:val="0"/>
                <w:color w:val="auto"/>
                <w:sz w:val="21"/>
                <w:szCs w:val="16"/>
                <w:lang w:eastAsia="zh-CN"/>
              </w:rPr>
            </w:pPr>
            <w:r>
              <w:rPr>
                <w:rFonts w:hint="eastAsia"/>
                <w:b w:val="0"/>
                <w:bCs w:val="0"/>
                <w:color w:val="auto"/>
                <w:sz w:val="21"/>
                <w:szCs w:val="16"/>
                <w:lang w:eastAsia="zh-CN"/>
              </w:rPr>
              <w:t>废气</w:t>
            </w:r>
          </w:p>
        </w:tc>
        <w:tc>
          <w:tcPr>
            <w:tcW w:w="805"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w:t>
            </w:r>
          </w:p>
        </w:tc>
        <w:tc>
          <w:tcPr>
            <w:tcW w:w="710" w:type="pct"/>
            <w:noWrap w:val="0"/>
            <w:vAlign w:val="center"/>
          </w:tcPr>
          <w:p>
            <w:pPr>
              <w:pStyle w:val="53"/>
              <w:bidi w:val="0"/>
              <w:spacing w:line="240" w:lineRule="auto"/>
              <w:rPr>
                <w:rFonts w:hint="eastAsia"/>
                <w:b w:val="0"/>
                <w:bCs w:val="0"/>
                <w:color w:val="auto"/>
                <w:sz w:val="21"/>
                <w:szCs w:val="16"/>
                <w:lang w:val="en-US" w:eastAsia="zh-CN"/>
              </w:rPr>
            </w:pPr>
            <w:r>
              <w:rPr>
                <w:rFonts w:hint="eastAsia"/>
                <w:b w:val="0"/>
                <w:bCs w:val="0"/>
                <w:color w:val="auto"/>
                <w:sz w:val="21"/>
                <w:szCs w:val="16"/>
                <w:lang w:val="en-US" w:eastAsia="zh-CN"/>
              </w:rPr>
              <w:t>1440</w:t>
            </w:r>
          </w:p>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万m</w:t>
            </w:r>
            <w:r>
              <w:rPr>
                <w:rFonts w:hint="eastAsia"/>
                <w:b w:val="0"/>
                <w:bCs w:val="0"/>
                <w:color w:val="auto"/>
                <w:sz w:val="21"/>
                <w:szCs w:val="16"/>
                <w:vertAlign w:val="superscript"/>
                <w:lang w:val="en-US" w:eastAsia="zh-CN"/>
              </w:rPr>
              <w:t>3</w:t>
            </w:r>
            <w:r>
              <w:rPr>
                <w:rFonts w:hint="eastAsia"/>
                <w:b w:val="0"/>
                <w:bCs w:val="0"/>
                <w:color w:val="auto"/>
                <w:sz w:val="21"/>
                <w:szCs w:val="16"/>
                <w:lang w:val="en-US" w:eastAsia="zh-CN"/>
              </w:rPr>
              <w:t>/a</w:t>
            </w:r>
          </w:p>
        </w:tc>
        <w:tc>
          <w:tcPr>
            <w:tcW w:w="737"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w:t>
            </w:r>
          </w:p>
        </w:tc>
        <w:tc>
          <w:tcPr>
            <w:tcW w:w="737" w:type="pct"/>
            <w:noWrap w:val="0"/>
            <w:vAlign w:val="center"/>
          </w:tcPr>
          <w:p>
            <w:pPr>
              <w:pStyle w:val="53"/>
              <w:bidi w:val="0"/>
              <w:spacing w:line="240" w:lineRule="auto"/>
              <w:rPr>
                <w:rFonts w:hint="eastAsia"/>
                <w:b w:val="0"/>
                <w:bCs w:val="0"/>
                <w:color w:val="auto"/>
                <w:sz w:val="21"/>
                <w:szCs w:val="16"/>
                <w:lang w:val="en-US" w:eastAsia="zh-CN"/>
              </w:rPr>
            </w:pPr>
            <w:r>
              <w:rPr>
                <w:rFonts w:hint="eastAsia"/>
                <w:b w:val="0"/>
                <w:bCs w:val="0"/>
                <w:color w:val="auto"/>
                <w:sz w:val="21"/>
                <w:szCs w:val="16"/>
                <w:lang w:val="en-US" w:eastAsia="zh-CN"/>
              </w:rPr>
              <w:t>1440</w:t>
            </w:r>
          </w:p>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万m</w:t>
            </w:r>
            <w:r>
              <w:rPr>
                <w:rFonts w:hint="eastAsia"/>
                <w:b w:val="0"/>
                <w:bCs w:val="0"/>
                <w:color w:val="auto"/>
                <w:sz w:val="21"/>
                <w:szCs w:val="16"/>
                <w:vertAlign w:val="superscript"/>
                <w:lang w:val="en-US" w:eastAsia="zh-CN"/>
              </w:rPr>
              <w:t>3</w:t>
            </w:r>
            <w:r>
              <w:rPr>
                <w:rFonts w:hint="eastAsia"/>
                <w:b w:val="0"/>
                <w:bCs w:val="0"/>
                <w:color w:val="auto"/>
                <w:sz w:val="21"/>
                <w:szCs w:val="16"/>
                <w:lang w:val="en-US" w:eastAsia="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eastAsia"/>
                <w:b w:val="0"/>
                <w:bCs w:val="0"/>
                <w:color w:val="auto"/>
                <w:sz w:val="21"/>
                <w:szCs w:val="16"/>
                <w:lang w:eastAsia="zh-CN"/>
              </w:rPr>
            </w:pPr>
          </w:p>
        </w:tc>
        <w:tc>
          <w:tcPr>
            <w:tcW w:w="484" w:type="pct"/>
            <w:vMerge w:val="continue"/>
            <w:noWrap w:val="0"/>
            <w:vAlign w:val="center"/>
          </w:tcPr>
          <w:p>
            <w:pPr>
              <w:pStyle w:val="53"/>
              <w:bidi w:val="0"/>
              <w:spacing w:line="240" w:lineRule="auto"/>
              <w:rPr>
                <w:rFonts w:hint="eastAsia"/>
                <w:b w:val="0"/>
                <w:bCs w:val="0"/>
                <w:color w:val="auto"/>
                <w:sz w:val="21"/>
                <w:szCs w:val="16"/>
                <w:lang w:eastAsia="zh-CN"/>
              </w:rPr>
            </w:pPr>
          </w:p>
        </w:tc>
        <w:tc>
          <w:tcPr>
            <w:tcW w:w="632" w:type="pct"/>
            <w:noWrap w:val="0"/>
            <w:vAlign w:val="center"/>
          </w:tcPr>
          <w:p>
            <w:pPr>
              <w:pStyle w:val="53"/>
              <w:bidi w:val="0"/>
              <w:spacing w:line="240" w:lineRule="auto"/>
              <w:rPr>
                <w:rFonts w:hint="default"/>
                <w:b w:val="0"/>
                <w:bCs w:val="0"/>
                <w:color w:val="auto"/>
                <w:sz w:val="21"/>
                <w:szCs w:val="16"/>
                <w:lang w:eastAsia="zh-CN"/>
              </w:rPr>
            </w:pPr>
            <w:r>
              <w:rPr>
                <w:rFonts w:hint="eastAsia"/>
                <w:b w:val="0"/>
                <w:bCs w:val="0"/>
                <w:color w:val="auto"/>
                <w:sz w:val="21"/>
                <w:szCs w:val="16"/>
                <w:lang w:eastAsia="zh-CN"/>
              </w:rPr>
              <w:t>挥发性有机物</w:t>
            </w:r>
          </w:p>
        </w:tc>
        <w:tc>
          <w:tcPr>
            <w:tcW w:w="805" w:type="pct"/>
            <w:noWrap w:val="0"/>
            <w:vAlign w:val="center"/>
          </w:tcPr>
          <w:p>
            <w:pPr>
              <w:pStyle w:val="53"/>
              <w:bidi w:val="0"/>
              <w:spacing w:line="240" w:lineRule="auto"/>
              <w:rPr>
                <w:rFonts w:hint="eastAsia"/>
                <w:b w:val="0"/>
                <w:bCs w:val="0"/>
                <w:color w:val="auto"/>
                <w:sz w:val="21"/>
                <w:szCs w:val="16"/>
                <w:lang w:val="en-US" w:eastAsia="zh-CN"/>
              </w:rPr>
            </w:pPr>
            <w:r>
              <w:rPr>
                <w:rFonts w:hint="eastAsia"/>
                <w:b w:val="0"/>
                <w:bCs w:val="0"/>
                <w:color w:val="auto"/>
                <w:sz w:val="21"/>
                <w:szCs w:val="16"/>
                <w:lang w:val="en-US" w:eastAsia="zh-CN"/>
              </w:rPr>
              <w:t>107.188</w:t>
            </w:r>
          </w:p>
          <w:p>
            <w:pPr>
              <w:pStyle w:val="53"/>
              <w:bidi w:val="0"/>
              <w:spacing w:line="240" w:lineRule="auto"/>
              <w:rPr>
                <w:rFonts w:hint="eastAsia"/>
                <w:b w:val="0"/>
                <w:bCs w:val="0"/>
                <w:color w:val="auto"/>
                <w:sz w:val="21"/>
                <w:szCs w:val="16"/>
                <w:lang w:val="en-US" w:eastAsia="zh-CN"/>
              </w:rPr>
            </w:pPr>
            <w:r>
              <w:rPr>
                <w:rFonts w:hint="default"/>
                <w:b w:val="0"/>
                <w:bCs w:val="0"/>
                <w:color w:val="auto"/>
                <w:sz w:val="21"/>
                <w:szCs w:val="16"/>
                <w:lang w:val="en-US" w:eastAsia="zh-CN"/>
              </w:rPr>
              <w:t>mg/m</w:t>
            </w:r>
            <w:r>
              <w:rPr>
                <w:rFonts w:hint="default"/>
                <w:b w:val="0"/>
                <w:bCs w:val="0"/>
                <w:color w:val="auto"/>
                <w:sz w:val="21"/>
                <w:szCs w:val="16"/>
                <w:vertAlign w:val="superscript"/>
                <w:lang w:val="en-US" w:eastAsia="zh-CN"/>
              </w:rPr>
              <w:t>3</w:t>
            </w:r>
          </w:p>
        </w:tc>
        <w:tc>
          <w:tcPr>
            <w:tcW w:w="710" w:type="pct"/>
            <w:noWrap w:val="0"/>
            <w:vAlign w:val="center"/>
          </w:tcPr>
          <w:p>
            <w:pPr>
              <w:pStyle w:val="53"/>
              <w:bidi w:val="0"/>
              <w:spacing w:line="240" w:lineRule="auto"/>
              <w:jc w:val="center"/>
              <w:rPr>
                <w:rFonts w:hint="eastAsia"/>
                <w:b w:val="0"/>
                <w:bCs w:val="0"/>
                <w:color w:val="auto"/>
                <w:sz w:val="21"/>
                <w:szCs w:val="16"/>
                <w:lang w:val="en-US" w:eastAsia="zh-CN"/>
              </w:rPr>
            </w:pPr>
            <w:r>
              <w:rPr>
                <w:rFonts w:hint="eastAsia"/>
                <w:b w:val="0"/>
                <w:bCs w:val="0"/>
                <w:color w:val="auto"/>
                <w:sz w:val="21"/>
                <w:szCs w:val="16"/>
                <w:lang w:val="en-US" w:eastAsia="zh-CN"/>
              </w:rPr>
              <w:t>1.5435t/a</w:t>
            </w:r>
          </w:p>
        </w:tc>
        <w:tc>
          <w:tcPr>
            <w:tcW w:w="737" w:type="pct"/>
            <w:noWrap w:val="0"/>
            <w:vAlign w:val="center"/>
          </w:tcPr>
          <w:p>
            <w:pPr>
              <w:pStyle w:val="53"/>
              <w:bidi w:val="0"/>
              <w:spacing w:line="240" w:lineRule="auto"/>
              <w:jc w:val="center"/>
              <w:rPr>
                <w:rFonts w:hint="eastAsia"/>
                <w:b w:val="0"/>
                <w:bCs w:val="0"/>
                <w:color w:val="auto"/>
                <w:sz w:val="21"/>
                <w:szCs w:val="16"/>
                <w:lang w:val="en-US" w:eastAsia="zh-CN"/>
              </w:rPr>
            </w:pPr>
            <w:r>
              <w:rPr>
                <w:rFonts w:hint="eastAsia"/>
                <w:b w:val="0"/>
                <w:bCs w:val="0"/>
                <w:color w:val="auto"/>
                <w:sz w:val="21"/>
                <w:szCs w:val="16"/>
                <w:lang w:val="en-US" w:eastAsia="zh-CN"/>
              </w:rPr>
              <w:t>16.04</w:t>
            </w:r>
          </w:p>
          <w:p>
            <w:pPr>
              <w:pStyle w:val="53"/>
              <w:bidi w:val="0"/>
              <w:spacing w:line="240" w:lineRule="auto"/>
              <w:jc w:val="center"/>
              <w:rPr>
                <w:rFonts w:hint="eastAsia"/>
                <w:b w:val="0"/>
                <w:bCs w:val="0"/>
                <w:color w:val="auto"/>
                <w:sz w:val="21"/>
                <w:szCs w:val="16"/>
                <w:lang w:val="en-US" w:eastAsia="zh-CN"/>
              </w:rPr>
            </w:pPr>
            <w:r>
              <w:rPr>
                <w:rFonts w:hint="default"/>
                <w:b w:val="0"/>
                <w:bCs w:val="0"/>
                <w:color w:val="auto"/>
                <w:sz w:val="21"/>
                <w:szCs w:val="16"/>
                <w:lang w:val="en-US" w:eastAsia="zh-CN"/>
              </w:rPr>
              <w:t>mg/m</w:t>
            </w:r>
            <w:r>
              <w:rPr>
                <w:rFonts w:hint="default"/>
                <w:b w:val="0"/>
                <w:bCs w:val="0"/>
                <w:color w:val="auto"/>
                <w:sz w:val="21"/>
                <w:szCs w:val="16"/>
                <w:vertAlign w:val="superscript"/>
                <w:lang w:val="en-US" w:eastAsia="zh-CN"/>
              </w:rPr>
              <w:t>3</w:t>
            </w:r>
          </w:p>
        </w:tc>
        <w:tc>
          <w:tcPr>
            <w:tcW w:w="737" w:type="pct"/>
            <w:noWrap w:val="0"/>
            <w:vAlign w:val="center"/>
          </w:tcPr>
          <w:p>
            <w:pPr>
              <w:pStyle w:val="53"/>
              <w:bidi w:val="0"/>
              <w:spacing w:line="240" w:lineRule="auto"/>
              <w:rPr>
                <w:rFonts w:hint="eastAsia"/>
                <w:b w:val="0"/>
                <w:bCs w:val="0"/>
                <w:color w:val="auto"/>
                <w:sz w:val="21"/>
                <w:szCs w:val="16"/>
                <w:lang w:val="en-US" w:eastAsia="zh-CN"/>
              </w:rPr>
            </w:pPr>
            <w:r>
              <w:rPr>
                <w:rFonts w:hint="eastAsia"/>
                <w:b w:val="0"/>
                <w:bCs w:val="0"/>
                <w:color w:val="auto"/>
                <w:sz w:val="21"/>
                <w:szCs w:val="16"/>
                <w:lang w:val="en-US" w:eastAsia="zh-CN"/>
              </w:rPr>
              <w:t>0.231t</w:t>
            </w:r>
            <w:r>
              <w:rPr>
                <w:rFonts w:hint="default"/>
                <w:b w:val="0"/>
                <w:bCs w:val="0"/>
                <w:color w:val="auto"/>
                <w:sz w:val="21"/>
                <w:szCs w:val="16"/>
                <w:lang w:val="en-US" w:eastAsia="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eastAsia"/>
                <w:b w:val="0"/>
                <w:bCs w:val="0"/>
                <w:color w:val="auto"/>
                <w:sz w:val="21"/>
                <w:szCs w:val="16"/>
                <w:lang w:eastAsia="zh-CN"/>
              </w:rPr>
            </w:pPr>
          </w:p>
        </w:tc>
        <w:tc>
          <w:tcPr>
            <w:tcW w:w="484" w:type="pct"/>
            <w:vMerge w:val="continue"/>
            <w:noWrap w:val="0"/>
            <w:vAlign w:val="center"/>
          </w:tcPr>
          <w:p>
            <w:pPr>
              <w:pStyle w:val="53"/>
              <w:bidi w:val="0"/>
              <w:spacing w:line="240" w:lineRule="auto"/>
              <w:rPr>
                <w:rFonts w:hint="eastAsia"/>
                <w:b w:val="0"/>
                <w:bCs w:val="0"/>
                <w:color w:val="auto"/>
                <w:sz w:val="21"/>
                <w:szCs w:val="16"/>
                <w:lang w:eastAsia="zh-CN"/>
              </w:rPr>
            </w:pPr>
          </w:p>
        </w:tc>
        <w:tc>
          <w:tcPr>
            <w:tcW w:w="632" w:type="pct"/>
            <w:noWrap w:val="0"/>
            <w:vAlign w:val="center"/>
          </w:tcPr>
          <w:p>
            <w:pPr>
              <w:pStyle w:val="53"/>
              <w:bidi w:val="0"/>
              <w:spacing w:line="240" w:lineRule="auto"/>
              <w:rPr>
                <w:rFonts w:hint="eastAsia"/>
                <w:b w:val="0"/>
                <w:bCs w:val="0"/>
                <w:color w:val="auto"/>
                <w:sz w:val="21"/>
                <w:szCs w:val="16"/>
                <w:lang w:eastAsia="zh-CN"/>
              </w:rPr>
            </w:pPr>
            <w:r>
              <w:rPr>
                <w:rFonts w:hint="eastAsia"/>
                <w:b w:val="0"/>
                <w:bCs w:val="0"/>
                <w:color w:val="auto"/>
                <w:sz w:val="21"/>
                <w:szCs w:val="16"/>
                <w:lang w:eastAsia="zh-CN"/>
              </w:rPr>
              <w:t>漆雾</w:t>
            </w:r>
          </w:p>
        </w:tc>
        <w:tc>
          <w:tcPr>
            <w:tcW w:w="805" w:type="pct"/>
            <w:noWrap w:val="0"/>
            <w:vAlign w:val="center"/>
          </w:tcPr>
          <w:p>
            <w:pPr>
              <w:pStyle w:val="53"/>
              <w:bidi w:val="0"/>
              <w:spacing w:line="240" w:lineRule="auto"/>
              <w:rPr>
                <w:rFonts w:hint="eastAsia"/>
                <w:b w:val="0"/>
                <w:bCs w:val="0"/>
                <w:color w:val="auto"/>
                <w:sz w:val="21"/>
                <w:szCs w:val="16"/>
                <w:lang w:val="en-US" w:eastAsia="zh-CN"/>
              </w:rPr>
            </w:pPr>
            <w:r>
              <w:rPr>
                <w:rFonts w:hint="eastAsia"/>
                <w:b w:val="0"/>
                <w:bCs w:val="0"/>
                <w:color w:val="auto"/>
                <w:sz w:val="21"/>
                <w:szCs w:val="16"/>
                <w:lang w:val="en-US" w:eastAsia="zh-CN"/>
              </w:rPr>
              <w:t>45.44</w:t>
            </w:r>
          </w:p>
          <w:p>
            <w:pPr>
              <w:pStyle w:val="53"/>
              <w:bidi w:val="0"/>
              <w:spacing w:line="240" w:lineRule="auto"/>
              <w:rPr>
                <w:rFonts w:hint="default"/>
                <w:b w:val="0"/>
                <w:bCs w:val="0"/>
                <w:color w:val="auto"/>
                <w:sz w:val="21"/>
                <w:szCs w:val="16"/>
                <w:lang w:val="en-US" w:eastAsia="zh-CN"/>
              </w:rPr>
            </w:pPr>
            <w:r>
              <w:rPr>
                <w:rFonts w:hint="default"/>
                <w:b w:val="0"/>
                <w:bCs w:val="0"/>
                <w:color w:val="auto"/>
                <w:sz w:val="21"/>
                <w:szCs w:val="16"/>
                <w:lang w:val="en-US" w:eastAsia="zh-CN"/>
              </w:rPr>
              <w:t>mg/m</w:t>
            </w:r>
            <w:r>
              <w:rPr>
                <w:rFonts w:hint="default"/>
                <w:b w:val="0"/>
                <w:bCs w:val="0"/>
                <w:color w:val="auto"/>
                <w:sz w:val="21"/>
                <w:szCs w:val="16"/>
                <w:vertAlign w:val="superscript"/>
                <w:lang w:val="en-US" w:eastAsia="zh-CN"/>
              </w:rPr>
              <w:t>3</w:t>
            </w:r>
          </w:p>
        </w:tc>
        <w:tc>
          <w:tcPr>
            <w:tcW w:w="710"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0.6544t/a</w:t>
            </w:r>
          </w:p>
        </w:tc>
        <w:tc>
          <w:tcPr>
            <w:tcW w:w="737" w:type="pct"/>
            <w:noWrap w:val="0"/>
            <w:vAlign w:val="center"/>
          </w:tcPr>
          <w:p>
            <w:pPr>
              <w:pStyle w:val="53"/>
              <w:bidi w:val="0"/>
              <w:spacing w:line="240" w:lineRule="auto"/>
              <w:rPr>
                <w:rFonts w:hint="eastAsia"/>
                <w:b w:val="0"/>
                <w:bCs w:val="0"/>
                <w:color w:val="auto"/>
                <w:sz w:val="21"/>
                <w:szCs w:val="16"/>
                <w:lang w:val="en-US" w:eastAsia="zh-CN"/>
              </w:rPr>
            </w:pPr>
            <w:r>
              <w:rPr>
                <w:rFonts w:hint="eastAsia"/>
                <w:b w:val="0"/>
                <w:bCs w:val="0"/>
                <w:color w:val="auto"/>
                <w:sz w:val="21"/>
                <w:szCs w:val="16"/>
                <w:lang w:val="en-US" w:eastAsia="zh-CN"/>
              </w:rPr>
              <w:t>6.819</w:t>
            </w:r>
          </w:p>
          <w:p>
            <w:pPr>
              <w:pStyle w:val="53"/>
              <w:bidi w:val="0"/>
              <w:spacing w:line="240" w:lineRule="auto"/>
              <w:rPr>
                <w:rFonts w:hint="eastAsia"/>
                <w:b w:val="0"/>
                <w:bCs w:val="0"/>
                <w:color w:val="auto"/>
                <w:sz w:val="21"/>
                <w:szCs w:val="16"/>
                <w:lang w:val="en-US" w:eastAsia="zh-CN"/>
              </w:rPr>
            </w:pPr>
            <w:r>
              <w:rPr>
                <w:rFonts w:hint="default"/>
                <w:b w:val="0"/>
                <w:bCs w:val="0"/>
                <w:color w:val="auto"/>
                <w:sz w:val="21"/>
                <w:szCs w:val="16"/>
                <w:lang w:val="en-US" w:eastAsia="zh-CN"/>
              </w:rPr>
              <w:t>mg/m</w:t>
            </w:r>
            <w:r>
              <w:rPr>
                <w:rFonts w:hint="default"/>
                <w:b w:val="0"/>
                <w:bCs w:val="0"/>
                <w:color w:val="auto"/>
                <w:sz w:val="21"/>
                <w:szCs w:val="16"/>
                <w:vertAlign w:val="superscript"/>
                <w:lang w:val="en-US" w:eastAsia="zh-CN"/>
              </w:rPr>
              <w:t>3</w:t>
            </w:r>
          </w:p>
        </w:tc>
        <w:tc>
          <w:tcPr>
            <w:tcW w:w="737"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0.0982t/a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eastAsia"/>
                <w:b w:val="0"/>
                <w:bCs w:val="0"/>
                <w:color w:val="auto"/>
                <w:sz w:val="21"/>
                <w:szCs w:val="16"/>
                <w:lang w:eastAsia="zh-CN"/>
              </w:rPr>
            </w:pPr>
          </w:p>
        </w:tc>
        <w:tc>
          <w:tcPr>
            <w:tcW w:w="484" w:type="pct"/>
            <w:noWrap w:val="0"/>
            <w:vAlign w:val="center"/>
          </w:tcPr>
          <w:p>
            <w:pPr>
              <w:pStyle w:val="53"/>
              <w:bidi w:val="0"/>
              <w:spacing w:line="240" w:lineRule="auto"/>
              <w:rPr>
                <w:rFonts w:hint="eastAsia"/>
                <w:b w:val="0"/>
                <w:bCs w:val="0"/>
                <w:color w:val="auto"/>
                <w:sz w:val="21"/>
                <w:szCs w:val="16"/>
                <w:lang w:eastAsia="zh-CN"/>
              </w:rPr>
            </w:pPr>
            <w:r>
              <w:rPr>
                <w:rFonts w:hint="eastAsia"/>
                <w:b w:val="0"/>
                <w:bCs w:val="0"/>
                <w:color w:val="auto"/>
                <w:sz w:val="21"/>
                <w:szCs w:val="16"/>
                <w:lang w:eastAsia="zh-CN"/>
              </w:rPr>
              <w:t>食堂油烟</w:t>
            </w:r>
          </w:p>
        </w:tc>
        <w:tc>
          <w:tcPr>
            <w:tcW w:w="632"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eastAsia="zh-CN"/>
              </w:rPr>
              <w:t>油烟</w:t>
            </w:r>
          </w:p>
        </w:tc>
        <w:tc>
          <w:tcPr>
            <w:tcW w:w="805"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2.625</w:t>
            </w:r>
            <w:r>
              <w:rPr>
                <w:rFonts w:hint="default"/>
                <w:b w:val="0"/>
                <w:bCs w:val="0"/>
                <w:color w:val="auto"/>
                <w:sz w:val="21"/>
                <w:szCs w:val="16"/>
                <w:lang w:val="en-US" w:eastAsia="zh-CN"/>
              </w:rPr>
              <w:t>mg/m</w:t>
            </w:r>
            <w:r>
              <w:rPr>
                <w:rFonts w:hint="default"/>
                <w:b w:val="0"/>
                <w:bCs w:val="0"/>
                <w:color w:val="auto"/>
                <w:sz w:val="21"/>
                <w:szCs w:val="16"/>
                <w:vertAlign w:val="superscript"/>
                <w:lang w:val="en-US" w:eastAsia="zh-CN"/>
              </w:rPr>
              <w:t>3</w:t>
            </w:r>
          </w:p>
        </w:tc>
        <w:tc>
          <w:tcPr>
            <w:tcW w:w="710"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6.3kg/a</w:t>
            </w:r>
          </w:p>
        </w:tc>
        <w:tc>
          <w:tcPr>
            <w:tcW w:w="737"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0.525</w:t>
            </w:r>
            <w:r>
              <w:rPr>
                <w:rFonts w:hint="default"/>
                <w:b w:val="0"/>
                <w:bCs w:val="0"/>
                <w:color w:val="auto"/>
                <w:sz w:val="21"/>
                <w:szCs w:val="16"/>
                <w:lang w:val="en-US" w:eastAsia="zh-CN"/>
              </w:rPr>
              <w:t>mg/m</w:t>
            </w:r>
            <w:r>
              <w:rPr>
                <w:rFonts w:hint="default"/>
                <w:b w:val="0"/>
                <w:bCs w:val="0"/>
                <w:color w:val="auto"/>
                <w:sz w:val="21"/>
                <w:szCs w:val="16"/>
                <w:vertAlign w:val="superscript"/>
                <w:lang w:val="en-US" w:eastAsia="zh-CN"/>
              </w:rPr>
              <w:t>3</w:t>
            </w:r>
          </w:p>
        </w:tc>
        <w:tc>
          <w:tcPr>
            <w:tcW w:w="737"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1.26kg/a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restart"/>
            <w:noWrap w:val="0"/>
            <w:vAlign w:val="center"/>
          </w:tcPr>
          <w:p>
            <w:pPr>
              <w:pStyle w:val="53"/>
              <w:bidi w:val="0"/>
              <w:spacing w:line="240" w:lineRule="auto"/>
              <w:rPr>
                <w:rFonts w:hint="eastAsia"/>
                <w:b w:val="0"/>
                <w:bCs w:val="0"/>
                <w:color w:val="auto"/>
                <w:sz w:val="21"/>
                <w:szCs w:val="16"/>
                <w:lang w:eastAsia="zh-CN"/>
              </w:rPr>
            </w:pPr>
            <w:r>
              <w:rPr>
                <w:rFonts w:hint="eastAsia"/>
                <w:b w:val="0"/>
                <w:bCs w:val="0"/>
                <w:color w:val="auto"/>
                <w:sz w:val="21"/>
                <w:szCs w:val="16"/>
                <w:lang w:eastAsia="zh-CN"/>
              </w:rPr>
              <w:t>无组织</w:t>
            </w:r>
          </w:p>
        </w:tc>
        <w:tc>
          <w:tcPr>
            <w:tcW w:w="484" w:type="pct"/>
            <w:vMerge w:val="restart"/>
            <w:noWrap w:val="0"/>
            <w:vAlign w:val="center"/>
          </w:tcPr>
          <w:p>
            <w:pPr>
              <w:pStyle w:val="53"/>
              <w:bidi w:val="0"/>
              <w:spacing w:line="240" w:lineRule="auto"/>
              <w:rPr>
                <w:rFonts w:hint="eastAsia"/>
                <w:b w:val="0"/>
                <w:bCs w:val="0"/>
                <w:color w:val="auto"/>
                <w:sz w:val="21"/>
                <w:szCs w:val="16"/>
                <w:lang w:eastAsia="zh-CN"/>
              </w:rPr>
            </w:pPr>
            <w:r>
              <w:rPr>
                <w:rFonts w:hint="eastAsia"/>
                <w:b w:val="0"/>
                <w:bCs w:val="0"/>
                <w:color w:val="auto"/>
                <w:sz w:val="21"/>
                <w:szCs w:val="16"/>
                <w:lang w:eastAsia="zh-CN"/>
              </w:rPr>
              <w:t>喷漆</w:t>
            </w:r>
          </w:p>
        </w:tc>
        <w:tc>
          <w:tcPr>
            <w:tcW w:w="632" w:type="pct"/>
            <w:noWrap w:val="0"/>
            <w:vAlign w:val="center"/>
          </w:tcPr>
          <w:p>
            <w:pPr>
              <w:pStyle w:val="53"/>
              <w:bidi w:val="0"/>
              <w:spacing w:line="240" w:lineRule="auto"/>
              <w:rPr>
                <w:rFonts w:hint="default"/>
                <w:b w:val="0"/>
                <w:bCs w:val="0"/>
                <w:color w:val="auto"/>
                <w:sz w:val="21"/>
                <w:szCs w:val="16"/>
                <w:lang w:eastAsia="zh-CN"/>
              </w:rPr>
            </w:pPr>
            <w:r>
              <w:rPr>
                <w:rFonts w:hint="eastAsia"/>
                <w:b w:val="0"/>
                <w:bCs w:val="0"/>
                <w:color w:val="auto"/>
                <w:sz w:val="21"/>
                <w:szCs w:val="16"/>
                <w:lang w:eastAsia="zh-CN"/>
              </w:rPr>
              <w:t>挥发性有机物</w:t>
            </w:r>
          </w:p>
        </w:tc>
        <w:tc>
          <w:tcPr>
            <w:tcW w:w="805"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w:t>
            </w:r>
          </w:p>
        </w:tc>
        <w:tc>
          <w:tcPr>
            <w:tcW w:w="710"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0.1715t/a</w:t>
            </w:r>
          </w:p>
        </w:tc>
        <w:tc>
          <w:tcPr>
            <w:tcW w:w="737"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w:t>
            </w:r>
          </w:p>
        </w:tc>
        <w:tc>
          <w:tcPr>
            <w:tcW w:w="737"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0.1715t/a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eastAsia"/>
                <w:b w:val="0"/>
                <w:bCs w:val="0"/>
                <w:color w:val="auto"/>
                <w:sz w:val="21"/>
                <w:szCs w:val="16"/>
                <w:lang w:eastAsia="zh-CN"/>
              </w:rPr>
            </w:pPr>
          </w:p>
        </w:tc>
        <w:tc>
          <w:tcPr>
            <w:tcW w:w="484" w:type="pct"/>
            <w:vMerge w:val="continue"/>
            <w:noWrap w:val="0"/>
            <w:vAlign w:val="center"/>
          </w:tcPr>
          <w:p>
            <w:pPr>
              <w:pStyle w:val="53"/>
              <w:bidi w:val="0"/>
              <w:spacing w:line="240" w:lineRule="auto"/>
              <w:rPr>
                <w:rFonts w:hint="eastAsia"/>
                <w:b w:val="0"/>
                <w:bCs w:val="0"/>
                <w:color w:val="auto"/>
                <w:sz w:val="21"/>
                <w:szCs w:val="16"/>
                <w:lang w:eastAsia="zh-CN"/>
              </w:rPr>
            </w:pPr>
          </w:p>
        </w:tc>
        <w:tc>
          <w:tcPr>
            <w:tcW w:w="632" w:type="pct"/>
            <w:noWrap w:val="0"/>
            <w:vAlign w:val="center"/>
          </w:tcPr>
          <w:p>
            <w:pPr>
              <w:pStyle w:val="53"/>
              <w:bidi w:val="0"/>
              <w:spacing w:line="240" w:lineRule="auto"/>
              <w:rPr>
                <w:rFonts w:hint="eastAsia"/>
                <w:b w:val="0"/>
                <w:bCs w:val="0"/>
                <w:color w:val="auto"/>
                <w:sz w:val="21"/>
                <w:szCs w:val="16"/>
                <w:lang w:eastAsia="zh-CN"/>
              </w:rPr>
            </w:pPr>
            <w:r>
              <w:rPr>
                <w:rFonts w:hint="eastAsia"/>
                <w:b w:val="0"/>
                <w:bCs w:val="0"/>
                <w:color w:val="auto"/>
                <w:sz w:val="21"/>
                <w:szCs w:val="16"/>
                <w:lang w:eastAsia="zh-CN"/>
              </w:rPr>
              <w:t>漆雾</w:t>
            </w:r>
          </w:p>
        </w:tc>
        <w:tc>
          <w:tcPr>
            <w:tcW w:w="805"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w:t>
            </w:r>
          </w:p>
        </w:tc>
        <w:tc>
          <w:tcPr>
            <w:tcW w:w="710"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0.1636t/a</w:t>
            </w:r>
          </w:p>
        </w:tc>
        <w:tc>
          <w:tcPr>
            <w:tcW w:w="737"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w:t>
            </w:r>
          </w:p>
        </w:tc>
        <w:tc>
          <w:tcPr>
            <w:tcW w:w="737"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0.1636t/a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eastAsia"/>
                <w:b w:val="0"/>
                <w:bCs w:val="0"/>
                <w:color w:val="auto"/>
                <w:sz w:val="21"/>
                <w:szCs w:val="16"/>
                <w:lang w:eastAsia="zh-CN"/>
              </w:rPr>
            </w:pPr>
          </w:p>
        </w:tc>
        <w:tc>
          <w:tcPr>
            <w:tcW w:w="484" w:type="pct"/>
            <w:noWrap w:val="0"/>
            <w:vAlign w:val="center"/>
          </w:tcPr>
          <w:p>
            <w:pPr>
              <w:pStyle w:val="53"/>
              <w:bidi w:val="0"/>
              <w:spacing w:line="240" w:lineRule="auto"/>
              <w:rPr>
                <w:rFonts w:hint="eastAsia"/>
                <w:b w:val="0"/>
                <w:bCs w:val="0"/>
                <w:color w:val="auto"/>
                <w:sz w:val="21"/>
                <w:szCs w:val="16"/>
                <w:lang w:eastAsia="zh-CN"/>
              </w:rPr>
            </w:pPr>
            <w:r>
              <w:rPr>
                <w:rFonts w:hint="eastAsia"/>
                <w:b w:val="0"/>
                <w:bCs w:val="0"/>
                <w:color w:val="auto"/>
                <w:sz w:val="21"/>
                <w:szCs w:val="16"/>
                <w:lang w:eastAsia="zh-CN"/>
              </w:rPr>
              <w:t>切割</w:t>
            </w:r>
          </w:p>
        </w:tc>
        <w:tc>
          <w:tcPr>
            <w:tcW w:w="632" w:type="pct"/>
            <w:noWrap w:val="0"/>
            <w:vAlign w:val="center"/>
          </w:tcPr>
          <w:p>
            <w:pPr>
              <w:pStyle w:val="53"/>
              <w:bidi w:val="0"/>
              <w:spacing w:line="240" w:lineRule="auto"/>
              <w:rPr>
                <w:rFonts w:hint="default"/>
                <w:b w:val="0"/>
                <w:bCs w:val="0"/>
                <w:color w:val="auto"/>
                <w:sz w:val="21"/>
                <w:szCs w:val="16"/>
                <w:lang w:eastAsia="zh-CN"/>
              </w:rPr>
            </w:pPr>
            <w:r>
              <w:rPr>
                <w:rFonts w:hint="eastAsia"/>
                <w:b w:val="0"/>
                <w:bCs w:val="0"/>
                <w:color w:val="auto"/>
                <w:sz w:val="21"/>
                <w:szCs w:val="16"/>
                <w:lang w:eastAsia="zh-CN"/>
              </w:rPr>
              <w:t>烟尘</w:t>
            </w:r>
          </w:p>
        </w:tc>
        <w:tc>
          <w:tcPr>
            <w:tcW w:w="805"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w:t>
            </w:r>
          </w:p>
        </w:tc>
        <w:tc>
          <w:tcPr>
            <w:tcW w:w="710"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1.179t/a</w:t>
            </w:r>
          </w:p>
        </w:tc>
        <w:tc>
          <w:tcPr>
            <w:tcW w:w="737" w:type="pct"/>
            <w:noWrap w:val="0"/>
            <w:vAlign w:val="center"/>
          </w:tcPr>
          <w:p>
            <w:pPr>
              <w:pStyle w:val="53"/>
              <w:bidi w:val="0"/>
              <w:spacing w:line="240" w:lineRule="auto"/>
              <w:rPr>
                <w:rFonts w:hint="eastAsia"/>
                <w:b w:val="0"/>
                <w:bCs w:val="0"/>
                <w:color w:val="auto"/>
                <w:sz w:val="21"/>
                <w:szCs w:val="16"/>
                <w:lang w:val="en-US" w:eastAsia="zh-CN"/>
              </w:rPr>
            </w:pPr>
          </w:p>
        </w:tc>
        <w:tc>
          <w:tcPr>
            <w:tcW w:w="737"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0.171t/a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eastAsia"/>
                <w:b w:val="0"/>
                <w:bCs w:val="0"/>
                <w:color w:val="auto"/>
                <w:sz w:val="21"/>
                <w:szCs w:val="16"/>
                <w:lang w:eastAsia="zh-CN"/>
              </w:rPr>
            </w:pPr>
          </w:p>
        </w:tc>
        <w:tc>
          <w:tcPr>
            <w:tcW w:w="484" w:type="pct"/>
            <w:noWrap w:val="0"/>
            <w:vAlign w:val="center"/>
          </w:tcPr>
          <w:p>
            <w:pPr>
              <w:pStyle w:val="53"/>
              <w:bidi w:val="0"/>
              <w:spacing w:line="240" w:lineRule="auto"/>
              <w:rPr>
                <w:rFonts w:hint="eastAsia" w:eastAsia="宋体"/>
                <w:b w:val="0"/>
                <w:bCs w:val="0"/>
                <w:color w:val="auto"/>
                <w:sz w:val="21"/>
                <w:szCs w:val="16"/>
                <w:lang w:val="en-US" w:eastAsia="zh-CN"/>
              </w:rPr>
            </w:pPr>
            <w:r>
              <w:rPr>
                <w:rFonts w:hint="eastAsia"/>
                <w:b w:val="0"/>
                <w:bCs w:val="0"/>
                <w:color w:val="auto"/>
                <w:sz w:val="21"/>
                <w:szCs w:val="16"/>
                <w:lang w:val="en-US" w:eastAsia="zh-CN"/>
              </w:rPr>
              <w:t>焊接</w:t>
            </w:r>
          </w:p>
        </w:tc>
        <w:tc>
          <w:tcPr>
            <w:tcW w:w="632" w:type="pct"/>
            <w:noWrap w:val="0"/>
            <w:vAlign w:val="center"/>
          </w:tcPr>
          <w:p>
            <w:pPr>
              <w:pStyle w:val="53"/>
              <w:bidi w:val="0"/>
              <w:spacing w:line="240" w:lineRule="auto"/>
              <w:rPr>
                <w:rFonts w:hint="default"/>
                <w:b w:val="0"/>
                <w:bCs w:val="0"/>
                <w:color w:val="auto"/>
                <w:sz w:val="21"/>
                <w:szCs w:val="16"/>
                <w:lang w:eastAsia="zh-CN"/>
              </w:rPr>
            </w:pPr>
            <w:r>
              <w:rPr>
                <w:rFonts w:hint="eastAsia"/>
                <w:b w:val="0"/>
                <w:bCs w:val="0"/>
                <w:color w:val="auto"/>
                <w:sz w:val="21"/>
                <w:szCs w:val="16"/>
                <w:lang w:eastAsia="zh-CN"/>
              </w:rPr>
              <w:t>烟尘</w:t>
            </w:r>
          </w:p>
        </w:tc>
        <w:tc>
          <w:tcPr>
            <w:tcW w:w="805"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w:t>
            </w:r>
          </w:p>
        </w:tc>
        <w:tc>
          <w:tcPr>
            <w:tcW w:w="710"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0.459t/a</w:t>
            </w:r>
          </w:p>
        </w:tc>
        <w:tc>
          <w:tcPr>
            <w:tcW w:w="737"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w:t>
            </w:r>
          </w:p>
        </w:tc>
        <w:tc>
          <w:tcPr>
            <w:tcW w:w="737"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0.08t/a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eastAsia"/>
                <w:b w:val="0"/>
                <w:bCs w:val="0"/>
                <w:color w:val="auto"/>
                <w:sz w:val="21"/>
                <w:szCs w:val="16"/>
                <w:lang w:eastAsia="zh-CN"/>
              </w:rPr>
            </w:pPr>
          </w:p>
        </w:tc>
        <w:tc>
          <w:tcPr>
            <w:tcW w:w="484" w:type="pct"/>
            <w:noWrap w:val="0"/>
            <w:vAlign w:val="center"/>
          </w:tcPr>
          <w:p>
            <w:pPr>
              <w:pStyle w:val="53"/>
              <w:bidi w:val="0"/>
              <w:spacing w:line="240" w:lineRule="auto"/>
              <w:rPr>
                <w:rFonts w:hint="eastAsia"/>
                <w:b w:val="0"/>
                <w:bCs w:val="0"/>
                <w:color w:val="auto"/>
                <w:sz w:val="21"/>
                <w:szCs w:val="16"/>
                <w:lang w:val="en-US" w:eastAsia="zh-CN"/>
              </w:rPr>
            </w:pPr>
            <w:r>
              <w:rPr>
                <w:rFonts w:hint="eastAsia"/>
                <w:b w:val="0"/>
                <w:bCs w:val="0"/>
                <w:color w:val="auto"/>
                <w:sz w:val="21"/>
                <w:szCs w:val="16"/>
                <w:lang w:val="en-US" w:eastAsia="zh-CN"/>
              </w:rPr>
              <w:t>打磨</w:t>
            </w:r>
          </w:p>
        </w:tc>
        <w:tc>
          <w:tcPr>
            <w:tcW w:w="632" w:type="pct"/>
            <w:noWrap w:val="0"/>
            <w:vAlign w:val="center"/>
          </w:tcPr>
          <w:p>
            <w:pPr>
              <w:pStyle w:val="53"/>
              <w:bidi w:val="0"/>
              <w:spacing w:line="240" w:lineRule="auto"/>
              <w:rPr>
                <w:rFonts w:hint="eastAsia"/>
                <w:b w:val="0"/>
                <w:bCs w:val="0"/>
                <w:color w:val="auto"/>
                <w:sz w:val="21"/>
                <w:szCs w:val="16"/>
                <w:lang w:eastAsia="zh-CN"/>
              </w:rPr>
            </w:pPr>
            <w:r>
              <w:rPr>
                <w:rFonts w:hint="eastAsia"/>
                <w:b w:val="0"/>
                <w:bCs w:val="0"/>
                <w:color w:val="auto"/>
                <w:sz w:val="21"/>
                <w:szCs w:val="16"/>
                <w:lang w:eastAsia="zh-CN"/>
              </w:rPr>
              <w:t>粉尘</w:t>
            </w:r>
          </w:p>
        </w:tc>
        <w:tc>
          <w:tcPr>
            <w:tcW w:w="805" w:type="pct"/>
            <w:noWrap w:val="0"/>
            <w:vAlign w:val="center"/>
          </w:tcPr>
          <w:p>
            <w:pPr>
              <w:pStyle w:val="53"/>
              <w:bidi w:val="0"/>
              <w:spacing w:line="240" w:lineRule="auto"/>
              <w:rPr>
                <w:rFonts w:hint="eastAsia"/>
                <w:b w:val="0"/>
                <w:bCs w:val="0"/>
                <w:color w:val="auto"/>
                <w:sz w:val="21"/>
                <w:szCs w:val="16"/>
                <w:lang w:val="en-US" w:eastAsia="zh-CN"/>
              </w:rPr>
            </w:pPr>
          </w:p>
        </w:tc>
        <w:tc>
          <w:tcPr>
            <w:tcW w:w="710"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1.577t/a</w:t>
            </w:r>
          </w:p>
        </w:tc>
        <w:tc>
          <w:tcPr>
            <w:tcW w:w="737" w:type="pct"/>
            <w:noWrap w:val="0"/>
            <w:vAlign w:val="center"/>
          </w:tcPr>
          <w:p>
            <w:pPr>
              <w:pStyle w:val="53"/>
              <w:bidi w:val="0"/>
              <w:spacing w:line="240" w:lineRule="auto"/>
              <w:rPr>
                <w:rFonts w:hint="eastAsia"/>
                <w:b w:val="0"/>
                <w:bCs w:val="0"/>
                <w:color w:val="auto"/>
                <w:sz w:val="21"/>
                <w:szCs w:val="16"/>
                <w:lang w:val="en-US" w:eastAsia="zh-CN"/>
              </w:rPr>
            </w:pPr>
          </w:p>
        </w:tc>
        <w:tc>
          <w:tcPr>
            <w:tcW w:w="737"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0.067t/a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92" w:type="pct"/>
            <w:vMerge w:val="restart"/>
            <w:noWrap w:val="0"/>
            <w:vAlign w:val="center"/>
          </w:tcPr>
          <w:p>
            <w:pPr>
              <w:pStyle w:val="53"/>
              <w:bidi w:val="0"/>
              <w:spacing w:line="240" w:lineRule="auto"/>
              <w:rPr>
                <w:rFonts w:hint="eastAsia" w:eastAsia="宋体"/>
                <w:b w:val="0"/>
                <w:bCs w:val="0"/>
                <w:color w:val="auto"/>
                <w:sz w:val="21"/>
                <w:szCs w:val="16"/>
                <w:lang w:eastAsia="zh-CN"/>
              </w:rPr>
            </w:pPr>
            <w:r>
              <w:rPr>
                <w:rFonts w:hint="eastAsia"/>
                <w:b w:val="0"/>
                <w:bCs w:val="0"/>
                <w:color w:val="auto"/>
                <w:sz w:val="21"/>
                <w:szCs w:val="16"/>
                <w:lang w:eastAsia="zh-CN"/>
              </w:rPr>
              <w:t>废水</w:t>
            </w:r>
          </w:p>
        </w:tc>
        <w:tc>
          <w:tcPr>
            <w:tcW w:w="984" w:type="pct"/>
            <w:gridSpan w:val="3"/>
            <w:noWrap w:val="0"/>
            <w:vAlign w:val="center"/>
          </w:tcPr>
          <w:p>
            <w:pPr>
              <w:pStyle w:val="53"/>
              <w:bidi w:val="0"/>
              <w:spacing w:line="240" w:lineRule="auto"/>
              <w:rPr>
                <w:rFonts w:hint="default"/>
                <w:b w:val="0"/>
                <w:bCs w:val="0"/>
                <w:color w:val="auto"/>
                <w:sz w:val="21"/>
                <w:szCs w:val="16"/>
                <w:lang w:eastAsia="zh-CN"/>
              </w:rPr>
            </w:pPr>
            <w:r>
              <w:rPr>
                <w:rFonts w:hint="eastAsia"/>
                <w:b w:val="0"/>
                <w:bCs w:val="0"/>
                <w:color w:val="auto"/>
                <w:sz w:val="21"/>
                <w:szCs w:val="16"/>
                <w:lang w:eastAsia="zh-CN"/>
              </w:rPr>
              <w:t>施工期</w:t>
            </w:r>
          </w:p>
        </w:tc>
        <w:tc>
          <w:tcPr>
            <w:tcW w:w="632" w:type="pct"/>
            <w:noWrap w:val="0"/>
            <w:vAlign w:val="center"/>
          </w:tcPr>
          <w:p>
            <w:pPr>
              <w:pStyle w:val="53"/>
              <w:bidi w:val="0"/>
              <w:spacing w:line="240" w:lineRule="auto"/>
              <w:rPr>
                <w:rFonts w:hint="default"/>
                <w:b w:val="0"/>
                <w:bCs w:val="0"/>
                <w:color w:val="auto"/>
                <w:sz w:val="21"/>
                <w:szCs w:val="16"/>
                <w:lang w:eastAsia="zh-CN"/>
              </w:rPr>
            </w:pPr>
            <w:r>
              <w:rPr>
                <w:rFonts w:hint="eastAsia"/>
                <w:b w:val="0"/>
                <w:bCs w:val="0"/>
                <w:color w:val="auto"/>
                <w:sz w:val="21"/>
                <w:szCs w:val="16"/>
                <w:lang w:eastAsia="zh-CN"/>
              </w:rPr>
              <w:t>生活污水</w:t>
            </w:r>
          </w:p>
        </w:tc>
        <w:tc>
          <w:tcPr>
            <w:tcW w:w="1516" w:type="pct"/>
            <w:gridSpan w:val="2"/>
            <w:noWrap w:val="0"/>
            <w:vAlign w:val="center"/>
          </w:tcPr>
          <w:p>
            <w:pPr>
              <w:pStyle w:val="53"/>
              <w:bidi w:val="0"/>
              <w:spacing w:line="240" w:lineRule="auto"/>
              <w:rPr>
                <w:rFonts w:hint="default"/>
                <w:b w:val="0"/>
                <w:bCs w:val="0"/>
                <w:color w:val="auto"/>
                <w:sz w:val="21"/>
                <w:szCs w:val="16"/>
                <w:lang w:eastAsia="zh-CN"/>
              </w:rPr>
            </w:pPr>
            <w:r>
              <w:rPr>
                <w:rFonts w:hint="eastAsia"/>
                <w:b w:val="0"/>
                <w:bCs w:val="0"/>
                <w:color w:val="auto"/>
                <w:sz w:val="21"/>
                <w:szCs w:val="16"/>
                <w:lang w:val="en-US" w:eastAsia="zh-CN"/>
              </w:rPr>
              <w:t>1m</w:t>
            </w:r>
            <w:r>
              <w:rPr>
                <w:rFonts w:hint="eastAsia"/>
                <w:b w:val="0"/>
                <w:bCs w:val="0"/>
                <w:color w:val="auto"/>
                <w:sz w:val="21"/>
                <w:szCs w:val="16"/>
                <w:vertAlign w:val="superscript"/>
                <w:lang w:val="en-US" w:eastAsia="zh-CN"/>
              </w:rPr>
              <w:t>3</w:t>
            </w:r>
            <w:r>
              <w:rPr>
                <w:rFonts w:hint="eastAsia"/>
                <w:b w:val="0"/>
                <w:bCs w:val="0"/>
                <w:color w:val="auto"/>
                <w:sz w:val="21"/>
                <w:szCs w:val="16"/>
                <w:lang w:val="en-US" w:eastAsia="zh-CN"/>
              </w:rPr>
              <w:t>/d</w:t>
            </w:r>
          </w:p>
        </w:tc>
        <w:tc>
          <w:tcPr>
            <w:tcW w:w="1474" w:type="pct"/>
            <w:gridSpan w:val="2"/>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0.8m</w:t>
            </w:r>
            <w:r>
              <w:rPr>
                <w:rFonts w:hint="eastAsia"/>
                <w:b w:val="0"/>
                <w:bCs w:val="0"/>
                <w:color w:val="auto"/>
                <w:sz w:val="21"/>
                <w:szCs w:val="16"/>
                <w:vertAlign w:val="superscript"/>
                <w:lang w:val="en-US" w:eastAsia="zh-CN"/>
              </w:rPr>
              <w:t>3</w:t>
            </w:r>
            <w:r>
              <w:rPr>
                <w:rFonts w:hint="eastAsia"/>
                <w:b w:val="0"/>
                <w:bCs w:val="0"/>
                <w:color w:val="auto"/>
                <w:sz w:val="21"/>
                <w:szCs w:val="16"/>
                <w:lang w:val="en-US" w:eastAsia="zh-CN"/>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984" w:type="pct"/>
            <w:gridSpan w:val="3"/>
            <w:vMerge w:val="restart"/>
            <w:noWrap w:val="0"/>
            <w:vAlign w:val="center"/>
          </w:tcPr>
          <w:p>
            <w:pPr>
              <w:pStyle w:val="53"/>
              <w:bidi w:val="0"/>
              <w:spacing w:line="240" w:lineRule="auto"/>
              <w:rPr>
                <w:rFonts w:hint="default"/>
                <w:b w:val="0"/>
                <w:bCs w:val="0"/>
                <w:color w:val="auto"/>
                <w:sz w:val="21"/>
                <w:szCs w:val="16"/>
                <w:lang w:eastAsia="zh-CN"/>
              </w:rPr>
            </w:pPr>
            <w:r>
              <w:rPr>
                <w:rFonts w:hint="eastAsia"/>
                <w:b w:val="0"/>
                <w:bCs w:val="0"/>
                <w:color w:val="auto"/>
                <w:sz w:val="21"/>
                <w:szCs w:val="16"/>
                <w:lang w:eastAsia="zh-CN"/>
              </w:rPr>
              <w:t>运营期</w:t>
            </w:r>
          </w:p>
        </w:tc>
        <w:tc>
          <w:tcPr>
            <w:tcW w:w="632" w:type="pct"/>
            <w:noWrap w:val="0"/>
            <w:vAlign w:val="center"/>
          </w:tcPr>
          <w:p>
            <w:pPr>
              <w:pStyle w:val="53"/>
              <w:bidi w:val="0"/>
              <w:spacing w:line="240" w:lineRule="auto"/>
              <w:rPr>
                <w:rFonts w:hint="default"/>
                <w:b w:val="0"/>
                <w:bCs w:val="0"/>
                <w:color w:val="auto"/>
                <w:sz w:val="21"/>
                <w:szCs w:val="16"/>
                <w:lang w:eastAsia="zh-CN"/>
              </w:rPr>
            </w:pPr>
            <w:r>
              <w:rPr>
                <w:rFonts w:hint="eastAsia"/>
                <w:b w:val="0"/>
                <w:bCs w:val="0"/>
                <w:color w:val="auto"/>
                <w:sz w:val="21"/>
                <w:szCs w:val="16"/>
                <w:lang w:eastAsia="zh-CN"/>
              </w:rPr>
              <w:t>生活污水</w:t>
            </w:r>
          </w:p>
        </w:tc>
        <w:tc>
          <w:tcPr>
            <w:tcW w:w="1516" w:type="pct"/>
            <w:gridSpan w:val="2"/>
            <w:noWrap w:val="0"/>
            <w:vAlign w:val="center"/>
          </w:tcPr>
          <w:p>
            <w:pPr>
              <w:pStyle w:val="53"/>
              <w:bidi w:val="0"/>
              <w:spacing w:line="240" w:lineRule="auto"/>
              <w:jc w:val="center"/>
              <w:rPr>
                <w:rFonts w:hint="eastAsia"/>
                <w:b w:val="0"/>
                <w:bCs w:val="0"/>
                <w:sz w:val="21"/>
                <w:szCs w:val="21"/>
                <w:lang w:val="en-US" w:eastAsia="zh-CN"/>
              </w:rPr>
            </w:pPr>
            <w:r>
              <w:rPr>
                <w:rFonts w:hint="eastAsia"/>
                <w:b w:val="0"/>
                <w:bCs w:val="0"/>
                <w:sz w:val="21"/>
                <w:szCs w:val="21"/>
                <w:lang w:val="en-US" w:eastAsia="zh-CN"/>
              </w:rPr>
              <w:t>2m</w:t>
            </w:r>
            <w:r>
              <w:rPr>
                <w:rFonts w:hint="eastAsia"/>
                <w:b w:val="0"/>
                <w:bCs w:val="0"/>
                <w:sz w:val="21"/>
                <w:szCs w:val="21"/>
                <w:vertAlign w:val="superscript"/>
                <w:lang w:val="en-US" w:eastAsia="zh-CN"/>
              </w:rPr>
              <w:t>3</w:t>
            </w:r>
            <w:r>
              <w:rPr>
                <w:rFonts w:hint="eastAsia"/>
                <w:b w:val="0"/>
                <w:bCs w:val="0"/>
                <w:sz w:val="21"/>
                <w:szCs w:val="21"/>
                <w:lang w:val="en-US" w:eastAsia="zh-CN"/>
              </w:rPr>
              <w:t>/d</w:t>
            </w:r>
          </w:p>
          <w:p>
            <w:pPr>
              <w:spacing w:line="240" w:lineRule="auto"/>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COD</w:t>
            </w:r>
            <w:r>
              <w:rPr>
                <w:rFonts w:hint="default" w:ascii="Times New Roman" w:hAnsi="Times New Roman" w:cs="Times New Roman"/>
                <w:bCs/>
                <w:color w:val="auto"/>
                <w:sz w:val="21"/>
                <w:szCs w:val="21"/>
                <w:vertAlign w:val="subscript"/>
                <w:lang w:val="en-US" w:eastAsia="zh-CN"/>
              </w:rPr>
              <w:t>Cr</w:t>
            </w:r>
            <w:r>
              <w:rPr>
                <w:rFonts w:hint="default" w:ascii="Times New Roman" w:hAnsi="Times New Roman" w:cs="Times New Roman"/>
                <w:bCs/>
                <w:color w:val="auto"/>
                <w:sz w:val="21"/>
                <w:szCs w:val="21"/>
                <w:lang w:val="en-US" w:eastAsia="zh-CN"/>
              </w:rPr>
              <w:t>330mg/L</w:t>
            </w:r>
          </w:p>
          <w:p>
            <w:pPr>
              <w:spacing w:line="240" w:lineRule="auto"/>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BOD</w:t>
            </w:r>
            <w:r>
              <w:rPr>
                <w:rFonts w:hint="default" w:ascii="Times New Roman" w:hAnsi="Times New Roman" w:cs="Times New Roman"/>
                <w:bCs/>
                <w:color w:val="auto"/>
                <w:sz w:val="21"/>
                <w:szCs w:val="21"/>
                <w:vertAlign w:val="subscript"/>
                <w:lang w:val="en-US" w:eastAsia="zh-CN"/>
              </w:rPr>
              <w:t>5</w:t>
            </w:r>
            <w:r>
              <w:rPr>
                <w:rFonts w:hint="default" w:ascii="Times New Roman" w:hAnsi="Times New Roman" w:cs="Times New Roman"/>
                <w:bCs/>
                <w:color w:val="auto"/>
                <w:sz w:val="21"/>
                <w:szCs w:val="21"/>
                <w:lang w:val="en-US" w:eastAsia="zh-CN"/>
              </w:rPr>
              <w:t>180mg/L</w:t>
            </w:r>
          </w:p>
          <w:p>
            <w:pPr>
              <w:spacing w:line="240" w:lineRule="auto"/>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SS150mg/L</w:t>
            </w:r>
          </w:p>
          <w:p>
            <w:pPr>
              <w:spacing w:line="240" w:lineRule="auto"/>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氨氮40mg/L</w:t>
            </w:r>
          </w:p>
          <w:p>
            <w:pPr>
              <w:spacing w:line="240" w:lineRule="auto"/>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总磷5mg/L</w:t>
            </w:r>
          </w:p>
          <w:p>
            <w:pPr>
              <w:spacing w:line="240" w:lineRule="auto"/>
              <w:jc w:val="center"/>
              <w:rPr>
                <w:rFonts w:hint="default"/>
                <w:sz w:val="21"/>
                <w:szCs w:val="21"/>
                <w:lang w:val="en-US" w:eastAsia="zh-CN"/>
              </w:rPr>
            </w:pPr>
            <w:r>
              <w:rPr>
                <w:rFonts w:hint="eastAsia" w:ascii="Times New Roman" w:hAnsi="Times New Roman" w:cs="Times New Roman"/>
                <w:bCs/>
                <w:color w:val="auto"/>
                <w:sz w:val="21"/>
                <w:szCs w:val="21"/>
                <w:lang w:val="en-US" w:eastAsia="zh-CN"/>
              </w:rPr>
              <w:t>动植物油100</w:t>
            </w:r>
            <w:r>
              <w:rPr>
                <w:rFonts w:hint="default" w:ascii="Times New Roman" w:hAnsi="Times New Roman" w:cs="Times New Roman"/>
                <w:bCs/>
                <w:color w:val="auto"/>
                <w:sz w:val="21"/>
                <w:szCs w:val="21"/>
                <w:lang w:val="en-US" w:eastAsia="zh-CN"/>
              </w:rPr>
              <w:t xml:space="preserve"> mg/L</w:t>
            </w:r>
          </w:p>
        </w:tc>
        <w:tc>
          <w:tcPr>
            <w:tcW w:w="1474" w:type="pct"/>
            <w:gridSpan w:val="2"/>
            <w:noWrap w:val="0"/>
            <w:vAlign w:val="center"/>
          </w:tcPr>
          <w:p>
            <w:pPr>
              <w:pStyle w:val="53"/>
              <w:bidi w:val="0"/>
              <w:spacing w:line="240" w:lineRule="auto"/>
              <w:jc w:val="center"/>
              <w:rPr>
                <w:rFonts w:hint="eastAsia"/>
                <w:b w:val="0"/>
                <w:bCs w:val="0"/>
                <w:sz w:val="21"/>
                <w:szCs w:val="21"/>
                <w:lang w:val="en-US" w:eastAsia="zh-CN"/>
              </w:rPr>
            </w:pPr>
            <w:r>
              <w:rPr>
                <w:rFonts w:hint="eastAsia"/>
                <w:b w:val="0"/>
                <w:bCs w:val="0"/>
                <w:sz w:val="21"/>
                <w:szCs w:val="21"/>
                <w:lang w:val="en-US" w:eastAsia="zh-CN"/>
              </w:rPr>
              <w:t>1.6m</w:t>
            </w:r>
            <w:r>
              <w:rPr>
                <w:rFonts w:hint="eastAsia"/>
                <w:b w:val="0"/>
                <w:bCs w:val="0"/>
                <w:sz w:val="21"/>
                <w:szCs w:val="21"/>
                <w:vertAlign w:val="superscript"/>
                <w:lang w:val="en-US" w:eastAsia="zh-CN"/>
              </w:rPr>
              <w:t>3</w:t>
            </w:r>
            <w:r>
              <w:rPr>
                <w:rFonts w:hint="eastAsia"/>
                <w:b w:val="0"/>
                <w:bCs w:val="0"/>
                <w:sz w:val="21"/>
                <w:szCs w:val="21"/>
                <w:lang w:val="en-US" w:eastAsia="zh-CN"/>
              </w:rPr>
              <w:t>/d</w:t>
            </w:r>
          </w:p>
          <w:p>
            <w:pPr>
              <w:spacing w:line="240" w:lineRule="auto"/>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COD</w:t>
            </w:r>
            <w:r>
              <w:rPr>
                <w:rFonts w:hint="default" w:ascii="Times New Roman" w:hAnsi="Times New Roman" w:cs="Times New Roman"/>
                <w:bCs/>
                <w:color w:val="auto"/>
                <w:sz w:val="21"/>
                <w:szCs w:val="21"/>
                <w:vertAlign w:val="subscript"/>
                <w:lang w:val="en-US" w:eastAsia="zh-CN"/>
              </w:rPr>
              <w:t>Cr</w:t>
            </w:r>
            <w:r>
              <w:rPr>
                <w:rFonts w:hint="default" w:ascii="Times New Roman" w:hAnsi="Times New Roman" w:cs="Times New Roman"/>
                <w:bCs/>
                <w:color w:val="auto"/>
                <w:sz w:val="21"/>
                <w:szCs w:val="21"/>
                <w:lang w:val="en-US" w:eastAsia="zh-CN"/>
              </w:rPr>
              <w:t>300mg/L</w:t>
            </w:r>
          </w:p>
          <w:p>
            <w:pPr>
              <w:spacing w:line="240" w:lineRule="auto"/>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BOD</w:t>
            </w:r>
            <w:r>
              <w:rPr>
                <w:rFonts w:hint="default" w:ascii="Times New Roman" w:hAnsi="Times New Roman" w:cs="Times New Roman"/>
                <w:bCs/>
                <w:color w:val="auto"/>
                <w:sz w:val="21"/>
                <w:szCs w:val="21"/>
                <w:vertAlign w:val="subscript"/>
                <w:lang w:val="en-US" w:eastAsia="zh-CN"/>
              </w:rPr>
              <w:t>5</w:t>
            </w:r>
            <w:r>
              <w:rPr>
                <w:rFonts w:hint="default" w:ascii="Times New Roman" w:hAnsi="Times New Roman" w:cs="Times New Roman"/>
                <w:bCs/>
                <w:color w:val="auto"/>
                <w:sz w:val="21"/>
                <w:szCs w:val="21"/>
                <w:lang w:val="en-US" w:eastAsia="zh-CN"/>
              </w:rPr>
              <w:t>150mg/L</w:t>
            </w:r>
          </w:p>
          <w:p>
            <w:pPr>
              <w:spacing w:line="240" w:lineRule="auto"/>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SS100mg/L</w:t>
            </w:r>
          </w:p>
          <w:p>
            <w:pPr>
              <w:spacing w:line="240" w:lineRule="auto"/>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氨氮30mg/L</w:t>
            </w:r>
          </w:p>
          <w:p>
            <w:pPr>
              <w:spacing w:line="240" w:lineRule="auto"/>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总磷3mg/L</w:t>
            </w:r>
          </w:p>
          <w:p>
            <w:pPr>
              <w:spacing w:line="240" w:lineRule="auto"/>
              <w:jc w:val="center"/>
              <w:rPr>
                <w:rFonts w:hint="default"/>
                <w:sz w:val="21"/>
                <w:szCs w:val="21"/>
                <w:lang w:val="en-US" w:eastAsia="zh-CN"/>
              </w:rPr>
            </w:pPr>
            <w:r>
              <w:rPr>
                <w:rFonts w:hint="eastAsia" w:ascii="Times New Roman" w:hAnsi="Times New Roman" w:cs="Times New Roman"/>
                <w:bCs/>
                <w:color w:val="auto"/>
                <w:sz w:val="21"/>
                <w:szCs w:val="21"/>
                <w:lang w:val="en-US" w:eastAsia="zh-CN"/>
              </w:rPr>
              <w:t>动植物油2</w:t>
            </w:r>
            <w:r>
              <w:rPr>
                <w:rFonts w:hint="default" w:ascii="Times New Roman" w:hAnsi="Times New Roman" w:cs="Times New Roman"/>
                <w:bCs/>
                <w:color w:val="auto"/>
                <w:sz w:val="21"/>
                <w:szCs w:val="21"/>
                <w:lang w:val="en-US" w:eastAsia="zh-CN"/>
              </w:rPr>
              <w:t>0mg/L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92" w:type="pct"/>
            <w:vMerge w:val="continue"/>
            <w:noWrap w:val="0"/>
            <w:vAlign w:val="center"/>
          </w:tcPr>
          <w:p>
            <w:pPr>
              <w:pStyle w:val="53"/>
              <w:bidi w:val="0"/>
              <w:spacing w:line="240" w:lineRule="auto"/>
            </w:pPr>
          </w:p>
        </w:tc>
        <w:tc>
          <w:tcPr>
            <w:tcW w:w="984" w:type="pct"/>
            <w:gridSpan w:val="3"/>
            <w:vMerge w:val="continue"/>
            <w:noWrap w:val="0"/>
            <w:vAlign w:val="center"/>
          </w:tcPr>
          <w:p>
            <w:pPr>
              <w:pStyle w:val="53"/>
              <w:bidi w:val="0"/>
              <w:spacing w:line="240" w:lineRule="auto"/>
            </w:pPr>
          </w:p>
        </w:tc>
        <w:tc>
          <w:tcPr>
            <w:tcW w:w="632" w:type="pct"/>
            <w:noWrap w:val="0"/>
            <w:vAlign w:val="center"/>
          </w:tcPr>
          <w:p>
            <w:pPr>
              <w:pStyle w:val="53"/>
              <w:bidi w:val="0"/>
              <w:spacing w:line="240" w:lineRule="auto"/>
              <w:rPr>
                <w:rFonts w:hint="default"/>
                <w:b w:val="0"/>
                <w:bCs w:val="0"/>
                <w:color w:val="auto"/>
                <w:sz w:val="21"/>
                <w:szCs w:val="16"/>
                <w:lang w:eastAsia="zh-CN"/>
              </w:rPr>
            </w:pPr>
            <w:r>
              <w:rPr>
                <w:rFonts w:hint="eastAsia"/>
                <w:b w:val="0"/>
                <w:bCs w:val="0"/>
                <w:color w:val="auto"/>
                <w:sz w:val="21"/>
                <w:szCs w:val="16"/>
                <w:lang w:eastAsia="zh-CN"/>
              </w:rPr>
              <w:t>生产废水</w:t>
            </w:r>
          </w:p>
        </w:tc>
        <w:tc>
          <w:tcPr>
            <w:tcW w:w="1516" w:type="pct"/>
            <w:gridSpan w:val="2"/>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0.013m</w:t>
            </w:r>
            <w:r>
              <w:rPr>
                <w:rFonts w:hint="eastAsia"/>
                <w:b w:val="0"/>
                <w:bCs w:val="0"/>
                <w:color w:val="auto"/>
                <w:sz w:val="21"/>
                <w:szCs w:val="16"/>
                <w:vertAlign w:val="superscript"/>
                <w:lang w:val="en-US" w:eastAsia="zh-CN"/>
              </w:rPr>
              <w:t>3</w:t>
            </w:r>
            <w:r>
              <w:rPr>
                <w:rFonts w:hint="eastAsia"/>
                <w:b w:val="0"/>
                <w:bCs w:val="0"/>
                <w:color w:val="auto"/>
                <w:sz w:val="21"/>
                <w:szCs w:val="16"/>
                <w:lang w:val="en-US" w:eastAsia="zh-CN"/>
              </w:rPr>
              <w:t>/d</w:t>
            </w:r>
          </w:p>
        </w:tc>
        <w:tc>
          <w:tcPr>
            <w:tcW w:w="737" w:type="pct"/>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w:t>
            </w:r>
          </w:p>
        </w:tc>
        <w:tc>
          <w:tcPr>
            <w:tcW w:w="737" w:type="pct"/>
            <w:noWrap w:val="0"/>
            <w:vAlign w:val="center"/>
          </w:tcPr>
          <w:p>
            <w:pPr>
              <w:pStyle w:val="53"/>
              <w:bidi w:val="0"/>
              <w:spacing w:line="240" w:lineRule="auto"/>
              <w:rPr>
                <w:rFonts w:hint="default"/>
                <w:b w:val="0"/>
                <w:bCs w:val="0"/>
                <w:color w:val="auto"/>
                <w:sz w:val="21"/>
                <w:szCs w:val="16"/>
                <w:lang w:eastAsia="zh-CN"/>
              </w:rPr>
            </w:pPr>
            <w:r>
              <w:rPr>
                <w:rFonts w:hint="eastAsia"/>
                <w:b w:val="0"/>
                <w:bCs w:val="0"/>
                <w:color w:val="auto"/>
                <w:sz w:val="21"/>
                <w:szCs w:val="16"/>
                <w:lang w:eastAsia="zh-CN"/>
              </w:rPr>
              <w:t>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restart"/>
            <w:noWrap w:val="0"/>
            <w:vAlign w:val="center"/>
          </w:tcPr>
          <w:p>
            <w:pPr>
              <w:pStyle w:val="53"/>
              <w:bidi w:val="0"/>
              <w:spacing w:line="240" w:lineRule="auto"/>
              <w:rPr>
                <w:rFonts w:hint="default"/>
                <w:b w:val="0"/>
                <w:bCs w:val="0"/>
                <w:color w:val="auto"/>
                <w:sz w:val="21"/>
                <w:szCs w:val="16"/>
              </w:rPr>
            </w:pPr>
            <w:r>
              <w:rPr>
                <w:rFonts w:hint="default"/>
                <w:b w:val="0"/>
                <w:bCs w:val="0"/>
                <w:color w:val="auto"/>
                <w:sz w:val="21"/>
                <w:szCs w:val="16"/>
              </w:rPr>
              <w:t>噪</w:t>
            </w:r>
          </w:p>
          <w:p>
            <w:pPr>
              <w:pStyle w:val="53"/>
              <w:bidi w:val="0"/>
              <w:spacing w:line="240" w:lineRule="auto"/>
              <w:rPr>
                <w:rFonts w:hint="default"/>
                <w:b w:val="0"/>
                <w:bCs w:val="0"/>
                <w:color w:val="auto"/>
                <w:sz w:val="21"/>
                <w:szCs w:val="16"/>
              </w:rPr>
            </w:pPr>
            <w:r>
              <w:rPr>
                <w:rFonts w:hint="default"/>
                <w:b w:val="0"/>
                <w:bCs w:val="0"/>
                <w:color w:val="auto"/>
                <w:sz w:val="21"/>
                <w:szCs w:val="16"/>
              </w:rPr>
              <w:t>声</w:t>
            </w:r>
          </w:p>
        </w:tc>
        <w:tc>
          <w:tcPr>
            <w:tcW w:w="984" w:type="pct"/>
            <w:gridSpan w:val="3"/>
            <w:noWrap w:val="0"/>
            <w:vAlign w:val="center"/>
          </w:tcPr>
          <w:p>
            <w:pPr>
              <w:pStyle w:val="53"/>
              <w:bidi w:val="0"/>
              <w:spacing w:line="240" w:lineRule="auto"/>
              <w:rPr>
                <w:rFonts w:hint="default"/>
                <w:b w:val="0"/>
                <w:bCs w:val="0"/>
                <w:color w:val="auto"/>
                <w:sz w:val="21"/>
                <w:szCs w:val="16"/>
                <w:lang w:eastAsia="zh-CN"/>
              </w:rPr>
            </w:pPr>
            <w:r>
              <w:rPr>
                <w:rFonts w:hint="default"/>
                <w:b w:val="0"/>
                <w:bCs w:val="0"/>
                <w:color w:val="auto"/>
                <w:sz w:val="21"/>
                <w:szCs w:val="16"/>
                <w:lang w:eastAsia="zh-CN"/>
              </w:rPr>
              <w:t>施工期</w:t>
            </w:r>
          </w:p>
        </w:tc>
        <w:tc>
          <w:tcPr>
            <w:tcW w:w="3623" w:type="pct"/>
            <w:gridSpan w:val="5"/>
            <w:noWrap w:val="0"/>
            <w:vAlign w:val="center"/>
          </w:tcPr>
          <w:p>
            <w:pPr>
              <w:pStyle w:val="53"/>
              <w:bidi w:val="0"/>
              <w:spacing w:line="240" w:lineRule="auto"/>
              <w:rPr>
                <w:rFonts w:hint="default"/>
                <w:b w:val="0"/>
                <w:bCs w:val="0"/>
                <w:color w:val="auto"/>
                <w:sz w:val="21"/>
                <w:szCs w:val="16"/>
              </w:rPr>
            </w:pPr>
            <w:r>
              <w:rPr>
                <w:rFonts w:hint="default"/>
                <w:b w:val="0"/>
                <w:bCs w:val="0"/>
                <w:color w:val="auto"/>
                <w:sz w:val="21"/>
                <w:szCs w:val="16"/>
                <w:lang w:eastAsia="zh-CN"/>
              </w:rPr>
              <w:t>主要源于电焊机和电钻，源强约为</w:t>
            </w:r>
            <w:r>
              <w:rPr>
                <w:rFonts w:hint="default"/>
                <w:b w:val="0"/>
                <w:bCs w:val="0"/>
                <w:color w:val="auto"/>
                <w:sz w:val="21"/>
                <w:szCs w:val="16"/>
                <w:lang w:val="en-US" w:eastAsia="zh-CN"/>
              </w:rPr>
              <w:t>70</w:t>
            </w:r>
            <w:r>
              <w:rPr>
                <w:rFonts w:hint="default"/>
                <w:b w:val="0"/>
                <w:bCs w:val="0"/>
                <w:color w:val="auto"/>
                <w:sz w:val="21"/>
                <w:szCs w:val="16"/>
              </w:rPr>
              <w:t>~</w:t>
            </w:r>
            <w:r>
              <w:rPr>
                <w:rFonts w:hint="default"/>
                <w:b w:val="0"/>
                <w:bCs w:val="0"/>
                <w:color w:val="auto"/>
                <w:sz w:val="21"/>
                <w:szCs w:val="16"/>
                <w:lang w:val="en-US" w:eastAsia="zh-CN"/>
              </w:rPr>
              <w:t>85</w:t>
            </w:r>
            <w:r>
              <w:rPr>
                <w:rFonts w:hint="default"/>
                <w:b w:val="0"/>
                <w:bCs w:val="0"/>
                <w:color w:val="auto"/>
                <w:sz w:val="21"/>
                <w:szCs w:val="16"/>
              </w:rPr>
              <w:t>dB(A)</w:t>
            </w:r>
            <w:r>
              <w:rPr>
                <w:rFonts w:hint="default"/>
                <w:b w:val="0"/>
                <w:bCs w:val="0"/>
                <w:color w:val="auto"/>
                <w:sz w:val="21"/>
                <w:szCs w:val="16"/>
                <w:lang w:eastAsia="zh-CN"/>
              </w:rPr>
              <w:t>，无大型机械，且影响周期短，对周围环境影响较小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984" w:type="pct"/>
            <w:gridSpan w:val="3"/>
            <w:noWrap w:val="0"/>
            <w:vAlign w:val="center"/>
          </w:tcPr>
          <w:p>
            <w:pPr>
              <w:pStyle w:val="53"/>
              <w:bidi w:val="0"/>
              <w:spacing w:line="240" w:lineRule="auto"/>
              <w:rPr>
                <w:rFonts w:hint="default"/>
                <w:b w:val="0"/>
                <w:bCs w:val="0"/>
                <w:color w:val="auto"/>
                <w:sz w:val="21"/>
                <w:szCs w:val="16"/>
                <w:lang w:eastAsia="zh-CN"/>
              </w:rPr>
            </w:pPr>
            <w:r>
              <w:rPr>
                <w:rFonts w:hint="default"/>
                <w:b w:val="0"/>
                <w:bCs w:val="0"/>
                <w:color w:val="auto"/>
                <w:sz w:val="21"/>
                <w:szCs w:val="16"/>
                <w:lang w:eastAsia="zh-CN"/>
              </w:rPr>
              <w:t>营运期</w:t>
            </w:r>
          </w:p>
        </w:tc>
        <w:tc>
          <w:tcPr>
            <w:tcW w:w="3623" w:type="pct"/>
            <w:gridSpan w:val="5"/>
            <w:noWrap w:val="0"/>
            <w:vAlign w:val="center"/>
          </w:tcPr>
          <w:p>
            <w:pPr>
              <w:pStyle w:val="53"/>
              <w:bidi w:val="0"/>
              <w:spacing w:line="240" w:lineRule="auto"/>
              <w:rPr>
                <w:rFonts w:hint="eastAsia"/>
                <w:b w:val="0"/>
                <w:bCs w:val="0"/>
                <w:color w:val="auto"/>
                <w:sz w:val="21"/>
                <w:szCs w:val="16"/>
                <w:lang w:val="en-US" w:eastAsia="zh-CN"/>
              </w:rPr>
            </w:pPr>
            <w:r>
              <w:rPr>
                <w:rFonts w:hint="default"/>
                <w:b w:val="0"/>
                <w:bCs w:val="0"/>
                <w:color w:val="auto"/>
                <w:sz w:val="21"/>
                <w:szCs w:val="16"/>
              </w:rPr>
              <w:t>主要噪声源为</w:t>
            </w:r>
            <w:r>
              <w:rPr>
                <w:rFonts w:hint="eastAsia"/>
                <w:b w:val="0"/>
                <w:bCs w:val="0"/>
                <w:color w:val="auto"/>
                <w:sz w:val="21"/>
                <w:szCs w:val="16"/>
                <w:lang w:eastAsia="zh-CN"/>
              </w:rPr>
              <w:t>折弯机、摇臂钻床、切割机、空压机</w:t>
            </w:r>
            <w:r>
              <w:rPr>
                <w:rFonts w:hint="default"/>
                <w:b w:val="0"/>
                <w:bCs w:val="0"/>
                <w:color w:val="auto"/>
                <w:sz w:val="21"/>
                <w:szCs w:val="16"/>
              </w:rPr>
              <w:t>等</w:t>
            </w:r>
            <w:r>
              <w:rPr>
                <w:rFonts w:hint="default"/>
                <w:b w:val="0"/>
                <w:bCs w:val="0"/>
                <w:color w:val="auto"/>
                <w:sz w:val="21"/>
                <w:szCs w:val="16"/>
                <w:lang w:eastAsia="zh-CN"/>
              </w:rPr>
              <w:t>设备噪声</w:t>
            </w:r>
            <w:r>
              <w:rPr>
                <w:rFonts w:hint="default"/>
                <w:b w:val="0"/>
                <w:bCs w:val="0"/>
                <w:color w:val="auto"/>
                <w:sz w:val="21"/>
                <w:szCs w:val="16"/>
              </w:rPr>
              <w:t>，其源强值约为</w:t>
            </w:r>
            <w:r>
              <w:rPr>
                <w:rFonts w:hint="default"/>
                <w:b w:val="0"/>
                <w:bCs w:val="0"/>
                <w:color w:val="auto"/>
                <w:sz w:val="21"/>
                <w:szCs w:val="16"/>
                <w:lang w:val="en-US" w:eastAsia="zh-CN"/>
              </w:rPr>
              <w:t>7</w:t>
            </w:r>
            <w:r>
              <w:rPr>
                <w:rFonts w:hint="eastAsia"/>
                <w:b w:val="0"/>
                <w:bCs w:val="0"/>
                <w:color w:val="auto"/>
                <w:sz w:val="21"/>
                <w:szCs w:val="16"/>
                <w:lang w:val="en-US" w:eastAsia="zh-CN"/>
              </w:rPr>
              <w:t>0</w:t>
            </w:r>
            <w:r>
              <w:rPr>
                <w:rFonts w:hint="default"/>
                <w:b w:val="0"/>
                <w:bCs w:val="0"/>
                <w:color w:val="auto"/>
                <w:sz w:val="21"/>
                <w:szCs w:val="16"/>
              </w:rPr>
              <w:t>~9</w:t>
            </w:r>
            <w:r>
              <w:rPr>
                <w:rFonts w:hint="eastAsia"/>
                <w:b w:val="0"/>
                <w:bCs w:val="0"/>
                <w:color w:val="auto"/>
                <w:sz w:val="21"/>
                <w:szCs w:val="16"/>
                <w:lang w:val="en-US" w:eastAsia="zh-CN"/>
              </w:rPr>
              <w:t>0</w:t>
            </w:r>
            <w:r>
              <w:rPr>
                <w:rFonts w:hint="default"/>
                <w:b w:val="0"/>
                <w:bCs w:val="0"/>
                <w:color w:val="auto"/>
                <w:sz w:val="21"/>
                <w:szCs w:val="16"/>
              </w:rPr>
              <w:t>dB(A)，项目区内合理布局，经车间阻隔和距离衰减后，可使</w:t>
            </w:r>
            <w:r>
              <w:rPr>
                <w:rFonts w:hint="default"/>
                <w:b w:val="0"/>
                <w:bCs w:val="0"/>
                <w:color w:val="auto"/>
                <w:sz w:val="21"/>
                <w:szCs w:val="16"/>
                <w:lang w:eastAsia="zh-CN"/>
              </w:rPr>
              <w:t>生产厂房厂界</w:t>
            </w:r>
            <w:r>
              <w:rPr>
                <w:rFonts w:hint="default"/>
                <w:b w:val="0"/>
                <w:bCs w:val="0"/>
                <w:color w:val="auto"/>
                <w:sz w:val="21"/>
                <w:szCs w:val="16"/>
              </w:rPr>
              <w:t>噪声符合《工业企业厂界环境噪声排放标准》（GB12348-2008）中的3类标准：昼间≤65dB(A)，夜间不生产</w:t>
            </w:r>
            <w:r>
              <w:rPr>
                <w:rFonts w:hint="eastAsia"/>
                <w:b w:val="0"/>
                <w:bCs w:val="0"/>
                <w:color w:val="auto"/>
                <w:sz w:val="21"/>
                <w:szCs w:val="16"/>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92" w:type="pct"/>
            <w:vMerge w:val="restart"/>
            <w:noWrap w:val="0"/>
            <w:vAlign w:val="center"/>
          </w:tcPr>
          <w:p>
            <w:pPr>
              <w:pStyle w:val="53"/>
              <w:bidi w:val="0"/>
              <w:spacing w:line="240" w:lineRule="auto"/>
              <w:rPr>
                <w:rFonts w:hint="default"/>
                <w:b w:val="0"/>
                <w:bCs w:val="0"/>
                <w:color w:val="auto"/>
                <w:sz w:val="21"/>
                <w:szCs w:val="16"/>
              </w:rPr>
            </w:pPr>
            <w:r>
              <w:rPr>
                <w:rFonts w:hint="default"/>
                <w:b w:val="0"/>
                <w:bCs w:val="0"/>
                <w:color w:val="auto"/>
                <w:sz w:val="21"/>
                <w:szCs w:val="16"/>
              </w:rPr>
              <w:t>固体废弃物</w:t>
            </w:r>
          </w:p>
        </w:tc>
        <w:tc>
          <w:tcPr>
            <w:tcW w:w="250" w:type="pct"/>
            <w:vMerge w:val="restart"/>
            <w:noWrap w:val="0"/>
            <w:vAlign w:val="center"/>
          </w:tcPr>
          <w:p>
            <w:pPr>
              <w:pStyle w:val="53"/>
              <w:bidi w:val="0"/>
              <w:spacing w:line="240" w:lineRule="auto"/>
              <w:rPr>
                <w:rFonts w:hint="default"/>
                <w:b w:val="0"/>
                <w:bCs w:val="0"/>
                <w:color w:val="auto"/>
                <w:sz w:val="21"/>
                <w:szCs w:val="16"/>
                <w:lang w:eastAsia="zh-CN"/>
              </w:rPr>
            </w:pPr>
            <w:r>
              <w:rPr>
                <w:rFonts w:hint="default"/>
                <w:b w:val="0"/>
                <w:bCs w:val="0"/>
                <w:color w:val="auto"/>
                <w:sz w:val="21"/>
                <w:szCs w:val="16"/>
                <w:lang w:eastAsia="zh-CN"/>
              </w:rPr>
              <w:t>施工期</w:t>
            </w:r>
          </w:p>
        </w:tc>
        <w:tc>
          <w:tcPr>
            <w:tcW w:w="734" w:type="pct"/>
            <w:gridSpan w:val="2"/>
            <w:noWrap w:val="0"/>
            <w:vAlign w:val="center"/>
          </w:tcPr>
          <w:p>
            <w:pPr>
              <w:pStyle w:val="53"/>
              <w:bidi w:val="0"/>
              <w:spacing w:line="240" w:lineRule="auto"/>
              <w:rPr>
                <w:rFonts w:hint="default"/>
                <w:b w:val="0"/>
                <w:bCs w:val="0"/>
                <w:color w:val="auto"/>
                <w:sz w:val="21"/>
                <w:szCs w:val="16"/>
                <w:lang w:eastAsia="zh-CN"/>
              </w:rPr>
            </w:pPr>
            <w:r>
              <w:rPr>
                <w:rFonts w:hint="default"/>
                <w:b w:val="0"/>
                <w:bCs w:val="0"/>
                <w:color w:val="auto"/>
                <w:sz w:val="21"/>
                <w:szCs w:val="16"/>
                <w:lang w:eastAsia="zh-CN"/>
              </w:rPr>
              <w:t>施工人员</w:t>
            </w:r>
          </w:p>
        </w:tc>
        <w:tc>
          <w:tcPr>
            <w:tcW w:w="632" w:type="pct"/>
            <w:noWrap w:val="0"/>
            <w:vAlign w:val="center"/>
          </w:tcPr>
          <w:p>
            <w:pPr>
              <w:pStyle w:val="53"/>
              <w:bidi w:val="0"/>
              <w:spacing w:line="240" w:lineRule="auto"/>
              <w:rPr>
                <w:rFonts w:hint="default"/>
                <w:b w:val="0"/>
                <w:bCs w:val="0"/>
                <w:color w:val="auto"/>
                <w:sz w:val="21"/>
                <w:szCs w:val="16"/>
                <w:lang w:eastAsia="zh-CN"/>
              </w:rPr>
            </w:pPr>
            <w:r>
              <w:rPr>
                <w:rFonts w:hint="default"/>
                <w:b w:val="0"/>
                <w:bCs w:val="0"/>
                <w:color w:val="auto"/>
                <w:sz w:val="21"/>
                <w:szCs w:val="16"/>
                <w:lang w:eastAsia="zh-CN"/>
              </w:rPr>
              <w:t>生活垃圾</w:t>
            </w:r>
          </w:p>
        </w:tc>
        <w:tc>
          <w:tcPr>
            <w:tcW w:w="1516" w:type="pct"/>
            <w:gridSpan w:val="2"/>
            <w:noWrap w:val="0"/>
            <w:vAlign w:val="center"/>
          </w:tcPr>
          <w:p>
            <w:pPr>
              <w:pStyle w:val="53"/>
              <w:bidi w:val="0"/>
              <w:spacing w:line="240" w:lineRule="auto"/>
              <w:rPr>
                <w:rFonts w:hint="default"/>
                <w:b w:val="0"/>
                <w:bCs w:val="0"/>
                <w:color w:val="auto"/>
                <w:sz w:val="21"/>
                <w:szCs w:val="16"/>
                <w:lang w:val="en-US" w:eastAsia="zh-CN"/>
              </w:rPr>
            </w:pPr>
            <w:r>
              <w:rPr>
                <w:rFonts w:hint="default"/>
                <w:b w:val="0"/>
                <w:bCs w:val="0"/>
                <w:color w:val="auto"/>
                <w:sz w:val="21"/>
                <w:szCs w:val="16"/>
                <w:lang w:val="en-US" w:eastAsia="zh-CN"/>
              </w:rPr>
              <w:t>0.0</w:t>
            </w:r>
            <w:r>
              <w:rPr>
                <w:rFonts w:hint="eastAsia"/>
                <w:b w:val="0"/>
                <w:bCs w:val="0"/>
                <w:color w:val="auto"/>
                <w:sz w:val="21"/>
                <w:szCs w:val="16"/>
                <w:lang w:val="en-US" w:eastAsia="zh-CN"/>
              </w:rPr>
              <w:t>75</w:t>
            </w:r>
            <w:r>
              <w:rPr>
                <w:rFonts w:hint="default"/>
                <w:b w:val="0"/>
                <w:bCs w:val="0"/>
                <w:color w:val="auto"/>
                <w:sz w:val="21"/>
                <w:szCs w:val="16"/>
                <w:lang w:val="en-US" w:eastAsia="zh-CN"/>
              </w:rPr>
              <w:t>t</w:t>
            </w:r>
          </w:p>
        </w:tc>
        <w:tc>
          <w:tcPr>
            <w:tcW w:w="1474" w:type="pct"/>
            <w:gridSpan w:val="2"/>
            <w:noWrap w:val="0"/>
            <w:vAlign w:val="center"/>
          </w:tcPr>
          <w:p>
            <w:pPr>
              <w:pStyle w:val="53"/>
              <w:bidi w:val="0"/>
              <w:spacing w:line="240" w:lineRule="auto"/>
              <w:rPr>
                <w:rFonts w:hint="default"/>
                <w:b w:val="0"/>
                <w:bCs w:val="0"/>
                <w:color w:val="auto"/>
                <w:sz w:val="21"/>
                <w:szCs w:val="16"/>
              </w:rPr>
            </w:pPr>
            <w:r>
              <w:rPr>
                <w:rFonts w:hint="default"/>
                <w:b w:val="0"/>
                <w:bCs w:val="0"/>
                <w:color w:val="auto"/>
                <w:sz w:val="21"/>
                <w:szCs w:val="16"/>
                <w:lang w:val="en-US" w:eastAsia="zh-CN"/>
              </w:rPr>
              <w:t>收集清运至园区垃圾收集处，由环卫部门处理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default"/>
                <w:b w:val="0"/>
                <w:bCs w:val="0"/>
                <w:color w:val="auto"/>
                <w:sz w:val="21"/>
                <w:szCs w:val="16"/>
              </w:rPr>
            </w:pPr>
          </w:p>
        </w:tc>
        <w:tc>
          <w:tcPr>
            <w:tcW w:w="734" w:type="pct"/>
            <w:gridSpan w:val="2"/>
            <w:noWrap w:val="0"/>
            <w:vAlign w:val="center"/>
          </w:tcPr>
          <w:p>
            <w:pPr>
              <w:pStyle w:val="53"/>
              <w:bidi w:val="0"/>
              <w:spacing w:line="240" w:lineRule="auto"/>
              <w:rPr>
                <w:rFonts w:hint="default"/>
                <w:b w:val="0"/>
                <w:bCs w:val="0"/>
                <w:color w:val="auto"/>
                <w:sz w:val="21"/>
                <w:szCs w:val="16"/>
                <w:lang w:eastAsia="zh-CN"/>
              </w:rPr>
            </w:pPr>
            <w:r>
              <w:rPr>
                <w:rFonts w:hint="default"/>
                <w:b w:val="0"/>
                <w:bCs w:val="0"/>
                <w:color w:val="auto"/>
                <w:sz w:val="21"/>
                <w:szCs w:val="16"/>
                <w:lang w:eastAsia="zh-CN"/>
              </w:rPr>
              <w:t>装修，设备安装</w:t>
            </w:r>
          </w:p>
        </w:tc>
        <w:tc>
          <w:tcPr>
            <w:tcW w:w="632" w:type="pct"/>
            <w:noWrap w:val="0"/>
            <w:vAlign w:val="center"/>
          </w:tcPr>
          <w:p>
            <w:pPr>
              <w:pStyle w:val="53"/>
              <w:bidi w:val="0"/>
              <w:spacing w:line="240" w:lineRule="auto"/>
              <w:rPr>
                <w:rFonts w:hint="default"/>
                <w:b w:val="0"/>
                <w:bCs w:val="0"/>
                <w:color w:val="auto"/>
                <w:sz w:val="21"/>
                <w:szCs w:val="16"/>
                <w:lang w:eastAsia="zh-CN"/>
              </w:rPr>
            </w:pPr>
            <w:r>
              <w:rPr>
                <w:rFonts w:hint="default"/>
                <w:b w:val="0"/>
                <w:bCs w:val="0"/>
                <w:color w:val="auto"/>
                <w:sz w:val="21"/>
                <w:szCs w:val="16"/>
                <w:lang w:eastAsia="zh-CN"/>
              </w:rPr>
              <w:t>装修边角料、设备包装</w:t>
            </w:r>
          </w:p>
        </w:tc>
        <w:tc>
          <w:tcPr>
            <w:tcW w:w="2253" w:type="pct"/>
            <w:gridSpan w:val="3"/>
            <w:noWrap w:val="0"/>
            <w:vAlign w:val="center"/>
          </w:tcPr>
          <w:p>
            <w:pPr>
              <w:pStyle w:val="53"/>
              <w:bidi w:val="0"/>
              <w:spacing w:line="240" w:lineRule="auto"/>
              <w:rPr>
                <w:rFonts w:hint="default"/>
                <w:b w:val="0"/>
                <w:bCs w:val="0"/>
                <w:color w:val="auto"/>
                <w:sz w:val="21"/>
                <w:szCs w:val="16"/>
                <w:lang w:val="en-US" w:eastAsia="zh-CN"/>
              </w:rPr>
            </w:pPr>
            <w:r>
              <w:rPr>
                <w:rFonts w:hint="default"/>
                <w:b w:val="0"/>
                <w:bCs w:val="0"/>
                <w:color w:val="auto"/>
                <w:sz w:val="21"/>
                <w:szCs w:val="16"/>
                <w:lang w:val="en-US" w:eastAsia="zh-CN"/>
              </w:rPr>
              <w:t>少量</w:t>
            </w:r>
          </w:p>
        </w:tc>
        <w:tc>
          <w:tcPr>
            <w:tcW w:w="737" w:type="pct"/>
            <w:noWrap w:val="0"/>
            <w:vAlign w:val="center"/>
          </w:tcPr>
          <w:p>
            <w:pPr>
              <w:pStyle w:val="53"/>
              <w:bidi w:val="0"/>
              <w:spacing w:line="240" w:lineRule="auto"/>
              <w:rPr>
                <w:rFonts w:hint="default"/>
                <w:b w:val="0"/>
                <w:bCs w:val="0"/>
                <w:color w:val="auto"/>
                <w:sz w:val="21"/>
                <w:szCs w:val="16"/>
              </w:rPr>
            </w:pPr>
            <w:r>
              <w:rPr>
                <w:rFonts w:hint="default"/>
                <w:b w:val="0"/>
                <w:bCs w:val="0"/>
                <w:color w:val="auto"/>
                <w:sz w:val="21"/>
                <w:szCs w:val="16"/>
                <w:lang w:eastAsia="zh-CN"/>
              </w:rPr>
              <w:t>可回收部分出售给废物回收站，不可回收部分同生活垃圾一同处置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restart"/>
            <w:noWrap w:val="0"/>
            <w:vAlign w:val="center"/>
          </w:tcPr>
          <w:p>
            <w:pPr>
              <w:pStyle w:val="53"/>
              <w:bidi w:val="0"/>
              <w:spacing w:line="240" w:lineRule="auto"/>
              <w:rPr>
                <w:rFonts w:hint="default"/>
                <w:b w:val="0"/>
                <w:bCs w:val="0"/>
                <w:color w:val="auto"/>
                <w:sz w:val="21"/>
                <w:szCs w:val="16"/>
              </w:rPr>
            </w:pPr>
            <w:r>
              <w:rPr>
                <w:rFonts w:hint="default"/>
                <w:b w:val="0"/>
                <w:bCs w:val="0"/>
                <w:color w:val="auto"/>
                <w:sz w:val="21"/>
                <w:szCs w:val="16"/>
              </w:rPr>
              <w:t>运营期</w:t>
            </w:r>
          </w:p>
        </w:tc>
        <w:tc>
          <w:tcPr>
            <w:tcW w:w="1366" w:type="pct"/>
            <w:gridSpan w:val="3"/>
            <w:noWrap w:val="0"/>
            <w:vAlign w:val="center"/>
          </w:tcPr>
          <w:p>
            <w:pPr>
              <w:pStyle w:val="53"/>
              <w:bidi w:val="0"/>
              <w:spacing w:line="240" w:lineRule="auto"/>
              <w:rPr>
                <w:rFonts w:hint="default"/>
                <w:b w:val="0"/>
                <w:bCs w:val="0"/>
                <w:color w:val="auto"/>
                <w:sz w:val="21"/>
                <w:szCs w:val="16"/>
                <w:lang w:eastAsia="zh-CN"/>
              </w:rPr>
            </w:pPr>
            <w:r>
              <w:rPr>
                <w:rFonts w:hint="eastAsia"/>
                <w:b w:val="0"/>
                <w:bCs w:val="0"/>
                <w:color w:val="auto"/>
                <w:sz w:val="21"/>
                <w:szCs w:val="16"/>
                <w:lang w:eastAsia="zh-CN"/>
              </w:rPr>
              <w:t>金属边角料</w:t>
            </w:r>
          </w:p>
        </w:tc>
        <w:tc>
          <w:tcPr>
            <w:tcW w:w="2253" w:type="pct"/>
            <w:gridSpan w:val="3"/>
            <w:noWrap w:val="0"/>
            <w:vAlign w:val="center"/>
          </w:tcPr>
          <w:p>
            <w:pPr>
              <w:pStyle w:val="53"/>
              <w:bidi w:val="0"/>
              <w:spacing w:line="240" w:lineRule="auto"/>
              <w:ind w:firstLine="0" w:firstLineChars="0"/>
              <w:rPr>
                <w:rFonts w:hint="default"/>
                <w:b w:val="0"/>
                <w:bCs w:val="0"/>
                <w:color w:val="auto"/>
                <w:sz w:val="21"/>
                <w:szCs w:val="16"/>
                <w:lang w:val="en-US"/>
              </w:rPr>
            </w:pPr>
            <w:r>
              <w:rPr>
                <w:rFonts w:hint="eastAsia"/>
                <w:b w:val="0"/>
                <w:bCs w:val="0"/>
                <w:sz w:val="21"/>
                <w:szCs w:val="21"/>
                <w:lang w:val="en-US" w:eastAsia="zh-CN"/>
              </w:rPr>
              <w:t>34</w:t>
            </w:r>
          </w:p>
        </w:tc>
        <w:tc>
          <w:tcPr>
            <w:tcW w:w="737" w:type="pct"/>
            <w:vMerge w:val="restart"/>
            <w:noWrap w:val="0"/>
            <w:vAlign w:val="center"/>
          </w:tcPr>
          <w:p>
            <w:pPr>
              <w:pStyle w:val="53"/>
              <w:bidi w:val="0"/>
              <w:spacing w:line="240" w:lineRule="auto"/>
              <w:rPr>
                <w:rFonts w:hint="default"/>
                <w:b w:val="0"/>
                <w:bCs w:val="0"/>
                <w:color w:val="auto"/>
                <w:sz w:val="21"/>
                <w:szCs w:val="16"/>
              </w:rPr>
            </w:pPr>
            <w:r>
              <w:rPr>
                <w:rFonts w:hint="eastAsia"/>
                <w:b w:val="0"/>
                <w:bCs w:val="0"/>
                <w:color w:val="auto"/>
                <w:sz w:val="21"/>
                <w:szCs w:val="16"/>
                <w:lang w:eastAsia="zh-CN"/>
              </w:rPr>
              <w:t>收集后外售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default"/>
                <w:b w:val="0"/>
                <w:bCs w:val="0"/>
                <w:color w:val="auto"/>
                <w:sz w:val="21"/>
                <w:szCs w:val="16"/>
              </w:rPr>
            </w:pPr>
          </w:p>
        </w:tc>
        <w:tc>
          <w:tcPr>
            <w:tcW w:w="1366" w:type="pct"/>
            <w:gridSpan w:val="3"/>
            <w:noWrap w:val="0"/>
            <w:vAlign w:val="center"/>
          </w:tcPr>
          <w:p>
            <w:pPr>
              <w:pStyle w:val="53"/>
              <w:bidi w:val="0"/>
              <w:spacing w:line="240" w:lineRule="auto"/>
              <w:rPr>
                <w:rFonts w:hint="default"/>
                <w:b w:val="0"/>
                <w:bCs w:val="0"/>
                <w:color w:val="auto"/>
                <w:sz w:val="21"/>
                <w:szCs w:val="16"/>
              </w:rPr>
            </w:pPr>
            <w:r>
              <w:rPr>
                <w:rFonts w:hint="eastAsia"/>
                <w:b w:val="0"/>
                <w:bCs w:val="0"/>
                <w:color w:val="auto"/>
                <w:sz w:val="21"/>
                <w:szCs w:val="16"/>
                <w:lang w:eastAsia="zh-CN"/>
              </w:rPr>
              <w:t>移动式烟尘净化器收集粉尘</w:t>
            </w:r>
          </w:p>
        </w:tc>
        <w:tc>
          <w:tcPr>
            <w:tcW w:w="2253" w:type="pct"/>
            <w:gridSpan w:val="3"/>
            <w:noWrap w:val="0"/>
            <w:vAlign w:val="center"/>
          </w:tcPr>
          <w:p>
            <w:pPr>
              <w:pStyle w:val="53"/>
              <w:bidi w:val="0"/>
              <w:spacing w:line="240" w:lineRule="auto"/>
              <w:ind w:firstLine="0" w:firstLineChars="0"/>
              <w:rPr>
                <w:rFonts w:hint="default"/>
                <w:b w:val="0"/>
                <w:bCs w:val="0"/>
                <w:color w:val="auto"/>
                <w:sz w:val="21"/>
                <w:szCs w:val="16"/>
                <w:lang w:val="en-US"/>
              </w:rPr>
            </w:pPr>
            <w:r>
              <w:rPr>
                <w:rFonts w:hint="eastAsia"/>
                <w:b w:val="0"/>
                <w:bCs w:val="0"/>
                <w:sz w:val="21"/>
                <w:szCs w:val="21"/>
                <w:lang w:val="en-US" w:eastAsia="zh-CN"/>
              </w:rPr>
              <w:t>1.402</w:t>
            </w:r>
          </w:p>
        </w:tc>
        <w:tc>
          <w:tcPr>
            <w:tcW w:w="737" w:type="pct"/>
            <w:vMerge w:val="continue"/>
            <w:noWrap w:val="0"/>
            <w:vAlign w:val="center"/>
          </w:tcPr>
          <w:p>
            <w:pPr>
              <w:pStyle w:val="53"/>
              <w:bidi w:val="0"/>
              <w:spacing w:line="240" w:lineRule="auto"/>
              <w:rPr>
                <w:rFonts w:hint="default"/>
                <w:b w:val="0"/>
                <w:bCs w:val="0"/>
                <w:color w:val="auto"/>
                <w:sz w:val="21"/>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default"/>
                <w:b w:val="0"/>
                <w:bCs w:val="0"/>
                <w:color w:val="auto"/>
                <w:sz w:val="21"/>
                <w:szCs w:val="16"/>
              </w:rPr>
            </w:pPr>
          </w:p>
        </w:tc>
        <w:tc>
          <w:tcPr>
            <w:tcW w:w="1366" w:type="pct"/>
            <w:gridSpan w:val="3"/>
            <w:noWrap w:val="0"/>
            <w:vAlign w:val="center"/>
          </w:tcPr>
          <w:p>
            <w:pPr>
              <w:pStyle w:val="53"/>
              <w:bidi w:val="0"/>
              <w:spacing w:line="240" w:lineRule="auto"/>
              <w:rPr>
                <w:rFonts w:hint="eastAsia" w:eastAsia="宋体"/>
                <w:b w:val="0"/>
                <w:bCs w:val="0"/>
                <w:color w:val="auto"/>
                <w:sz w:val="21"/>
                <w:szCs w:val="16"/>
                <w:lang w:val="en-US" w:eastAsia="zh-CN"/>
              </w:rPr>
            </w:pPr>
            <w:r>
              <w:rPr>
                <w:rFonts w:hint="eastAsia"/>
                <w:b w:val="0"/>
                <w:bCs w:val="0"/>
                <w:color w:val="auto"/>
                <w:sz w:val="21"/>
                <w:szCs w:val="16"/>
                <w:lang w:val="en-US" w:eastAsia="zh-CN"/>
              </w:rPr>
              <w:t>布袋除尘器收集粉尘</w:t>
            </w:r>
          </w:p>
        </w:tc>
        <w:tc>
          <w:tcPr>
            <w:tcW w:w="2253" w:type="pct"/>
            <w:gridSpan w:val="3"/>
            <w:noWrap w:val="0"/>
            <w:vAlign w:val="center"/>
          </w:tcPr>
          <w:p>
            <w:pPr>
              <w:pStyle w:val="53"/>
              <w:bidi w:val="0"/>
              <w:spacing w:line="240" w:lineRule="auto"/>
              <w:ind w:firstLine="0" w:firstLineChars="0"/>
              <w:rPr>
                <w:rFonts w:hint="default"/>
                <w:b w:val="0"/>
                <w:bCs w:val="0"/>
                <w:color w:val="auto"/>
                <w:sz w:val="21"/>
                <w:szCs w:val="16"/>
                <w:lang w:val="en-US" w:eastAsia="zh-CN"/>
              </w:rPr>
            </w:pPr>
            <w:r>
              <w:rPr>
                <w:rFonts w:hint="eastAsia"/>
                <w:b w:val="0"/>
                <w:bCs w:val="0"/>
                <w:sz w:val="21"/>
                <w:szCs w:val="21"/>
                <w:lang w:val="en-US" w:eastAsia="zh-CN"/>
              </w:rPr>
              <w:t>1.423</w:t>
            </w:r>
          </w:p>
        </w:tc>
        <w:tc>
          <w:tcPr>
            <w:tcW w:w="737" w:type="pct"/>
            <w:vMerge w:val="continue"/>
            <w:noWrap w:val="0"/>
            <w:vAlign w:val="center"/>
          </w:tcPr>
          <w:p>
            <w:pPr>
              <w:pStyle w:val="53"/>
              <w:bidi w:val="0"/>
              <w:spacing w:line="240" w:lineRule="auto"/>
              <w:rPr>
                <w:rFonts w:hint="default"/>
                <w:b w:val="0"/>
                <w:bCs w:val="0"/>
                <w:color w:val="auto"/>
                <w:sz w:val="21"/>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default"/>
                <w:b w:val="0"/>
                <w:bCs w:val="0"/>
                <w:color w:val="auto"/>
                <w:sz w:val="21"/>
                <w:szCs w:val="16"/>
              </w:rPr>
            </w:pPr>
          </w:p>
        </w:tc>
        <w:tc>
          <w:tcPr>
            <w:tcW w:w="1366" w:type="pct"/>
            <w:gridSpan w:val="3"/>
            <w:noWrap w:val="0"/>
            <w:vAlign w:val="center"/>
          </w:tcPr>
          <w:p>
            <w:pPr>
              <w:pStyle w:val="53"/>
              <w:bidi w:val="0"/>
              <w:spacing w:line="240" w:lineRule="auto"/>
              <w:rPr>
                <w:rFonts w:hint="default"/>
                <w:b w:val="0"/>
                <w:bCs w:val="0"/>
                <w:color w:val="auto"/>
                <w:sz w:val="21"/>
                <w:szCs w:val="16"/>
                <w:lang w:eastAsia="zh-CN"/>
              </w:rPr>
            </w:pPr>
            <w:r>
              <w:rPr>
                <w:rFonts w:hint="eastAsia"/>
                <w:b w:val="0"/>
                <w:bCs w:val="0"/>
                <w:color w:val="auto"/>
                <w:sz w:val="21"/>
                <w:szCs w:val="16"/>
                <w:lang w:eastAsia="zh-CN"/>
              </w:rPr>
              <w:t>焊渣</w:t>
            </w:r>
          </w:p>
        </w:tc>
        <w:tc>
          <w:tcPr>
            <w:tcW w:w="2253" w:type="pct"/>
            <w:gridSpan w:val="3"/>
            <w:noWrap w:val="0"/>
            <w:vAlign w:val="center"/>
          </w:tcPr>
          <w:p>
            <w:pPr>
              <w:pStyle w:val="53"/>
              <w:bidi w:val="0"/>
              <w:spacing w:line="240" w:lineRule="auto"/>
              <w:ind w:firstLine="0" w:firstLineChars="0"/>
              <w:rPr>
                <w:rFonts w:hint="default"/>
                <w:b w:val="0"/>
                <w:bCs w:val="0"/>
                <w:color w:val="auto"/>
                <w:sz w:val="21"/>
                <w:szCs w:val="16"/>
                <w:lang w:val="en-US" w:eastAsia="zh-CN"/>
              </w:rPr>
            </w:pPr>
            <w:r>
              <w:rPr>
                <w:rFonts w:hint="eastAsia"/>
                <w:b w:val="0"/>
                <w:bCs w:val="0"/>
                <w:sz w:val="21"/>
                <w:szCs w:val="21"/>
                <w:lang w:val="en-US" w:eastAsia="zh-CN"/>
              </w:rPr>
              <w:t>6.55</w:t>
            </w:r>
          </w:p>
        </w:tc>
        <w:tc>
          <w:tcPr>
            <w:tcW w:w="737" w:type="pct"/>
            <w:vMerge w:val="continue"/>
            <w:noWrap w:val="0"/>
            <w:vAlign w:val="center"/>
          </w:tcPr>
          <w:p>
            <w:pPr>
              <w:pStyle w:val="53"/>
              <w:bidi w:val="0"/>
              <w:spacing w:line="240" w:lineRule="auto"/>
              <w:rPr>
                <w:rFonts w:hint="eastAsia"/>
                <w:b w:val="0"/>
                <w:bCs w:val="0"/>
                <w:color w:val="auto"/>
                <w:sz w:val="21"/>
                <w:szCs w:val="16"/>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default"/>
                <w:b w:val="0"/>
                <w:bCs w:val="0"/>
                <w:color w:val="auto"/>
                <w:sz w:val="21"/>
                <w:szCs w:val="16"/>
              </w:rPr>
            </w:pPr>
          </w:p>
        </w:tc>
        <w:tc>
          <w:tcPr>
            <w:tcW w:w="1366" w:type="pct"/>
            <w:gridSpan w:val="3"/>
            <w:noWrap w:val="0"/>
            <w:vAlign w:val="center"/>
          </w:tcPr>
          <w:p>
            <w:pPr>
              <w:pStyle w:val="53"/>
              <w:bidi w:val="0"/>
              <w:spacing w:line="240" w:lineRule="auto"/>
              <w:rPr>
                <w:rFonts w:hint="default"/>
                <w:b w:val="0"/>
                <w:bCs w:val="0"/>
                <w:color w:val="auto"/>
                <w:sz w:val="21"/>
                <w:szCs w:val="16"/>
                <w:lang w:eastAsia="zh-CN"/>
              </w:rPr>
            </w:pPr>
            <w:r>
              <w:rPr>
                <w:rFonts w:hint="eastAsia"/>
                <w:b w:val="0"/>
                <w:bCs w:val="0"/>
                <w:color w:val="auto"/>
                <w:sz w:val="21"/>
                <w:szCs w:val="16"/>
                <w:lang w:eastAsia="zh-CN"/>
              </w:rPr>
              <w:t>废包装材料</w:t>
            </w:r>
          </w:p>
        </w:tc>
        <w:tc>
          <w:tcPr>
            <w:tcW w:w="2253" w:type="pct"/>
            <w:gridSpan w:val="3"/>
            <w:noWrap w:val="0"/>
            <w:vAlign w:val="center"/>
          </w:tcPr>
          <w:p>
            <w:pPr>
              <w:pStyle w:val="53"/>
              <w:bidi w:val="0"/>
              <w:spacing w:line="240" w:lineRule="auto"/>
              <w:ind w:firstLine="0" w:firstLineChars="0"/>
              <w:rPr>
                <w:rFonts w:hint="default"/>
                <w:b w:val="0"/>
                <w:bCs w:val="0"/>
                <w:color w:val="auto"/>
                <w:sz w:val="21"/>
                <w:szCs w:val="16"/>
                <w:lang w:val="en-US" w:eastAsia="zh-CN"/>
              </w:rPr>
            </w:pPr>
            <w:r>
              <w:rPr>
                <w:rFonts w:hint="eastAsia"/>
                <w:b w:val="0"/>
                <w:bCs w:val="0"/>
                <w:sz w:val="21"/>
                <w:szCs w:val="21"/>
                <w:lang w:val="en-US" w:eastAsia="zh-CN"/>
              </w:rPr>
              <w:t>0.3</w:t>
            </w:r>
          </w:p>
        </w:tc>
        <w:tc>
          <w:tcPr>
            <w:tcW w:w="737" w:type="pct"/>
            <w:vMerge w:val="continue"/>
            <w:noWrap w:val="0"/>
            <w:vAlign w:val="center"/>
          </w:tcPr>
          <w:p>
            <w:pPr>
              <w:pStyle w:val="53"/>
              <w:bidi w:val="0"/>
              <w:spacing w:line="240" w:lineRule="auto"/>
              <w:rPr>
                <w:rFonts w:hint="eastAsia"/>
                <w:b w:val="0"/>
                <w:bCs w:val="0"/>
                <w:color w:val="auto"/>
                <w:sz w:val="21"/>
                <w:szCs w:val="16"/>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default"/>
                <w:b w:val="0"/>
                <w:bCs w:val="0"/>
                <w:color w:val="auto"/>
                <w:sz w:val="21"/>
                <w:szCs w:val="16"/>
              </w:rPr>
            </w:pPr>
          </w:p>
        </w:tc>
        <w:tc>
          <w:tcPr>
            <w:tcW w:w="1366" w:type="pct"/>
            <w:gridSpan w:val="3"/>
            <w:noWrap w:val="0"/>
            <w:vAlign w:val="center"/>
          </w:tcPr>
          <w:p>
            <w:pPr>
              <w:pStyle w:val="53"/>
              <w:bidi w:val="0"/>
              <w:spacing w:line="240" w:lineRule="auto"/>
              <w:rPr>
                <w:rFonts w:hint="default"/>
                <w:b w:val="0"/>
                <w:bCs w:val="0"/>
                <w:color w:val="auto"/>
                <w:sz w:val="21"/>
                <w:szCs w:val="16"/>
                <w:lang w:eastAsia="zh-CN"/>
              </w:rPr>
            </w:pPr>
            <w:r>
              <w:rPr>
                <w:rFonts w:hint="eastAsia"/>
                <w:b w:val="0"/>
                <w:bCs w:val="0"/>
                <w:color w:val="auto"/>
                <w:sz w:val="21"/>
                <w:szCs w:val="16"/>
                <w:lang w:eastAsia="zh-CN"/>
              </w:rPr>
              <w:t>生活垃圾</w:t>
            </w:r>
          </w:p>
        </w:tc>
        <w:tc>
          <w:tcPr>
            <w:tcW w:w="2253" w:type="pct"/>
            <w:gridSpan w:val="3"/>
            <w:noWrap w:val="0"/>
            <w:vAlign w:val="center"/>
          </w:tcPr>
          <w:p>
            <w:pPr>
              <w:pStyle w:val="53"/>
              <w:bidi w:val="0"/>
              <w:spacing w:line="240" w:lineRule="auto"/>
              <w:ind w:firstLine="0" w:firstLineChars="0"/>
              <w:rPr>
                <w:rFonts w:hint="eastAsia"/>
                <w:b w:val="0"/>
                <w:bCs w:val="0"/>
                <w:color w:val="auto"/>
                <w:sz w:val="21"/>
                <w:szCs w:val="16"/>
                <w:lang w:val="en-US" w:eastAsia="zh-CN"/>
              </w:rPr>
            </w:pPr>
            <w:r>
              <w:rPr>
                <w:rFonts w:hint="eastAsia"/>
                <w:b w:val="0"/>
                <w:bCs w:val="0"/>
                <w:sz w:val="21"/>
                <w:szCs w:val="21"/>
                <w:lang w:val="en-US" w:eastAsia="zh-CN"/>
              </w:rPr>
              <w:t>3</w:t>
            </w:r>
          </w:p>
        </w:tc>
        <w:tc>
          <w:tcPr>
            <w:tcW w:w="737" w:type="pct"/>
            <w:noWrap w:val="0"/>
            <w:vAlign w:val="center"/>
          </w:tcPr>
          <w:p>
            <w:pPr>
              <w:pStyle w:val="53"/>
              <w:bidi w:val="0"/>
              <w:spacing w:line="240" w:lineRule="auto"/>
              <w:rPr>
                <w:rFonts w:hint="eastAsia"/>
                <w:b w:val="0"/>
                <w:bCs w:val="0"/>
                <w:color w:val="auto"/>
                <w:sz w:val="21"/>
                <w:szCs w:val="16"/>
                <w:lang w:eastAsia="zh-CN"/>
              </w:rPr>
            </w:pPr>
            <w:r>
              <w:rPr>
                <w:rFonts w:hint="default"/>
                <w:b w:val="0"/>
                <w:bCs w:val="0"/>
                <w:color w:val="auto"/>
                <w:sz w:val="21"/>
                <w:szCs w:val="16"/>
                <w:lang w:val="en-US" w:eastAsia="zh-CN"/>
              </w:rPr>
              <w:t>收集清运至园区垃圾收集处，由环卫部门处理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default"/>
                <w:b w:val="0"/>
                <w:bCs w:val="0"/>
                <w:color w:val="auto"/>
                <w:sz w:val="21"/>
                <w:szCs w:val="16"/>
              </w:rPr>
            </w:pPr>
          </w:p>
        </w:tc>
        <w:tc>
          <w:tcPr>
            <w:tcW w:w="1366" w:type="pct"/>
            <w:gridSpan w:val="3"/>
            <w:noWrap w:val="0"/>
            <w:vAlign w:val="center"/>
          </w:tcPr>
          <w:p>
            <w:pPr>
              <w:pStyle w:val="53"/>
              <w:bidi w:val="0"/>
              <w:spacing w:line="240" w:lineRule="auto"/>
              <w:rPr>
                <w:rFonts w:hint="default"/>
                <w:b w:val="0"/>
                <w:bCs w:val="0"/>
                <w:color w:val="auto"/>
                <w:sz w:val="21"/>
                <w:szCs w:val="16"/>
                <w:lang w:eastAsia="zh-CN"/>
              </w:rPr>
            </w:pPr>
            <w:r>
              <w:rPr>
                <w:rFonts w:hint="eastAsia"/>
                <w:b w:val="0"/>
                <w:bCs w:val="0"/>
                <w:color w:val="auto"/>
                <w:sz w:val="21"/>
                <w:szCs w:val="16"/>
                <w:lang w:eastAsia="zh-CN"/>
              </w:rPr>
              <w:t>废过滤棉</w:t>
            </w:r>
          </w:p>
        </w:tc>
        <w:tc>
          <w:tcPr>
            <w:tcW w:w="2253" w:type="pct"/>
            <w:gridSpan w:val="3"/>
            <w:noWrap w:val="0"/>
            <w:vAlign w:val="center"/>
          </w:tcPr>
          <w:p>
            <w:pPr>
              <w:pStyle w:val="53"/>
              <w:bidi w:val="0"/>
              <w:spacing w:line="240" w:lineRule="auto"/>
              <w:ind w:firstLine="0" w:firstLineChars="0"/>
              <w:rPr>
                <w:rFonts w:hint="default"/>
                <w:b w:val="0"/>
                <w:bCs w:val="0"/>
                <w:color w:val="auto"/>
                <w:sz w:val="21"/>
                <w:szCs w:val="16"/>
                <w:lang w:val="en-US" w:eastAsia="zh-CN"/>
              </w:rPr>
            </w:pPr>
            <w:r>
              <w:rPr>
                <w:rFonts w:hint="eastAsia"/>
                <w:b w:val="0"/>
                <w:bCs w:val="0"/>
                <w:sz w:val="21"/>
                <w:szCs w:val="21"/>
                <w:lang w:val="en-US" w:eastAsia="zh-CN"/>
              </w:rPr>
              <w:t>0.691</w:t>
            </w:r>
          </w:p>
        </w:tc>
        <w:tc>
          <w:tcPr>
            <w:tcW w:w="737" w:type="pct"/>
            <w:vMerge w:val="restart"/>
            <w:noWrap w:val="0"/>
            <w:vAlign w:val="center"/>
          </w:tcPr>
          <w:p>
            <w:pPr>
              <w:pStyle w:val="53"/>
              <w:bidi w:val="0"/>
              <w:spacing w:line="240" w:lineRule="auto"/>
              <w:rPr>
                <w:rFonts w:hint="eastAsia"/>
                <w:b w:val="0"/>
                <w:bCs w:val="0"/>
                <w:color w:val="auto"/>
                <w:sz w:val="21"/>
                <w:szCs w:val="16"/>
                <w:lang w:eastAsia="zh-CN"/>
              </w:rPr>
            </w:pPr>
            <w:r>
              <w:rPr>
                <w:rFonts w:hint="eastAsia"/>
                <w:b w:val="0"/>
                <w:bCs w:val="0"/>
                <w:color w:val="auto"/>
                <w:sz w:val="21"/>
                <w:szCs w:val="16"/>
                <w:lang w:eastAsia="zh-CN"/>
              </w:rPr>
              <w:t>收集后交由有资质的单位进行处理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default"/>
                <w:b w:val="0"/>
                <w:bCs w:val="0"/>
                <w:color w:val="auto"/>
                <w:sz w:val="21"/>
                <w:szCs w:val="16"/>
              </w:rPr>
            </w:pPr>
          </w:p>
        </w:tc>
        <w:tc>
          <w:tcPr>
            <w:tcW w:w="1366" w:type="pct"/>
            <w:gridSpan w:val="3"/>
            <w:noWrap w:val="0"/>
            <w:vAlign w:val="center"/>
          </w:tcPr>
          <w:p>
            <w:pPr>
              <w:pStyle w:val="53"/>
              <w:bidi w:val="0"/>
              <w:spacing w:line="240" w:lineRule="auto"/>
              <w:rPr>
                <w:rFonts w:hint="eastAsia"/>
                <w:b w:val="0"/>
                <w:bCs w:val="0"/>
                <w:color w:val="auto"/>
                <w:sz w:val="21"/>
                <w:szCs w:val="16"/>
                <w:lang w:eastAsia="zh-CN"/>
              </w:rPr>
            </w:pPr>
            <w:r>
              <w:rPr>
                <w:rFonts w:hint="eastAsia"/>
                <w:b w:val="0"/>
                <w:bCs w:val="0"/>
                <w:color w:val="auto"/>
                <w:sz w:val="21"/>
                <w:szCs w:val="16"/>
                <w:lang w:eastAsia="zh-CN"/>
              </w:rPr>
              <w:t>废活性炭</w:t>
            </w:r>
          </w:p>
        </w:tc>
        <w:tc>
          <w:tcPr>
            <w:tcW w:w="2253" w:type="pct"/>
            <w:gridSpan w:val="3"/>
            <w:noWrap w:val="0"/>
            <w:vAlign w:val="center"/>
          </w:tcPr>
          <w:p>
            <w:pPr>
              <w:pStyle w:val="53"/>
              <w:bidi w:val="0"/>
              <w:spacing w:line="240" w:lineRule="auto"/>
              <w:ind w:firstLine="0" w:firstLineChars="0"/>
              <w:rPr>
                <w:rFonts w:hint="default"/>
                <w:b w:val="0"/>
                <w:bCs w:val="0"/>
                <w:color w:val="auto"/>
                <w:sz w:val="21"/>
                <w:szCs w:val="16"/>
                <w:lang w:val="en-US" w:eastAsia="zh-CN"/>
              </w:rPr>
            </w:pPr>
            <w:r>
              <w:rPr>
                <w:rFonts w:hint="eastAsia"/>
                <w:b w:val="0"/>
                <w:bCs w:val="0"/>
                <w:sz w:val="21"/>
                <w:szCs w:val="21"/>
                <w:lang w:val="en-US" w:eastAsia="zh-CN"/>
              </w:rPr>
              <w:t>5.92</w:t>
            </w:r>
          </w:p>
        </w:tc>
        <w:tc>
          <w:tcPr>
            <w:tcW w:w="737" w:type="pct"/>
            <w:vMerge w:val="continue"/>
            <w:noWrap w:val="0"/>
            <w:vAlign w:val="center"/>
          </w:tcPr>
          <w:p>
            <w:pPr>
              <w:pStyle w:val="53"/>
              <w:bidi w:val="0"/>
              <w:spacing w:line="240" w:lineRule="auto"/>
              <w:rPr>
                <w:rFonts w:hint="eastAsia"/>
                <w:b w:val="0"/>
                <w:bCs w:val="0"/>
                <w:color w:val="auto"/>
                <w:sz w:val="21"/>
                <w:szCs w:val="16"/>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default"/>
                <w:b w:val="0"/>
                <w:bCs w:val="0"/>
                <w:color w:val="auto"/>
                <w:sz w:val="21"/>
                <w:szCs w:val="16"/>
              </w:rPr>
            </w:pPr>
          </w:p>
        </w:tc>
        <w:tc>
          <w:tcPr>
            <w:tcW w:w="1366" w:type="pct"/>
            <w:gridSpan w:val="3"/>
            <w:noWrap w:val="0"/>
            <w:vAlign w:val="center"/>
          </w:tcPr>
          <w:p>
            <w:pPr>
              <w:pStyle w:val="53"/>
              <w:bidi w:val="0"/>
              <w:spacing w:line="240" w:lineRule="auto"/>
              <w:rPr>
                <w:rFonts w:hint="default"/>
                <w:b w:val="0"/>
                <w:bCs w:val="0"/>
                <w:color w:val="auto"/>
                <w:sz w:val="21"/>
                <w:szCs w:val="16"/>
                <w:lang w:eastAsia="zh-CN"/>
              </w:rPr>
            </w:pPr>
            <w:r>
              <w:rPr>
                <w:rFonts w:hint="eastAsia"/>
                <w:b w:val="0"/>
                <w:bCs w:val="0"/>
                <w:color w:val="auto"/>
                <w:sz w:val="21"/>
                <w:szCs w:val="16"/>
                <w:lang w:eastAsia="zh-CN"/>
              </w:rPr>
              <w:t>废原料桶</w:t>
            </w:r>
          </w:p>
        </w:tc>
        <w:tc>
          <w:tcPr>
            <w:tcW w:w="2253" w:type="pct"/>
            <w:gridSpan w:val="3"/>
            <w:noWrap w:val="0"/>
            <w:vAlign w:val="center"/>
          </w:tcPr>
          <w:p>
            <w:pPr>
              <w:pStyle w:val="53"/>
              <w:bidi w:val="0"/>
              <w:spacing w:line="240" w:lineRule="auto"/>
              <w:ind w:firstLine="0" w:firstLineChars="0"/>
              <w:rPr>
                <w:rFonts w:hint="default"/>
                <w:b w:val="0"/>
                <w:bCs w:val="0"/>
                <w:color w:val="auto"/>
                <w:sz w:val="21"/>
                <w:szCs w:val="16"/>
                <w:lang w:val="en-US" w:eastAsia="zh-CN"/>
              </w:rPr>
            </w:pPr>
            <w:r>
              <w:rPr>
                <w:rFonts w:hint="eastAsia"/>
                <w:b w:val="0"/>
                <w:bCs w:val="0"/>
                <w:sz w:val="21"/>
                <w:szCs w:val="21"/>
                <w:lang w:val="en-US" w:eastAsia="zh-CN"/>
              </w:rPr>
              <w:t>0.845</w:t>
            </w:r>
          </w:p>
        </w:tc>
        <w:tc>
          <w:tcPr>
            <w:tcW w:w="737" w:type="pct"/>
            <w:vMerge w:val="continue"/>
            <w:noWrap w:val="0"/>
            <w:vAlign w:val="center"/>
          </w:tcPr>
          <w:p>
            <w:pPr>
              <w:pStyle w:val="53"/>
              <w:bidi w:val="0"/>
              <w:spacing w:line="240" w:lineRule="auto"/>
              <w:rPr>
                <w:rFonts w:hint="eastAsia"/>
                <w:b w:val="0"/>
                <w:bCs w:val="0"/>
                <w:color w:val="auto"/>
                <w:sz w:val="21"/>
                <w:szCs w:val="16"/>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92" w:type="pct"/>
            <w:vMerge w:val="continue"/>
            <w:noWrap w:val="0"/>
            <w:vAlign w:val="center"/>
          </w:tcPr>
          <w:p>
            <w:pPr>
              <w:pStyle w:val="53"/>
              <w:bidi w:val="0"/>
              <w:spacing w:line="240" w:lineRule="auto"/>
              <w:rPr>
                <w:rFonts w:hint="default"/>
                <w:b w:val="0"/>
                <w:bCs w:val="0"/>
                <w:color w:val="auto"/>
                <w:sz w:val="21"/>
                <w:szCs w:val="16"/>
              </w:rPr>
            </w:pPr>
          </w:p>
        </w:tc>
        <w:tc>
          <w:tcPr>
            <w:tcW w:w="250" w:type="pct"/>
            <w:vMerge w:val="continue"/>
            <w:noWrap w:val="0"/>
            <w:vAlign w:val="center"/>
          </w:tcPr>
          <w:p>
            <w:pPr>
              <w:pStyle w:val="53"/>
              <w:bidi w:val="0"/>
              <w:spacing w:line="240" w:lineRule="auto"/>
              <w:rPr>
                <w:rFonts w:hint="default"/>
                <w:b w:val="0"/>
                <w:bCs w:val="0"/>
                <w:color w:val="auto"/>
                <w:sz w:val="21"/>
                <w:szCs w:val="16"/>
              </w:rPr>
            </w:pPr>
          </w:p>
        </w:tc>
        <w:tc>
          <w:tcPr>
            <w:tcW w:w="1366" w:type="pct"/>
            <w:gridSpan w:val="3"/>
            <w:noWrap w:val="0"/>
            <w:vAlign w:val="center"/>
          </w:tcPr>
          <w:p>
            <w:pPr>
              <w:pStyle w:val="53"/>
              <w:bidi w:val="0"/>
              <w:spacing w:line="240" w:lineRule="auto"/>
              <w:rPr>
                <w:rFonts w:hint="default"/>
                <w:b w:val="0"/>
                <w:bCs w:val="0"/>
                <w:color w:val="auto"/>
                <w:sz w:val="21"/>
                <w:szCs w:val="16"/>
                <w:lang w:eastAsia="zh-CN"/>
              </w:rPr>
            </w:pPr>
            <w:r>
              <w:rPr>
                <w:rFonts w:hint="eastAsia"/>
                <w:b w:val="0"/>
                <w:bCs w:val="0"/>
                <w:color w:val="auto"/>
                <w:sz w:val="21"/>
                <w:szCs w:val="16"/>
                <w:lang w:eastAsia="zh-CN"/>
              </w:rPr>
              <w:t>废机油</w:t>
            </w:r>
          </w:p>
        </w:tc>
        <w:tc>
          <w:tcPr>
            <w:tcW w:w="2253" w:type="pct"/>
            <w:gridSpan w:val="3"/>
            <w:noWrap w:val="0"/>
            <w:vAlign w:val="center"/>
          </w:tcPr>
          <w:p>
            <w:pPr>
              <w:pStyle w:val="53"/>
              <w:bidi w:val="0"/>
              <w:spacing w:line="240" w:lineRule="auto"/>
              <w:rPr>
                <w:rFonts w:hint="default"/>
                <w:b w:val="0"/>
                <w:bCs w:val="0"/>
                <w:color w:val="auto"/>
                <w:sz w:val="21"/>
                <w:szCs w:val="16"/>
                <w:lang w:val="en-US" w:eastAsia="zh-CN"/>
              </w:rPr>
            </w:pPr>
            <w:r>
              <w:rPr>
                <w:rFonts w:hint="eastAsia"/>
                <w:b w:val="0"/>
                <w:bCs w:val="0"/>
                <w:color w:val="auto"/>
                <w:sz w:val="21"/>
                <w:szCs w:val="16"/>
                <w:lang w:val="en-US" w:eastAsia="zh-CN"/>
              </w:rPr>
              <w:t>0.2</w:t>
            </w:r>
          </w:p>
        </w:tc>
        <w:tc>
          <w:tcPr>
            <w:tcW w:w="737" w:type="pct"/>
            <w:noWrap w:val="0"/>
            <w:vAlign w:val="center"/>
          </w:tcPr>
          <w:p>
            <w:pPr>
              <w:pStyle w:val="53"/>
              <w:bidi w:val="0"/>
              <w:spacing w:line="240" w:lineRule="auto"/>
              <w:rPr>
                <w:rFonts w:hint="default"/>
                <w:b w:val="0"/>
                <w:bCs w:val="0"/>
                <w:color w:val="auto"/>
                <w:sz w:val="21"/>
                <w:szCs w:val="16"/>
              </w:rPr>
            </w:pPr>
            <w:r>
              <w:rPr>
                <w:rFonts w:hint="eastAsia"/>
                <w:b w:val="0"/>
                <w:bCs w:val="0"/>
                <w:color w:val="auto"/>
                <w:sz w:val="21"/>
                <w:szCs w:val="16"/>
                <w:lang w:val="en-US" w:eastAsia="zh-CN"/>
              </w:rPr>
              <w:t>收集后作为设备润滑使用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9"/>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textAlignment w:val="baseline"/>
              <w:outlineLvl w:val="9"/>
              <w:rPr>
                <w:rFonts w:hint="default" w:ascii="Times New Roman" w:hAnsi="Times New Roman" w:cs="Times New Roman"/>
                <w:b/>
                <w:bCs/>
                <w:sz w:val="24"/>
                <w:szCs w:val="24"/>
                <w:lang w:val="zh-CN" w:eastAsia="zh-CN"/>
              </w:rPr>
            </w:pPr>
            <w:r>
              <w:rPr>
                <w:rFonts w:hint="default" w:ascii="Times New Roman" w:hAnsi="Times New Roman" w:cs="Times New Roman"/>
                <w:b/>
                <w:bCs/>
                <w:sz w:val="24"/>
                <w:szCs w:val="24"/>
                <w:lang w:val="zh-CN" w:eastAsia="zh-CN"/>
              </w:rPr>
              <w:t>主要生态影响</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9"/>
              <w:rPr>
                <w:rFonts w:hint="eastAsia"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本项目</w:t>
            </w:r>
            <w:r>
              <w:rPr>
                <w:rFonts w:hint="eastAsia" w:ascii="Times New Roman" w:hAnsi="Times New Roman" w:cs="Times New Roman" w:eastAsiaTheme="minorEastAsia"/>
                <w:color w:val="auto"/>
                <w:sz w:val="24"/>
                <w:szCs w:val="24"/>
                <w:lang w:eastAsia="zh-CN"/>
              </w:rPr>
              <w:t>云南晨鑫机械制造有限公司</w:t>
            </w:r>
            <w:r>
              <w:rPr>
                <w:rFonts w:hint="default" w:ascii="Times New Roman" w:hAnsi="Times New Roman" w:cs="Times New Roman" w:eastAsiaTheme="minorEastAsia"/>
                <w:color w:val="auto"/>
                <w:sz w:val="24"/>
                <w:szCs w:val="24"/>
                <w:lang w:eastAsia="zh-CN"/>
              </w:rPr>
              <w:t>标准厂房</w:t>
            </w:r>
            <w:r>
              <w:rPr>
                <w:rFonts w:hint="eastAsia" w:cs="Times New Roman" w:eastAsiaTheme="minorEastAsia"/>
                <w:color w:val="auto"/>
                <w:sz w:val="24"/>
                <w:szCs w:val="24"/>
                <w:lang w:val="en-US" w:eastAsia="zh-CN"/>
              </w:rPr>
              <w:t>32</w:t>
            </w:r>
            <w:r>
              <w:rPr>
                <w:rFonts w:hint="eastAsia" w:ascii="Times New Roman" w:hAnsi="Times New Roman" w:cs="Times New Roman" w:eastAsiaTheme="minorEastAsia"/>
                <w:color w:val="auto"/>
                <w:sz w:val="24"/>
                <w:szCs w:val="24"/>
                <w:lang w:val="en-US" w:eastAsia="zh-CN"/>
              </w:rPr>
              <w:t>00</w:t>
            </w:r>
            <w:r>
              <w:rPr>
                <w:rFonts w:hint="default" w:ascii="Times New Roman" w:hAnsi="Times New Roman" w:cs="Times New Roman" w:eastAsiaTheme="minorEastAsia"/>
                <w:color w:val="auto"/>
                <w:sz w:val="24"/>
                <w:szCs w:val="24"/>
                <w:lang w:val="en-US" w:eastAsia="zh-CN"/>
              </w:rPr>
              <w:t>m</w:t>
            </w:r>
            <w:r>
              <w:rPr>
                <w:rFonts w:hint="default" w:ascii="Times New Roman" w:hAnsi="Times New Roman" w:cs="Times New Roman" w:eastAsiaTheme="minorEastAsia"/>
                <w:color w:val="auto"/>
                <w:sz w:val="24"/>
                <w:szCs w:val="24"/>
                <w:vertAlign w:val="superscript"/>
                <w:lang w:val="en-US" w:eastAsia="zh-CN"/>
              </w:rPr>
              <w:t>2</w:t>
            </w:r>
            <w:r>
              <w:rPr>
                <w:rFonts w:hint="default" w:ascii="Times New Roman" w:hAnsi="Times New Roman" w:cs="Times New Roman" w:eastAsiaTheme="minorEastAsia"/>
                <w:color w:val="auto"/>
                <w:sz w:val="24"/>
                <w:szCs w:val="24"/>
                <w:lang w:eastAsia="zh-CN"/>
              </w:rPr>
              <w:t>作为生产厂房</w:t>
            </w:r>
            <w:r>
              <w:rPr>
                <w:rFonts w:hint="default" w:ascii="Times New Roman" w:hAnsi="Times New Roman" w:cs="Times New Roman"/>
                <w:sz w:val="24"/>
                <w:szCs w:val="22"/>
                <w:lang w:val="en-US" w:eastAsia="zh-CN"/>
              </w:rPr>
              <w:t>进行生产，生态环境的影响主要发生在工程施工期。但是主要施工期已结束，对周围生态环境的影响随着施工期结束而结束，因此，本项目在施工期对周边环境影响较小。根据现场踏勘，项目所在区域</w:t>
            </w:r>
            <w:r>
              <w:rPr>
                <w:rFonts w:hint="eastAsia" w:cs="Times New Roman"/>
                <w:sz w:val="24"/>
                <w:szCs w:val="22"/>
                <w:lang w:val="en-US" w:eastAsia="zh-CN"/>
              </w:rPr>
              <w:t>为城镇工业园区</w:t>
            </w:r>
            <w:r>
              <w:rPr>
                <w:rFonts w:hint="default" w:ascii="Times New Roman" w:hAnsi="Times New Roman" w:cs="Times New Roman"/>
                <w:sz w:val="24"/>
                <w:szCs w:val="22"/>
                <w:lang w:val="en-US" w:eastAsia="zh-CN"/>
              </w:rPr>
              <w:t>，经过多年人工开发，原生植物</w:t>
            </w:r>
            <w:r>
              <w:rPr>
                <w:rFonts w:hint="eastAsia" w:cs="Times New Roman"/>
                <w:sz w:val="24"/>
                <w:szCs w:val="22"/>
                <w:lang w:val="en-US" w:eastAsia="zh-CN"/>
              </w:rPr>
              <w:t>较少</w:t>
            </w:r>
            <w:r>
              <w:rPr>
                <w:rFonts w:hint="default" w:ascii="Times New Roman" w:hAnsi="Times New Roman" w:cs="Times New Roman"/>
                <w:sz w:val="24"/>
                <w:szCs w:val="22"/>
                <w:lang w:val="en-US" w:eastAsia="zh-CN"/>
              </w:rPr>
              <w:t>，区域内以人工绿化为主，生态环境自身调控能力较差，生物多样性较差。项目的运营对周边生态环境产生的影响较小</w:t>
            </w:r>
            <w:r>
              <w:rPr>
                <w:rFonts w:hint="eastAsia" w:cs="Times New Roman"/>
                <w:sz w:val="24"/>
                <w:szCs w:val="22"/>
                <w:lang w:val="en-US" w:eastAsia="zh-CN"/>
              </w:rPr>
              <w:t>。</w:t>
            </w:r>
            <w:r>
              <w:rPr>
                <w:rFonts w:hint="default" w:ascii="Times New Roman" w:hAnsi="Times New Roman" w:cs="Times New Roman"/>
                <w:sz w:val="24"/>
                <w:szCs w:val="22"/>
                <w:lang w:val="en-US" w:eastAsia="zh-CN"/>
              </w:rPr>
              <w:t>施工期主要进行室内外装修和设备安装</w:t>
            </w:r>
            <w:r>
              <w:rPr>
                <w:rFonts w:hint="default" w:ascii="Times New Roman" w:hAnsi="Times New Roman" w:cs="Times New Roman"/>
                <w:b w:val="0"/>
                <w:bCs w:val="0"/>
                <w:sz w:val="24"/>
                <w:szCs w:val="24"/>
                <w:lang w:val="en-US" w:eastAsia="zh-CN"/>
              </w:rPr>
              <w:t>，项目区地面已全部硬化，不涉及植被破坏。项目投产后不会改变该区域的生态环</w:t>
            </w:r>
            <w:r>
              <w:rPr>
                <w:rFonts w:hint="eastAsia" w:ascii="Times New Roman" w:hAnsi="Times New Roman" w:cs="Times New Roman"/>
                <w:b w:val="0"/>
                <w:bCs w:val="0"/>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9"/>
              <w:rPr>
                <w:rFonts w:hint="eastAsia" w:ascii="Times New Roman" w:hAnsi="Times New Roman" w:cs="Times New Roman"/>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9"/>
              <w:rPr>
                <w:rFonts w:hint="eastAsia" w:ascii="Times New Roman" w:hAnsi="Times New Roman" w:cs="Times New Roman"/>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9"/>
              <w:rPr>
                <w:rFonts w:hint="eastAsia" w:ascii="Times New Roman" w:hAnsi="Times New Roman" w:cs="Times New Roman"/>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9"/>
              <w:rPr>
                <w:rFonts w:hint="eastAsia" w:ascii="Times New Roman" w:hAnsi="Times New Roman" w:cs="Times New Roman"/>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9"/>
              <w:rPr>
                <w:rFonts w:hint="eastAsia" w:ascii="Times New Roman" w:hAnsi="Times New Roman" w:cs="Times New Roman"/>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9"/>
              <w:rPr>
                <w:rFonts w:hint="eastAsia" w:ascii="Times New Roman" w:hAnsi="Times New Roman" w:cs="Times New Roman"/>
                <w:b w:val="0"/>
                <w:bCs w:val="0"/>
                <w:sz w:val="24"/>
                <w:szCs w:val="24"/>
                <w:lang w:val="en-US" w:eastAsia="zh-CN"/>
              </w:rPr>
            </w:pPr>
          </w:p>
          <w:p>
            <w:pPr>
              <w:pStyle w:val="53"/>
              <w:bidi w:val="0"/>
              <w:jc w:val="both"/>
              <w:rPr>
                <w:rFonts w:hint="default"/>
                <w:b w:val="0"/>
                <w:bCs w:val="0"/>
                <w:color w:val="auto"/>
                <w:lang w:val="en-US" w:eastAsia="zh-CN"/>
              </w:rPr>
            </w:pPr>
          </w:p>
        </w:tc>
      </w:tr>
    </w:tbl>
    <w:p>
      <w:r>
        <w:rPr>
          <w:rFonts w:ascii="Times New Roman" w:hAnsi="Times New Roman"/>
          <w:b/>
          <w:color w:val="000000"/>
          <w:sz w:val="32"/>
          <w:szCs w:val="32"/>
        </w:rPr>
        <w:br w:type="page"/>
      </w:r>
    </w:p>
    <w:p>
      <w:pPr>
        <w:outlineLvl w:val="0"/>
        <w:rPr>
          <w:rFonts w:ascii="Times New Roman" w:hAnsi="Times New Roman"/>
          <w:b/>
          <w:color w:val="000000"/>
          <w:sz w:val="32"/>
          <w:szCs w:val="32"/>
        </w:rPr>
      </w:pPr>
      <w:bookmarkStart w:id="100" w:name="_Toc30082"/>
      <w:bookmarkStart w:id="101" w:name="_Toc27619"/>
      <w:r>
        <w:rPr>
          <w:rFonts w:ascii="Times New Roman" w:hAnsi="Times New Roman"/>
          <w:b/>
          <w:color w:val="000000"/>
          <w:sz w:val="32"/>
          <w:szCs w:val="32"/>
        </w:rPr>
        <w:t>表七  环境影响分析</w:t>
      </w:r>
      <w:bookmarkEnd w:id="100"/>
      <w:bookmarkEnd w:id="101"/>
    </w:p>
    <w:tbl>
      <w:tblPr>
        <w:tblStyle w:val="38"/>
        <w:tblW w:w="8331"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3" w:hRule="atLeast"/>
        </w:trPr>
        <w:tc>
          <w:tcPr>
            <w:tcW w:w="8331" w:type="dxa"/>
            <w:vAlign w:val="top"/>
          </w:tcPr>
          <w:p>
            <w:pPr>
              <w:spacing w:line="360" w:lineRule="auto"/>
              <w:ind w:firstLine="482" w:firstLineChars="200"/>
              <w:rPr>
                <w:rFonts w:hint="eastAsia"/>
                <w:b/>
                <w:bCs/>
                <w:sz w:val="24"/>
                <w:szCs w:val="24"/>
                <w:lang w:val="en-US" w:eastAsia="zh-CN"/>
              </w:rPr>
            </w:pPr>
            <w:r>
              <w:rPr>
                <w:rFonts w:hint="eastAsia"/>
                <w:b/>
                <w:bCs/>
                <w:sz w:val="24"/>
                <w:szCs w:val="24"/>
                <w:lang w:val="en-US" w:eastAsia="zh-CN"/>
              </w:rPr>
              <w:t>一、施工期环境影响简要分析</w:t>
            </w:r>
          </w:p>
          <w:p>
            <w:pPr>
              <w:adjustRightInd w:val="0"/>
              <w:snapToGrid w:val="0"/>
              <w:spacing w:line="360" w:lineRule="auto"/>
              <w:ind w:firstLine="482" w:firstLineChars="200"/>
              <w:rPr>
                <w:rFonts w:hint="default" w:ascii="Times New Roman" w:hAnsi="Times New Roman" w:eastAsia="宋体" w:cs="Times New Roman"/>
                <w:b/>
                <w:sz w:val="24"/>
                <w:szCs w:val="20"/>
                <w:lang w:val="zh-CN" w:bidi="ar"/>
              </w:rPr>
            </w:pPr>
            <w:r>
              <w:rPr>
                <w:rFonts w:hint="default" w:ascii="Times New Roman" w:hAnsi="Times New Roman" w:eastAsia="宋体" w:cs="Times New Roman"/>
                <w:b/>
                <w:sz w:val="24"/>
                <w:szCs w:val="20"/>
                <w:lang w:bidi="ar"/>
              </w:rPr>
              <w:t>1、</w:t>
            </w:r>
            <w:r>
              <w:rPr>
                <w:rFonts w:hint="default" w:ascii="Times New Roman" w:hAnsi="Times New Roman" w:eastAsia="宋体" w:cs="Times New Roman"/>
                <w:b/>
                <w:sz w:val="24"/>
                <w:szCs w:val="20"/>
                <w:lang w:val="zh-CN" w:bidi="ar"/>
              </w:rPr>
              <w:t>已经完成施工部分工程</w:t>
            </w:r>
          </w:p>
          <w:p>
            <w:pPr>
              <w:adjustRightInd w:val="0"/>
              <w:snapToGrid w:val="0"/>
              <w:spacing w:line="360" w:lineRule="auto"/>
              <w:ind w:firstLine="480" w:firstLineChars="200"/>
              <w:rPr>
                <w:rFonts w:hint="default" w:ascii="Times New Roman" w:hAnsi="Times New Roman" w:eastAsia="宋体" w:cs="Times New Roman"/>
                <w:bCs/>
                <w:sz w:val="24"/>
                <w:szCs w:val="20"/>
                <w:lang w:val="zh-CN" w:bidi="ar"/>
              </w:rPr>
            </w:pPr>
            <w:r>
              <w:rPr>
                <w:rFonts w:hint="default" w:ascii="Times New Roman" w:hAnsi="Times New Roman" w:eastAsia="宋体" w:cs="Times New Roman"/>
                <w:sz w:val="24"/>
              </w:rPr>
              <w:t>本项目于20</w:t>
            </w:r>
            <w:r>
              <w:rPr>
                <w:rFonts w:hint="eastAsia" w:eastAsia="宋体" w:cs="Times New Roman"/>
                <w:sz w:val="24"/>
                <w:lang w:val="en-US" w:eastAsia="zh-CN"/>
              </w:rPr>
              <w:t>20</w:t>
            </w:r>
            <w:r>
              <w:rPr>
                <w:rFonts w:hint="default" w:ascii="Times New Roman" w:hAnsi="Times New Roman" w:eastAsia="宋体" w:cs="Times New Roman"/>
                <w:sz w:val="24"/>
              </w:rPr>
              <w:t>年</w:t>
            </w:r>
            <w:r>
              <w:rPr>
                <w:rFonts w:hint="eastAsia" w:eastAsia="宋体" w:cs="Times New Roman"/>
                <w:sz w:val="24"/>
                <w:lang w:val="en-US" w:eastAsia="zh-CN"/>
              </w:rPr>
              <w:t>7</w:t>
            </w:r>
            <w:r>
              <w:rPr>
                <w:rFonts w:hint="default" w:ascii="Times New Roman" w:hAnsi="Times New Roman" w:eastAsia="宋体" w:cs="Times New Roman"/>
                <w:sz w:val="24"/>
              </w:rPr>
              <w:t>月</w:t>
            </w:r>
            <w:r>
              <w:rPr>
                <w:rFonts w:hint="eastAsia" w:eastAsia="宋体" w:cs="Times New Roman"/>
                <w:sz w:val="24"/>
                <w:lang w:eastAsia="zh-CN"/>
              </w:rPr>
              <w:t>投入生产</w:t>
            </w:r>
            <w:r>
              <w:rPr>
                <w:rFonts w:hint="default" w:ascii="Times New Roman" w:hAnsi="Times New Roman" w:eastAsia="宋体" w:cs="Times New Roman"/>
                <w:bCs/>
                <w:sz w:val="24"/>
                <w:szCs w:val="20"/>
                <w:lang w:val="zh-CN" w:bidi="ar"/>
              </w:rPr>
              <w:t>。施工期主要污染源有：扬尘、废水、噪声、固体废弃物，项目施工期具有时间短、对环境影响随施工结束而消失的特点。目前，项目已建成运营，经环评调查，项目建设方在施工期间严格遵守了相关施工作业要求，项目区未发生过环保投诉状况。</w:t>
            </w:r>
          </w:p>
          <w:p>
            <w:pPr>
              <w:adjustRightInd w:val="0"/>
              <w:snapToGrid w:val="0"/>
              <w:spacing w:line="360" w:lineRule="auto"/>
              <w:ind w:firstLine="482" w:firstLineChars="200"/>
              <w:rPr>
                <w:rFonts w:hint="default" w:ascii="Times New Roman" w:hAnsi="Times New Roman" w:eastAsia="宋体" w:cs="Times New Roman"/>
                <w:b/>
                <w:sz w:val="24"/>
                <w:szCs w:val="20"/>
                <w:lang w:bidi="ar"/>
              </w:rPr>
            </w:pPr>
            <w:r>
              <w:rPr>
                <w:rFonts w:hint="default" w:ascii="Times New Roman" w:hAnsi="Times New Roman" w:eastAsia="宋体" w:cs="Times New Roman"/>
                <w:b/>
                <w:sz w:val="24"/>
                <w:szCs w:val="20"/>
                <w:lang w:bidi="ar"/>
              </w:rPr>
              <w:t>2、后续施工工程</w:t>
            </w:r>
          </w:p>
          <w:p>
            <w:pPr>
              <w:spacing w:line="360" w:lineRule="auto"/>
              <w:ind w:firstLine="480" w:firstLineChars="200"/>
              <w:rPr>
                <w:rFonts w:hint="default" w:ascii="Times New Roman" w:hAnsi="Times New Roman" w:eastAsia="宋体" w:cs="Times New Roman"/>
                <w:bCs/>
                <w:sz w:val="24"/>
                <w:szCs w:val="20"/>
                <w:lang w:val="zh-CN" w:bidi="ar"/>
              </w:rPr>
            </w:pPr>
            <w:r>
              <w:rPr>
                <w:rFonts w:hint="default" w:ascii="Times New Roman" w:hAnsi="Times New Roman" w:eastAsia="宋体" w:cs="Times New Roman"/>
                <w:bCs/>
                <w:sz w:val="24"/>
                <w:szCs w:val="20"/>
                <w:lang w:val="zh-CN" w:bidi="ar"/>
              </w:rPr>
              <w:t>本次评价后续施工主要为</w:t>
            </w:r>
            <w:r>
              <w:rPr>
                <w:rFonts w:hint="default" w:ascii="Times New Roman" w:hAnsi="Times New Roman" w:eastAsia="宋体" w:cs="Times New Roman"/>
                <w:sz w:val="24"/>
              </w:rPr>
              <w:t>废气收集处置措施（集气罩、除尘器、活性炭装置）、排气筒及危废暂存间等环保设施的施工</w:t>
            </w:r>
            <w:r>
              <w:rPr>
                <w:rFonts w:hint="default" w:ascii="Times New Roman" w:hAnsi="Times New Roman" w:eastAsia="宋体" w:cs="Times New Roman"/>
                <w:bCs/>
                <w:sz w:val="24"/>
                <w:szCs w:val="20"/>
                <w:lang w:val="zh-CN" w:bidi="ar"/>
              </w:rPr>
              <w:t>，施工期较短，施工期产生的环境影响随施工结束而消失。</w:t>
            </w:r>
            <w:r>
              <w:rPr>
                <w:rFonts w:hint="default" w:ascii="Times New Roman" w:hAnsi="Times New Roman" w:eastAsia="宋体" w:cs="Times New Roman"/>
                <w:sz w:val="24"/>
              </w:rPr>
              <w:t>后续施工工艺无基础开挖，施工过程中将产生少量扬尘、噪声。后续施工过程主要在厂房内部进行，因此后续施工过程扬尘量较小，扬尘采取洒水降尘的方式减小排放；噪声主要通过合理安排施工时间（夜间和午休时段不施工）的方式减小影响；施工人员生活垃圾集中收集后委托环卫部门进行统一清运。</w:t>
            </w:r>
            <w:r>
              <w:rPr>
                <w:rFonts w:hint="default" w:ascii="Times New Roman" w:hAnsi="Times New Roman" w:eastAsia="宋体" w:cs="Times New Roman"/>
                <w:bCs/>
                <w:sz w:val="24"/>
                <w:szCs w:val="20"/>
                <w:lang w:val="zh-CN" w:bidi="ar"/>
              </w:rPr>
              <w:t>项目施工期较短，污染产生量较小，经采取合理的措施后对周边环境影响较小</w:t>
            </w:r>
            <w:r>
              <w:rPr>
                <w:rFonts w:hint="eastAsia" w:eastAsia="宋体" w:cs="Times New Roman"/>
                <w:bCs/>
                <w:sz w:val="24"/>
                <w:szCs w:val="20"/>
                <w:lang w:val="zh-CN" w:bidi="ar"/>
              </w:rPr>
              <w:t>。</w:t>
            </w:r>
          </w:p>
          <w:p>
            <w:pPr>
              <w:spacing w:line="360" w:lineRule="auto"/>
              <w:ind w:firstLine="482" w:firstLineChars="20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二、营运期环境影响分析</w:t>
            </w:r>
          </w:p>
          <w:p>
            <w:pPr>
              <w:spacing w:line="360" w:lineRule="auto"/>
              <w:ind w:firstLine="482" w:firstLineChars="20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1、大气环境的影响分析</w:t>
            </w:r>
          </w:p>
          <w:p>
            <w:pPr>
              <w:spacing w:line="360" w:lineRule="auto"/>
              <w:ind w:firstLine="480" w:firstLineChars="200"/>
              <w:rPr>
                <w:rFonts w:hint="eastAsia" w:ascii="Times New Roman" w:hAnsi="Times New Roman" w:cs="Times New Roman"/>
                <w:b/>
                <w:bCs/>
                <w:sz w:val="24"/>
                <w:szCs w:val="24"/>
                <w:lang w:val="en-US" w:eastAsia="zh-CN"/>
              </w:rPr>
            </w:pPr>
            <w:r>
              <w:rPr>
                <w:rFonts w:hint="default" w:ascii="Times New Roman" w:hAnsi="Times New Roman" w:cs="Times New Roman"/>
                <w:color w:val="auto"/>
                <w:sz w:val="24"/>
                <w:szCs w:val="24"/>
                <w:lang w:eastAsia="zh-CN"/>
              </w:rPr>
              <w:t>根据工程分析，</w:t>
            </w:r>
            <w:r>
              <w:rPr>
                <w:rFonts w:hint="default" w:ascii="Times New Roman" w:hAnsi="Times New Roman" w:cs="Times New Roman"/>
                <w:color w:val="auto"/>
                <w:sz w:val="24"/>
                <w:szCs w:val="24"/>
              </w:rPr>
              <w:t>项目运营期产生的废气主要包括</w:t>
            </w:r>
            <w:r>
              <w:rPr>
                <w:rFonts w:hint="eastAsia" w:ascii="Times New Roman" w:hAnsi="Times New Roman" w:cs="Times New Roman"/>
                <w:color w:val="auto"/>
                <w:sz w:val="24"/>
                <w:szCs w:val="24"/>
                <w:lang w:val="en-US" w:eastAsia="zh-CN"/>
              </w:rPr>
              <w:t>漆雾、</w:t>
            </w:r>
            <w:r>
              <w:rPr>
                <w:rFonts w:hint="default" w:ascii="Times New Roman" w:hAnsi="Times New Roman" w:cs="Times New Roman"/>
                <w:color w:val="auto"/>
                <w:sz w:val="24"/>
                <w:szCs w:val="24"/>
                <w:lang w:val="en-US" w:eastAsia="zh-CN"/>
              </w:rPr>
              <w:t>VOC</w:t>
            </w:r>
            <w:r>
              <w:rPr>
                <w:rFonts w:hint="eastAsia" w:ascii="Times New Roman" w:hAnsi="Times New Roman" w:cs="Times New Roman"/>
                <w:color w:val="auto"/>
                <w:sz w:val="24"/>
                <w:szCs w:val="24"/>
                <w:lang w:val="en-US" w:eastAsia="zh-CN"/>
              </w:rPr>
              <w:t>s</w:t>
            </w:r>
            <w:r>
              <w:rPr>
                <w:rFonts w:hint="default" w:ascii="Times New Roman" w:hAnsi="Times New Roman" w:cs="Times New Roman"/>
                <w:color w:val="auto"/>
                <w:sz w:val="24"/>
                <w:szCs w:val="24"/>
              </w:rPr>
              <w:t>；其中</w:t>
            </w:r>
            <w:r>
              <w:rPr>
                <w:rFonts w:hint="eastAsia" w:ascii="Times New Roman" w:hAnsi="Times New Roman" w:cs="Times New Roman"/>
                <w:color w:val="auto"/>
                <w:sz w:val="24"/>
                <w:szCs w:val="24"/>
                <w:lang w:eastAsia="zh-CN"/>
              </w:rPr>
              <w:t>漆雾、</w:t>
            </w:r>
            <w:r>
              <w:rPr>
                <w:rFonts w:hint="default" w:ascii="Times New Roman" w:hAnsi="Times New Roman" w:cs="Times New Roman"/>
                <w:color w:val="auto"/>
                <w:sz w:val="24"/>
                <w:szCs w:val="24"/>
                <w:lang w:val="en-US" w:eastAsia="zh-CN"/>
              </w:rPr>
              <w:t>VOC</w:t>
            </w:r>
            <w:r>
              <w:rPr>
                <w:rFonts w:hint="eastAsia" w:ascii="Times New Roman" w:hAnsi="Times New Roman" w:cs="Times New Roman"/>
                <w:color w:val="auto"/>
                <w:sz w:val="24"/>
                <w:szCs w:val="24"/>
                <w:lang w:val="en-US" w:eastAsia="zh-CN"/>
              </w:rPr>
              <w:t>s</w:t>
            </w:r>
            <w:r>
              <w:rPr>
                <w:rFonts w:hint="default" w:ascii="Times New Roman" w:hAnsi="Times New Roman" w:cs="Times New Roman"/>
                <w:color w:val="auto"/>
                <w:sz w:val="24"/>
                <w:szCs w:val="24"/>
                <w:lang w:eastAsia="zh-CN"/>
              </w:rPr>
              <w:t>经集气罩收集后由“</w:t>
            </w:r>
            <w:r>
              <w:rPr>
                <w:rFonts w:hint="eastAsia" w:ascii="Times New Roman" w:hAnsi="Times New Roman" w:cs="Times New Roman"/>
                <w:color w:val="auto"/>
                <w:sz w:val="24"/>
                <w:szCs w:val="24"/>
                <w:lang w:val="en-US" w:eastAsia="zh-CN"/>
              </w:rPr>
              <w:t>吸附棉</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eastAsia="zh-CN"/>
              </w:rPr>
              <w:t>活性炭吸附”系统处理后有组织排放，未被集气罩收集的</w:t>
            </w:r>
            <w:r>
              <w:rPr>
                <w:rFonts w:hint="default" w:ascii="Times New Roman" w:hAnsi="Times New Roman" w:cs="Times New Roman"/>
                <w:color w:val="auto"/>
                <w:sz w:val="24"/>
                <w:szCs w:val="24"/>
                <w:lang w:val="en-US" w:eastAsia="zh-CN"/>
              </w:rPr>
              <w:t>VOC</w:t>
            </w:r>
            <w:r>
              <w:rPr>
                <w:rFonts w:hint="eastAsia" w:ascii="Times New Roman" w:hAnsi="Times New Roman" w:cs="Times New Roman"/>
                <w:color w:val="auto"/>
                <w:sz w:val="24"/>
                <w:szCs w:val="24"/>
                <w:lang w:val="en-US" w:eastAsia="zh-CN"/>
              </w:rPr>
              <w:t>s</w:t>
            </w:r>
            <w:r>
              <w:rPr>
                <w:rFonts w:hint="default" w:ascii="Times New Roman" w:hAnsi="Times New Roman" w:cs="Times New Roman"/>
                <w:color w:val="auto"/>
                <w:sz w:val="24"/>
                <w:szCs w:val="24"/>
                <w:lang w:eastAsia="zh-CN"/>
              </w:rPr>
              <w:t>呈无组织排放。</w:t>
            </w:r>
          </w:p>
          <w:p>
            <w:pPr>
              <w:spacing w:line="360" w:lineRule="auto"/>
              <w:ind w:firstLine="482" w:firstLineChars="200"/>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（1）</w:t>
            </w:r>
            <w:r>
              <w:rPr>
                <w:rFonts w:hint="default" w:ascii="Times New Roman" w:hAnsi="Times New Roman" w:eastAsia="宋体" w:cs="Times New Roman"/>
                <w:b/>
                <w:bCs/>
                <w:color w:val="auto"/>
                <w:w w:val="100"/>
                <w:sz w:val="24"/>
                <w:szCs w:val="24"/>
              </w:rPr>
              <w:t>大气环境影响评价工作等级确定</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依据《环境影响评价技术导则-大气环境》(HJ2.2-2018)中5.3规定的工作等级的确定方法，结合项目工程分析结果，选择正常排放的主要污染物及排放参数，采用附录A推荐模型中的AERSCREEN模式计算项目污染源的最大环境影响，然后按评价工作分级判据进行分级。</w:t>
            </w:r>
          </w:p>
          <w:p>
            <w:pPr>
              <w:spacing w:line="360" w:lineRule="auto"/>
              <w:ind w:firstLine="482" w:firstLineChars="200"/>
              <w:rPr>
                <w:rFonts w:hint="default" w:ascii="Times New Roman" w:hAnsi="Times New Roman" w:cs="Times New Roman"/>
                <w:b/>
                <w:bCs/>
                <w:sz w:val="24"/>
                <w:szCs w:val="24"/>
                <w:lang w:val="en-US" w:eastAsia="zh-CN"/>
              </w:rPr>
            </w:pPr>
            <w:r>
              <w:rPr>
                <w:rFonts w:hint="eastAsia" w:cs="Times New Roman"/>
                <w:b/>
                <w:bCs/>
                <w:sz w:val="24"/>
                <w:szCs w:val="24"/>
                <w:lang w:val="en-US" w:eastAsia="zh-CN"/>
              </w:rPr>
              <w:t>1</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lang w:val="en-US" w:eastAsia="zh-CN"/>
              </w:rPr>
              <w:t>Pmax及D10%的确定</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依据《环境影响评价技术导则 大气环境》(HJ2.2-2018)中最大地面浓度占标率Pi定义如下：</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1085850" cy="400050"/>
                  <wp:effectExtent l="0" t="0" r="0" b="0"/>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14">
                            <a:clrChange>
                              <a:clrFrom>
                                <a:srgbClr val="FFFFFF"/>
                              </a:clrFrom>
                              <a:clrTo>
                                <a:srgbClr val="FFFFFF">
                                  <a:alpha val="0"/>
                                </a:srgbClr>
                              </a:clrTo>
                            </a:clrChange>
                          </a:blip>
                          <a:stretch>
                            <a:fillRect/>
                          </a:stretch>
                        </pic:blipFill>
                        <pic:spPr>
                          <a:xfrm>
                            <a:off x="0" y="0"/>
                            <a:ext cx="1085850" cy="400050"/>
                          </a:xfrm>
                          <a:prstGeom prst="rect">
                            <a:avLst/>
                          </a:prstGeom>
                          <a:noFill/>
                          <a:ln>
                            <a:noFill/>
                          </a:ln>
                        </pic:spPr>
                      </pic:pic>
                    </a:graphicData>
                  </a:graphic>
                </wp:inline>
              </w:drawing>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QUOTE </w:instrText>
            </w:r>
            <w:r>
              <w:rPr>
                <w:rFonts w:hint="default" w:ascii="Times New Roman" w:hAnsi="Times New Roman" w:cs="Times New Roman"/>
                <w:sz w:val="24"/>
                <w:szCs w:val="24"/>
                <w:lang w:val="en-US" w:eastAsia="zh-CN"/>
              </w:rPr>
              <w:drawing>
                <wp:inline distT="0" distB="0" distL="114300" distR="114300">
                  <wp:extent cx="123825" cy="295275"/>
                  <wp:effectExtent l="0" t="0" r="9525" b="0"/>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pic:cNvPicPr>
                        </pic:nvPicPr>
                        <pic:blipFill>
                          <a:blip r:embed="rId15">
                            <a:clrChange>
                              <a:clrFrom>
                                <a:srgbClr val="FFFFFF"/>
                              </a:clrFrom>
                              <a:clrTo>
                                <a:srgbClr val="FFFFFF">
                                  <a:alpha val="0"/>
                                </a:srgbClr>
                              </a:clrTo>
                            </a:clrChange>
                          </a:blip>
                          <a:stretch>
                            <a:fillRect/>
                          </a:stretch>
                        </pic:blipFill>
                        <pic:spPr>
                          <a:xfrm>
                            <a:off x="0" y="0"/>
                            <a:ext cx="123825" cy="295275"/>
                          </a:xfrm>
                          <a:prstGeom prst="rect">
                            <a:avLst/>
                          </a:prstGeom>
                          <a:noFill/>
                          <a:ln>
                            <a:noFill/>
                          </a:ln>
                        </pic:spPr>
                      </pic:pic>
                    </a:graphicData>
                  </a:graphic>
                </wp:inline>
              </w:drawing>
            </w:r>
            <w:r>
              <w:rPr>
                <w:rFonts w:hint="default" w:ascii="Times New Roman" w:hAnsi="Times New Roman" w:cs="Times New Roman"/>
                <w:sz w:val="24"/>
                <w:szCs w:val="24"/>
                <w:lang w:val="en-US" w:eastAsia="zh-CN"/>
              </w:rPr>
              <w:instrText xml:space="preserve">  \* MERGEFORMAT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drawing>
                <wp:inline distT="0" distB="0" distL="114300" distR="114300">
                  <wp:extent cx="123825" cy="295275"/>
                  <wp:effectExtent l="0" t="0" r="9525" b="0"/>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pic:cNvPicPr>
                            <a:picLocks noChangeAspect="1"/>
                          </pic:cNvPicPr>
                        </pic:nvPicPr>
                        <pic:blipFill>
                          <a:blip r:embed="rId15">
                            <a:clrChange>
                              <a:clrFrom>
                                <a:srgbClr val="FFFFFF"/>
                              </a:clrFrom>
                              <a:clrTo>
                                <a:srgbClr val="FFFFFF">
                                  <a:alpha val="0"/>
                                </a:srgbClr>
                              </a:clrTo>
                            </a:clrChange>
                          </a:blip>
                          <a:stretch>
                            <a:fillRect/>
                          </a:stretch>
                        </pic:blipFill>
                        <pic:spPr>
                          <a:xfrm>
                            <a:off x="0" y="0"/>
                            <a:ext cx="123825" cy="295275"/>
                          </a:xfrm>
                          <a:prstGeom prst="rect">
                            <a:avLst/>
                          </a:prstGeom>
                          <a:noFill/>
                          <a:ln>
                            <a:noFill/>
                          </a:ln>
                        </pic:spPr>
                      </pic:pic>
                    </a:graphicData>
                  </a:graphic>
                </wp:inline>
              </w:drawing>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t xml:space="preserve"> ——第i个污染物的最大地面空气质量浓度 占标率，%；</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QUOTE </w:instrText>
            </w:r>
            <w:r>
              <w:rPr>
                <w:rFonts w:hint="default" w:ascii="Times New Roman" w:hAnsi="Times New Roman" w:cs="Times New Roman"/>
                <w:sz w:val="24"/>
                <w:szCs w:val="24"/>
                <w:lang w:val="en-US" w:eastAsia="zh-CN"/>
              </w:rPr>
              <w:drawing>
                <wp:inline distT="0" distB="0" distL="114300" distR="114300">
                  <wp:extent cx="133350" cy="295275"/>
                  <wp:effectExtent l="0" t="0" r="0" b="0"/>
                  <wp:docPr id="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2"/>
                          <pic:cNvPicPr>
                            <a:picLocks noChangeAspect="1"/>
                          </pic:cNvPicPr>
                        </pic:nvPicPr>
                        <pic:blipFill>
                          <a:blip r:embed="rId16">
                            <a:clrChange>
                              <a:clrFrom>
                                <a:srgbClr val="FFFFFF"/>
                              </a:clrFrom>
                              <a:clrTo>
                                <a:srgbClr val="FFFFFF">
                                  <a:alpha val="0"/>
                                </a:srgbClr>
                              </a:clrTo>
                            </a:clrChange>
                          </a:blip>
                          <a:stretch>
                            <a:fillRect/>
                          </a:stretch>
                        </pic:blipFill>
                        <pic:spPr>
                          <a:xfrm>
                            <a:off x="0" y="0"/>
                            <a:ext cx="133350" cy="295275"/>
                          </a:xfrm>
                          <a:prstGeom prst="rect">
                            <a:avLst/>
                          </a:prstGeom>
                          <a:noFill/>
                          <a:ln>
                            <a:noFill/>
                          </a:ln>
                        </pic:spPr>
                      </pic:pic>
                    </a:graphicData>
                  </a:graphic>
                </wp:inline>
              </w:drawing>
            </w:r>
            <w:r>
              <w:rPr>
                <w:rFonts w:hint="default" w:ascii="Times New Roman" w:hAnsi="Times New Roman" w:cs="Times New Roman"/>
                <w:sz w:val="24"/>
                <w:szCs w:val="24"/>
                <w:lang w:val="en-US" w:eastAsia="zh-CN"/>
              </w:rPr>
              <w:instrText xml:space="preserve">  \* MERGEFORMAT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drawing>
                <wp:inline distT="0" distB="0" distL="114300" distR="114300">
                  <wp:extent cx="133350" cy="295275"/>
                  <wp:effectExtent l="0" t="0" r="0" b="0"/>
                  <wp:docPr id="2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3"/>
                          <pic:cNvPicPr>
                            <a:picLocks noChangeAspect="1"/>
                          </pic:cNvPicPr>
                        </pic:nvPicPr>
                        <pic:blipFill>
                          <a:blip r:embed="rId16">
                            <a:clrChange>
                              <a:clrFrom>
                                <a:srgbClr val="FFFFFF"/>
                              </a:clrFrom>
                              <a:clrTo>
                                <a:srgbClr val="FFFFFF">
                                  <a:alpha val="0"/>
                                </a:srgbClr>
                              </a:clrTo>
                            </a:clrChange>
                          </a:blip>
                          <a:stretch>
                            <a:fillRect/>
                          </a:stretch>
                        </pic:blipFill>
                        <pic:spPr>
                          <a:xfrm>
                            <a:off x="0" y="0"/>
                            <a:ext cx="133350" cy="295275"/>
                          </a:xfrm>
                          <a:prstGeom prst="rect">
                            <a:avLst/>
                          </a:prstGeom>
                          <a:noFill/>
                          <a:ln>
                            <a:noFill/>
                          </a:ln>
                        </pic:spPr>
                      </pic:pic>
                    </a:graphicData>
                  </a:graphic>
                </wp:inline>
              </w:drawing>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t>——采用估算模型计算出的第i个污染物的最大1h地面空气质量浓度，μg/</w:t>
            </w:r>
            <w:r>
              <w:rPr>
                <w:rFonts w:hint="eastAsia" w:ascii="Times New Roman" w:hAnsi="Times New Roman" w:cs="Times New Roman"/>
                <w:sz w:val="24"/>
                <w:szCs w:val="24"/>
                <w:lang w:val="en-US" w:eastAsia="zh-CN"/>
              </w:rPr>
              <w:t>m</w:t>
            </w:r>
            <w:r>
              <w:rPr>
                <w:rFonts w:hint="eastAsia" w:ascii="Times New Roman" w:hAnsi="Times New Roman" w:cs="Times New Roman"/>
                <w:sz w:val="24"/>
                <w:szCs w:val="24"/>
                <w:vertAlign w:val="superscript"/>
                <w:lang w:val="en-US" w:eastAsia="zh-CN"/>
              </w:rPr>
              <w:t>3</w:t>
            </w:r>
            <w:r>
              <w:rPr>
                <w:rFonts w:hint="default" w:ascii="Times New Roman" w:hAnsi="Times New Roman" w:cs="Times New Roman"/>
                <w:sz w:val="24"/>
                <w:szCs w:val="24"/>
                <w:lang w:val="en-US" w:eastAsia="zh-CN"/>
              </w:rPr>
              <w:t>；</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QUOTE </w:instrText>
            </w:r>
            <w:r>
              <w:rPr>
                <w:rFonts w:hint="default" w:ascii="Times New Roman" w:hAnsi="Times New Roman" w:cs="Times New Roman"/>
                <w:sz w:val="24"/>
                <w:szCs w:val="24"/>
                <w:lang w:val="en-US" w:eastAsia="zh-CN"/>
              </w:rPr>
              <w:drawing>
                <wp:inline distT="0" distB="0" distL="114300" distR="114300">
                  <wp:extent cx="190500" cy="295275"/>
                  <wp:effectExtent l="0" t="0" r="0" b="0"/>
                  <wp:docPr id="2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4"/>
                          <pic:cNvPicPr>
                            <a:picLocks noChangeAspect="1"/>
                          </pic:cNvPicPr>
                        </pic:nvPicPr>
                        <pic:blipFill>
                          <a:blip r:embed="rId17">
                            <a:clrChange>
                              <a:clrFrom>
                                <a:srgbClr val="FFFFFF"/>
                              </a:clrFrom>
                              <a:clrTo>
                                <a:srgbClr val="FFFFFF">
                                  <a:alpha val="0"/>
                                </a:srgbClr>
                              </a:clrTo>
                            </a:clrChange>
                          </a:blip>
                          <a:stretch>
                            <a:fillRect/>
                          </a:stretch>
                        </pic:blipFill>
                        <pic:spPr>
                          <a:xfrm>
                            <a:off x="0" y="0"/>
                            <a:ext cx="190500" cy="295275"/>
                          </a:xfrm>
                          <a:prstGeom prst="rect">
                            <a:avLst/>
                          </a:prstGeom>
                          <a:noFill/>
                          <a:ln>
                            <a:noFill/>
                          </a:ln>
                        </pic:spPr>
                      </pic:pic>
                    </a:graphicData>
                  </a:graphic>
                </wp:inline>
              </w:drawing>
            </w:r>
            <w:r>
              <w:rPr>
                <w:rFonts w:hint="default" w:ascii="Times New Roman" w:hAnsi="Times New Roman" w:cs="Times New Roman"/>
                <w:sz w:val="24"/>
                <w:szCs w:val="24"/>
                <w:lang w:val="en-US" w:eastAsia="zh-CN"/>
              </w:rPr>
              <w:instrText xml:space="preserve">  \* MERGEFORMAT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drawing>
                <wp:inline distT="0" distB="0" distL="114300" distR="114300">
                  <wp:extent cx="190500" cy="295275"/>
                  <wp:effectExtent l="0" t="0" r="0" b="0"/>
                  <wp:docPr id="2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5"/>
                          <pic:cNvPicPr>
                            <a:picLocks noChangeAspect="1"/>
                          </pic:cNvPicPr>
                        </pic:nvPicPr>
                        <pic:blipFill>
                          <a:blip r:embed="rId17">
                            <a:clrChange>
                              <a:clrFrom>
                                <a:srgbClr val="FFFFFF"/>
                              </a:clrFrom>
                              <a:clrTo>
                                <a:srgbClr val="FFFFFF">
                                  <a:alpha val="0"/>
                                </a:srgbClr>
                              </a:clrTo>
                            </a:clrChange>
                          </a:blip>
                          <a:stretch>
                            <a:fillRect/>
                          </a:stretch>
                        </pic:blipFill>
                        <pic:spPr>
                          <a:xfrm>
                            <a:off x="0" y="0"/>
                            <a:ext cx="190500" cy="295275"/>
                          </a:xfrm>
                          <a:prstGeom prst="rect">
                            <a:avLst/>
                          </a:prstGeom>
                          <a:noFill/>
                          <a:ln>
                            <a:noFill/>
                          </a:ln>
                        </pic:spPr>
                      </pic:pic>
                    </a:graphicData>
                  </a:graphic>
                </wp:inline>
              </w:drawing>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t>——第i个污染物的环境空气质量浓度标准，μg/</w:t>
            </w:r>
            <w:r>
              <w:rPr>
                <w:rFonts w:hint="eastAsia" w:ascii="Times New Roman" w:hAnsi="Times New Roman" w:cs="Times New Roman"/>
                <w:sz w:val="24"/>
                <w:szCs w:val="24"/>
                <w:lang w:val="en-US" w:eastAsia="zh-CN"/>
              </w:rPr>
              <w:t>m</w:t>
            </w:r>
            <w:r>
              <w:rPr>
                <w:rFonts w:hint="eastAsia" w:ascii="Times New Roman" w:hAnsi="Times New Roman" w:cs="Times New Roman"/>
                <w:sz w:val="24"/>
                <w:szCs w:val="24"/>
                <w:vertAlign w:val="superscript"/>
                <w:lang w:val="en-US" w:eastAsia="zh-CN"/>
              </w:rPr>
              <w:t>3</w:t>
            </w:r>
            <w:r>
              <w:rPr>
                <w:rFonts w:hint="default" w:ascii="Times New Roman" w:hAnsi="Times New Roman" w:cs="Times New Roman"/>
                <w:sz w:val="24"/>
                <w:szCs w:val="24"/>
                <w:lang w:val="en-US" w:eastAsia="zh-CN"/>
              </w:rPr>
              <w:t>。</w:t>
            </w:r>
          </w:p>
          <w:p>
            <w:pPr>
              <w:spacing w:line="360" w:lineRule="auto"/>
              <w:ind w:firstLine="482" w:firstLineChars="200"/>
              <w:rPr>
                <w:rFonts w:hint="default" w:ascii="Times New Roman" w:hAnsi="Times New Roman" w:cs="Times New Roman"/>
                <w:b/>
                <w:bCs/>
                <w:sz w:val="24"/>
                <w:szCs w:val="24"/>
                <w:lang w:val="en-US" w:eastAsia="zh-CN"/>
              </w:rPr>
            </w:pPr>
            <w:r>
              <w:rPr>
                <w:rFonts w:hint="eastAsia" w:cs="Times New Roman"/>
                <w:b/>
                <w:bCs/>
                <w:sz w:val="24"/>
                <w:szCs w:val="24"/>
                <w:lang w:val="en-US" w:eastAsia="zh-CN"/>
              </w:rPr>
              <w:t>2</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lang w:val="en-US" w:eastAsia="zh-CN"/>
              </w:rPr>
              <w:t>评价等级判别表</w:t>
            </w:r>
          </w:p>
          <w:p>
            <w:pPr>
              <w:spacing w:line="360" w:lineRule="auto"/>
              <w:ind w:firstLine="480" w:firstLineChars="200"/>
              <w:rPr>
                <w:rFonts w:hint="default"/>
              </w:rPr>
            </w:pPr>
            <w:r>
              <w:rPr>
                <w:rFonts w:hint="default" w:ascii="Times New Roman" w:hAnsi="Times New Roman" w:cs="Times New Roman"/>
                <w:sz w:val="24"/>
                <w:szCs w:val="24"/>
                <w:lang w:val="en-US" w:eastAsia="zh-CN"/>
              </w:rPr>
              <w:t>评价等级按下表的分级判据进行划分</w:t>
            </w:r>
            <w:r>
              <w:rPr>
                <w:rFonts w:hint="eastAsia" w:ascii="Times New Roman" w:hAnsi="Times New Roman" w:cs="Times New Roman"/>
                <w:sz w:val="24"/>
                <w:szCs w:val="24"/>
                <w:lang w:val="en-US" w:eastAsia="zh-CN"/>
              </w:rPr>
              <w:t>。</w:t>
            </w:r>
          </w:p>
          <w:p>
            <w:pPr>
              <w:pStyle w:val="52"/>
              <w:bidi w:val="0"/>
              <w:spacing w:line="240" w:lineRule="auto"/>
              <w:rPr>
                <w:rFonts w:hint="default"/>
              </w:rPr>
            </w:pPr>
            <w:r>
              <w:rPr>
                <w:rFonts w:hint="default"/>
              </w:rPr>
              <w:t>表7-</w:t>
            </w:r>
            <w:r>
              <w:rPr>
                <w:rFonts w:hint="eastAsia"/>
                <w:lang w:val="en-US" w:eastAsia="zh-CN"/>
              </w:rPr>
              <w:t>1</w:t>
            </w:r>
            <w:r>
              <w:rPr>
                <w:rFonts w:hint="default"/>
              </w:rPr>
              <w:t xml:space="preserve"> 评价等级判别表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44"/>
              <w:gridCol w:w="4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098" w:type="dxa"/>
                  <w:noWrap w:val="0"/>
                  <w:vAlign w:val="center"/>
                </w:tcPr>
                <w:p>
                  <w:pPr>
                    <w:pStyle w:val="53"/>
                    <w:bidi w:val="0"/>
                    <w:rPr>
                      <w:rFonts w:hint="default"/>
                      <w:b w:val="0"/>
                      <w:bCs w:val="0"/>
                      <w:sz w:val="21"/>
                      <w:szCs w:val="21"/>
                    </w:rPr>
                  </w:pPr>
                  <w:r>
                    <w:rPr>
                      <w:rFonts w:hint="default"/>
                      <w:b w:val="0"/>
                      <w:bCs w:val="0"/>
                      <w:sz w:val="21"/>
                      <w:szCs w:val="21"/>
                    </w:rPr>
                    <w:t>评价工作等级</w:t>
                  </w:r>
                </w:p>
              </w:tc>
              <w:tc>
                <w:tcPr>
                  <w:tcW w:w="4198" w:type="dxa"/>
                  <w:noWrap w:val="0"/>
                  <w:vAlign w:val="center"/>
                </w:tcPr>
                <w:p>
                  <w:pPr>
                    <w:pStyle w:val="53"/>
                    <w:bidi w:val="0"/>
                    <w:rPr>
                      <w:rFonts w:hint="default"/>
                      <w:b w:val="0"/>
                      <w:bCs w:val="0"/>
                      <w:sz w:val="21"/>
                      <w:szCs w:val="21"/>
                    </w:rPr>
                  </w:pPr>
                  <w:r>
                    <w:rPr>
                      <w:rFonts w:hint="default"/>
                      <w:b w:val="0"/>
                      <w:bCs w:val="0"/>
                      <w:sz w:val="21"/>
                      <w:szCs w:val="21"/>
                    </w:rPr>
                    <w:t>评价工作分级判据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098" w:type="dxa"/>
                  <w:noWrap w:val="0"/>
                  <w:vAlign w:val="center"/>
                </w:tcPr>
                <w:p>
                  <w:pPr>
                    <w:pStyle w:val="53"/>
                    <w:bidi w:val="0"/>
                    <w:rPr>
                      <w:rFonts w:hint="default"/>
                      <w:b w:val="0"/>
                      <w:bCs w:val="0"/>
                      <w:sz w:val="21"/>
                      <w:szCs w:val="21"/>
                    </w:rPr>
                  </w:pPr>
                  <w:r>
                    <w:rPr>
                      <w:rFonts w:hint="default"/>
                      <w:b w:val="0"/>
                      <w:bCs w:val="0"/>
                      <w:sz w:val="21"/>
                      <w:szCs w:val="21"/>
                    </w:rPr>
                    <w:t>一级评价</w:t>
                  </w:r>
                </w:p>
              </w:tc>
              <w:tc>
                <w:tcPr>
                  <w:tcW w:w="4198" w:type="dxa"/>
                  <w:noWrap w:val="0"/>
                  <w:vAlign w:val="center"/>
                </w:tcPr>
                <w:p>
                  <w:pPr>
                    <w:pStyle w:val="53"/>
                    <w:bidi w:val="0"/>
                    <w:rPr>
                      <w:rFonts w:hint="default"/>
                      <w:b w:val="0"/>
                      <w:bCs w:val="0"/>
                      <w:sz w:val="21"/>
                      <w:szCs w:val="21"/>
                    </w:rPr>
                  </w:pPr>
                  <w:r>
                    <w:rPr>
                      <w:rFonts w:hint="default"/>
                      <w:b w:val="0"/>
                      <w:bCs w:val="0"/>
                      <w:sz w:val="21"/>
                      <w:szCs w:val="21"/>
                    </w:rPr>
                    <w:t>Pmax≧10%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098" w:type="dxa"/>
                  <w:noWrap w:val="0"/>
                  <w:vAlign w:val="center"/>
                </w:tcPr>
                <w:p>
                  <w:pPr>
                    <w:pStyle w:val="53"/>
                    <w:bidi w:val="0"/>
                    <w:rPr>
                      <w:rFonts w:hint="default"/>
                      <w:b w:val="0"/>
                      <w:bCs w:val="0"/>
                      <w:sz w:val="21"/>
                      <w:szCs w:val="21"/>
                    </w:rPr>
                  </w:pPr>
                  <w:r>
                    <w:rPr>
                      <w:rFonts w:hint="default"/>
                      <w:b w:val="0"/>
                      <w:bCs w:val="0"/>
                      <w:sz w:val="21"/>
                      <w:szCs w:val="21"/>
                    </w:rPr>
                    <w:t>二级评价</w:t>
                  </w:r>
                </w:p>
              </w:tc>
              <w:tc>
                <w:tcPr>
                  <w:tcW w:w="4198" w:type="dxa"/>
                  <w:noWrap w:val="0"/>
                  <w:vAlign w:val="center"/>
                </w:tcPr>
                <w:p>
                  <w:pPr>
                    <w:pStyle w:val="53"/>
                    <w:bidi w:val="0"/>
                    <w:rPr>
                      <w:rFonts w:hint="default"/>
                      <w:b w:val="0"/>
                      <w:bCs w:val="0"/>
                      <w:sz w:val="21"/>
                      <w:szCs w:val="21"/>
                    </w:rPr>
                  </w:pPr>
                  <w:r>
                    <w:rPr>
                      <w:rFonts w:hint="default"/>
                      <w:b w:val="0"/>
                      <w:bCs w:val="0"/>
                      <w:sz w:val="21"/>
                      <w:szCs w:val="21"/>
                    </w:rPr>
                    <w:t>1%≦Pmax&lt;10%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098" w:type="dxa"/>
                  <w:noWrap w:val="0"/>
                  <w:vAlign w:val="center"/>
                </w:tcPr>
                <w:p>
                  <w:pPr>
                    <w:pStyle w:val="53"/>
                    <w:bidi w:val="0"/>
                    <w:rPr>
                      <w:rFonts w:hint="default"/>
                      <w:b w:val="0"/>
                      <w:bCs w:val="0"/>
                      <w:sz w:val="21"/>
                      <w:szCs w:val="21"/>
                    </w:rPr>
                  </w:pPr>
                  <w:r>
                    <w:rPr>
                      <w:rFonts w:hint="default"/>
                      <w:b w:val="0"/>
                      <w:bCs w:val="0"/>
                      <w:sz w:val="21"/>
                      <w:szCs w:val="21"/>
                    </w:rPr>
                    <w:t>三级评价</w:t>
                  </w:r>
                </w:p>
              </w:tc>
              <w:tc>
                <w:tcPr>
                  <w:tcW w:w="4198" w:type="dxa"/>
                  <w:noWrap w:val="0"/>
                  <w:vAlign w:val="center"/>
                </w:tcPr>
                <w:p>
                  <w:pPr>
                    <w:pStyle w:val="53"/>
                    <w:bidi w:val="0"/>
                    <w:rPr>
                      <w:rFonts w:hint="default"/>
                      <w:b w:val="0"/>
                      <w:bCs w:val="0"/>
                      <w:sz w:val="21"/>
                      <w:szCs w:val="21"/>
                    </w:rPr>
                  </w:pPr>
                  <w:r>
                    <w:rPr>
                      <w:rFonts w:hint="default"/>
                      <w:b w:val="0"/>
                      <w:bCs w:val="0"/>
                      <w:sz w:val="21"/>
                      <w:szCs w:val="21"/>
                    </w:rPr>
                    <w:t>Pmax&lt;1%</w:t>
                  </w:r>
                </w:p>
              </w:tc>
            </w:tr>
          </w:tbl>
          <w:p>
            <w:pPr>
              <w:spacing w:line="360" w:lineRule="auto"/>
              <w:ind w:firstLine="482" w:firstLineChars="200"/>
              <w:rPr>
                <w:rFonts w:hint="eastAsia" w:ascii="Times New Roman" w:hAnsi="Times New Roman" w:cs="Times New Roman"/>
                <w:b/>
                <w:bCs/>
                <w:sz w:val="24"/>
                <w:szCs w:val="24"/>
                <w:lang w:val="en-US" w:eastAsia="zh-CN"/>
              </w:rPr>
            </w:pPr>
            <w:r>
              <w:rPr>
                <w:rFonts w:hint="eastAsia" w:cs="Times New Roman"/>
                <w:b/>
                <w:bCs/>
                <w:sz w:val="24"/>
                <w:szCs w:val="24"/>
                <w:lang w:val="en-US" w:eastAsia="zh-CN"/>
              </w:rPr>
              <w:t>3</w:t>
            </w:r>
            <w:r>
              <w:rPr>
                <w:rFonts w:hint="eastAsia" w:ascii="Times New Roman" w:hAnsi="Times New Roman" w:cs="Times New Roman"/>
                <w:b/>
                <w:bCs/>
                <w:sz w:val="24"/>
                <w:szCs w:val="24"/>
                <w:lang w:val="en-US" w:eastAsia="zh-CN"/>
              </w:rPr>
              <w:t>）污染物评价标准</w:t>
            </w:r>
          </w:p>
          <w:p>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污染物评价标准和来源见下表。</w:t>
            </w:r>
          </w:p>
          <w:p>
            <w:pPr>
              <w:pStyle w:val="52"/>
              <w:bidi w:val="0"/>
              <w:spacing w:line="240" w:lineRule="auto"/>
              <w:rPr>
                <w:rFonts w:hint="default"/>
                <w:lang w:val="en-US" w:eastAsia="zh-CN"/>
              </w:rPr>
            </w:pPr>
            <w:r>
              <w:rPr>
                <w:rFonts w:hint="eastAsia"/>
                <w:lang w:eastAsia="zh-CN"/>
              </w:rPr>
              <w:t>表</w:t>
            </w:r>
            <w:r>
              <w:rPr>
                <w:rFonts w:hint="eastAsia"/>
                <w:lang w:val="en-US" w:eastAsia="zh-CN"/>
              </w:rPr>
              <w:t>7-2 污染物评价标准</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6"/>
              <w:gridCol w:w="970"/>
              <w:gridCol w:w="1144"/>
              <w:gridCol w:w="1532"/>
              <w:gridCol w:w="3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污染源名称</w:t>
                  </w:r>
                </w:p>
              </w:tc>
              <w:tc>
                <w:tcPr>
                  <w:tcW w:w="982" w:type="dxa"/>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功能区</w:t>
                  </w:r>
                </w:p>
              </w:tc>
              <w:tc>
                <w:tcPr>
                  <w:tcW w:w="1159" w:type="dxa"/>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取值时间</w:t>
                  </w:r>
                </w:p>
              </w:tc>
              <w:tc>
                <w:tcPr>
                  <w:tcW w:w="1541" w:type="dxa"/>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标准（</w:t>
                  </w:r>
                  <w:r>
                    <w:rPr>
                      <w:rFonts w:hint="eastAsia"/>
                      <w:b w:val="0"/>
                      <w:bCs w:val="0"/>
                      <w:sz w:val="21"/>
                      <w:szCs w:val="21"/>
                      <w:lang w:val="en-US" w:eastAsia="zh-CN"/>
                    </w:rPr>
                    <w:t>ug/m</w:t>
                  </w:r>
                  <w:r>
                    <w:rPr>
                      <w:rFonts w:hint="eastAsia"/>
                      <w:b w:val="0"/>
                      <w:bCs w:val="0"/>
                      <w:sz w:val="21"/>
                      <w:szCs w:val="21"/>
                      <w:vertAlign w:val="superscript"/>
                      <w:lang w:val="en-US" w:eastAsia="zh-CN"/>
                    </w:rPr>
                    <w:t>3</w:t>
                  </w:r>
                  <w:r>
                    <w:rPr>
                      <w:rFonts w:hint="eastAsia"/>
                      <w:b w:val="0"/>
                      <w:bCs w:val="0"/>
                      <w:sz w:val="21"/>
                      <w:szCs w:val="21"/>
                      <w:lang w:eastAsia="zh-CN"/>
                    </w:rPr>
                    <w:t>）</w:t>
                  </w:r>
                </w:p>
              </w:tc>
              <w:tc>
                <w:tcPr>
                  <w:tcW w:w="3221" w:type="dxa"/>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TSP</w:t>
                  </w:r>
                </w:p>
              </w:tc>
              <w:tc>
                <w:tcPr>
                  <w:tcW w:w="982" w:type="dxa"/>
                  <w:vMerge w:val="restart"/>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二类功能区</w:t>
                  </w:r>
                </w:p>
              </w:tc>
              <w:tc>
                <w:tcPr>
                  <w:tcW w:w="1159" w:type="dxa"/>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日均</w:t>
                  </w:r>
                </w:p>
              </w:tc>
              <w:tc>
                <w:tcPr>
                  <w:tcW w:w="1541"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300</w:t>
                  </w:r>
                </w:p>
              </w:tc>
              <w:tc>
                <w:tcPr>
                  <w:tcW w:w="3221" w:type="dxa"/>
                  <w:noWrap w:val="0"/>
                  <w:vAlign w:val="center"/>
                </w:tcPr>
                <w:p>
                  <w:pPr>
                    <w:pStyle w:val="53"/>
                    <w:bidi w:val="0"/>
                    <w:spacing w:line="240" w:lineRule="auto"/>
                    <w:rPr>
                      <w:rFonts w:hint="default"/>
                      <w:b w:val="0"/>
                      <w:bCs w:val="0"/>
                      <w:sz w:val="21"/>
                      <w:szCs w:val="21"/>
                    </w:rPr>
                  </w:pPr>
                  <w:r>
                    <w:rPr>
                      <w:rFonts w:hint="default"/>
                      <w:b w:val="0"/>
                      <w:bCs w:val="0"/>
                      <w:sz w:val="21"/>
                      <w:szCs w:val="21"/>
                    </w:rPr>
                    <w:t>GB 3095-2012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挥发性有机物</w:t>
                  </w:r>
                </w:p>
              </w:tc>
              <w:tc>
                <w:tcPr>
                  <w:tcW w:w="982" w:type="dxa"/>
                  <w:vMerge w:val="continue"/>
                  <w:noWrap w:val="0"/>
                  <w:vAlign w:val="center"/>
                </w:tcPr>
                <w:p>
                  <w:pPr>
                    <w:pStyle w:val="53"/>
                    <w:bidi w:val="0"/>
                    <w:spacing w:line="240" w:lineRule="auto"/>
                    <w:rPr>
                      <w:rFonts w:hint="default"/>
                      <w:b w:val="0"/>
                      <w:bCs w:val="0"/>
                      <w:sz w:val="21"/>
                      <w:szCs w:val="21"/>
                    </w:rPr>
                  </w:pPr>
                </w:p>
              </w:tc>
              <w:tc>
                <w:tcPr>
                  <w:tcW w:w="1159" w:type="dxa"/>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一小时</w:t>
                  </w:r>
                </w:p>
              </w:tc>
              <w:tc>
                <w:tcPr>
                  <w:tcW w:w="1541"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600</w:t>
                  </w:r>
                </w:p>
              </w:tc>
              <w:tc>
                <w:tcPr>
                  <w:tcW w:w="3221" w:type="dxa"/>
                  <w:noWrap w:val="0"/>
                  <w:vAlign w:val="center"/>
                </w:tcPr>
                <w:p>
                  <w:pPr>
                    <w:pStyle w:val="53"/>
                    <w:bidi w:val="0"/>
                    <w:spacing w:line="240" w:lineRule="auto"/>
                    <w:rPr>
                      <w:rFonts w:hint="default"/>
                      <w:b w:val="0"/>
                      <w:bCs w:val="0"/>
                      <w:sz w:val="21"/>
                      <w:szCs w:val="21"/>
                      <w:lang w:val="en-US" w:eastAsia="zh-CN"/>
                    </w:rPr>
                  </w:pPr>
                  <w:r>
                    <w:rPr>
                      <w:rFonts w:hint="default"/>
                      <w:b w:val="0"/>
                      <w:bCs w:val="0"/>
                      <w:sz w:val="21"/>
                      <w:szCs w:val="21"/>
                    </w:rPr>
                    <w:t>《</w:t>
                  </w:r>
                  <w:r>
                    <w:rPr>
                      <w:rFonts w:hint="eastAsia"/>
                      <w:b w:val="0"/>
                      <w:bCs w:val="0"/>
                      <w:sz w:val="21"/>
                      <w:szCs w:val="21"/>
                      <w:lang w:eastAsia="zh-CN"/>
                    </w:rPr>
                    <w:t>环境影响评价技术导则</w:t>
                  </w:r>
                  <w:r>
                    <w:rPr>
                      <w:rFonts w:hint="eastAsia"/>
                      <w:b w:val="0"/>
                      <w:bCs w:val="0"/>
                      <w:sz w:val="21"/>
                      <w:szCs w:val="21"/>
                      <w:lang w:val="en-US" w:eastAsia="zh-CN"/>
                    </w:rPr>
                    <w:t>--大气环境</w:t>
                  </w:r>
                  <w:r>
                    <w:rPr>
                      <w:rFonts w:hint="default"/>
                      <w:b w:val="0"/>
                      <w:bCs w:val="0"/>
                      <w:sz w:val="21"/>
                      <w:szCs w:val="21"/>
                    </w:rPr>
                    <w:t>》（</w:t>
                  </w:r>
                  <w:r>
                    <w:rPr>
                      <w:rFonts w:hint="eastAsia"/>
                      <w:b w:val="0"/>
                      <w:bCs w:val="0"/>
                      <w:sz w:val="21"/>
                      <w:szCs w:val="21"/>
                      <w:lang w:val="en-US" w:eastAsia="zh-CN"/>
                    </w:rPr>
                    <w:t>HJ2.2-2018</w:t>
                  </w:r>
                  <w:r>
                    <w:rPr>
                      <w:rFonts w:hint="eastAsia"/>
                      <w:b w:val="0"/>
                      <w:bCs w:val="0"/>
                      <w:sz w:val="21"/>
                      <w:szCs w:val="21"/>
                      <w:lang w:eastAsia="zh-CN"/>
                    </w:rPr>
                    <w:t>附录</w:t>
                  </w:r>
                  <w:r>
                    <w:rPr>
                      <w:rFonts w:hint="eastAsia"/>
                      <w:b w:val="0"/>
                      <w:bCs w:val="0"/>
                      <w:sz w:val="21"/>
                      <w:szCs w:val="21"/>
                      <w:lang w:val="en-US" w:eastAsia="zh-CN"/>
                    </w:rPr>
                    <w:t>D中总挥发性有机物8h均值</w:t>
                  </w:r>
                </w:p>
              </w:tc>
            </w:tr>
          </w:tbl>
          <w:p>
            <w:pPr>
              <w:spacing w:line="360" w:lineRule="auto"/>
              <w:ind w:firstLine="482" w:firstLineChars="200"/>
              <w:rPr>
                <w:rFonts w:hint="default" w:ascii="Times New Roman" w:hAnsi="Times New Roman" w:cs="Times New Roman"/>
                <w:b/>
                <w:bCs/>
                <w:sz w:val="24"/>
                <w:szCs w:val="24"/>
                <w:lang w:val="en-US" w:eastAsia="zh-CN"/>
              </w:rPr>
            </w:pPr>
            <w:r>
              <w:rPr>
                <w:rFonts w:hint="eastAsia" w:cs="Times New Roman"/>
                <w:b/>
                <w:bCs/>
                <w:sz w:val="24"/>
                <w:szCs w:val="24"/>
                <w:lang w:val="en-US" w:eastAsia="zh-CN"/>
              </w:rPr>
              <w:t>4</w:t>
            </w:r>
            <w:r>
              <w:rPr>
                <w:rFonts w:hint="eastAsia" w:ascii="Times New Roman" w:hAnsi="Times New Roman" w:cs="Times New Roman"/>
                <w:b/>
                <w:bCs/>
                <w:sz w:val="24"/>
                <w:szCs w:val="24"/>
                <w:lang w:val="en-US" w:eastAsia="zh-CN"/>
              </w:rPr>
              <w:t>）污染物源强参数</w:t>
            </w:r>
          </w:p>
          <w:p>
            <w:pPr>
              <w:pStyle w:val="52"/>
              <w:bidi w:val="0"/>
              <w:spacing w:line="240" w:lineRule="auto"/>
              <w:rPr>
                <w:rFonts w:hint="default"/>
              </w:rPr>
            </w:pPr>
            <w:r>
              <w:rPr>
                <w:rFonts w:hint="default"/>
              </w:rPr>
              <w:t>表7-</w:t>
            </w:r>
            <w:r>
              <w:rPr>
                <w:rFonts w:hint="eastAsia"/>
                <w:lang w:val="en-US" w:eastAsia="zh-CN"/>
              </w:rPr>
              <w:t xml:space="preserve">3 </w:t>
            </w:r>
            <w:r>
              <w:rPr>
                <w:rFonts w:hint="default"/>
              </w:rPr>
              <w:t>主要废气污染源参数一览表(点源)</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17"/>
              <w:gridCol w:w="1262"/>
              <w:gridCol w:w="1157"/>
              <w:gridCol w:w="651"/>
              <w:gridCol w:w="472"/>
              <w:gridCol w:w="589"/>
              <w:gridCol w:w="739"/>
              <w:gridCol w:w="780"/>
              <w:gridCol w:w="748"/>
              <w:gridCol w:w="660"/>
              <w:gridCol w:w="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17" w:type="dxa"/>
                  <w:vMerge w:val="restart"/>
                  <w:noWrap w:val="0"/>
                  <w:vAlign w:val="center"/>
                </w:tcPr>
                <w:p>
                  <w:pPr>
                    <w:pStyle w:val="53"/>
                    <w:bidi w:val="0"/>
                    <w:spacing w:line="240" w:lineRule="auto"/>
                    <w:rPr>
                      <w:rFonts w:hint="default"/>
                      <w:b w:val="0"/>
                      <w:bCs w:val="0"/>
                      <w:sz w:val="21"/>
                      <w:szCs w:val="21"/>
                    </w:rPr>
                  </w:pPr>
                  <w:r>
                    <w:rPr>
                      <w:rFonts w:hint="default"/>
                      <w:b w:val="0"/>
                      <w:bCs w:val="0"/>
                      <w:sz w:val="21"/>
                      <w:szCs w:val="21"/>
                    </w:rPr>
                    <w:t>污染源名称</w:t>
                  </w:r>
                </w:p>
              </w:tc>
              <w:tc>
                <w:tcPr>
                  <w:tcW w:w="2419" w:type="dxa"/>
                  <w:gridSpan w:val="2"/>
                  <w:noWrap w:val="0"/>
                  <w:vAlign w:val="center"/>
                </w:tcPr>
                <w:p>
                  <w:pPr>
                    <w:pStyle w:val="53"/>
                    <w:bidi w:val="0"/>
                    <w:spacing w:line="240" w:lineRule="auto"/>
                    <w:rPr>
                      <w:rFonts w:hint="default"/>
                      <w:b w:val="0"/>
                      <w:bCs w:val="0"/>
                      <w:sz w:val="21"/>
                      <w:szCs w:val="21"/>
                    </w:rPr>
                  </w:pPr>
                  <w:r>
                    <w:rPr>
                      <w:rFonts w:hint="default"/>
                      <w:b w:val="0"/>
                      <w:bCs w:val="0"/>
                      <w:sz w:val="21"/>
                      <w:szCs w:val="21"/>
                    </w:rPr>
                    <w:t>排气筒底部中心坐标</w:t>
                  </w:r>
                </w:p>
              </w:tc>
              <w:tc>
                <w:tcPr>
                  <w:tcW w:w="651" w:type="dxa"/>
                  <w:vMerge w:val="restart"/>
                  <w:noWrap w:val="0"/>
                  <w:vAlign w:val="center"/>
                </w:tcPr>
                <w:p>
                  <w:pPr>
                    <w:pStyle w:val="53"/>
                    <w:bidi w:val="0"/>
                    <w:spacing w:line="240" w:lineRule="auto"/>
                    <w:rPr>
                      <w:rFonts w:hint="default"/>
                      <w:b w:val="0"/>
                      <w:bCs w:val="0"/>
                      <w:sz w:val="21"/>
                      <w:szCs w:val="21"/>
                    </w:rPr>
                  </w:pPr>
                  <w:r>
                    <w:rPr>
                      <w:rFonts w:hint="default"/>
                      <w:b w:val="0"/>
                      <w:bCs w:val="0"/>
                      <w:sz w:val="21"/>
                      <w:szCs w:val="21"/>
                    </w:rPr>
                    <w:t>排气筒底部海拔高度(m)</w:t>
                  </w:r>
                </w:p>
              </w:tc>
              <w:tc>
                <w:tcPr>
                  <w:tcW w:w="2580" w:type="dxa"/>
                  <w:gridSpan w:val="4"/>
                  <w:noWrap w:val="0"/>
                  <w:vAlign w:val="center"/>
                </w:tcPr>
                <w:p>
                  <w:pPr>
                    <w:pStyle w:val="53"/>
                    <w:bidi w:val="0"/>
                    <w:spacing w:line="240" w:lineRule="auto"/>
                    <w:rPr>
                      <w:rFonts w:hint="default"/>
                      <w:b w:val="0"/>
                      <w:bCs w:val="0"/>
                      <w:sz w:val="21"/>
                      <w:szCs w:val="21"/>
                    </w:rPr>
                  </w:pPr>
                  <w:r>
                    <w:rPr>
                      <w:rFonts w:hint="default"/>
                      <w:b w:val="0"/>
                      <w:bCs w:val="0"/>
                      <w:sz w:val="21"/>
                      <w:szCs w:val="21"/>
                    </w:rPr>
                    <w:t>排气筒参数</w:t>
                  </w:r>
                </w:p>
              </w:tc>
              <w:tc>
                <w:tcPr>
                  <w:tcW w:w="748" w:type="dxa"/>
                  <w:vMerge w:val="restart"/>
                  <w:noWrap w:val="0"/>
                  <w:vAlign w:val="center"/>
                </w:tcPr>
                <w:p>
                  <w:pPr>
                    <w:pStyle w:val="53"/>
                    <w:bidi w:val="0"/>
                    <w:spacing w:line="240" w:lineRule="auto"/>
                    <w:rPr>
                      <w:rFonts w:hint="default"/>
                      <w:b w:val="0"/>
                      <w:bCs w:val="0"/>
                      <w:sz w:val="21"/>
                      <w:szCs w:val="21"/>
                    </w:rPr>
                  </w:pPr>
                  <w:r>
                    <w:rPr>
                      <w:rFonts w:hint="default"/>
                      <w:b w:val="0"/>
                      <w:bCs w:val="0"/>
                      <w:sz w:val="21"/>
                      <w:szCs w:val="21"/>
                    </w:rPr>
                    <w:t>污染物名称</w:t>
                  </w:r>
                </w:p>
              </w:tc>
              <w:tc>
                <w:tcPr>
                  <w:tcW w:w="660" w:type="dxa"/>
                  <w:vMerge w:val="restart"/>
                  <w:noWrap w:val="0"/>
                  <w:vAlign w:val="center"/>
                </w:tcPr>
                <w:p>
                  <w:pPr>
                    <w:pStyle w:val="53"/>
                    <w:bidi w:val="0"/>
                    <w:spacing w:line="240" w:lineRule="auto"/>
                    <w:rPr>
                      <w:rFonts w:hint="default"/>
                      <w:b w:val="0"/>
                      <w:bCs w:val="0"/>
                      <w:sz w:val="21"/>
                      <w:szCs w:val="21"/>
                    </w:rPr>
                  </w:pPr>
                  <w:r>
                    <w:rPr>
                      <w:rFonts w:hint="default"/>
                      <w:b w:val="0"/>
                      <w:bCs w:val="0"/>
                      <w:sz w:val="21"/>
                      <w:szCs w:val="21"/>
                    </w:rPr>
                    <w:t>排放速率</w:t>
                  </w:r>
                </w:p>
              </w:tc>
              <w:tc>
                <w:tcPr>
                  <w:tcW w:w="630" w:type="dxa"/>
                  <w:vMerge w:val="restart"/>
                  <w:noWrap w:val="0"/>
                  <w:vAlign w:val="center"/>
                </w:tcPr>
                <w:p>
                  <w:pPr>
                    <w:pStyle w:val="53"/>
                    <w:bidi w:val="0"/>
                    <w:spacing w:line="240" w:lineRule="auto"/>
                    <w:rPr>
                      <w:rFonts w:hint="default"/>
                      <w:b w:val="0"/>
                      <w:bCs w:val="0"/>
                      <w:sz w:val="21"/>
                      <w:szCs w:val="21"/>
                    </w:rPr>
                  </w:pPr>
                  <w:r>
                    <w:rPr>
                      <w:rFonts w:hint="default"/>
                      <w:b w:val="0"/>
                      <w:bCs w:val="0"/>
                      <w:sz w:val="21"/>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17" w:type="dxa"/>
                  <w:vMerge w:val="continue"/>
                  <w:noWrap w:val="0"/>
                  <w:vAlign w:val="center"/>
                </w:tcPr>
                <w:p>
                  <w:pPr>
                    <w:pStyle w:val="53"/>
                    <w:bidi w:val="0"/>
                    <w:spacing w:line="240" w:lineRule="auto"/>
                    <w:rPr>
                      <w:rFonts w:hint="default"/>
                      <w:b w:val="0"/>
                      <w:bCs w:val="0"/>
                      <w:sz w:val="21"/>
                      <w:szCs w:val="21"/>
                    </w:rPr>
                  </w:pPr>
                </w:p>
              </w:tc>
              <w:tc>
                <w:tcPr>
                  <w:tcW w:w="1262" w:type="dxa"/>
                  <w:noWrap w:val="0"/>
                  <w:vAlign w:val="center"/>
                </w:tcPr>
                <w:p>
                  <w:pPr>
                    <w:pStyle w:val="53"/>
                    <w:bidi w:val="0"/>
                    <w:spacing w:line="240" w:lineRule="auto"/>
                    <w:rPr>
                      <w:rFonts w:hint="default"/>
                      <w:b w:val="0"/>
                      <w:bCs w:val="0"/>
                      <w:sz w:val="21"/>
                      <w:szCs w:val="21"/>
                    </w:rPr>
                  </w:pPr>
                  <w:r>
                    <w:rPr>
                      <w:rFonts w:hint="default"/>
                      <w:b w:val="0"/>
                      <w:bCs w:val="0"/>
                      <w:sz w:val="21"/>
                      <w:szCs w:val="21"/>
                    </w:rPr>
                    <w:t>经度</w:t>
                  </w:r>
                </w:p>
              </w:tc>
              <w:tc>
                <w:tcPr>
                  <w:tcW w:w="1157" w:type="dxa"/>
                  <w:noWrap w:val="0"/>
                  <w:vAlign w:val="center"/>
                </w:tcPr>
                <w:p>
                  <w:pPr>
                    <w:pStyle w:val="53"/>
                    <w:bidi w:val="0"/>
                    <w:spacing w:line="240" w:lineRule="auto"/>
                    <w:rPr>
                      <w:rFonts w:hint="default"/>
                      <w:b w:val="0"/>
                      <w:bCs w:val="0"/>
                      <w:sz w:val="21"/>
                      <w:szCs w:val="21"/>
                    </w:rPr>
                  </w:pPr>
                  <w:r>
                    <w:rPr>
                      <w:rFonts w:hint="default"/>
                      <w:b w:val="0"/>
                      <w:bCs w:val="0"/>
                      <w:sz w:val="21"/>
                      <w:szCs w:val="21"/>
                    </w:rPr>
                    <w:t>纬度</w:t>
                  </w:r>
                </w:p>
              </w:tc>
              <w:tc>
                <w:tcPr>
                  <w:tcW w:w="651" w:type="dxa"/>
                  <w:vMerge w:val="continue"/>
                  <w:noWrap w:val="0"/>
                  <w:vAlign w:val="center"/>
                </w:tcPr>
                <w:p>
                  <w:pPr>
                    <w:pStyle w:val="53"/>
                    <w:bidi w:val="0"/>
                    <w:spacing w:line="240" w:lineRule="auto"/>
                    <w:rPr>
                      <w:rFonts w:hint="default"/>
                      <w:b w:val="0"/>
                      <w:bCs w:val="0"/>
                      <w:sz w:val="21"/>
                      <w:szCs w:val="21"/>
                    </w:rPr>
                  </w:pPr>
                </w:p>
              </w:tc>
              <w:tc>
                <w:tcPr>
                  <w:tcW w:w="472" w:type="dxa"/>
                  <w:noWrap w:val="0"/>
                  <w:vAlign w:val="center"/>
                </w:tcPr>
                <w:p>
                  <w:pPr>
                    <w:pStyle w:val="53"/>
                    <w:bidi w:val="0"/>
                    <w:spacing w:line="240" w:lineRule="auto"/>
                    <w:rPr>
                      <w:rFonts w:hint="default"/>
                      <w:b w:val="0"/>
                      <w:bCs w:val="0"/>
                      <w:sz w:val="21"/>
                      <w:szCs w:val="21"/>
                    </w:rPr>
                  </w:pPr>
                  <w:r>
                    <w:rPr>
                      <w:rFonts w:hint="default"/>
                      <w:b w:val="0"/>
                      <w:bCs w:val="0"/>
                      <w:sz w:val="21"/>
                      <w:szCs w:val="21"/>
                    </w:rPr>
                    <w:t>高度</w:t>
                  </w:r>
                </w:p>
                <w:p>
                  <w:pPr>
                    <w:pStyle w:val="53"/>
                    <w:bidi w:val="0"/>
                    <w:spacing w:line="240" w:lineRule="auto"/>
                    <w:rPr>
                      <w:rFonts w:hint="default"/>
                      <w:b w:val="0"/>
                      <w:bCs w:val="0"/>
                      <w:sz w:val="21"/>
                      <w:szCs w:val="21"/>
                    </w:rPr>
                  </w:pPr>
                  <w:r>
                    <w:rPr>
                      <w:rFonts w:hint="default"/>
                      <w:b w:val="0"/>
                      <w:bCs w:val="0"/>
                      <w:sz w:val="21"/>
                      <w:szCs w:val="21"/>
                    </w:rPr>
                    <w:t>(m)</w:t>
                  </w:r>
                </w:p>
              </w:tc>
              <w:tc>
                <w:tcPr>
                  <w:tcW w:w="589" w:type="dxa"/>
                  <w:noWrap w:val="0"/>
                  <w:vAlign w:val="center"/>
                </w:tcPr>
                <w:p>
                  <w:pPr>
                    <w:pStyle w:val="53"/>
                    <w:bidi w:val="0"/>
                    <w:spacing w:line="240" w:lineRule="auto"/>
                    <w:rPr>
                      <w:rFonts w:hint="default"/>
                      <w:b w:val="0"/>
                      <w:bCs w:val="0"/>
                      <w:sz w:val="21"/>
                      <w:szCs w:val="21"/>
                    </w:rPr>
                  </w:pPr>
                  <w:r>
                    <w:rPr>
                      <w:rFonts w:hint="default"/>
                      <w:b w:val="0"/>
                      <w:bCs w:val="0"/>
                      <w:sz w:val="21"/>
                      <w:szCs w:val="21"/>
                    </w:rPr>
                    <w:t>内径</w:t>
                  </w:r>
                </w:p>
                <w:p>
                  <w:pPr>
                    <w:pStyle w:val="53"/>
                    <w:bidi w:val="0"/>
                    <w:spacing w:line="240" w:lineRule="auto"/>
                    <w:rPr>
                      <w:rFonts w:hint="default"/>
                      <w:b w:val="0"/>
                      <w:bCs w:val="0"/>
                      <w:sz w:val="21"/>
                      <w:szCs w:val="21"/>
                    </w:rPr>
                  </w:pPr>
                  <w:r>
                    <w:rPr>
                      <w:rFonts w:hint="default"/>
                      <w:b w:val="0"/>
                      <w:bCs w:val="0"/>
                      <w:sz w:val="21"/>
                      <w:szCs w:val="21"/>
                    </w:rPr>
                    <w:t>(m)</w:t>
                  </w:r>
                </w:p>
              </w:tc>
              <w:tc>
                <w:tcPr>
                  <w:tcW w:w="739" w:type="dxa"/>
                  <w:noWrap w:val="0"/>
                  <w:vAlign w:val="center"/>
                </w:tcPr>
                <w:p>
                  <w:pPr>
                    <w:pStyle w:val="53"/>
                    <w:bidi w:val="0"/>
                    <w:spacing w:line="240" w:lineRule="auto"/>
                    <w:rPr>
                      <w:rFonts w:hint="default"/>
                      <w:b w:val="0"/>
                      <w:bCs w:val="0"/>
                      <w:sz w:val="21"/>
                      <w:szCs w:val="21"/>
                    </w:rPr>
                  </w:pPr>
                  <w:r>
                    <w:rPr>
                      <w:rFonts w:hint="default"/>
                      <w:b w:val="0"/>
                      <w:bCs w:val="0"/>
                      <w:sz w:val="21"/>
                      <w:szCs w:val="21"/>
                    </w:rPr>
                    <w:t>温度</w:t>
                  </w:r>
                </w:p>
                <w:p>
                  <w:pPr>
                    <w:pStyle w:val="53"/>
                    <w:bidi w:val="0"/>
                    <w:spacing w:line="240" w:lineRule="auto"/>
                    <w:rPr>
                      <w:rFonts w:hint="default"/>
                      <w:b w:val="0"/>
                      <w:bCs w:val="0"/>
                      <w:sz w:val="21"/>
                      <w:szCs w:val="21"/>
                    </w:rPr>
                  </w:pPr>
                  <w:r>
                    <w:rPr>
                      <w:rFonts w:hint="default"/>
                      <w:b w:val="0"/>
                      <w:bCs w:val="0"/>
                      <w:sz w:val="21"/>
                      <w:szCs w:val="21"/>
                    </w:rPr>
                    <w:t>(℃)</w:t>
                  </w:r>
                </w:p>
              </w:tc>
              <w:tc>
                <w:tcPr>
                  <w:tcW w:w="780" w:type="dxa"/>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流速（</w:t>
                  </w:r>
                  <w:r>
                    <w:rPr>
                      <w:rFonts w:hint="eastAsia"/>
                      <w:b w:val="0"/>
                      <w:bCs w:val="0"/>
                      <w:sz w:val="21"/>
                      <w:szCs w:val="21"/>
                      <w:lang w:val="en-US" w:eastAsia="zh-CN"/>
                    </w:rPr>
                    <w:t>m/s</w:t>
                  </w:r>
                  <w:r>
                    <w:rPr>
                      <w:rFonts w:hint="eastAsia"/>
                      <w:b w:val="0"/>
                      <w:bCs w:val="0"/>
                      <w:sz w:val="21"/>
                      <w:szCs w:val="21"/>
                      <w:lang w:eastAsia="zh-CN"/>
                    </w:rPr>
                    <w:t>）</w:t>
                  </w:r>
                </w:p>
              </w:tc>
              <w:tc>
                <w:tcPr>
                  <w:tcW w:w="748" w:type="dxa"/>
                  <w:vMerge w:val="continue"/>
                  <w:noWrap w:val="0"/>
                  <w:vAlign w:val="center"/>
                </w:tcPr>
                <w:p>
                  <w:pPr>
                    <w:pStyle w:val="53"/>
                    <w:bidi w:val="0"/>
                    <w:spacing w:line="240" w:lineRule="auto"/>
                    <w:rPr>
                      <w:rFonts w:hint="default"/>
                      <w:b w:val="0"/>
                      <w:bCs w:val="0"/>
                      <w:sz w:val="21"/>
                      <w:szCs w:val="21"/>
                    </w:rPr>
                  </w:pPr>
                </w:p>
              </w:tc>
              <w:tc>
                <w:tcPr>
                  <w:tcW w:w="660" w:type="dxa"/>
                  <w:vMerge w:val="continue"/>
                  <w:noWrap w:val="0"/>
                  <w:vAlign w:val="center"/>
                </w:tcPr>
                <w:p>
                  <w:pPr>
                    <w:pStyle w:val="53"/>
                    <w:bidi w:val="0"/>
                    <w:spacing w:line="240" w:lineRule="auto"/>
                    <w:rPr>
                      <w:rFonts w:hint="default"/>
                      <w:b w:val="0"/>
                      <w:bCs w:val="0"/>
                      <w:sz w:val="21"/>
                      <w:szCs w:val="21"/>
                    </w:rPr>
                  </w:pPr>
                </w:p>
              </w:tc>
              <w:tc>
                <w:tcPr>
                  <w:tcW w:w="630" w:type="dxa"/>
                  <w:vMerge w:val="continue"/>
                  <w:noWrap w:val="0"/>
                  <w:vAlign w:val="center"/>
                </w:tcPr>
                <w:p>
                  <w:pPr>
                    <w:pStyle w:val="53"/>
                    <w:bidi w:val="0"/>
                    <w:spacing w:line="240" w:lineRule="auto"/>
                    <w:rPr>
                      <w:rFonts w:hint="default"/>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trPr>
              <w:tc>
                <w:tcPr>
                  <w:tcW w:w="517" w:type="dxa"/>
                  <w:vMerge w:val="restart"/>
                  <w:noWrap w:val="0"/>
                  <w:vAlign w:val="center"/>
                </w:tcPr>
                <w:p>
                  <w:pPr>
                    <w:pStyle w:val="53"/>
                    <w:bidi w:val="0"/>
                    <w:spacing w:line="240" w:lineRule="auto"/>
                    <w:rPr>
                      <w:rFonts w:hint="eastAsia"/>
                      <w:b w:val="0"/>
                      <w:bCs w:val="0"/>
                      <w:sz w:val="21"/>
                      <w:szCs w:val="21"/>
                      <w:lang w:val="en-US" w:eastAsia="zh-CN"/>
                    </w:rPr>
                  </w:pPr>
                  <w:r>
                    <w:rPr>
                      <w:rFonts w:hint="default"/>
                      <w:b w:val="0"/>
                      <w:bCs w:val="0"/>
                      <w:sz w:val="21"/>
                      <w:szCs w:val="21"/>
                    </w:rPr>
                    <w:t>点源</w:t>
                  </w:r>
                  <w:r>
                    <w:rPr>
                      <w:rFonts w:hint="eastAsia"/>
                      <w:b w:val="0"/>
                      <w:bCs w:val="0"/>
                      <w:sz w:val="21"/>
                      <w:szCs w:val="21"/>
                      <w:lang w:val="en-US" w:eastAsia="zh-CN"/>
                    </w:rPr>
                    <w:t>1</w:t>
                  </w:r>
                </w:p>
              </w:tc>
              <w:tc>
                <w:tcPr>
                  <w:tcW w:w="1262" w:type="dxa"/>
                  <w:vMerge w:val="restart"/>
                  <w:noWrap w:val="0"/>
                  <w:vAlign w:val="center"/>
                </w:tcPr>
                <w:p>
                  <w:pPr>
                    <w:pStyle w:val="53"/>
                    <w:bidi w:val="0"/>
                    <w:spacing w:line="240" w:lineRule="auto"/>
                    <w:rPr>
                      <w:rFonts w:hint="default"/>
                      <w:b w:val="0"/>
                      <w:bCs w:val="0"/>
                      <w:sz w:val="21"/>
                      <w:szCs w:val="21"/>
                      <w:lang w:val="en-US" w:eastAsia="zh-CN"/>
                    </w:rPr>
                  </w:pPr>
                  <w:r>
                    <w:rPr>
                      <w:rFonts w:hint="default"/>
                      <w:b w:val="0"/>
                      <w:bCs w:val="0"/>
                      <w:sz w:val="21"/>
                      <w:szCs w:val="21"/>
                    </w:rPr>
                    <w:t>102°</w:t>
                  </w:r>
                  <w:r>
                    <w:rPr>
                      <w:rFonts w:hint="eastAsia"/>
                      <w:b w:val="0"/>
                      <w:bCs w:val="0"/>
                      <w:sz w:val="21"/>
                      <w:szCs w:val="21"/>
                      <w:lang w:val="en-US" w:eastAsia="zh-CN"/>
                    </w:rPr>
                    <w:t>27</w:t>
                  </w:r>
                  <w:r>
                    <w:rPr>
                      <w:rFonts w:hint="default"/>
                      <w:b w:val="0"/>
                      <w:bCs w:val="0"/>
                      <w:sz w:val="21"/>
                      <w:szCs w:val="21"/>
                    </w:rPr>
                    <w:t>'</w:t>
                  </w:r>
                  <w:r>
                    <w:rPr>
                      <w:rFonts w:hint="eastAsia"/>
                      <w:b w:val="0"/>
                      <w:bCs w:val="0"/>
                      <w:sz w:val="21"/>
                      <w:szCs w:val="21"/>
                      <w:lang w:val="en-US" w:eastAsia="zh-CN"/>
                    </w:rPr>
                    <w:t>50.54</w:t>
                  </w:r>
                  <w:r>
                    <w:rPr>
                      <w:rFonts w:hint="default"/>
                      <w:b w:val="0"/>
                      <w:bCs w:val="0"/>
                      <w:sz w:val="21"/>
                      <w:szCs w:val="21"/>
                    </w:rPr>
                    <w:t>"</w:t>
                  </w:r>
                </w:p>
              </w:tc>
              <w:tc>
                <w:tcPr>
                  <w:tcW w:w="1157" w:type="dxa"/>
                  <w:vMerge w:val="restart"/>
                  <w:noWrap w:val="0"/>
                  <w:vAlign w:val="center"/>
                </w:tcPr>
                <w:p>
                  <w:pPr>
                    <w:pStyle w:val="53"/>
                    <w:bidi w:val="0"/>
                    <w:spacing w:line="240" w:lineRule="auto"/>
                    <w:rPr>
                      <w:rFonts w:hint="default"/>
                      <w:b w:val="0"/>
                      <w:bCs w:val="0"/>
                      <w:sz w:val="21"/>
                      <w:szCs w:val="21"/>
                    </w:rPr>
                  </w:pPr>
                  <w:r>
                    <w:rPr>
                      <w:rFonts w:hint="default"/>
                      <w:b w:val="0"/>
                      <w:bCs w:val="0"/>
                      <w:sz w:val="21"/>
                      <w:szCs w:val="21"/>
                    </w:rPr>
                    <w:t>25°1</w:t>
                  </w:r>
                  <w:r>
                    <w:rPr>
                      <w:rFonts w:hint="eastAsia"/>
                      <w:b w:val="0"/>
                      <w:bCs w:val="0"/>
                      <w:sz w:val="21"/>
                      <w:szCs w:val="21"/>
                      <w:lang w:val="en-US" w:eastAsia="zh-CN"/>
                    </w:rPr>
                    <w:t>5</w:t>
                  </w:r>
                  <w:r>
                    <w:rPr>
                      <w:rFonts w:hint="default"/>
                      <w:b w:val="0"/>
                      <w:bCs w:val="0"/>
                      <w:sz w:val="21"/>
                      <w:szCs w:val="21"/>
                    </w:rPr>
                    <w:t>'5</w:t>
                  </w:r>
                  <w:r>
                    <w:rPr>
                      <w:rFonts w:hint="eastAsia"/>
                      <w:b w:val="0"/>
                      <w:bCs w:val="0"/>
                      <w:sz w:val="21"/>
                      <w:szCs w:val="21"/>
                      <w:lang w:val="en-US" w:eastAsia="zh-CN"/>
                    </w:rPr>
                    <w:t>3.82</w:t>
                  </w:r>
                  <w:r>
                    <w:rPr>
                      <w:rFonts w:hint="default"/>
                      <w:b w:val="0"/>
                      <w:bCs w:val="0"/>
                      <w:sz w:val="21"/>
                      <w:szCs w:val="21"/>
                    </w:rPr>
                    <w:t>"</w:t>
                  </w:r>
                </w:p>
              </w:tc>
              <w:tc>
                <w:tcPr>
                  <w:tcW w:w="651" w:type="dxa"/>
                  <w:vMerge w:val="restart"/>
                  <w:noWrap w:val="0"/>
                  <w:vAlign w:val="center"/>
                </w:tcPr>
                <w:p>
                  <w:pPr>
                    <w:pStyle w:val="53"/>
                    <w:bidi w:val="0"/>
                    <w:spacing w:line="240" w:lineRule="auto"/>
                    <w:rPr>
                      <w:rFonts w:hint="default"/>
                      <w:b w:val="0"/>
                      <w:bCs w:val="0"/>
                      <w:sz w:val="21"/>
                      <w:szCs w:val="21"/>
                    </w:rPr>
                  </w:pPr>
                  <w:r>
                    <w:rPr>
                      <w:rFonts w:hint="default"/>
                      <w:b w:val="0"/>
                      <w:bCs w:val="0"/>
                      <w:sz w:val="21"/>
                      <w:szCs w:val="21"/>
                      <w:lang w:val="en-US" w:eastAsia="zh-CN"/>
                    </w:rPr>
                    <w:t>1</w:t>
                  </w:r>
                  <w:r>
                    <w:rPr>
                      <w:rFonts w:hint="eastAsia"/>
                      <w:b w:val="0"/>
                      <w:bCs w:val="0"/>
                      <w:sz w:val="21"/>
                      <w:szCs w:val="21"/>
                      <w:lang w:val="en-US" w:eastAsia="zh-CN"/>
                    </w:rPr>
                    <w:t>753</w:t>
                  </w:r>
                  <w:r>
                    <w:rPr>
                      <w:rFonts w:hint="default"/>
                      <w:b w:val="0"/>
                      <w:bCs w:val="0"/>
                      <w:sz w:val="21"/>
                      <w:szCs w:val="21"/>
                      <w:lang w:val="en-US" w:eastAsia="zh-CN"/>
                    </w:rPr>
                    <w:t>.0</w:t>
                  </w:r>
                </w:p>
              </w:tc>
              <w:tc>
                <w:tcPr>
                  <w:tcW w:w="472" w:type="dxa"/>
                  <w:vMerge w:val="restart"/>
                  <w:noWrap w:val="0"/>
                  <w:vAlign w:val="center"/>
                </w:tcPr>
                <w:p>
                  <w:pPr>
                    <w:pStyle w:val="53"/>
                    <w:bidi w:val="0"/>
                    <w:spacing w:line="240" w:lineRule="auto"/>
                    <w:rPr>
                      <w:rFonts w:hint="default"/>
                      <w:b w:val="0"/>
                      <w:bCs w:val="0"/>
                      <w:sz w:val="21"/>
                      <w:szCs w:val="21"/>
                    </w:rPr>
                  </w:pPr>
                  <w:r>
                    <w:rPr>
                      <w:rFonts w:hint="eastAsia"/>
                      <w:b w:val="0"/>
                      <w:bCs w:val="0"/>
                      <w:sz w:val="21"/>
                      <w:szCs w:val="21"/>
                      <w:lang w:val="en-US" w:eastAsia="zh-CN"/>
                    </w:rPr>
                    <w:t>15</w:t>
                  </w:r>
                  <w:r>
                    <w:rPr>
                      <w:rFonts w:hint="default"/>
                      <w:b w:val="0"/>
                      <w:bCs w:val="0"/>
                      <w:sz w:val="21"/>
                      <w:szCs w:val="21"/>
                    </w:rPr>
                    <w:t>.0</w:t>
                  </w:r>
                </w:p>
              </w:tc>
              <w:tc>
                <w:tcPr>
                  <w:tcW w:w="589" w:type="dxa"/>
                  <w:vMerge w:val="restart"/>
                  <w:noWrap w:val="0"/>
                  <w:vAlign w:val="center"/>
                </w:tcPr>
                <w:p>
                  <w:pPr>
                    <w:pStyle w:val="53"/>
                    <w:bidi w:val="0"/>
                    <w:spacing w:line="240" w:lineRule="auto"/>
                    <w:rPr>
                      <w:rFonts w:hint="default"/>
                      <w:b w:val="0"/>
                      <w:bCs w:val="0"/>
                      <w:sz w:val="21"/>
                      <w:szCs w:val="21"/>
                      <w:lang w:val="en-US" w:eastAsia="zh-CN"/>
                    </w:rPr>
                  </w:pPr>
                  <w:r>
                    <w:rPr>
                      <w:rFonts w:hint="default"/>
                      <w:b w:val="0"/>
                      <w:bCs w:val="0"/>
                      <w:sz w:val="21"/>
                      <w:szCs w:val="21"/>
                      <w:lang w:val="en-US" w:eastAsia="zh-CN"/>
                    </w:rPr>
                    <w:t>0.</w:t>
                  </w:r>
                  <w:r>
                    <w:rPr>
                      <w:rFonts w:hint="eastAsia"/>
                      <w:b w:val="0"/>
                      <w:bCs w:val="0"/>
                      <w:sz w:val="21"/>
                      <w:szCs w:val="21"/>
                      <w:lang w:val="en-US" w:eastAsia="zh-CN"/>
                    </w:rPr>
                    <w:t>5</w:t>
                  </w:r>
                </w:p>
              </w:tc>
              <w:tc>
                <w:tcPr>
                  <w:tcW w:w="739" w:type="dxa"/>
                  <w:vMerge w:val="restart"/>
                  <w:noWrap w:val="0"/>
                  <w:vAlign w:val="center"/>
                </w:tcPr>
                <w:p>
                  <w:pPr>
                    <w:pStyle w:val="53"/>
                    <w:bidi w:val="0"/>
                    <w:spacing w:line="240" w:lineRule="auto"/>
                    <w:rPr>
                      <w:rFonts w:hint="default"/>
                      <w:b w:val="0"/>
                      <w:bCs w:val="0"/>
                      <w:sz w:val="21"/>
                      <w:szCs w:val="21"/>
                      <w:lang w:val="en-US"/>
                    </w:rPr>
                  </w:pPr>
                  <w:r>
                    <w:rPr>
                      <w:rFonts w:hint="eastAsia"/>
                      <w:b w:val="0"/>
                      <w:bCs w:val="0"/>
                      <w:sz w:val="21"/>
                      <w:szCs w:val="21"/>
                      <w:lang w:val="en-US" w:eastAsia="zh-CN"/>
                    </w:rPr>
                    <w:t>25</w:t>
                  </w:r>
                </w:p>
              </w:tc>
              <w:tc>
                <w:tcPr>
                  <w:tcW w:w="780" w:type="dxa"/>
                  <w:vMerge w:val="restart"/>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5</w:t>
                  </w:r>
                </w:p>
              </w:tc>
              <w:tc>
                <w:tcPr>
                  <w:tcW w:w="748"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eastAsia="zh-CN"/>
                    </w:rPr>
                    <w:t>VOC</w:t>
                  </w:r>
                  <w:r>
                    <w:rPr>
                      <w:rFonts w:hint="eastAsia"/>
                      <w:b w:val="0"/>
                      <w:bCs w:val="0"/>
                      <w:sz w:val="21"/>
                      <w:szCs w:val="21"/>
                      <w:lang w:val="en-US" w:eastAsia="zh-CN"/>
                    </w:rPr>
                    <w:t>s</w:t>
                  </w:r>
                </w:p>
              </w:tc>
              <w:tc>
                <w:tcPr>
                  <w:tcW w:w="660"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0.0963</w:t>
                  </w:r>
                </w:p>
              </w:tc>
              <w:tc>
                <w:tcPr>
                  <w:tcW w:w="630" w:type="dxa"/>
                  <w:noWrap w:val="0"/>
                  <w:vAlign w:val="center"/>
                </w:tcPr>
                <w:p>
                  <w:pPr>
                    <w:pStyle w:val="53"/>
                    <w:bidi w:val="0"/>
                    <w:spacing w:line="240" w:lineRule="auto"/>
                    <w:rPr>
                      <w:rFonts w:hint="default"/>
                      <w:b w:val="0"/>
                      <w:bCs w:val="0"/>
                      <w:sz w:val="21"/>
                      <w:szCs w:val="21"/>
                    </w:rPr>
                  </w:pPr>
                  <w:r>
                    <w:rPr>
                      <w:rFonts w:hint="default"/>
                      <w:b w:val="0"/>
                      <w:bCs w:val="0"/>
                      <w:sz w:val="21"/>
                      <w:szCs w:val="21"/>
                    </w:rPr>
                    <w:t>kg/h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trPr>
              <w:tc>
                <w:tcPr>
                  <w:tcW w:w="517" w:type="dxa"/>
                  <w:vMerge w:val="continue"/>
                  <w:noWrap w:val="0"/>
                  <w:vAlign w:val="center"/>
                </w:tcPr>
                <w:p>
                  <w:pPr>
                    <w:pStyle w:val="53"/>
                    <w:bidi w:val="0"/>
                    <w:spacing w:line="240" w:lineRule="auto"/>
                    <w:rPr>
                      <w:rFonts w:hint="default"/>
                      <w:b w:val="0"/>
                      <w:bCs w:val="0"/>
                      <w:sz w:val="21"/>
                      <w:szCs w:val="21"/>
                    </w:rPr>
                  </w:pPr>
                </w:p>
              </w:tc>
              <w:tc>
                <w:tcPr>
                  <w:tcW w:w="1262" w:type="dxa"/>
                  <w:vMerge w:val="continue"/>
                  <w:noWrap w:val="0"/>
                  <w:vAlign w:val="center"/>
                </w:tcPr>
                <w:p>
                  <w:pPr>
                    <w:pStyle w:val="53"/>
                    <w:bidi w:val="0"/>
                    <w:spacing w:line="240" w:lineRule="auto"/>
                    <w:rPr>
                      <w:rFonts w:hint="default"/>
                      <w:b w:val="0"/>
                      <w:bCs w:val="0"/>
                      <w:sz w:val="21"/>
                      <w:szCs w:val="21"/>
                    </w:rPr>
                  </w:pPr>
                </w:p>
              </w:tc>
              <w:tc>
                <w:tcPr>
                  <w:tcW w:w="1157" w:type="dxa"/>
                  <w:vMerge w:val="continue"/>
                  <w:noWrap w:val="0"/>
                  <w:vAlign w:val="center"/>
                </w:tcPr>
                <w:p>
                  <w:pPr>
                    <w:pStyle w:val="53"/>
                    <w:bidi w:val="0"/>
                    <w:spacing w:line="240" w:lineRule="auto"/>
                    <w:rPr>
                      <w:rFonts w:hint="default"/>
                      <w:b w:val="0"/>
                      <w:bCs w:val="0"/>
                      <w:sz w:val="21"/>
                      <w:szCs w:val="21"/>
                    </w:rPr>
                  </w:pPr>
                </w:p>
              </w:tc>
              <w:tc>
                <w:tcPr>
                  <w:tcW w:w="651" w:type="dxa"/>
                  <w:vMerge w:val="continue"/>
                  <w:noWrap w:val="0"/>
                  <w:vAlign w:val="center"/>
                </w:tcPr>
                <w:p>
                  <w:pPr>
                    <w:pStyle w:val="53"/>
                    <w:bidi w:val="0"/>
                    <w:spacing w:line="240" w:lineRule="auto"/>
                    <w:rPr>
                      <w:rFonts w:hint="default"/>
                      <w:b w:val="0"/>
                      <w:bCs w:val="0"/>
                      <w:sz w:val="21"/>
                      <w:szCs w:val="21"/>
                      <w:lang w:val="en-US" w:eastAsia="zh-CN"/>
                    </w:rPr>
                  </w:pPr>
                </w:p>
              </w:tc>
              <w:tc>
                <w:tcPr>
                  <w:tcW w:w="472" w:type="dxa"/>
                  <w:vMerge w:val="continue"/>
                  <w:noWrap w:val="0"/>
                  <w:vAlign w:val="center"/>
                </w:tcPr>
                <w:p>
                  <w:pPr>
                    <w:pStyle w:val="53"/>
                    <w:bidi w:val="0"/>
                    <w:spacing w:line="240" w:lineRule="auto"/>
                    <w:rPr>
                      <w:rFonts w:hint="eastAsia"/>
                      <w:b w:val="0"/>
                      <w:bCs w:val="0"/>
                      <w:sz w:val="21"/>
                      <w:szCs w:val="21"/>
                      <w:lang w:val="en-US" w:eastAsia="zh-CN"/>
                    </w:rPr>
                  </w:pPr>
                </w:p>
              </w:tc>
              <w:tc>
                <w:tcPr>
                  <w:tcW w:w="589" w:type="dxa"/>
                  <w:vMerge w:val="continue"/>
                  <w:noWrap w:val="0"/>
                  <w:vAlign w:val="center"/>
                </w:tcPr>
                <w:p>
                  <w:pPr>
                    <w:pStyle w:val="53"/>
                    <w:bidi w:val="0"/>
                    <w:spacing w:line="240" w:lineRule="auto"/>
                    <w:rPr>
                      <w:rFonts w:hint="default"/>
                      <w:b w:val="0"/>
                      <w:bCs w:val="0"/>
                      <w:sz w:val="21"/>
                      <w:szCs w:val="21"/>
                      <w:lang w:val="en-US" w:eastAsia="zh-CN"/>
                    </w:rPr>
                  </w:pPr>
                </w:p>
              </w:tc>
              <w:tc>
                <w:tcPr>
                  <w:tcW w:w="739" w:type="dxa"/>
                  <w:vMerge w:val="continue"/>
                  <w:noWrap w:val="0"/>
                  <w:vAlign w:val="center"/>
                </w:tcPr>
                <w:p>
                  <w:pPr>
                    <w:pStyle w:val="53"/>
                    <w:bidi w:val="0"/>
                    <w:spacing w:line="240" w:lineRule="auto"/>
                    <w:rPr>
                      <w:rFonts w:hint="eastAsia"/>
                      <w:b w:val="0"/>
                      <w:bCs w:val="0"/>
                      <w:sz w:val="21"/>
                      <w:szCs w:val="21"/>
                      <w:lang w:val="en-US" w:eastAsia="zh-CN"/>
                    </w:rPr>
                  </w:pPr>
                </w:p>
              </w:tc>
              <w:tc>
                <w:tcPr>
                  <w:tcW w:w="780" w:type="dxa"/>
                  <w:vMerge w:val="continue"/>
                  <w:noWrap w:val="0"/>
                  <w:vAlign w:val="center"/>
                </w:tcPr>
                <w:p>
                  <w:pPr>
                    <w:pStyle w:val="53"/>
                    <w:bidi w:val="0"/>
                    <w:spacing w:line="240" w:lineRule="auto"/>
                    <w:rPr>
                      <w:rFonts w:hint="eastAsia"/>
                      <w:b w:val="0"/>
                      <w:bCs w:val="0"/>
                      <w:sz w:val="21"/>
                      <w:szCs w:val="21"/>
                      <w:lang w:val="en-US" w:eastAsia="zh-CN"/>
                    </w:rPr>
                  </w:pPr>
                </w:p>
              </w:tc>
              <w:tc>
                <w:tcPr>
                  <w:tcW w:w="748"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TSP</w:t>
                  </w:r>
                </w:p>
              </w:tc>
              <w:tc>
                <w:tcPr>
                  <w:tcW w:w="660"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0.041</w:t>
                  </w:r>
                </w:p>
              </w:tc>
              <w:tc>
                <w:tcPr>
                  <w:tcW w:w="630" w:type="dxa"/>
                  <w:noWrap w:val="0"/>
                  <w:vAlign w:val="center"/>
                </w:tcPr>
                <w:p>
                  <w:pPr>
                    <w:pStyle w:val="53"/>
                    <w:bidi w:val="0"/>
                    <w:spacing w:line="240" w:lineRule="auto"/>
                    <w:rPr>
                      <w:rFonts w:hint="default"/>
                      <w:b w:val="0"/>
                      <w:bCs w:val="0"/>
                      <w:sz w:val="21"/>
                      <w:szCs w:val="21"/>
                    </w:rPr>
                  </w:pPr>
                  <w:r>
                    <w:rPr>
                      <w:rFonts w:hint="default"/>
                      <w:b w:val="0"/>
                      <w:bCs w:val="0"/>
                      <w:sz w:val="21"/>
                      <w:szCs w:val="21"/>
                    </w:rPr>
                    <w:t>kg/h</w:t>
                  </w:r>
                </w:p>
              </w:tc>
            </w:tr>
          </w:tbl>
          <w:p>
            <w:pPr>
              <w:pStyle w:val="52"/>
              <w:bidi w:val="0"/>
              <w:spacing w:line="240" w:lineRule="auto"/>
            </w:pPr>
            <w:r>
              <w:rPr>
                <w:rFonts w:hint="eastAsia"/>
                <w:lang w:eastAsia="zh-CN"/>
              </w:rPr>
              <w:t>表</w:t>
            </w:r>
            <w:r>
              <w:rPr>
                <w:rFonts w:hint="eastAsia"/>
                <w:lang w:val="en-US" w:eastAsia="zh-CN"/>
              </w:rPr>
              <w:t xml:space="preserve">7-4 </w:t>
            </w:r>
            <w:r>
              <w:t>无组织排放的预测参数</w:t>
            </w:r>
          </w:p>
          <w:tbl>
            <w:tblPr>
              <w:tblStyle w:val="37"/>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8"/>
              <w:gridCol w:w="4474"/>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258" w:type="dxa"/>
                  <w:noWrap w:val="0"/>
                  <w:vAlign w:val="center"/>
                </w:tcPr>
                <w:p>
                  <w:pPr>
                    <w:pStyle w:val="53"/>
                    <w:bidi w:val="0"/>
                    <w:spacing w:line="240" w:lineRule="auto"/>
                    <w:rPr>
                      <w:rFonts w:hint="default"/>
                      <w:b w:val="0"/>
                      <w:bCs w:val="0"/>
                      <w:sz w:val="21"/>
                      <w:szCs w:val="21"/>
                    </w:rPr>
                  </w:pPr>
                  <w:r>
                    <w:rPr>
                      <w:rFonts w:hint="default"/>
                      <w:b w:val="0"/>
                      <w:bCs w:val="0"/>
                      <w:sz w:val="21"/>
                      <w:szCs w:val="21"/>
                    </w:rPr>
                    <w:t>序号</w:t>
                  </w:r>
                </w:p>
              </w:tc>
              <w:tc>
                <w:tcPr>
                  <w:tcW w:w="4474" w:type="dxa"/>
                  <w:noWrap w:val="0"/>
                  <w:vAlign w:val="center"/>
                </w:tcPr>
                <w:p>
                  <w:pPr>
                    <w:pStyle w:val="53"/>
                    <w:bidi w:val="0"/>
                    <w:spacing w:line="240" w:lineRule="auto"/>
                    <w:rPr>
                      <w:rFonts w:hint="default"/>
                      <w:b w:val="0"/>
                      <w:bCs w:val="0"/>
                      <w:sz w:val="21"/>
                      <w:szCs w:val="21"/>
                    </w:rPr>
                  </w:pPr>
                  <w:r>
                    <w:rPr>
                      <w:rFonts w:hint="default"/>
                      <w:b w:val="0"/>
                      <w:bCs w:val="0"/>
                      <w:sz w:val="21"/>
                      <w:szCs w:val="21"/>
                    </w:rPr>
                    <w:t>面源特征</w:t>
                  </w:r>
                </w:p>
              </w:tc>
              <w:tc>
                <w:tcPr>
                  <w:tcW w:w="2564" w:type="dxa"/>
                  <w:noWrap w:val="0"/>
                  <w:vAlign w:val="center"/>
                </w:tcPr>
                <w:p>
                  <w:pPr>
                    <w:pStyle w:val="53"/>
                    <w:bidi w:val="0"/>
                    <w:spacing w:line="240" w:lineRule="auto"/>
                    <w:rPr>
                      <w:rFonts w:hint="default"/>
                      <w:b w:val="0"/>
                      <w:bCs w:val="0"/>
                      <w:sz w:val="21"/>
                      <w:szCs w:val="21"/>
                    </w:rPr>
                  </w:pPr>
                  <w:r>
                    <w:rPr>
                      <w:rFonts w:hint="default"/>
                      <w:b w:val="0"/>
                      <w:bCs w:val="0"/>
                      <w:sz w:val="21"/>
                      <w:szCs w:val="21"/>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58" w:type="dxa"/>
                  <w:vMerge w:val="restart"/>
                  <w:noWrap w:val="0"/>
                  <w:vAlign w:val="center"/>
                </w:tcPr>
                <w:p>
                  <w:pPr>
                    <w:pStyle w:val="53"/>
                    <w:bidi w:val="0"/>
                    <w:spacing w:line="240" w:lineRule="auto"/>
                    <w:rPr>
                      <w:rFonts w:hint="default"/>
                      <w:b w:val="0"/>
                      <w:bCs w:val="0"/>
                      <w:sz w:val="21"/>
                      <w:szCs w:val="21"/>
                    </w:rPr>
                  </w:pPr>
                  <w:r>
                    <w:rPr>
                      <w:rFonts w:hint="default"/>
                      <w:b w:val="0"/>
                      <w:bCs w:val="0"/>
                      <w:sz w:val="21"/>
                      <w:szCs w:val="21"/>
                    </w:rPr>
                    <w:t>1</w:t>
                  </w:r>
                </w:p>
              </w:tc>
              <w:tc>
                <w:tcPr>
                  <w:tcW w:w="4474" w:type="dxa"/>
                  <w:vMerge w:val="restart"/>
                  <w:noWrap w:val="0"/>
                  <w:vAlign w:val="center"/>
                </w:tcPr>
                <w:p>
                  <w:pPr>
                    <w:pStyle w:val="53"/>
                    <w:bidi w:val="0"/>
                    <w:spacing w:line="240" w:lineRule="auto"/>
                    <w:rPr>
                      <w:rFonts w:hint="default"/>
                      <w:b w:val="0"/>
                      <w:bCs w:val="0"/>
                      <w:sz w:val="21"/>
                      <w:szCs w:val="21"/>
                    </w:rPr>
                  </w:pPr>
                  <w:r>
                    <w:rPr>
                      <w:rFonts w:hint="default"/>
                      <w:b w:val="0"/>
                      <w:bCs w:val="0"/>
                      <w:sz w:val="21"/>
                      <w:szCs w:val="21"/>
                    </w:rPr>
                    <w:t>面源预测因子</w:t>
                  </w:r>
                </w:p>
              </w:tc>
              <w:tc>
                <w:tcPr>
                  <w:tcW w:w="2564" w:type="dxa"/>
                  <w:noWrap w:val="0"/>
                  <w:vAlign w:val="center"/>
                </w:tcPr>
                <w:p>
                  <w:pPr>
                    <w:pStyle w:val="53"/>
                    <w:bidi w:val="0"/>
                    <w:spacing w:line="240" w:lineRule="auto"/>
                    <w:rPr>
                      <w:rFonts w:hint="default"/>
                      <w:b w:val="0"/>
                      <w:bCs w:val="0"/>
                      <w:sz w:val="21"/>
                      <w:szCs w:val="21"/>
                    </w:rPr>
                  </w:pPr>
                  <w:r>
                    <w:rPr>
                      <w:rFonts w:hint="default"/>
                      <w:b w:val="0"/>
                      <w:bCs w:val="0"/>
                      <w:sz w:val="21"/>
                      <w:szCs w:val="21"/>
                    </w:rPr>
                    <w:t>TSP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58" w:type="dxa"/>
                  <w:vMerge w:val="continue"/>
                  <w:noWrap w:val="0"/>
                  <w:vAlign w:val="center"/>
                </w:tcPr>
                <w:p>
                  <w:pPr>
                    <w:pStyle w:val="53"/>
                    <w:bidi w:val="0"/>
                    <w:spacing w:line="240" w:lineRule="auto"/>
                    <w:rPr>
                      <w:b w:val="0"/>
                      <w:bCs w:val="0"/>
                      <w:sz w:val="21"/>
                      <w:szCs w:val="21"/>
                    </w:rPr>
                  </w:pPr>
                </w:p>
              </w:tc>
              <w:tc>
                <w:tcPr>
                  <w:tcW w:w="4474" w:type="dxa"/>
                  <w:vMerge w:val="continue"/>
                  <w:noWrap w:val="0"/>
                  <w:vAlign w:val="center"/>
                </w:tcPr>
                <w:p>
                  <w:pPr>
                    <w:pStyle w:val="53"/>
                    <w:bidi w:val="0"/>
                    <w:spacing w:line="240" w:lineRule="auto"/>
                    <w:rPr>
                      <w:b w:val="0"/>
                      <w:bCs w:val="0"/>
                      <w:sz w:val="21"/>
                      <w:szCs w:val="21"/>
                    </w:rPr>
                  </w:pPr>
                </w:p>
              </w:tc>
              <w:tc>
                <w:tcPr>
                  <w:tcW w:w="2564" w:type="dxa"/>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VOC</w:t>
                  </w:r>
                  <w:r>
                    <w:rPr>
                      <w:rFonts w:hint="eastAsia"/>
                      <w:b w:val="0"/>
                      <w:bCs w:val="0"/>
                      <w:sz w:val="21"/>
                      <w:szCs w:val="21"/>
                      <w:lang w:val="en-US" w:eastAsia="zh-CN"/>
                    </w:rPr>
                    <w: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58" w:type="dxa"/>
                  <w:vMerge w:val="restart"/>
                  <w:noWrap w:val="0"/>
                  <w:vAlign w:val="center"/>
                </w:tcPr>
                <w:p>
                  <w:pPr>
                    <w:pStyle w:val="53"/>
                    <w:bidi w:val="0"/>
                    <w:spacing w:line="240" w:lineRule="auto"/>
                    <w:rPr>
                      <w:rFonts w:hint="default"/>
                      <w:b w:val="0"/>
                      <w:bCs w:val="0"/>
                      <w:sz w:val="21"/>
                      <w:szCs w:val="21"/>
                    </w:rPr>
                  </w:pPr>
                  <w:r>
                    <w:rPr>
                      <w:rFonts w:hint="default"/>
                      <w:b w:val="0"/>
                      <w:bCs w:val="0"/>
                      <w:sz w:val="21"/>
                      <w:szCs w:val="21"/>
                    </w:rPr>
                    <w:t>2</w:t>
                  </w:r>
                </w:p>
              </w:tc>
              <w:tc>
                <w:tcPr>
                  <w:tcW w:w="4474" w:type="dxa"/>
                  <w:vMerge w:val="restart"/>
                  <w:noWrap w:val="0"/>
                  <w:vAlign w:val="center"/>
                </w:tcPr>
                <w:p>
                  <w:pPr>
                    <w:pStyle w:val="53"/>
                    <w:bidi w:val="0"/>
                    <w:spacing w:line="240" w:lineRule="auto"/>
                    <w:rPr>
                      <w:rFonts w:hint="default"/>
                      <w:b w:val="0"/>
                      <w:bCs w:val="0"/>
                      <w:sz w:val="21"/>
                      <w:szCs w:val="21"/>
                    </w:rPr>
                  </w:pPr>
                  <w:r>
                    <w:rPr>
                      <w:rFonts w:hint="default"/>
                      <w:b w:val="0"/>
                      <w:bCs w:val="0"/>
                      <w:sz w:val="21"/>
                      <w:szCs w:val="21"/>
                    </w:rPr>
                    <w:t>面源的源强，单位为kg/h</w:t>
                  </w:r>
                </w:p>
              </w:tc>
              <w:tc>
                <w:tcPr>
                  <w:tcW w:w="2564"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0.1322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58" w:type="dxa"/>
                  <w:vMerge w:val="continue"/>
                  <w:noWrap w:val="0"/>
                  <w:vAlign w:val="center"/>
                </w:tcPr>
                <w:p>
                  <w:pPr>
                    <w:pStyle w:val="53"/>
                    <w:bidi w:val="0"/>
                    <w:spacing w:line="240" w:lineRule="auto"/>
                    <w:rPr>
                      <w:b w:val="0"/>
                      <w:bCs w:val="0"/>
                      <w:sz w:val="21"/>
                      <w:szCs w:val="21"/>
                    </w:rPr>
                  </w:pPr>
                </w:p>
              </w:tc>
              <w:tc>
                <w:tcPr>
                  <w:tcW w:w="4474" w:type="dxa"/>
                  <w:vMerge w:val="continue"/>
                  <w:noWrap w:val="0"/>
                  <w:vAlign w:val="center"/>
                </w:tcPr>
                <w:p>
                  <w:pPr>
                    <w:pStyle w:val="53"/>
                    <w:bidi w:val="0"/>
                    <w:spacing w:line="240" w:lineRule="auto"/>
                    <w:rPr>
                      <w:b w:val="0"/>
                      <w:bCs w:val="0"/>
                      <w:sz w:val="21"/>
                      <w:szCs w:val="21"/>
                    </w:rPr>
                  </w:pPr>
                </w:p>
              </w:tc>
              <w:tc>
                <w:tcPr>
                  <w:tcW w:w="2564"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0.0715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258" w:type="dxa"/>
                  <w:noWrap w:val="0"/>
                  <w:vAlign w:val="center"/>
                </w:tcPr>
                <w:p>
                  <w:pPr>
                    <w:pStyle w:val="53"/>
                    <w:bidi w:val="0"/>
                    <w:spacing w:line="240" w:lineRule="auto"/>
                    <w:rPr>
                      <w:rFonts w:hint="default"/>
                      <w:b w:val="0"/>
                      <w:bCs w:val="0"/>
                      <w:sz w:val="21"/>
                      <w:szCs w:val="21"/>
                    </w:rPr>
                  </w:pPr>
                  <w:r>
                    <w:rPr>
                      <w:rFonts w:hint="default"/>
                      <w:b w:val="0"/>
                      <w:bCs w:val="0"/>
                      <w:sz w:val="21"/>
                      <w:szCs w:val="21"/>
                    </w:rPr>
                    <w:t>3</w:t>
                  </w:r>
                </w:p>
              </w:tc>
              <w:tc>
                <w:tcPr>
                  <w:tcW w:w="4474" w:type="dxa"/>
                  <w:noWrap w:val="0"/>
                  <w:vAlign w:val="center"/>
                </w:tcPr>
                <w:p>
                  <w:pPr>
                    <w:pStyle w:val="53"/>
                    <w:bidi w:val="0"/>
                    <w:spacing w:line="240" w:lineRule="auto"/>
                    <w:rPr>
                      <w:rFonts w:hint="default"/>
                      <w:b w:val="0"/>
                      <w:bCs w:val="0"/>
                      <w:sz w:val="21"/>
                      <w:szCs w:val="21"/>
                    </w:rPr>
                  </w:pPr>
                  <w:r>
                    <w:rPr>
                      <w:rFonts w:hint="default"/>
                      <w:b w:val="0"/>
                      <w:bCs w:val="0"/>
                      <w:sz w:val="21"/>
                      <w:szCs w:val="21"/>
                    </w:rPr>
                    <w:t>面源初始排放高度（m）</w:t>
                  </w:r>
                </w:p>
              </w:tc>
              <w:tc>
                <w:tcPr>
                  <w:tcW w:w="2564"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258" w:type="dxa"/>
                  <w:noWrap w:val="0"/>
                  <w:vAlign w:val="center"/>
                </w:tcPr>
                <w:p>
                  <w:pPr>
                    <w:pStyle w:val="53"/>
                    <w:bidi w:val="0"/>
                    <w:spacing w:line="240" w:lineRule="auto"/>
                    <w:rPr>
                      <w:rFonts w:hint="default"/>
                      <w:b w:val="0"/>
                      <w:bCs w:val="0"/>
                      <w:sz w:val="21"/>
                      <w:szCs w:val="21"/>
                    </w:rPr>
                  </w:pPr>
                  <w:r>
                    <w:rPr>
                      <w:rFonts w:hint="default"/>
                      <w:b w:val="0"/>
                      <w:bCs w:val="0"/>
                      <w:sz w:val="21"/>
                      <w:szCs w:val="21"/>
                    </w:rPr>
                    <w:t>4</w:t>
                  </w:r>
                </w:p>
              </w:tc>
              <w:tc>
                <w:tcPr>
                  <w:tcW w:w="4474" w:type="dxa"/>
                  <w:noWrap w:val="0"/>
                  <w:vAlign w:val="center"/>
                </w:tcPr>
                <w:p>
                  <w:pPr>
                    <w:pStyle w:val="53"/>
                    <w:bidi w:val="0"/>
                    <w:spacing w:line="240" w:lineRule="auto"/>
                    <w:rPr>
                      <w:rFonts w:hint="default"/>
                      <w:b w:val="0"/>
                      <w:bCs w:val="0"/>
                      <w:sz w:val="21"/>
                      <w:szCs w:val="21"/>
                    </w:rPr>
                  </w:pPr>
                  <w:r>
                    <w:rPr>
                      <w:rFonts w:hint="default"/>
                      <w:b w:val="0"/>
                      <w:bCs w:val="0"/>
                      <w:sz w:val="21"/>
                      <w:szCs w:val="21"/>
                    </w:rPr>
                    <w:t>面源的长度（m）</w:t>
                  </w:r>
                </w:p>
              </w:tc>
              <w:tc>
                <w:tcPr>
                  <w:tcW w:w="2564"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258" w:type="dxa"/>
                  <w:noWrap w:val="0"/>
                  <w:vAlign w:val="center"/>
                </w:tcPr>
                <w:p>
                  <w:pPr>
                    <w:pStyle w:val="53"/>
                    <w:bidi w:val="0"/>
                    <w:spacing w:line="240" w:lineRule="auto"/>
                    <w:rPr>
                      <w:rFonts w:hint="default"/>
                      <w:b w:val="0"/>
                      <w:bCs w:val="0"/>
                      <w:sz w:val="21"/>
                      <w:szCs w:val="21"/>
                    </w:rPr>
                  </w:pPr>
                  <w:r>
                    <w:rPr>
                      <w:rFonts w:hint="default"/>
                      <w:b w:val="0"/>
                      <w:bCs w:val="0"/>
                      <w:sz w:val="21"/>
                      <w:szCs w:val="21"/>
                    </w:rPr>
                    <w:t>5</w:t>
                  </w:r>
                </w:p>
              </w:tc>
              <w:tc>
                <w:tcPr>
                  <w:tcW w:w="4474" w:type="dxa"/>
                  <w:noWrap w:val="0"/>
                  <w:vAlign w:val="center"/>
                </w:tcPr>
                <w:p>
                  <w:pPr>
                    <w:pStyle w:val="53"/>
                    <w:bidi w:val="0"/>
                    <w:spacing w:line="240" w:lineRule="auto"/>
                    <w:rPr>
                      <w:rFonts w:hint="default"/>
                      <w:b w:val="0"/>
                      <w:bCs w:val="0"/>
                      <w:sz w:val="21"/>
                      <w:szCs w:val="21"/>
                    </w:rPr>
                  </w:pPr>
                  <w:r>
                    <w:rPr>
                      <w:rFonts w:hint="default"/>
                      <w:b w:val="0"/>
                      <w:bCs w:val="0"/>
                      <w:sz w:val="21"/>
                      <w:szCs w:val="21"/>
                    </w:rPr>
                    <w:t>面源的宽度（m）</w:t>
                  </w:r>
                </w:p>
              </w:tc>
              <w:tc>
                <w:tcPr>
                  <w:tcW w:w="2564"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38</w:t>
                  </w:r>
                </w:p>
              </w:tc>
            </w:tr>
          </w:tbl>
          <w:p>
            <w:pPr>
              <w:pStyle w:val="52"/>
              <w:bidi w:val="0"/>
              <w:spacing w:line="240" w:lineRule="auto"/>
              <w:rPr>
                <w:rFonts w:hint="default"/>
              </w:rPr>
            </w:pPr>
            <w:r>
              <w:rPr>
                <w:rFonts w:hint="default"/>
              </w:rPr>
              <w:t>表7-</w:t>
            </w:r>
            <w:r>
              <w:rPr>
                <w:rFonts w:hint="eastAsia"/>
                <w:lang w:val="en-US" w:eastAsia="zh-CN"/>
              </w:rPr>
              <w:t>5</w:t>
            </w:r>
            <w:r>
              <w:rPr>
                <w:rFonts w:hint="default"/>
              </w:rPr>
              <w:t xml:space="preserve">  估算模型参数表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4"/>
              <w:gridCol w:w="2553"/>
              <w:gridCol w:w="3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822" w:type="dxa"/>
                  <w:gridSpan w:val="2"/>
                  <w:noWrap w:val="0"/>
                  <w:vAlign w:val="center"/>
                </w:tcPr>
                <w:p>
                  <w:pPr>
                    <w:pStyle w:val="53"/>
                    <w:bidi w:val="0"/>
                    <w:spacing w:line="240" w:lineRule="auto"/>
                    <w:rPr>
                      <w:rFonts w:hint="default"/>
                      <w:b w:val="0"/>
                      <w:bCs w:val="0"/>
                      <w:sz w:val="21"/>
                      <w:szCs w:val="21"/>
                    </w:rPr>
                  </w:pPr>
                  <w:r>
                    <w:rPr>
                      <w:rFonts w:hint="default"/>
                      <w:b w:val="0"/>
                      <w:bCs w:val="0"/>
                      <w:sz w:val="21"/>
                      <w:szCs w:val="21"/>
                    </w:rPr>
                    <w:t>参数</w:t>
                  </w:r>
                </w:p>
              </w:tc>
              <w:tc>
                <w:tcPr>
                  <w:tcW w:w="3474" w:type="dxa"/>
                  <w:noWrap w:val="0"/>
                  <w:vAlign w:val="center"/>
                </w:tcPr>
                <w:p>
                  <w:pPr>
                    <w:pStyle w:val="53"/>
                    <w:bidi w:val="0"/>
                    <w:spacing w:line="240" w:lineRule="auto"/>
                    <w:rPr>
                      <w:rFonts w:hint="default"/>
                      <w:b w:val="0"/>
                      <w:bCs w:val="0"/>
                      <w:sz w:val="21"/>
                      <w:szCs w:val="21"/>
                    </w:rPr>
                  </w:pPr>
                  <w:r>
                    <w:rPr>
                      <w:rFonts w:hint="default"/>
                      <w:b w:val="0"/>
                      <w:bCs w:val="0"/>
                      <w:sz w:val="21"/>
                      <w:szCs w:val="21"/>
                    </w:rPr>
                    <w:t>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240" w:type="dxa"/>
                  <w:vMerge w:val="restart"/>
                  <w:noWrap w:val="0"/>
                  <w:vAlign w:val="center"/>
                </w:tcPr>
                <w:p>
                  <w:pPr>
                    <w:pStyle w:val="53"/>
                    <w:bidi w:val="0"/>
                    <w:spacing w:line="240" w:lineRule="auto"/>
                    <w:rPr>
                      <w:rFonts w:hint="default"/>
                      <w:b w:val="0"/>
                      <w:bCs w:val="0"/>
                      <w:sz w:val="21"/>
                      <w:szCs w:val="21"/>
                    </w:rPr>
                  </w:pPr>
                  <w:r>
                    <w:rPr>
                      <w:rFonts w:hint="default"/>
                      <w:b w:val="0"/>
                      <w:bCs w:val="0"/>
                      <w:sz w:val="21"/>
                      <w:szCs w:val="21"/>
                    </w:rPr>
                    <w:t>城市农村/选项</w:t>
                  </w:r>
                </w:p>
              </w:tc>
              <w:tc>
                <w:tcPr>
                  <w:tcW w:w="2582" w:type="dxa"/>
                  <w:noWrap w:val="0"/>
                  <w:vAlign w:val="center"/>
                </w:tcPr>
                <w:p>
                  <w:pPr>
                    <w:pStyle w:val="53"/>
                    <w:bidi w:val="0"/>
                    <w:spacing w:line="240" w:lineRule="auto"/>
                    <w:rPr>
                      <w:rFonts w:hint="default"/>
                      <w:b w:val="0"/>
                      <w:bCs w:val="0"/>
                      <w:sz w:val="21"/>
                      <w:szCs w:val="21"/>
                    </w:rPr>
                  </w:pPr>
                  <w:r>
                    <w:rPr>
                      <w:rFonts w:hint="default"/>
                      <w:b w:val="0"/>
                      <w:bCs w:val="0"/>
                      <w:sz w:val="21"/>
                      <w:szCs w:val="21"/>
                    </w:rPr>
                    <w:t>城市/农村</w:t>
                  </w:r>
                </w:p>
              </w:tc>
              <w:tc>
                <w:tcPr>
                  <w:tcW w:w="3474" w:type="dxa"/>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城市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240" w:type="dxa"/>
                  <w:vMerge w:val="continue"/>
                  <w:noWrap w:val="0"/>
                  <w:vAlign w:val="center"/>
                </w:tcPr>
                <w:p>
                  <w:pPr>
                    <w:pStyle w:val="53"/>
                    <w:bidi w:val="0"/>
                    <w:spacing w:line="240" w:lineRule="auto"/>
                    <w:rPr>
                      <w:rFonts w:hint="default"/>
                      <w:b w:val="0"/>
                      <w:bCs w:val="0"/>
                      <w:sz w:val="21"/>
                      <w:szCs w:val="21"/>
                    </w:rPr>
                  </w:pPr>
                </w:p>
              </w:tc>
              <w:tc>
                <w:tcPr>
                  <w:tcW w:w="2582" w:type="dxa"/>
                  <w:noWrap w:val="0"/>
                  <w:vAlign w:val="center"/>
                </w:tcPr>
                <w:p>
                  <w:pPr>
                    <w:pStyle w:val="53"/>
                    <w:bidi w:val="0"/>
                    <w:spacing w:line="240" w:lineRule="auto"/>
                    <w:rPr>
                      <w:rFonts w:hint="default"/>
                      <w:b w:val="0"/>
                      <w:bCs w:val="0"/>
                      <w:sz w:val="21"/>
                      <w:szCs w:val="21"/>
                    </w:rPr>
                  </w:pPr>
                  <w:r>
                    <w:rPr>
                      <w:rFonts w:hint="default"/>
                      <w:b w:val="0"/>
                      <w:bCs w:val="0"/>
                      <w:sz w:val="21"/>
                      <w:szCs w:val="21"/>
                    </w:rPr>
                    <w:t>人口数(城市人口数)</w:t>
                  </w:r>
                </w:p>
              </w:tc>
              <w:tc>
                <w:tcPr>
                  <w:tcW w:w="3474" w:type="dxa"/>
                  <w:noWrap w:val="0"/>
                  <w:vAlign w:val="center"/>
                </w:tcPr>
                <w:p>
                  <w:pPr>
                    <w:pStyle w:val="53"/>
                    <w:bidi w:val="0"/>
                    <w:spacing w:line="240" w:lineRule="auto"/>
                    <w:rPr>
                      <w:rFonts w:hint="default" w:eastAsia="宋体"/>
                      <w:b w:val="0"/>
                      <w:bCs w:val="0"/>
                      <w:sz w:val="21"/>
                      <w:szCs w:val="21"/>
                      <w:lang w:val="en-US" w:eastAsia="zh-CN"/>
                    </w:rPr>
                  </w:pPr>
                  <w:r>
                    <w:rPr>
                      <w:rFonts w:hint="eastAsia"/>
                      <w:b w:val="0"/>
                      <w:bCs w:val="0"/>
                      <w:sz w:val="21"/>
                      <w:szCs w:val="21"/>
                      <w:lang w:val="en-US" w:eastAsia="zh-CN"/>
                    </w:rPr>
                    <w:t>14万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4822" w:type="dxa"/>
                  <w:gridSpan w:val="2"/>
                  <w:noWrap w:val="0"/>
                  <w:vAlign w:val="center"/>
                </w:tcPr>
                <w:p>
                  <w:pPr>
                    <w:pStyle w:val="53"/>
                    <w:bidi w:val="0"/>
                    <w:spacing w:line="240" w:lineRule="auto"/>
                    <w:rPr>
                      <w:rFonts w:hint="default"/>
                      <w:b w:val="0"/>
                      <w:bCs w:val="0"/>
                      <w:sz w:val="21"/>
                      <w:szCs w:val="21"/>
                    </w:rPr>
                  </w:pPr>
                  <w:r>
                    <w:rPr>
                      <w:rFonts w:hint="default"/>
                      <w:b w:val="0"/>
                      <w:bCs w:val="0"/>
                      <w:sz w:val="21"/>
                      <w:szCs w:val="21"/>
                    </w:rPr>
                    <w:t>最高环境温度</w:t>
                  </w:r>
                </w:p>
              </w:tc>
              <w:tc>
                <w:tcPr>
                  <w:tcW w:w="3474" w:type="dxa"/>
                  <w:noWrap w:val="0"/>
                  <w:vAlign w:val="center"/>
                </w:tcPr>
                <w:p>
                  <w:pPr>
                    <w:pStyle w:val="53"/>
                    <w:bidi w:val="0"/>
                    <w:spacing w:line="240" w:lineRule="auto"/>
                    <w:rPr>
                      <w:rFonts w:hint="default"/>
                      <w:b w:val="0"/>
                      <w:bCs w:val="0"/>
                      <w:sz w:val="21"/>
                      <w:szCs w:val="21"/>
                    </w:rPr>
                  </w:pPr>
                  <w:r>
                    <w:rPr>
                      <w:rFonts w:hint="eastAsia"/>
                      <w:b w:val="0"/>
                      <w:bCs w:val="0"/>
                      <w:sz w:val="21"/>
                      <w:szCs w:val="21"/>
                      <w:lang w:val="en-US" w:eastAsia="zh-CN"/>
                    </w:rPr>
                    <w:t>33.4</w:t>
                  </w:r>
                  <w:r>
                    <w:rPr>
                      <w:rFonts w:hint="default"/>
                      <w:b w:val="0"/>
                      <w:bCs w:val="0"/>
                      <w:sz w:val="21"/>
                      <w:szCs w:val="21"/>
                    </w:rPr>
                    <w:t xml:space="preserve"> °C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4822" w:type="dxa"/>
                  <w:gridSpan w:val="2"/>
                  <w:noWrap w:val="0"/>
                  <w:vAlign w:val="center"/>
                </w:tcPr>
                <w:p>
                  <w:pPr>
                    <w:pStyle w:val="53"/>
                    <w:bidi w:val="0"/>
                    <w:spacing w:line="240" w:lineRule="auto"/>
                    <w:rPr>
                      <w:rFonts w:hint="default"/>
                      <w:b w:val="0"/>
                      <w:bCs w:val="0"/>
                      <w:sz w:val="21"/>
                      <w:szCs w:val="21"/>
                    </w:rPr>
                  </w:pPr>
                  <w:r>
                    <w:rPr>
                      <w:rFonts w:hint="default"/>
                      <w:b w:val="0"/>
                      <w:bCs w:val="0"/>
                      <w:sz w:val="21"/>
                      <w:szCs w:val="21"/>
                    </w:rPr>
                    <w:t>最低环境温度</w:t>
                  </w:r>
                </w:p>
              </w:tc>
              <w:tc>
                <w:tcPr>
                  <w:tcW w:w="3474" w:type="dxa"/>
                  <w:noWrap w:val="0"/>
                  <w:vAlign w:val="center"/>
                </w:tcPr>
                <w:p>
                  <w:pPr>
                    <w:pStyle w:val="53"/>
                    <w:bidi w:val="0"/>
                    <w:spacing w:line="240" w:lineRule="auto"/>
                    <w:rPr>
                      <w:rFonts w:hint="default"/>
                      <w:b w:val="0"/>
                      <w:bCs w:val="0"/>
                      <w:sz w:val="21"/>
                      <w:szCs w:val="21"/>
                    </w:rPr>
                  </w:pPr>
                  <w:r>
                    <w:rPr>
                      <w:rFonts w:hint="eastAsia"/>
                      <w:b w:val="0"/>
                      <w:bCs w:val="0"/>
                      <w:sz w:val="21"/>
                      <w:szCs w:val="21"/>
                      <w:lang w:val="en-US" w:eastAsia="zh-CN"/>
                    </w:rPr>
                    <w:t>-7</w:t>
                  </w:r>
                  <w:r>
                    <w:rPr>
                      <w:rFonts w:hint="default"/>
                      <w:b w:val="0"/>
                      <w:bCs w:val="0"/>
                      <w:sz w:val="21"/>
                      <w:szCs w:val="21"/>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822" w:type="dxa"/>
                  <w:gridSpan w:val="2"/>
                  <w:noWrap w:val="0"/>
                  <w:vAlign w:val="center"/>
                </w:tcPr>
                <w:p>
                  <w:pPr>
                    <w:pStyle w:val="53"/>
                    <w:bidi w:val="0"/>
                    <w:spacing w:line="240" w:lineRule="auto"/>
                    <w:rPr>
                      <w:rFonts w:hint="default"/>
                      <w:b w:val="0"/>
                      <w:bCs w:val="0"/>
                      <w:sz w:val="21"/>
                      <w:szCs w:val="21"/>
                    </w:rPr>
                  </w:pPr>
                  <w:r>
                    <w:rPr>
                      <w:rFonts w:hint="default"/>
                      <w:b w:val="0"/>
                      <w:bCs w:val="0"/>
                      <w:sz w:val="21"/>
                      <w:szCs w:val="21"/>
                    </w:rPr>
                    <w:t>土地利用类型</w:t>
                  </w:r>
                </w:p>
              </w:tc>
              <w:tc>
                <w:tcPr>
                  <w:tcW w:w="3474" w:type="dxa"/>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城市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4822" w:type="dxa"/>
                  <w:gridSpan w:val="2"/>
                  <w:noWrap w:val="0"/>
                  <w:vAlign w:val="center"/>
                </w:tcPr>
                <w:p>
                  <w:pPr>
                    <w:pStyle w:val="53"/>
                    <w:bidi w:val="0"/>
                    <w:spacing w:line="240" w:lineRule="auto"/>
                    <w:rPr>
                      <w:rFonts w:hint="default"/>
                      <w:b w:val="0"/>
                      <w:bCs w:val="0"/>
                      <w:sz w:val="21"/>
                      <w:szCs w:val="21"/>
                    </w:rPr>
                  </w:pPr>
                  <w:r>
                    <w:rPr>
                      <w:rFonts w:hint="default"/>
                      <w:b w:val="0"/>
                      <w:bCs w:val="0"/>
                      <w:sz w:val="21"/>
                      <w:szCs w:val="21"/>
                    </w:rPr>
                    <w:t>区域湿度条件</w:t>
                  </w:r>
                </w:p>
              </w:tc>
              <w:tc>
                <w:tcPr>
                  <w:tcW w:w="3474" w:type="dxa"/>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湿润区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240" w:type="dxa"/>
                  <w:vMerge w:val="restart"/>
                  <w:noWrap w:val="0"/>
                  <w:vAlign w:val="center"/>
                </w:tcPr>
                <w:p>
                  <w:pPr>
                    <w:pStyle w:val="53"/>
                    <w:bidi w:val="0"/>
                    <w:spacing w:line="240" w:lineRule="auto"/>
                    <w:rPr>
                      <w:rFonts w:hint="default"/>
                      <w:b w:val="0"/>
                      <w:bCs w:val="0"/>
                      <w:sz w:val="21"/>
                      <w:szCs w:val="21"/>
                    </w:rPr>
                  </w:pPr>
                  <w:r>
                    <w:rPr>
                      <w:rFonts w:hint="default"/>
                      <w:b w:val="0"/>
                      <w:bCs w:val="0"/>
                      <w:sz w:val="21"/>
                      <w:szCs w:val="21"/>
                    </w:rPr>
                    <w:t>是否考虑地形</w:t>
                  </w:r>
                </w:p>
              </w:tc>
              <w:tc>
                <w:tcPr>
                  <w:tcW w:w="2582" w:type="dxa"/>
                  <w:noWrap w:val="0"/>
                  <w:vAlign w:val="center"/>
                </w:tcPr>
                <w:p>
                  <w:pPr>
                    <w:pStyle w:val="53"/>
                    <w:bidi w:val="0"/>
                    <w:spacing w:line="240" w:lineRule="auto"/>
                    <w:rPr>
                      <w:rFonts w:hint="default"/>
                      <w:b w:val="0"/>
                      <w:bCs w:val="0"/>
                      <w:sz w:val="21"/>
                      <w:szCs w:val="21"/>
                    </w:rPr>
                  </w:pPr>
                  <w:r>
                    <w:rPr>
                      <w:rFonts w:hint="default"/>
                      <w:b w:val="0"/>
                      <w:bCs w:val="0"/>
                      <w:sz w:val="21"/>
                      <w:szCs w:val="21"/>
                    </w:rPr>
                    <w:t>考虑地形</w:t>
                  </w:r>
                </w:p>
              </w:tc>
              <w:tc>
                <w:tcPr>
                  <w:tcW w:w="3474" w:type="dxa"/>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240" w:type="dxa"/>
                  <w:vMerge w:val="continue"/>
                  <w:noWrap w:val="0"/>
                  <w:vAlign w:val="center"/>
                </w:tcPr>
                <w:p>
                  <w:pPr>
                    <w:pStyle w:val="53"/>
                    <w:bidi w:val="0"/>
                    <w:spacing w:line="240" w:lineRule="auto"/>
                    <w:rPr>
                      <w:rFonts w:hint="default"/>
                      <w:b w:val="0"/>
                      <w:bCs w:val="0"/>
                      <w:sz w:val="21"/>
                      <w:szCs w:val="21"/>
                    </w:rPr>
                  </w:pPr>
                </w:p>
              </w:tc>
              <w:tc>
                <w:tcPr>
                  <w:tcW w:w="2582" w:type="dxa"/>
                  <w:noWrap w:val="0"/>
                  <w:vAlign w:val="center"/>
                </w:tcPr>
                <w:p>
                  <w:pPr>
                    <w:pStyle w:val="53"/>
                    <w:bidi w:val="0"/>
                    <w:spacing w:line="240" w:lineRule="auto"/>
                    <w:rPr>
                      <w:rFonts w:hint="default"/>
                      <w:b w:val="0"/>
                      <w:bCs w:val="0"/>
                      <w:sz w:val="21"/>
                      <w:szCs w:val="21"/>
                    </w:rPr>
                  </w:pPr>
                  <w:r>
                    <w:rPr>
                      <w:rFonts w:hint="default"/>
                      <w:b w:val="0"/>
                      <w:bCs w:val="0"/>
                      <w:sz w:val="21"/>
                      <w:szCs w:val="21"/>
                    </w:rPr>
                    <w:t>地形数据分辨率(m)</w:t>
                  </w:r>
                </w:p>
              </w:tc>
              <w:tc>
                <w:tcPr>
                  <w:tcW w:w="3474" w:type="dxa"/>
                  <w:noWrap w:val="0"/>
                  <w:vAlign w:val="center"/>
                </w:tcPr>
                <w:p>
                  <w:pPr>
                    <w:pStyle w:val="53"/>
                    <w:bidi w:val="0"/>
                    <w:spacing w:line="240" w:lineRule="auto"/>
                    <w:rPr>
                      <w:rFonts w:hint="default"/>
                      <w:b w:val="0"/>
                      <w:bCs w:val="0"/>
                      <w:sz w:val="21"/>
                      <w:szCs w:val="21"/>
                    </w:rPr>
                  </w:pPr>
                  <w:r>
                    <w:rPr>
                      <w:rFonts w:hint="default"/>
                      <w:b w:val="0"/>
                      <w:bCs w:val="0"/>
                      <w:sz w:val="21"/>
                      <w:szCs w:val="21"/>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240" w:type="dxa"/>
                  <w:vMerge w:val="restart"/>
                  <w:noWrap w:val="0"/>
                  <w:vAlign w:val="center"/>
                </w:tcPr>
                <w:p>
                  <w:pPr>
                    <w:pStyle w:val="53"/>
                    <w:bidi w:val="0"/>
                    <w:spacing w:line="240" w:lineRule="auto"/>
                    <w:rPr>
                      <w:rFonts w:hint="default"/>
                      <w:b w:val="0"/>
                      <w:bCs w:val="0"/>
                      <w:sz w:val="21"/>
                      <w:szCs w:val="21"/>
                    </w:rPr>
                  </w:pPr>
                  <w:r>
                    <w:rPr>
                      <w:rFonts w:hint="default"/>
                      <w:b w:val="0"/>
                      <w:bCs w:val="0"/>
                      <w:sz w:val="21"/>
                      <w:szCs w:val="21"/>
                    </w:rPr>
                    <w:t>是否考虑海岸线熏烟</w:t>
                  </w:r>
                </w:p>
              </w:tc>
              <w:tc>
                <w:tcPr>
                  <w:tcW w:w="2582" w:type="dxa"/>
                  <w:noWrap w:val="0"/>
                  <w:vAlign w:val="center"/>
                </w:tcPr>
                <w:p>
                  <w:pPr>
                    <w:pStyle w:val="53"/>
                    <w:bidi w:val="0"/>
                    <w:spacing w:line="240" w:lineRule="auto"/>
                    <w:rPr>
                      <w:rFonts w:hint="default"/>
                      <w:b w:val="0"/>
                      <w:bCs w:val="0"/>
                      <w:sz w:val="21"/>
                      <w:szCs w:val="21"/>
                    </w:rPr>
                  </w:pPr>
                  <w:r>
                    <w:rPr>
                      <w:rFonts w:hint="default"/>
                      <w:b w:val="0"/>
                      <w:bCs w:val="0"/>
                      <w:sz w:val="21"/>
                      <w:szCs w:val="21"/>
                    </w:rPr>
                    <w:t>考虑海岸线熏烟</w:t>
                  </w:r>
                </w:p>
              </w:tc>
              <w:tc>
                <w:tcPr>
                  <w:tcW w:w="3474" w:type="dxa"/>
                  <w:noWrap w:val="0"/>
                  <w:vAlign w:val="center"/>
                </w:tcPr>
                <w:p>
                  <w:pPr>
                    <w:pStyle w:val="53"/>
                    <w:bidi w:val="0"/>
                    <w:spacing w:line="240" w:lineRule="auto"/>
                    <w:rPr>
                      <w:rFonts w:hint="default"/>
                      <w:b w:val="0"/>
                      <w:bCs w:val="0"/>
                      <w:sz w:val="21"/>
                      <w:szCs w:val="21"/>
                    </w:rPr>
                  </w:pPr>
                  <w:r>
                    <w:rPr>
                      <w:rFonts w:hint="default"/>
                      <w:b w:val="0"/>
                      <w:bCs w:val="0"/>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240" w:type="dxa"/>
                  <w:vMerge w:val="continue"/>
                  <w:noWrap w:val="0"/>
                  <w:vAlign w:val="center"/>
                </w:tcPr>
                <w:p>
                  <w:pPr>
                    <w:pStyle w:val="53"/>
                    <w:bidi w:val="0"/>
                    <w:spacing w:line="240" w:lineRule="auto"/>
                    <w:rPr>
                      <w:rFonts w:hint="default"/>
                      <w:b w:val="0"/>
                      <w:bCs w:val="0"/>
                      <w:sz w:val="21"/>
                      <w:szCs w:val="21"/>
                    </w:rPr>
                  </w:pPr>
                </w:p>
              </w:tc>
              <w:tc>
                <w:tcPr>
                  <w:tcW w:w="2582" w:type="dxa"/>
                  <w:noWrap w:val="0"/>
                  <w:vAlign w:val="center"/>
                </w:tcPr>
                <w:p>
                  <w:pPr>
                    <w:pStyle w:val="53"/>
                    <w:bidi w:val="0"/>
                    <w:spacing w:line="240" w:lineRule="auto"/>
                    <w:rPr>
                      <w:rFonts w:hint="default"/>
                      <w:b w:val="0"/>
                      <w:bCs w:val="0"/>
                      <w:sz w:val="21"/>
                      <w:szCs w:val="21"/>
                    </w:rPr>
                  </w:pPr>
                  <w:r>
                    <w:rPr>
                      <w:rFonts w:hint="default"/>
                      <w:b w:val="0"/>
                      <w:bCs w:val="0"/>
                      <w:sz w:val="21"/>
                      <w:szCs w:val="21"/>
                    </w:rPr>
                    <w:t>海岸线距离/km</w:t>
                  </w:r>
                </w:p>
              </w:tc>
              <w:tc>
                <w:tcPr>
                  <w:tcW w:w="3474" w:type="dxa"/>
                  <w:noWrap w:val="0"/>
                  <w:vAlign w:val="center"/>
                </w:tcPr>
                <w:p>
                  <w:pPr>
                    <w:pStyle w:val="53"/>
                    <w:bidi w:val="0"/>
                    <w:spacing w:line="240" w:lineRule="auto"/>
                    <w:rPr>
                      <w:rFonts w:hint="default"/>
                      <w:b w:val="0"/>
                      <w:bCs w:val="0"/>
                      <w:sz w:val="21"/>
                      <w:szCs w:val="21"/>
                    </w:rPr>
                  </w:pPr>
                  <w:r>
                    <w:rPr>
                      <w:rFonts w:hint="default"/>
                      <w:b w:val="0"/>
                      <w:bCs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 w:hRule="atLeast"/>
                <w:jc w:val="center"/>
              </w:trPr>
              <w:tc>
                <w:tcPr>
                  <w:tcW w:w="2240" w:type="dxa"/>
                  <w:vMerge w:val="continue"/>
                  <w:noWrap w:val="0"/>
                  <w:vAlign w:val="center"/>
                </w:tcPr>
                <w:p>
                  <w:pPr>
                    <w:pStyle w:val="53"/>
                    <w:bidi w:val="0"/>
                    <w:spacing w:line="240" w:lineRule="auto"/>
                    <w:rPr>
                      <w:rFonts w:hint="default"/>
                      <w:b w:val="0"/>
                      <w:bCs w:val="0"/>
                      <w:sz w:val="21"/>
                      <w:szCs w:val="21"/>
                    </w:rPr>
                  </w:pPr>
                </w:p>
              </w:tc>
              <w:tc>
                <w:tcPr>
                  <w:tcW w:w="2582" w:type="dxa"/>
                  <w:noWrap w:val="0"/>
                  <w:vAlign w:val="center"/>
                </w:tcPr>
                <w:p>
                  <w:pPr>
                    <w:pStyle w:val="53"/>
                    <w:bidi w:val="0"/>
                    <w:spacing w:line="240" w:lineRule="auto"/>
                    <w:rPr>
                      <w:rFonts w:hint="default"/>
                      <w:b w:val="0"/>
                      <w:bCs w:val="0"/>
                      <w:sz w:val="21"/>
                      <w:szCs w:val="21"/>
                    </w:rPr>
                  </w:pPr>
                  <w:r>
                    <w:rPr>
                      <w:rFonts w:hint="default"/>
                      <w:b w:val="0"/>
                      <w:bCs w:val="0"/>
                      <w:sz w:val="21"/>
                      <w:szCs w:val="21"/>
                    </w:rPr>
                    <w:t>海岸线方向/o</w:t>
                  </w:r>
                </w:p>
              </w:tc>
              <w:tc>
                <w:tcPr>
                  <w:tcW w:w="3474" w:type="dxa"/>
                  <w:noWrap w:val="0"/>
                  <w:vAlign w:val="center"/>
                </w:tcPr>
                <w:p>
                  <w:pPr>
                    <w:pStyle w:val="53"/>
                    <w:bidi w:val="0"/>
                    <w:spacing w:line="240" w:lineRule="auto"/>
                    <w:rPr>
                      <w:rFonts w:hint="default"/>
                      <w:b w:val="0"/>
                      <w:bCs w:val="0"/>
                      <w:sz w:val="21"/>
                      <w:szCs w:val="21"/>
                    </w:rPr>
                  </w:pPr>
                  <w:r>
                    <w:rPr>
                      <w:rFonts w:hint="default"/>
                      <w:b w:val="0"/>
                      <w:bCs w:val="0"/>
                      <w:sz w:val="21"/>
                      <w:szCs w:val="21"/>
                    </w:rPr>
                    <w:t>/</w:t>
                  </w:r>
                </w:p>
              </w:tc>
            </w:tr>
          </w:tbl>
          <w:p>
            <w:pPr>
              <w:spacing w:line="360" w:lineRule="auto"/>
              <w:ind w:firstLine="482" w:firstLineChars="200"/>
              <w:rPr>
                <w:rFonts w:hint="eastAsia" w:ascii="Times New Roman" w:hAnsi="Times New Roman" w:cs="Times New Roman"/>
                <w:b/>
                <w:bCs/>
                <w:sz w:val="24"/>
                <w:szCs w:val="24"/>
                <w:lang w:val="en-US" w:eastAsia="zh-CN"/>
              </w:rPr>
            </w:pPr>
            <w:r>
              <w:rPr>
                <w:rFonts w:hint="eastAsia" w:cs="Times New Roman"/>
                <w:b/>
                <w:bCs/>
                <w:sz w:val="24"/>
                <w:szCs w:val="24"/>
                <w:lang w:val="en-US" w:eastAsia="zh-CN"/>
              </w:rPr>
              <w:t>5</w:t>
            </w:r>
            <w:r>
              <w:rPr>
                <w:rFonts w:hint="eastAsia" w:ascii="Times New Roman" w:hAnsi="Times New Roman" w:cs="Times New Roman"/>
                <w:b/>
                <w:bCs/>
                <w:sz w:val="24"/>
                <w:szCs w:val="24"/>
                <w:lang w:val="en-US" w:eastAsia="zh-CN"/>
              </w:rPr>
              <w:t>）评价等级确定</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本项目所有污染源的正常排放的污染物的Pmax和D10%预测结果如下：</w:t>
            </w:r>
          </w:p>
          <w:p>
            <w:pPr>
              <w:pStyle w:val="52"/>
              <w:bidi w:val="0"/>
              <w:spacing w:line="240" w:lineRule="auto"/>
              <w:rPr>
                <w:rFonts w:hint="default"/>
              </w:rPr>
            </w:pPr>
            <w:r>
              <w:rPr>
                <w:rFonts w:hint="default"/>
              </w:rPr>
              <w:t>表7-</w:t>
            </w:r>
            <w:r>
              <w:rPr>
                <w:rFonts w:hint="eastAsia"/>
                <w:lang w:val="en-US" w:eastAsia="zh-CN"/>
              </w:rPr>
              <w:t xml:space="preserve">6 </w:t>
            </w:r>
            <w:r>
              <w:rPr>
                <w:rFonts w:hint="default"/>
              </w:rPr>
              <w:t xml:space="preserve"> Pmax和D10%预测和计算结果一览表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0"/>
              <w:gridCol w:w="1369"/>
              <w:gridCol w:w="1372"/>
              <w:gridCol w:w="1370"/>
              <w:gridCol w:w="1368"/>
              <w:gridCol w:w="1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1382" w:type="dxa"/>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污染源名称</w:t>
                  </w:r>
                </w:p>
              </w:tc>
              <w:tc>
                <w:tcPr>
                  <w:tcW w:w="1384" w:type="dxa"/>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评价因子</w:t>
                  </w:r>
                </w:p>
              </w:tc>
              <w:tc>
                <w:tcPr>
                  <w:tcW w:w="1384" w:type="dxa"/>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评价标准(μg/</w:t>
                  </w:r>
                  <w:r>
                    <w:rPr>
                      <w:rFonts w:hint="eastAsia"/>
                      <w:b w:val="0"/>
                      <w:bCs w:val="0"/>
                      <w:color w:val="auto"/>
                      <w:sz w:val="21"/>
                      <w:szCs w:val="21"/>
                      <w:lang w:val="en-US" w:eastAsia="zh-CN"/>
                    </w:rPr>
                    <w:t>m</w:t>
                  </w:r>
                  <w:r>
                    <w:rPr>
                      <w:rFonts w:hint="eastAsia"/>
                      <w:b w:val="0"/>
                      <w:bCs w:val="0"/>
                      <w:color w:val="auto"/>
                      <w:sz w:val="21"/>
                      <w:szCs w:val="21"/>
                      <w:vertAlign w:val="superscript"/>
                      <w:lang w:val="en-US" w:eastAsia="zh-CN"/>
                    </w:rPr>
                    <w:t>3</w:t>
                  </w:r>
                  <w:r>
                    <w:rPr>
                      <w:rFonts w:hint="default"/>
                      <w:b w:val="0"/>
                      <w:bCs w:val="0"/>
                      <w:color w:val="auto"/>
                      <w:sz w:val="21"/>
                      <w:szCs w:val="21"/>
                    </w:rPr>
                    <w:t>)</w:t>
                  </w:r>
                </w:p>
              </w:tc>
              <w:tc>
                <w:tcPr>
                  <w:tcW w:w="1382" w:type="dxa"/>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Cmax</w:t>
                  </w:r>
                </w:p>
                <w:p>
                  <w:pPr>
                    <w:pStyle w:val="53"/>
                    <w:bidi w:val="0"/>
                    <w:spacing w:line="240" w:lineRule="auto"/>
                    <w:rPr>
                      <w:rFonts w:hint="default"/>
                      <w:b w:val="0"/>
                      <w:bCs w:val="0"/>
                      <w:color w:val="auto"/>
                      <w:sz w:val="21"/>
                      <w:szCs w:val="21"/>
                    </w:rPr>
                  </w:pPr>
                  <w:r>
                    <w:rPr>
                      <w:rFonts w:hint="default"/>
                      <w:b w:val="0"/>
                      <w:bCs w:val="0"/>
                      <w:color w:val="auto"/>
                      <w:sz w:val="21"/>
                      <w:szCs w:val="21"/>
                    </w:rPr>
                    <w:t>(μg/</w:t>
                  </w:r>
                  <w:r>
                    <w:rPr>
                      <w:rFonts w:hint="eastAsia"/>
                      <w:b w:val="0"/>
                      <w:bCs w:val="0"/>
                      <w:color w:val="auto"/>
                      <w:sz w:val="21"/>
                      <w:szCs w:val="21"/>
                      <w:lang w:val="en-US" w:eastAsia="zh-CN"/>
                    </w:rPr>
                    <w:t>m</w:t>
                  </w:r>
                  <w:r>
                    <w:rPr>
                      <w:rFonts w:hint="eastAsia"/>
                      <w:b w:val="0"/>
                      <w:bCs w:val="0"/>
                      <w:color w:val="auto"/>
                      <w:sz w:val="21"/>
                      <w:szCs w:val="21"/>
                      <w:vertAlign w:val="superscript"/>
                      <w:lang w:val="en-US" w:eastAsia="zh-CN"/>
                    </w:rPr>
                    <w:t>3</w:t>
                  </w:r>
                  <w:r>
                    <w:rPr>
                      <w:rFonts w:hint="default"/>
                      <w:b w:val="0"/>
                      <w:bCs w:val="0"/>
                      <w:color w:val="auto"/>
                      <w:sz w:val="21"/>
                      <w:szCs w:val="21"/>
                    </w:rPr>
                    <w:t>)</w:t>
                  </w:r>
                </w:p>
              </w:tc>
              <w:tc>
                <w:tcPr>
                  <w:tcW w:w="1384" w:type="dxa"/>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Pmax</w:t>
                  </w:r>
                </w:p>
                <w:p>
                  <w:pPr>
                    <w:pStyle w:val="53"/>
                    <w:bidi w:val="0"/>
                    <w:spacing w:line="240" w:lineRule="auto"/>
                    <w:rPr>
                      <w:rFonts w:hint="default"/>
                      <w:b w:val="0"/>
                      <w:bCs w:val="0"/>
                      <w:color w:val="auto"/>
                      <w:sz w:val="21"/>
                      <w:szCs w:val="21"/>
                    </w:rPr>
                  </w:pPr>
                  <w:r>
                    <w:rPr>
                      <w:rFonts w:hint="default"/>
                      <w:b w:val="0"/>
                      <w:bCs w:val="0"/>
                      <w:color w:val="auto"/>
                      <w:sz w:val="21"/>
                      <w:szCs w:val="21"/>
                    </w:rPr>
                    <w:t>(%)</w:t>
                  </w:r>
                </w:p>
              </w:tc>
              <w:tc>
                <w:tcPr>
                  <w:tcW w:w="1380" w:type="dxa"/>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D10%</w:t>
                  </w:r>
                </w:p>
                <w:p>
                  <w:pPr>
                    <w:pStyle w:val="53"/>
                    <w:bidi w:val="0"/>
                    <w:spacing w:line="240" w:lineRule="auto"/>
                    <w:rPr>
                      <w:rFonts w:hint="default"/>
                      <w:b w:val="0"/>
                      <w:bCs w:val="0"/>
                      <w:color w:val="auto"/>
                      <w:sz w:val="21"/>
                      <w:szCs w:val="21"/>
                    </w:rPr>
                  </w:pPr>
                  <w:r>
                    <w:rPr>
                      <w:rFonts w:hint="default"/>
                      <w:b w:val="0"/>
                      <w:bCs w:val="0"/>
                      <w:color w:val="auto"/>
                      <w:sz w:val="21"/>
                      <w:szCs w:val="21"/>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82" w:type="dxa"/>
                  <w:vMerge w:val="restart"/>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有组织</w:t>
                  </w:r>
                </w:p>
              </w:tc>
              <w:tc>
                <w:tcPr>
                  <w:tcW w:w="1384"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VOCs</w:t>
                  </w:r>
                </w:p>
              </w:tc>
              <w:tc>
                <w:tcPr>
                  <w:tcW w:w="1384" w:type="dxa"/>
                  <w:noWrap w:val="0"/>
                  <w:vAlign w:val="center"/>
                </w:tcPr>
                <w:p>
                  <w:pPr>
                    <w:pStyle w:val="53"/>
                    <w:bidi w:val="0"/>
                    <w:spacing w:line="240" w:lineRule="auto"/>
                    <w:rPr>
                      <w:rFonts w:hint="default"/>
                      <w:b w:val="0"/>
                      <w:bCs w:val="0"/>
                      <w:color w:val="auto"/>
                      <w:sz w:val="21"/>
                      <w:szCs w:val="21"/>
                      <w:lang w:val="en-US"/>
                    </w:rPr>
                  </w:pPr>
                  <w:r>
                    <w:rPr>
                      <w:rFonts w:hint="eastAsia"/>
                      <w:b w:val="0"/>
                      <w:bCs w:val="0"/>
                      <w:color w:val="auto"/>
                      <w:sz w:val="21"/>
                      <w:szCs w:val="21"/>
                      <w:lang w:val="en-US" w:eastAsia="zh-CN"/>
                    </w:rPr>
                    <w:t>600</w:t>
                  </w:r>
                </w:p>
              </w:tc>
              <w:tc>
                <w:tcPr>
                  <w:tcW w:w="1382"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22.653</w:t>
                  </w:r>
                </w:p>
              </w:tc>
              <w:tc>
                <w:tcPr>
                  <w:tcW w:w="1384"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3.78</w:t>
                  </w:r>
                </w:p>
              </w:tc>
              <w:tc>
                <w:tcPr>
                  <w:tcW w:w="1380" w:type="dxa"/>
                  <w:noWrap w:val="0"/>
                  <w:vAlign w:val="center"/>
                </w:tcPr>
                <w:p>
                  <w:pPr>
                    <w:pStyle w:val="53"/>
                    <w:bidi w:val="0"/>
                    <w:spacing w:line="240" w:lineRule="auto"/>
                    <w:rPr>
                      <w:rFonts w:hint="default"/>
                      <w:b w:val="0"/>
                      <w:bCs w:val="0"/>
                      <w:color w:val="auto"/>
                      <w:sz w:val="21"/>
                      <w:szCs w:val="21"/>
                    </w:rPr>
                  </w:pPr>
                  <w:r>
                    <w:rPr>
                      <w:rFonts w:hint="default"/>
                      <w:b w:val="0"/>
                      <w:bCs w:val="0"/>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82" w:type="dxa"/>
                  <w:vMerge w:val="continue"/>
                  <w:noWrap w:val="0"/>
                  <w:vAlign w:val="center"/>
                </w:tcPr>
                <w:p>
                  <w:pPr>
                    <w:pStyle w:val="53"/>
                    <w:bidi w:val="0"/>
                    <w:spacing w:line="240" w:lineRule="auto"/>
                    <w:rPr>
                      <w:rFonts w:hint="eastAsia"/>
                      <w:b w:val="0"/>
                      <w:bCs w:val="0"/>
                      <w:color w:val="auto"/>
                      <w:sz w:val="21"/>
                      <w:szCs w:val="21"/>
                      <w:lang w:val="en-US" w:eastAsia="zh-CN"/>
                    </w:rPr>
                  </w:pPr>
                </w:p>
              </w:tc>
              <w:tc>
                <w:tcPr>
                  <w:tcW w:w="1384"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TSP</w:t>
                  </w:r>
                </w:p>
              </w:tc>
              <w:tc>
                <w:tcPr>
                  <w:tcW w:w="1384"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900</w:t>
                  </w:r>
                </w:p>
              </w:tc>
              <w:tc>
                <w:tcPr>
                  <w:tcW w:w="1382"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9.6453</w:t>
                  </w:r>
                </w:p>
              </w:tc>
              <w:tc>
                <w:tcPr>
                  <w:tcW w:w="1384"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1.07</w:t>
                  </w:r>
                </w:p>
              </w:tc>
              <w:tc>
                <w:tcPr>
                  <w:tcW w:w="1380" w:type="dxa"/>
                  <w:noWrap w:val="0"/>
                  <w:vAlign w:val="center"/>
                </w:tcPr>
                <w:p>
                  <w:pPr>
                    <w:pStyle w:val="53"/>
                    <w:bidi w:val="0"/>
                    <w:spacing w:line="240" w:lineRule="auto"/>
                    <w:rPr>
                      <w:rFonts w:hint="eastAsia" w:eastAsia="宋体"/>
                      <w:b w:val="0"/>
                      <w:bCs w:val="0"/>
                      <w:color w:val="auto"/>
                      <w:sz w:val="21"/>
                      <w:szCs w:val="21"/>
                      <w:lang w:val="en-US" w:eastAsia="zh-CN"/>
                    </w:rPr>
                  </w:pPr>
                  <w:r>
                    <w:rPr>
                      <w:rFonts w:hint="eastAsia"/>
                      <w:b w:val="0"/>
                      <w:bCs w:val="0"/>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382" w:type="dxa"/>
                  <w:vMerge w:val="restart"/>
                  <w:noWrap w:val="0"/>
                  <w:vAlign w:val="center"/>
                </w:tcPr>
                <w:p>
                  <w:pPr>
                    <w:pStyle w:val="53"/>
                    <w:bidi w:val="0"/>
                    <w:spacing w:line="240" w:lineRule="auto"/>
                    <w:rPr>
                      <w:rFonts w:hint="default"/>
                      <w:b w:val="0"/>
                      <w:bCs w:val="0"/>
                      <w:color w:val="auto"/>
                      <w:sz w:val="21"/>
                      <w:szCs w:val="21"/>
                    </w:rPr>
                  </w:pPr>
                  <w:r>
                    <w:rPr>
                      <w:rFonts w:hint="eastAsia"/>
                      <w:b w:val="0"/>
                      <w:bCs w:val="0"/>
                      <w:color w:val="auto"/>
                      <w:sz w:val="21"/>
                      <w:szCs w:val="21"/>
                      <w:lang w:val="en-US" w:eastAsia="zh-CN"/>
                    </w:rPr>
                    <w:t>无组织</w:t>
                  </w:r>
                </w:p>
              </w:tc>
              <w:tc>
                <w:tcPr>
                  <w:tcW w:w="1384" w:type="dxa"/>
                  <w:noWrap w:val="0"/>
                  <w:vAlign w:val="center"/>
                </w:tcPr>
                <w:p>
                  <w:pPr>
                    <w:pStyle w:val="53"/>
                    <w:bidi w:val="0"/>
                    <w:spacing w:line="240" w:lineRule="auto"/>
                    <w:rPr>
                      <w:rFonts w:hint="default"/>
                      <w:b w:val="0"/>
                      <w:bCs w:val="0"/>
                      <w:color w:val="auto"/>
                      <w:sz w:val="21"/>
                      <w:szCs w:val="21"/>
                    </w:rPr>
                  </w:pPr>
                  <w:r>
                    <w:rPr>
                      <w:rFonts w:hint="eastAsia"/>
                      <w:b w:val="0"/>
                      <w:bCs w:val="0"/>
                      <w:color w:val="auto"/>
                      <w:sz w:val="21"/>
                      <w:szCs w:val="21"/>
                      <w:lang w:val="en-US" w:eastAsia="zh-CN"/>
                    </w:rPr>
                    <w:t>TSP</w:t>
                  </w:r>
                </w:p>
              </w:tc>
              <w:tc>
                <w:tcPr>
                  <w:tcW w:w="1384" w:type="dxa"/>
                  <w:noWrap w:val="0"/>
                  <w:vAlign w:val="center"/>
                </w:tcPr>
                <w:p>
                  <w:pPr>
                    <w:pStyle w:val="53"/>
                    <w:bidi w:val="0"/>
                    <w:spacing w:line="240" w:lineRule="auto"/>
                    <w:rPr>
                      <w:rFonts w:hint="default"/>
                      <w:b w:val="0"/>
                      <w:bCs w:val="0"/>
                      <w:color w:val="auto"/>
                      <w:sz w:val="21"/>
                      <w:szCs w:val="21"/>
                    </w:rPr>
                  </w:pPr>
                  <w:r>
                    <w:rPr>
                      <w:rFonts w:hint="eastAsia"/>
                      <w:b w:val="0"/>
                      <w:bCs w:val="0"/>
                      <w:color w:val="auto"/>
                      <w:sz w:val="21"/>
                      <w:szCs w:val="21"/>
                      <w:lang w:val="en-US" w:eastAsia="zh-CN"/>
                    </w:rPr>
                    <w:t>90</w:t>
                  </w:r>
                  <w:r>
                    <w:rPr>
                      <w:rFonts w:hint="default"/>
                      <w:b w:val="0"/>
                      <w:bCs w:val="0"/>
                      <w:color w:val="auto"/>
                      <w:sz w:val="21"/>
                      <w:szCs w:val="21"/>
                    </w:rPr>
                    <w:t>0</w:t>
                  </w:r>
                </w:p>
              </w:tc>
              <w:tc>
                <w:tcPr>
                  <w:tcW w:w="1382"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71.075</w:t>
                  </w:r>
                </w:p>
              </w:tc>
              <w:tc>
                <w:tcPr>
                  <w:tcW w:w="1384"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7.90</w:t>
                  </w:r>
                </w:p>
              </w:tc>
              <w:tc>
                <w:tcPr>
                  <w:tcW w:w="1380"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82" w:type="dxa"/>
                  <w:vMerge w:val="continue"/>
                  <w:noWrap w:val="0"/>
                  <w:vAlign w:val="center"/>
                </w:tcPr>
                <w:p>
                  <w:pPr>
                    <w:pStyle w:val="53"/>
                    <w:bidi w:val="0"/>
                    <w:spacing w:line="240" w:lineRule="auto"/>
                    <w:rPr>
                      <w:rFonts w:hint="default"/>
                      <w:b w:val="0"/>
                      <w:bCs w:val="0"/>
                      <w:color w:val="auto"/>
                      <w:sz w:val="21"/>
                      <w:szCs w:val="21"/>
                    </w:rPr>
                  </w:pPr>
                </w:p>
              </w:tc>
              <w:tc>
                <w:tcPr>
                  <w:tcW w:w="1384"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eastAsia="zh-CN"/>
                    </w:rPr>
                    <w:t>VOC</w:t>
                  </w:r>
                  <w:r>
                    <w:rPr>
                      <w:rFonts w:hint="eastAsia"/>
                      <w:b w:val="0"/>
                      <w:bCs w:val="0"/>
                      <w:color w:val="auto"/>
                      <w:sz w:val="21"/>
                      <w:szCs w:val="21"/>
                      <w:lang w:val="en-US" w:eastAsia="zh-CN"/>
                    </w:rPr>
                    <w:t>s</w:t>
                  </w:r>
                </w:p>
              </w:tc>
              <w:tc>
                <w:tcPr>
                  <w:tcW w:w="1384"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600</w:t>
                  </w:r>
                </w:p>
              </w:tc>
              <w:tc>
                <w:tcPr>
                  <w:tcW w:w="1382"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38.394</w:t>
                  </w:r>
                </w:p>
              </w:tc>
              <w:tc>
                <w:tcPr>
                  <w:tcW w:w="1384" w:type="dxa"/>
                  <w:noWrap w:val="0"/>
                  <w:vAlign w:val="center"/>
                </w:tcPr>
                <w:p>
                  <w:pPr>
                    <w:pStyle w:val="53"/>
                    <w:bidi w:val="0"/>
                    <w:spacing w:line="240" w:lineRule="auto"/>
                    <w:rPr>
                      <w:rFonts w:hint="default"/>
                      <w:b w:val="0"/>
                      <w:bCs w:val="0"/>
                      <w:color w:val="auto"/>
                      <w:sz w:val="21"/>
                      <w:szCs w:val="21"/>
                      <w:lang w:val="en-US" w:eastAsia="zh-CN"/>
                    </w:rPr>
                  </w:pPr>
                  <w:r>
                    <w:rPr>
                      <w:rFonts w:hint="eastAsia"/>
                      <w:b w:val="0"/>
                      <w:bCs w:val="0"/>
                      <w:color w:val="auto"/>
                      <w:sz w:val="21"/>
                      <w:szCs w:val="21"/>
                      <w:lang w:val="en-US" w:eastAsia="zh-CN"/>
                    </w:rPr>
                    <w:t>6.40</w:t>
                  </w:r>
                </w:p>
              </w:tc>
              <w:tc>
                <w:tcPr>
                  <w:tcW w:w="1380" w:type="dxa"/>
                  <w:noWrap w:val="0"/>
                  <w:vAlign w:val="center"/>
                </w:tcPr>
                <w:p>
                  <w:pPr>
                    <w:pStyle w:val="53"/>
                    <w:bidi w:val="0"/>
                    <w:spacing w:line="240" w:lineRule="auto"/>
                    <w:rPr>
                      <w:rFonts w:hint="eastAsia"/>
                      <w:b w:val="0"/>
                      <w:bCs w:val="0"/>
                      <w:color w:val="auto"/>
                      <w:sz w:val="21"/>
                      <w:szCs w:val="21"/>
                      <w:lang w:val="en-US" w:eastAsia="zh-CN"/>
                    </w:rPr>
                  </w:pPr>
                  <w:r>
                    <w:rPr>
                      <w:rFonts w:hint="eastAsia"/>
                      <w:b w:val="0"/>
                      <w:bCs w:val="0"/>
                      <w:color w:val="auto"/>
                      <w:sz w:val="21"/>
                      <w:szCs w:val="21"/>
                      <w:lang w:val="en-US" w:eastAsia="zh-CN"/>
                    </w:rPr>
                    <w:t>/</w:t>
                  </w:r>
                </w:p>
              </w:tc>
            </w:tr>
          </w:tbl>
          <w:p>
            <w:pPr>
              <w:spacing w:line="360" w:lineRule="auto"/>
              <w:ind w:firstLine="480" w:firstLineChars="200"/>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本项目Pmax最大值出现为无组织排放的VOCs，Pmax值为</w:t>
            </w:r>
            <w:r>
              <w:rPr>
                <w:rFonts w:hint="eastAsia" w:cs="Times New Roman"/>
                <w:color w:val="000000" w:themeColor="text1"/>
                <w:sz w:val="24"/>
                <w:szCs w:val="24"/>
                <w:lang w:val="en-US" w:eastAsia="zh-CN"/>
                <w14:textFill>
                  <w14:solidFill>
                    <w14:schemeClr w14:val="tx1"/>
                  </w14:solidFill>
                </w14:textFill>
              </w:rPr>
              <w:t>7.90</w:t>
            </w:r>
            <w:r>
              <w:rPr>
                <w:rFonts w:hint="eastAsia" w:ascii="Times New Roman" w:hAnsi="Times New Roman" w:cs="Times New Roman"/>
                <w:color w:val="000000" w:themeColor="text1"/>
                <w:sz w:val="24"/>
                <w:szCs w:val="24"/>
                <w:lang w:val="en-US" w:eastAsia="zh-CN"/>
                <w14:textFill>
                  <w14:solidFill>
                    <w14:schemeClr w14:val="tx1"/>
                  </w14:solidFill>
                </w14:textFill>
              </w:rPr>
              <w:t>%，Cmax为</w:t>
            </w:r>
            <w:r>
              <w:rPr>
                <w:rFonts w:hint="eastAsia" w:cs="Times New Roman"/>
                <w:color w:val="000000" w:themeColor="text1"/>
                <w:sz w:val="24"/>
                <w:szCs w:val="24"/>
                <w:lang w:val="en-US" w:eastAsia="zh-CN"/>
                <w14:textFill>
                  <w14:solidFill>
                    <w14:schemeClr w14:val="tx1"/>
                  </w14:solidFill>
                </w14:textFill>
              </w:rPr>
              <w:t>71.075</w:t>
            </w:r>
            <w:r>
              <w:rPr>
                <w:rFonts w:hint="eastAsia" w:ascii="Times New Roman" w:hAnsi="Times New Roman" w:cs="Times New Roman"/>
                <w:color w:val="000000" w:themeColor="text1"/>
                <w:sz w:val="24"/>
                <w:szCs w:val="24"/>
                <w:lang w:val="en-US" w:eastAsia="zh-CN"/>
                <w14:textFill>
                  <w14:solidFill>
                    <w14:schemeClr w14:val="tx1"/>
                  </w14:solidFill>
                </w14:textFill>
              </w:rPr>
              <w:t>ug/m</w:t>
            </w:r>
            <w:r>
              <w:rPr>
                <w:rFonts w:hint="eastAsia" w:ascii="Times New Roman" w:hAnsi="Times New Roman" w:cs="Times New Roman"/>
                <w:color w:val="000000" w:themeColor="text1"/>
                <w:sz w:val="24"/>
                <w:szCs w:val="24"/>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24"/>
                <w:lang w:val="en-US" w:eastAsia="zh-CN"/>
                <w14:textFill>
                  <w14:solidFill>
                    <w14:schemeClr w14:val="tx1"/>
                  </w14:solidFill>
                </w14:textFill>
              </w:rPr>
              <w:t>，根据《环境影响评价技术导则 大气环境》(HJ2.2-2018)分级判据，确定本项目大气环境影响评价工作等级为二级。</w:t>
            </w:r>
          </w:p>
          <w:p>
            <w:pPr>
              <w:spacing w:line="360" w:lineRule="auto"/>
              <w:ind w:firstLine="480" w:firstLineChars="200"/>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依据《环境影响技术导则一大气环境（HJ2.2-2018）》评价工作的分级判据，本项目大气评价等级定为二级。不进行进一步预测和评价。</w:t>
            </w:r>
          </w:p>
          <w:p>
            <w:pPr>
              <w:spacing w:line="360" w:lineRule="auto"/>
              <w:ind w:firstLine="482" w:firstLineChars="200"/>
              <w:rPr>
                <w:rFonts w:hint="eastAsia" w:ascii="Times New Roman" w:hAnsi="Times New Roman" w:cs="Times New Roman"/>
                <w:b/>
                <w:bCs/>
                <w:sz w:val="24"/>
                <w:szCs w:val="24"/>
                <w:lang w:val="en-US" w:eastAsia="zh-CN"/>
              </w:rPr>
            </w:pPr>
            <w:r>
              <w:rPr>
                <w:rFonts w:hint="eastAsia" w:cs="Times New Roman"/>
                <w:b/>
                <w:bCs/>
                <w:sz w:val="24"/>
                <w:szCs w:val="24"/>
                <w:lang w:val="en-US" w:eastAsia="zh-CN"/>
              </w:rPr>
              <w:t>6</w:t>
            </w:r>
            <w:r>
              <w:rPr>
                <w:rFonts w:hint="eastAsia" w:ascii="Times New Roman" w:hAnsi="Times New Roman" w:cs="Times New Roman"/>
                <w:b/>
                <w:bCs/>
                <w:sz w:val="24"/>
                <w:szCs w:val="24"/>
                <w:lang w:val="en-US" w:eastAsia="zh-CN"/>
              </w:rPr>
              <w:t>）废气预测结果</w:t>
            </w:r>
          </w:p>
          <w:p>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① 有组织排放VOCs、TSP预测结果见下表。</w:t>
            </w:r>
          </w:p>
          <w:p>
            <w:pPr>
              <w:pStyle w:val="52"/>
              <w:bidi w:val="0"/>
              <w:spacing w:line="240" w:lineRule="auto"/>
            </w:pPr>
            <w:r>
              <w:t>表7-</w:t>
            </w:r>
            <w:r>
              <w:rPr>
                <w:rFonts w:hint="eastAsia"/>
                <w:lang w:val="en-US" w:eastAsia="zh-CN"/>
              </w:rPr>
              <w:t>7</w:t>
            </w:r>
            <w:r>
              <w:t xml:space="preserve">   废气估算模式计算结果表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8"/>
              <w:gridCol w:w="1604"/>
              <w:gridCol w:w="1703"/>
              <w:gridCol w:w="1667"/>
              <w:gridCol w:w="1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vMerge w:val="restart"/>
                  <w:noWrap w:val="0"/>
                  <w:vAlign w:val="center"/>
                </w:tcPr>
                <w:p>
                  <w:pPr>
                    <w:pStyle w:val="53"/>
                    <w:bidi w:val="0"/>
                    <w:spacing w:line="240" w:lineRule="auto"/>
                    <w:rPr>
                      <w:b w:val="0"/>
                      <w:bCs w:val="0"/>
                      <w:sz w:val="21"/>
                      <w:szCs w:val="21"/>
                    </w:rPr>
                  </w:pPr>
                  <w:r>
                    <w:rPr>
                      <w:b w:val="0"/>
                      <w:bCs w:val="0"/>
                      <w:sz w:val="21"/>
                      <w:szCs w:val="21"/>
                    </w:rPr>
                    <w:t>距源中心下风向距离</w:t>
                  </w:r>
                </w:p>
              </w:tc>
              <w:tc>
                <w:tcPr>
                  <w:tcW w:w="3307" w:type="dxa"/>
                  <w:gridSpan w:val="2"/>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TSP</w:t>
                  </w:r>
                </w:p>
              </w:tc>
              <w:tc>
                <w:tcPr>
                  <w:tcW w:w="3330" w:type="dxa"/>
                  <w:gridSpan w:val="2"/>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VOCs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vMerge w:val="continue"/>
                  <w:noWrap w:val="0"/>
                  <w:vAlign w:val="center"/>
                </w:tcPr>
                <w:p>
                  <w:pPr>
                    <w:pStyle w:val="53"/>
                    <w:bidi w:val="0"/>
                    <w:spacing w:line="240" w:lineRule="auto"/>
                    <w:rPr>
                      <w:b w:val="0"/>
                      <w:bCs w:val="0"/>
                      <w:sz w:val="21"/>
                      <w:szCs w:val="21"/>
                    </w:rPr>
                  </w:pPr>
                </w:p>
              </w:tc>
              <w:tc>
                <w:tcPr>
                  <w:tcW w:w="1604" w:type="dxa"/>
                  <w:noWrap w:val="0"/>
                  <w:vAlign w:val="center"/>
                </w:tcPr>
                <w:p>
                  <w:pPr>
                    <w:pStyle w:val="53"/>
                    <w:bidi w:val="0"/>
                    <w:spacing w:line="240" w:lineRule="auto"/>
                    <w:rPr>
                      <w:b w:val="0"/>
                      <w:bCs w:val="0"/>
                      <w:sz w:val="21"/>
                      <w:szCs w:val="21"/>
                    </w:rPr>
                  </w:pPr>
                  <w:r>
                    <w:rPr>
                      <w:b w:val="0"/>
                      <w:bCs w:val="0"/>
                      <w:sz w:val="21"/>
                      <w:szCs w:val="21"/>
                    </w:rPr>
                    <w:t>下风向预测浓度mg/</w:t>
                  </w:r>
                  <w:r>
                    <w:rPr>
                      <w:rFonts w:hint="eastAsia"/>
                      <w:b w:val="0"/>
                      <w:bCs w:val="0"/>
                      <w:sz w:val="21"/>
                      <w:szCs w:val="21"/>
                      <w:lang w:val="en-US" w:eastAsia="zh-CN"/>
                    </w:rPr>
                    <w:t>m</w:t>
                  </w:r>
                  <w:r>
                    <w:rPr>
                      <w:rFonts w:hint="eastAsia"/>
                      <w:b w:val="0"/>
                      <w:bCs w:val="0"/>
                      <w:sz w:val="21"/>
                      <w:szCs w:val="21"/>
                      <w:vertAlign w:val="superscript"/>
                      <w:lang w:val="en-US" w:eastAsia="zh-CN"/>
                    </w:rPr>
                    <w:t>3</w:t>
                  </w:r>
                </w:p>
              </w:tc>
              <w:tc>
                <w:tcPr>
                  <w:tcW w:w="1703" w:type="dxa"/>
                  <w:noWrap w:val="0"/>
                  <w:vAlign w:val="center"/>
                </w:tcPr>
                <w:p>
                  <w:pPr>
                    <w:pStyle w:val="53"/>
                    <w:bidi w:val="0"/>
                    <w:spacing w:line="240" w:lineRule="auto"/>
                    <w:rPr>
                      <w:b w:val="0"/>
                      <w:bCs w:val="0"/>
                      <w:sz w:val="21"/>
                      <w:szCs w:val="21"/>
                    </w:rPr>
                  </w:pPr>
                  <w:r>
                    <w:rPr>
                      <w:b w:val="0"/>
                      <w:bCs w:val="0"/>
                      <w:sz w:val="21"/>
                      <w:szCs w:val="21"/>
                    </w:rPr>
                    <w:t>浓度占标率%</w:t>
                  </w:r>
                </w:p>
              </w:tc>
              <w:tc>
                <w:tcPr>
                  <w:tcW w:w="1667" w:type="dxa"/>
                  <w:noWrap w:val="0"/>
                  <w:vAlign w:val="center"/>
                </w:tcPr>
                <w:p>
                  <w:pPr>
                    <w:pStyle w:val="53"/>
                    <w:bidi w:val="0"/>
                    <w:spacing w:line="240" w:lineRule="auto"/>
                    <w:rPr>
                      <w:b w:val="0"/>
                      <w:bCs w:val="0"/>
                      <w:sz w:val="21"/>
                      <w:szCs w:val="21"/>
                    </w:rPr>
                  </w:pPr>
                  <w:r>
                    <w:rPr>
                      <w:b w:val="0"/>
                      <w:bCs w:val="0"/>
                      <w:sz w:val="21"/>
                      <w:szCs w:val="21"/>
                    </w:rPr>
                    <w:t>下风向预测浓度mg/</w:t>
                  </w:r>
                  <w:r>
                    <w:rPr>
                      <w:rFonts w:hint="eastAsia"/>
                      <w:b w:val="0"/>
                      <w:bCs w:val="0"/>
                      <w:sz w:val="21"/>
                      <w:szCs w:val="21"/>
                      <w:lang w:val="en-US" w:eastAsia="zh-CN"/>
                    </w:rPr>
                    <w:t>m</w:t>
                  </w:r>
                  <w:r>
                    <w:rPr>
                      <w:rFonts w:hint="eastAsia"/>
                      <w:b w:val="0"/>
                      <w:bCs w:val="0"/>
                      <w:sz w:val="21"/>
                      <w:szCs w:val="21"/>
                      <w:vertAlign w:val="superscript"/>
                      <w:lang w:val="en-US" w:eastAsia="zh-CN"/>
                    </w:rPr>
                    <w:t>3</w:t>
                  </w:r>
                </w:p>
              </w:tc>
              <w:tc>
                <w:tcPr>
                  <w:tcW w:w="1663" w:type="dxa"/>
                  <w:noWrap w:val="0"/>
                  <w:vAlign w:val="center"/>
                </w:tcPr>
                <w:p>
                  <w:pPr>
                    <w:pStyle w:val="53"/>
                    <w:bidi w:val="0"/>
                    <w:spacing w:line="240" w:lineRule="auto"/>
                    <w:rPr>
                      <w:b w:val="0"/>
                      <w:bCs w:val="0"/>
                      <w:sz w:val="21"/>
                      <w:szCs w:val="21"/>
                    </w:rPr>
                  </w:pPr>
                  <w:r>
                    <w:rPr>
                      <w:b w:val="0"/>
                      <w:bCs w:val="0"/>
                      <w:sz w:val="21"/>
                      <w:szCs w:val="21"/>
                    </w:rPr>
                    <w:t>浓度占标率%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rFonts w:hint="default" w:eastAsia="宋体"/>
                      <w:b w:val="0"/>
                      <w:bCs w:val="0"/>
                      <w:sz w:val="21"/>
                      <w:szCs w:val="21"/>
                      <w:lang w:val="en-US" w:eastAsia="zh-CN"/>
                    </w:rPr>
                  </w:pPr>
                  <w:r>
                    <w:rPr>
                      <w:rFonts w:hint="eastAsia"/>
                      <w:b w:val="0"/>
                      <w:bCs w:val="0"/>
                      <w:sz w:val="21"/>
                      <w:szCs w:val="21"/>
                      <w:lang w:val="en-US" w:eastAsia="zh-CN"/>
                    </w:rPr>
                    <w:t>10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0.1992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0.02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0.4679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0.08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rFonts w:hint="default" w:eastAsia="宋体"/>
                      <w:b w:val="0"/>
                      <w:bCs w:val="0"/>
                      <w:sz w:val="21"/>
                      <w:szCs w:val="21"/>
                      <w:lang w:val="en-US" w:eastAsia="zh-CN"/>
                    </w:rPr>
                  </w:pPr>
                  <w:r>
                    <w:rPr>
                      <w:rFonts w:hint="eastAsia"/>
                      <w:b w:val="0"/>
                      <w:bCs w:val="0"/>
                      <w:sz w:val="21"/>
                      <w:szCs w:val="21"/>
                      <w:lang w:val="en-US" w:eastAsia="zh-CN"/>
                    </w:rPr>
                    <w:t>25</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1.8801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0.21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4.4156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0.74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rFonts w:hint="default" w:eastAsia="宋体"/>
                      <w:b w:val="0"/>
                      <w:bCs w:val="0"/>
                      <w:sz w:val="21"/>
                      <w:szCs w:val="21"/>
                      <w:lang w:val="en-US" w:eastAsia="zh-CN"/>
                    </w:rPr>
                  </w:pPr>
                  <w:r>
                    <w:rPr>
                      <w:rFonts w:hint="eastAsia"/>
                      <w:b w:val="0"/>
                      <w:bCs w:val="0"/>
                      <w:sz w:val="21"/>
                      <w:szCs w:val="21"/>
                      <w:lang w:val="en-US" w:eastAsia="zh-CN"/>
                    </w:rPr>
                    <w:t>50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5.9646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0.66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14.0080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2.33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84</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9.6453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1.07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22.6530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3.78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b w:val="0"/>
                      <w:bCs w:val="0"/>
                      <w:sz w:val="21"/>
                      <w:szCs w:val="21"/>
                    </w:rPr>
                  </w:pPr>
                  <w:r>
                    <w:rPr>
                      <w:rFonts w:hint="eastAsia"/>
                      <w:b w:val="0"/>
                      <w:bCs w:val="0"/>
                      <w:sz w:val="21"/>
                      <w:szCs w:val="21"/>
                    </w:rPr>
                    <w:t>100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9.5926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1.07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22.5290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3.75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b w:val="0"/>
                      <w:bCs w:val="0"/>
                      <w:sz w:val="21"/>
                      <w:szCs w:val="21"/>
                    </w:rPr>
                  </w:pPr>
                  <w:r>
                    <w:rPr>
                      <w:rFonts w:hint="eastAsia"/>
                      <w:b w:val="0"/>
                      <w:bCs w:val="0"/>
                      <w:sz w:val="21"/>
                      <w:szCs w:val="21"/>
                    </w:rPr>
                    <w:t>200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6.7391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0.75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15.8270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2.64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b w:val="0"/>
                      <w:bCs w:val="0"/>
                      <w:sz w:val="21"/>
                      <w:szCs w:val="21"/>
                    </w:rPr>
                  </w:pPr>
                  <w:r>
                    <w:rPr>
                      <w:rFonts w:hint="eastAsia"/>
                      <w:b w:val="0"/>
                      <w:bCs w:val="0"/>
                      <w:sz w:val="21"/>
                      <w:szCs w:val="21"/>
                    </w:rPr>
                    <w:t>300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4.5066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0.50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10.5840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1.76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b w:val="0"/>
                      <w:bCs w:val="0"/>
                      <w:sz w:val="21"/>
                      <w:szCs w:val="21"/>
                    </w:rPr>
                  </w:pPr>
                  <w:r>
                    <w:rPr>
                      <w:rFonts w:hint="eastAsia"/>
                      <w:b w:val="0"/>
                      <w:bCs w:val="0"/>
                      <w:sz w:val="21"/>
                      <w:szCs w:val="21"/>
                    </w:rPr>
                    <w:t>400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3.2428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0.36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7.6158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1.27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b w:val="0"/>
                      <w:bCs w:val="0"/>
                      <w:sz w:val="21"/>
                      <w:szCs w:val="21"/>
                    </w:rPr>
                  </w:pPr>
                  <w:r>
                    <w:rPr>
                      <w:rFonts w:hint="eastAsia"/>
                      <w:b w:val="0"/>
                      <w:bCs w:val="0"/>
                      <w:sz w:val="21"/>
                      <w:szCs w:val="21"/>
                    </w:rPr>
                    <w:t>500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2.4725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0.27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5.8068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0.97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b w:val="0"/>
                      <w:bCs w:val="0"/>
                      <w:sz w:val="21"/>
                      <w:szCs w:val="21"/>
                    </w:rPr>
                  </w:pPr>
                  <w:r>
                    <w:rPr>
                      <w:rFonts w:hint="eastAsia"/>
                      <w:b w:val="0"/>
                      <w:bCs w:val="0"/>
                      <w:sz w:val="21"/>
                      <w:szCs w:val="21"/>
                    </w:rPr>
                    <w:t>600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1.9663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0.22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4.6179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0.77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b w:val="0"/>
                      <w:bCs w:val="0"/>
                      <w:sz w:val="21"/>
                      <w:szCs w:val="21"/>
                    </w:rPr>
                  </w:pPr>
                  <w:r>
                    <w:rPr>
                      <w:rFonts w:hint="eastAsia"/>
                      <w:b w:val="0"/>
                      <w:bCs w:val="0"/>
                      <w:sz w:val="21"/>
                      <w:szCs w:val="21"/>
                    </w:rPr>
                    <w:t>700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1.6133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0.18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3.7889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0.63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b w:val="0"/>
                      <w:bCs w:val="0"/>
                      <w:sz w:val="21"/>
                      <w:szCs w:val="21"/>
                    </w:rPr>
                  </w:pPr>
                  <w:r>
                    <w:rPr>
                      <w:rFonts w:hint="eastAsia"/>
                      <w:b w:val="0"/>
                      <w:bCs w:val="0"/>
                      <w:sz w:val="21"/>
                      <w:szCs w:val="21"/>
                    </w:rPr>
                    <w:t>800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1.3557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0.15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3.1841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0.53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b w:val="0"/>
                      <w:bCs w:val="0"/>
                      <w:sz w:val="21"/>
                      <w:szCs w:val="21"/>
                    </w:rPr>
                  </w:pPr>
                  <w:r>
                    <w:rPr>
                      <w:rFonts w:hint="eastAsia"/>
                      <w:b w:val="0"/>
                      <w:bCs w:val="0"/>
                      <w:sz w:val="21"/>
                      <w:szCs w:val="21"/>
                    </w:rPr>
                    <w:t>900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1.1609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0.13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2.7266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b w:val="0"/>
                      <w:bCs w:val="0"/>
                      <w:sz w:val="21"/>
                      <w:szCs w:val="21"/>
                    </w:rPr>
                  </w:pPr>
                  <w:r>
                    <w:rPr>
                      <w:rFonts w:hint="eastAsia"/>
                      <w:b w:val="0"/>
                      <w:bCs w:val="0"/>
                      <w:sz w:val="21"/>
                      <w:szCs w:val="21"/>
                    </w:rPr>
                    <w:t>1000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1.0093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0.11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2.3705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b w:val="0"/>
                      <w:bCs w:val="0"/>
                      <w:sz w:val="21"/>
                      <w:szCs w:val="21"/>
                    </w:rPr>
                  </w:pPr>
                  <w:r>
                    <w:rPr>
                      <w:rFonts w:hint="eastAsia"/>
                      <w:b w:val="0"/>
                      <w:bCs w:val="0"/>
                      <w:sz w:val="21"/>
                      <w:szCs w:val="21"/>
                    </w:rPr>
                    <w:t>1100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0.8885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0.10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2.0867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b w:val="0"/>
                      <w:bCs w:val="0"/>
                      <w:sz w:val="21"/>
                      <w:szCs w:val="21"/>
                    </w:rPr>
                  </w:pPr>
                  <w:r>
                    <w:rPr>
                      <w:rFonts w:hint="eastAsia"/>
                      <w:b w:val="0"/>
                      <w:bCs w:val="0"/>
                      <w:sz w:val="21"/>
                      <w:szCs w:val="21"/>
                    </w:rPr>
                    <w:t>1200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0.7903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0.09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1.8562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0.31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b w:val="0"/>
                      <w:bCs w:val="0"/>
                      <w:sz w:val="21"/>
                      <w:szCs w:val="21"/>
                    </w:rPr>
                  </w:pPr>
                  <w:r>
                    <w:rPr>
                      <w:rFonts w:hint="eastAsia"/>
                      <w:b w:val="0"/>
                      <w:bCs w:val="0"/>
                      <w:sz w:val="21"/>
                      <w:szCs w:val="21"/>
                    </w:rPr>
                    <w:t>1300</w:t>
                  </w:r>
                </w:p>
              </w:tc>
              <w:tc>
                <w:tcPr>
                  <w:tcW w:w="1604"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 xml:space="preserve">0.7093 </w:t>
                  </w:r>
                </w:p>
              </w:tc>
              <w:tc>
                <w:tcPr>
                  <w:tcW w:w="1703"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 xml:space="preserve">0.08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1.6657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0.28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b w:val="0"/>
                      <w:bCs w:val="0"/>
                      <w:sz w:val="21"/>
                      <w:szCs w:val="21"/>
                    </w:rPr>
                  </w:pPr>
                  <w:r>
                    <w:rPr>
                      <w:rFonts w:hint="eastAsia"/>
                      <w:b w:val="0"/>
                      <w:bCs w:val="0"/>
                      <w:sz w:val="21"/>
                      <w:szCs w:val="21"/>
                    </w:rPr>
                    <w:t>1400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0.6413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0.07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1.5062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b w:val="0"/>
                      <w:bCs w:val="0"/>
                      <w:sz w:val="21"/>
                      <w:szCs w:val="21"/>
                    </w:rPr>
                  </w:pPr>
                  <w:r>
                    <w:rPr>
                      <w:rFonts w:hint="eastAsia"/>
                      <w:b w:val="0"/>
                      <w:bCs w:val="0"/>
                      <w:sz w:val="21"/>
                      <w:szCs w:val="21"/>
                    </w:rPr>
                    <w:t>1500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0.5837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0.06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1.3709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0.23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b w:val="0"/>
                      <w:bCs w:val="0"/>
                      <w:sz w:val="21"/>
                      <w:szCs w:val="21"/>
                    </w:rPr>
                  </w:pPr>
                  <w:r>
                    <w:rPr>
                      <w:rFonts w:hint="eastAsia"/>
                      <w:b w:val="0"/>
                      <w:bCs w:val="0"/>
                      <w:sz w:val="21"/>
                      <w:szCs w:val="21"/>
                    </w:rPr>
                    <w:t>1600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0.5344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0.06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1.2550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0.21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b w:val="0"/>
                      <w:bCs w:val="0"/>
                      <w:sz w:val="21"/>
                      <w:szCs w:val="21"/>
                    </w:rPr>
                  </w:pPr>
                  <w:r>
                    <w:rPr>
                      <w:rFonts w:hint="eastAsia"/>
                      <w:b w:val="0"/>
                      <w:bCs w:val="0"/>
                      <w:sz w:val="21"/>
                      <w:szCs w:val="21"/>
                    </w:rPr>
                    <w:t>1700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0.4917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0.05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1.1547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0.19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b w:val="0"/>
                      <w:bCs w:val="0"/>
                      <w:sz w:val="21"/>
                      <w:szCs w:val="21"/>
                    </w:rPr>
                  </w:pPr>
                  <w:r>
                    <w:rPr>
                      <w:rFonts w:hint="eastAsia"/>
                      <w:b w:val="0"/>
                      <w:bCs w:val="0"/>
                      <w:sz w:val="21"/>
                      <w:szCs w:val="21"/>
                    </w:rPr>
                    <w:t>1800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0.4545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0.05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1.0673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0.18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b w:val="0"/>
                      <w:bCs w:val="0"/>
                      <w:sz w:val="21"/>
                      <w:szCs w:val="21"/>
                    </w:rPr>
                  </w:pPr>
                  <w:r>
                    <w:rPr>
                      <w:rFonts w:hint="eastAsia"/>
                      <w:b w:val="0"/>
                      <w:bCs w:val="0"/>
                      <w:sz w:val="21"/>
                      <w:szCs w:val="21"/>
                    </w:rPr>
                    <w:t>1900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0.4217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0.05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0.9905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b w:val="0"/>
                      <w:bCs w:val="0"/>
                      <w:sz w:val="21"/>
                      <w:szCs w:val="21"/>
                    </w:rPr>
                  </w:pPr>
                  <w:r>
                    <w:rPr>
                      <w:rFonts w:hint="eastAsia"/>
                      <w:b w:val="0"/>
                      <w:bCs w:val="0"/>
                      <w:sz w:val="21"/>
                      <w:szCs w:val="21"/>
                    </w:rPr>
                    <w:t>2000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0.3928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0.04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0.9225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b w:val="0"/>
                      <w:bCs w:val="0"/>
                      <w:sz w:val="21"/>
                      <w:szCs w:val="21"/>
                    </w:rPr>
                  </w:pPr>
                  <w:r>
                    <w:rPr>
                      <w:rFonts w:hint="eastAsia"/>
                      <w:b w:val="0"/>
                      <w:bCs w:val="0"/>
                      <w:sz w:val="21"/>
                      <w:szCs w:val="21"/>
                    </w:rPr>
                    <w:t>2100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0.3671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0.04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0.8621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0.14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b w:val="0"/>
                      <w:bCs w:val="0"/>
                      <w:sz w:val="21"/>
                      <w:szCs w:val="21"/>
                    </w:rPr>
                  </w:pPr>
                  <w:r>
                    <w:rPr>
                      <w:rFonts w:hint="eastAsia"/>
                      <w:b w:val="0"/>
                      <w:bCs w:val="0"/>
                      <w:sz w:val="21"/>
                      <w:szCs w:val="21"/>
                    </w:rPr>
                    <w:t>2200</w:t>
                  </w:r>
                </w:p>
              </w:tc>
              <w:tc>
                <w:tcPr>
                  <w:tcW w:w="1604"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0.3440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0.04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0.8080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0.13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2300</w:t>
                  </w:r>
                </w:p>
              </w:tc>
              <w:tc>
                <w:tcPr>
                  <w:tcW w:w="1604"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 xml:space="preserve">0.3233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0.04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0.7594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0.13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2400</w:t>
                  </w:r>
                </w:p>
              </w:tc>
              <w:tc>
                <w:tcPr>
                  <w:tcW w:w="1604"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 xml:space="preserve">0.3047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0.03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0.7155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top"/>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2500</w:t>
                  </w:r>
                </w:p>
              </w:tc>
              <w:tc>
                <w:tcPr>
                  <w:tcW w:w="1604"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 xml:space="preserve">0.2877 </w:t>
                  </w:r>
                </w:p>
              </w:tc>
              <w:tc>
                <w:tcPr>
                  <w:tcW w:w="170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0.03 </w:t>
                  </w:r>
                </w:p>
              </w:tc>
              <w:tc>
                <w:tcPr>
                  <w:tcW w:w="166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0.6757 </w:t>
                  </w:r>
                </w:p>
              </w:tc>
              <w:tc>
                <w:tcPr>
                  <w:tcW w:w="1663"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0.11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center"/>
                </w:tcPr>
                <w:p>
                  <w:pPr>
                    <w:pStyle w:val="53"/>
                    <w:bidi w:val="0"/>
                    <w:spacing w:line="240" w:lineRule="auto"/>
                    <w:rPr>
                      <w:b w:val="0"/>
                      <w:bCs w:val="0"/>
                      <w:sz w:val="21"/>
                      <w:szCs w:val="21"/>
                    </w:rPr>
                  </w:pPr>
                  <w:r>
                    <w:rPr>
                      <w:b w:val="0"/>
                      <w:bCs w:val="0"/>
                      <w:sz w:val="21"/>
                      <w:szCs w:val="21"/>
                    </w:rPr>
                    <w:t>下风向最大落地浓度</w:t>
                  </w:r>
                </w:p>
              </w:tc>
              <w:tc>
                <w:tcPr>
                  <w:tcW w:w="1604" w:type="dxa"/>
                  <w:noWrap w:val="0"/>
                  <w:vAlign w:val="center"/>
                </w:tcPr>
                <w:p>
                  <w:pPr>
                    <w:pStyle w:val="53"/>
                    <w:bidi w:val="0"/>
                    <w:spacing w:line="240" w:lineRule="auto"/>
                    <w:rPr>
                      <w:rFonts w:hint="default" w:ascii="Times New Roman" w:hAnsi="Times New Roman" w:cs="Times New Roman"/>
                      <w:b w:val="0"/>
                      <w:bCs w:val="0"/>
                      <w:sz w:val="21"/>
                      <w:szCs w:val="21"/>
                      <w:lang w:val="en-US" w:eastAsia="zh-CN"/>
                    </w:rPr>
                  </w:pPr>
                  <w:r>
                    <w:rPr>
                      <w:rFonts w:hint="eastAsia" w:cs="Times New Roman"/>
                      <w:b w:val="0"/>
                      <w:bCs w:val="0"/>
                      <w:sz w:val="21"/>
                      <w:szCs w:val="21"/>
                      <w:lang w:val="en-US" w:eastAsia="zh-CN"/>
                    </w:rPr>
                    <w:t>9.6453</w:t>
                  </w:r>
                </w:p>
              </w:tc>
              <w:tc>
                <w:tcPr>
                  <w:tcW w:w="1703"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1.07</w:t>
                  </w:r>
                </w:p>
              </w:tc>
              <w:tc>
                <w:tcPr>
                  <w:tcW w:w="1667"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22.6530</w:t>
                  </w:r>
                </w:p>
              </w:tc>
              <w:tc>
                <w:tcPr>
                  <w:tcW w:w="1663"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3.78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noWrap w:val="0"/>
                  <w:vAlign w:val="center"/>
                </w:tcPr>
                <w:p>
                  <w:pPr>
                    <w:pStyle w:val="53"/>
                    <w:bidi w:val="0"/>
                    <w:spacing w:line="240" w:lineRule="auto"/>
                    <w:rPr>
                      <w:b w:val="0"/>
                      <w:bCs w:val="0"/>
                      <w:sz w:val="21"/>
                      <w:szCs w:val="21"/>
                    </w:rPr>
                  </w:pPr>
                  <w:r>
                    <w:rPr>
                      <w:b w:val="0"/>
                      <w:bCs w:val="0"/>
                      <w:sz w:val="21"/>
                      <w:szCs w:val="21"/>
                    </w:rPr>
                    <w:t>距污染源中心距离（m）</w:t>
                  </w:r>
                </w:p>
              </w:tc>
              <w:tc>
                <w:tcPr>
                  <w:tcW w:w="6637" w:type="dxa"/>
                  <w:gridSpan w:val="4"/>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84</w:t>
                  </w:r>
                </w:p>
              </w:tc>
            </w:tr>
          </w:tbl>
          <w:p>
            <w:pPr>
              <w:spacing w:line="360" w:lineRule="auto"/>
              <w:ind w:firstLine="480" w:firstLineChars="200"/>
              <w:rPr>
                <w:rFonts w:hint="eastAsia" w:cs="Times New Roman"/>
                <w:sz w:val="24"/>
                <w:szCs w:val="24"/>
                <w:lang w:val="en-US" w:eastAsia="zh-CN"/>
              </w:rPr>
            </w:pPr>
            <w:r>
              <w:rPr>
                <w:rFonts w:hint="default" w:ascii="Times New Roman" w:hAnsi="Times New Roman" w:cs="Times New Roman"/>
                <w:sz w:val="24"/>
                <w:szCs w:val="24"/>
                <w:lang w:val="en-US" w:eastAsia="zh-CN"/>
              </w:rPr>
              <w:t>项目生产车间</w:t>
            </w:r>
            <w:r>
              <w:rPr>
                <w:rFonts w:hint="eastAsia" w:ascii="Times New Roman" w:hAnsi="Times New Roman" w:cs="Times New Roman"/>
                <w:sz w:val="24"/>
                <w:szCs w:val="24"/>
                <w:lang w:val="en-US" w:eastAsia="zh-CN"/>
              </w:rPr>
              <w:t>有</w:t>
            </w:r>
            <w:r>
              <w:rPr>
                <w:rFonts w:hint="default" w:ascii="Times New Roman" w:hAnsi="Times New Roman" w:cs="Times New Roman"/>
                <w:sz w:val="24"/>
                <w:szCs w:val="24"/>
                <w:lang w:val="en-US" w:eastAsia="zh-CN"/>
              </w:rPr>
              <w:t>组织废气排放的TSP、</w:t>
            </w:r>
            <w:r>
              <w:rPr>
                <w:rFonts w:hint="eastAsia" w:ascii="Times New Roman" w:hAnsi="Times New Roman" w:cs="Times New Roman"/>
                <w:sz w:val="24"/>
                <w:szCs w:val="24"/>
                <w:lang w:val="en-US" w:eastAsia="zh-CN"/>
              </w:rPr>
              <w:t>VOCs</w:t>
            </w:r>
            <w:r>
              <w:rPr>
                <w:rFonts w:hint="default" w:ascii="Times New Roman" w:hAnsi="Times New Roman" w:cs="Times New Roman"/>
                <w:sz w:val="24"/>
                <w:szCs w:val="24"/>
                <w:lang w:val="en-US" w:eastAsia="zh-CN"/>
              </w:rPr>
              <w:t>下风向最大落地浓度为</w:t>
            </w:r>
            <w:r>
              <w:rPr>
                <w:rFonts w:hint="eastAsia" w:cs="Times New Roman"/>
                <w:sz w:val="24"/>
                <w:szCs w:val="24"/>
                <w:lang w:val="en-US" w:eastAsia="zh-CN"/>
              </w:rPr>
              <w:t>9.6453</w:t>
            </w:r>
            <w:r>
              <w:rPr>
                <w:rFonts w:hint="default" w:ascii="Times New Roman" w:hAnsi="Times New Roman" w:cs="Times New Roman"/>
                <w:sz w:val="24"/>
                <w:szCs w:val="24"/>
                <w:lang w:val="en-US" w:eastAsia="zh-CN"/>
              </w:rPr>
              <w:t>ug/</w:t>
            </w:r>
            <w:r>
              <w:rPr>
                <w:rFonts w:hint="eastAsia" w:ascii="Times New Roman" w:hAnsi="Times New Roman" w:cs="Times New Roman"/>
                <w:sz w:val="24"/>
                <w:szCs w:val="24"/>
                <w:lang w:val="en-US" w:eastAsia="zh-CN"/>
              </w:rPr>
              <w:t>m</w:t>
            </w:r>
            <w:r>
              <w:rPr>
                <w:rFonts w:hint="eastAsia" w:ascii="Times New Roman" w:hAnsi="Times New Roman" w:cs="Times New Roman"/>
                <w:sz w:val="24"/>
                <w:szCs w:val="24"/>
                <w:vertAlign w:val="superscript"/>
                <w:lang w:val="en-US" w:eastAsia="zh-CN"/>
              </w:rPr>
              <w:t>3</w:t>
            </w:r>
            <w:r>
              <w:rPr>
                <w:rFonts w:hint="default" w:ascii="Times New Roman" w:hAnsi="Times New Roman" w:cs="Times New Roman"/>
                <w:sz w:val="24"/>
                <w:szCs w:val="24"/>
                <w:lang w:val="en-US" w:eastAsia="zh-CN"/>
              </w:rPr>
              <w:t>、</w:t>
            </w:r>
            <w:r>
              <w:rPr>
                <w:rFonts w:hint="eastAsia" w:cs="Times New Roman"/>
                <w:sz w:val="24"/>
                <w:szCs w:val="24"/>
                <w:lang w:val="en-US" w:eastAsia="zh-CN"/>
              </w:rPr>
              <w:t>22.653</w:t>
            </w:r>
            <w:r>
              <w:rPr>
                <w:rFonts w:hint="default" w:ascii="Times New Roman" w:hAnsi="Times New Roman" w:cs="Times New Roman"/>
                <w:sz w:val="24"/>
                <w:szCs w:val="24"/>
                <w:lang w:val="en-US" w:eastAsia="zh-CN"/>
              </w:rPr>
              <w:t>ug/</w:t>
            </w:r>
            <w:r>
              <w:rPr>
                <w:rFonts w:hint="eastAsia" w:ascii="Times New Roman" w:hAnsi="Times New Roman" w:cs="Times New Roman"/>
                <w:sz w:val="24"/>
                <w:szCs w:val="24"/>
                <w:lang w:val="en-US" w:eastAsia="zh-CN"/>
              </w:rPr>
              <w:t>m</w:t>
            </w:r>
            <w:r>
              <w:rPr>
                <w:rFonts w:hint="eastAsia" w:ascii="Times New Roman" w:hAnsi="Times New Roman" w:cs="Times New Roman"/>
                <w:sz w:val="24"/>
                <w:szCs w:val="24"/>
                <w:vertAlign w:val="superscript"/>
                <w:lang w:val="en-US" w:eastAsia="zh-CN"/>
              </w:rPr>
              <w:t>3</w:t>
            </w:r>
            <w:r>
              <w:rPr>
                <w:rFonts w:hint="default" w:ascii="Times New Roman" w:hAnsi="Times New Roman" w:cs="Times New Roman"/>
                <w:sz w:val="24"/>
                <w:szCs w:val="24"/>
                <w:lang w:val="en-US" w:eastAsia="zh-CN"/>
              </w:rPr>
              <w:t>；最大地面落地浓度分别满足《环境空气质量标准》</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GB3095-2012</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二级浓度限值（TSP≤900ug/</w:t>
            </w:r>
            <w:r>
              <w:rPr>
                <w:rFonts w:hint="eastAsia" w:ascii="Times New Roman" w:hAnsi="Times New Roman" w:cs="Times New Roman"/>
                <w:sz w:val="24"/>
                <w:szCs w:val="24"/>
                <w:lang w:val="en-US" w:eastAsia="zh-CN"/>
              </w:rPr>
              <w:t>m</w:t>
            </w:r>
            <w:r>
              <w:rPr>
                <w:rFonts w:hint="eastAsia" w:ascii="Times New Roman" w:hAnsi="Times New Roman" w:cs="Times New Roman"/>
                <w:sz w:val="24"/>
                <w:szCs w:val="24"/>
                <w:vertAlign w:val="superscript"/>
                <w:lang w:val="en-US" w:eastAsia="zh-CN"/>
              </w:rPr>
              <w:t>3</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、《环境影响评价技术导则-大气环境》HJ2.2-2018附录D中关于TVOC限值要求</w:t>
            </w:r>
            <w:r>
              <w:rPr>
                <w:rFonts w:hint="default" w:ascii="Times New Roman" w:hAnsi="Times New Roman" w:cs="Times New Roman"/>
                <w:sz w:val="24"/>
                <w:szCs w:val="24"/>
                <w:lang w:val="en-US" w:eastAsia="zh-CN"/>
              </w:rPr>
              <w:t>（T</w:t>
            </w:r>
            <w:r>
              <w:rPr>
                <w:rFonts w:hint="eastAsia" w:ascii="Times New Roman" w:hAnsi="Times New Roman" w:cs="Times New Roman"/>
                <w:sz w:val="24"/>
                <w:szCs w:val="24"/>
                <w:lang w:val="en-US" w:eastAsia="zh-CN"/>
              </w:rPr>
              <w:t>VOC</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600</w:t>
            </w:r>
            <w:r>
              <w:rPr>
                <w:rFonts w:hint="default" w:ascii="Times New Roman" w:hAnsi="Times New Roman" w:cs="Times New Roman"/>
                <w:sz w:val="24"/>
                <w:szCs w:val="24"/>
                <w:lang w:val="en-US" w:eastAsia="zh-CN"/>
              </w:rPr>
              <w:t>ug/</w:t>
            </w:r>
            <w:r>
              <w:rPr>
                <w:rFonts w:hint="eastAsia" w:ascii="Times New Roman" w:hAnsi="Times New Roman" w:cs="Times New Roman"/>
                <w:sz w:val="24"/>
                <w:szCs w:val="24"/>
                <w:lang w:val="en-US" w:eastAsia="zh-CN"/>
              </w:rPr>
              <w:t>m</w:t>
            </w:r>
            <w:r>
              <w:rPr>
                <w:rFonts w:hint="eastAsia" w:ascii="Times New Roman" w:hAnsi="Times New Roman" w:cs="Times New Roman"/>
                <w:sz w:val="24"/>
                <w:szCs w:val="24"/>
                <w:vertAlign w:val="superscript"/>
                <w:lang w:val="en-US" w:eastAsia="zh-CN"/>
              </w:rPr>
              <w:t>3</w:t>
            </w:r>
            <w:r>
              <w:rPr>
                <w:rFonts w:hint="default" w:ascii="Times New Roman" w:hAnsi="Times New Roman" w:cs="Times New Roman"/>
                <w:sz w:val="24"/>
                <w:szCs w:val="24"/>
                <w:lang w:val="en-US" w:eastAsia="zh-CN"/>
              </w:rPr>
              <w:t>）。最大占标率分别为</w:t>
            </w:r>
            <w:r>
              <w:rPr>
                <w:rFonts w:hint="eastAsia" w:cs="Times New Roman"/>
                <w:sz w:val="24"/>
                <w:szCs w:val="24"/>
                <w:lang w:val="en-US" w:eastAsia="zh-CN"/>
              </w:rPr>
              <w:t>1.07</w:t>
            </w:r>
            <w:r>
              <w:rPr>
                <w:rFonts w:hint="default" w:ascii="Times New Roman" w:hAnsi="Times New Roman" w:cs="Times New Roman"/>
                <w:sz w:val="24"/>
                <w:szCs w:val="24"/>
                <w:lang w:val="en-US" w:eastAsia="zh-CN"/>
              </w:rPr>
              <w:t>%、</w:t>
            </w:r>
            <w:r>
              <w:rPr>
                <w:rFonts w:hint="eastAsia" w:cs="Times New Roman"/>
                <w:sz w:val="24"/>
                <w:szCs w:val="24"/>
                <w:lang w:val="en-US" w:eastAsia="zh-CN"/>
              </w:rPr>
              <w:t>3.78</w:t>
            </w:r>
            <w:r>
              <w:rPr>
                <w:rFonts w:hint="default" w:ascii="Times New Roman" w:hAnsi="Times New Roman" w:cs="Times New Roman"/>
                <w:sz w:val="24"/>
                <w:szCs w:val="24"/>
                <w:lang w:val="en-US" w:eastAsia="zh-CN"/>
              </w:rPr>
              <w:t>%，最大地面落地浓度出现在距</w:t>
            </w:r>
            <w:r>
              <w:rPr>
                <w:rFonts w:hint="eastAsia" w:ascii="Times New Roman" w:hAnsi="Times New Roman" w:cs="Times New Roman"/>
                <w:sz w:val="24"/>
                <w:szCs w:val="24"/>
                <w:lang w:val="en-US" w:eastAsia="zh-CN"/>
              </w:rPr>
              <w:t>点</w:t>
            </w:r>
            <w:r>
              <w:rPr>
                <w:rFonts w:hint="default" w:ascii="Times New Roman" w:hAnsi="Times New Roman" w:cs="Times New Roman"/>
                <w:sz w:val="24"/>
                <w:szCs w:val="24"/>
                <w:lang w:val="en-US" w:eastAsia="zh-CN"/>
              </w:rPr>
              <w:t>源</w:t>
            </w:r>
            <w:r>
              <w:rPr>
                <w:rFonts w:hint="eastAsia" w:cs="Times New Roman"/>
                <w:sz w:val="24"/>
                <w:szCs w:val="24"/>
                <w:lang w:val="en-US" w:eastAsia="zh-CN"/>
              </w:rPr>
              <w:t>84</w:t>
            </w:r>
            <w:r>
              <w:rPr>
                <w:rFonts w:hint="default" w:ascii="Times New Roman" w:hAnsi="Times New Roman" w:cs="Times New Roman"/>
                <w:sz w:val="24"/>
                <w:szCs w:val="24"/>
                <w:lang w:val="en-US" w:eastAsia="zh-CN"/>
              </w:rPr>
              <w:t>m处。</w:t>
            </w:r>
            <w:r>
              <w:rPr>
                <w:rFonts w:hint="eastAsia" w:ascii="Times New Roman" w:hAnsi="Times New Roman" w:cs="Times New Roman"/>
                <w:sz w:val="24"/>
                <w:szCs w:val="24"/>
                <w:lang w:val="en-US" w:eastAsia="zh-CN"/>
              </w:rPr>
              <w:t>喷漆房有</w:t>
            </w:r>
            <w:r>
              <w:rPr>
                <w:rFonts w:hint="default" w:ascii="Times New Roman" w:hAnsi="Times New Roman" w:cs="Times New Roman"/>
                <w:sz w:val="24"/>
                <w:szCs w:val="24"/>
                <w:lang w:val="en-US" w:eastAsia="zh-CN"/>
              </w:rPr>
              <w:t>组织排放的TSP、</w:t>
            </w:r>
            <w:r>
              <w:rPr>
                <w:rFonts w:hint="eastAsia" w:ascii="Times New Roman" w:hAnsi="Times New Roman" w:cs="Times New Roman"/>
                <w:sz w:val="24"/>
                <w:szCs w:val="24"/>
                <w:lang w:val="en-US" w:eastAsia="zh-CN"/>
              </w:rPr>
              <w:t>VOCs</w:t>
            </w:r>
            <w:r>
              <w:rPr>
                <w:rFonts w:hint="default" w:ascii="Times New Roman" w:hAnsi="Times New Roman" w:cs="Times New Roman"/>
                <w:sz w:val="24"/>
                <w:szCs w:val="24"/>
                <w:lang w:val="en-US" w:eastAsia="zh-CN"/>
              </w:rPr>
              <w:t>最大落地浓度均达到其相应环境质量标准，占标率均在10%以下</w:t>
            </w:r>
            <w:r>
              <w:rPr>
                <w:rFonts w:hint="eastAsia" w:cs="Times New Roman"/>
                <w:sz w:val="24"/>
                <w:szCs w:val="24"/>
                <w:lang w:val="en-US" w:eastAsia="zh-CN"/>
              </w:rPr>
              <w:t>。</w:t>
            </w:r>
          </w:p>
          <w:p>
            <w:pPr>
              <w:spacing w:line="360" w:lineRule="auto"/>
              <w:ind w:firstLine="480" w:firstLineChars="200"/>
              <w:rPr>
                <w:rFonts w:hint="default" w:ascii="Times New Roman" w:hAnsi="Times New Roman" w:cs="Times New Roman"/>
                <w:sz w:val="24"/>
                <w:szCs w:val="24"/>
                <w:lang w:val="en-US" w:eastAsia="zh-CN"/>
              </w:rPr>
            </w:pPr>
            <w:r>
              <w:rPr>
                <w:rFonts w:hint="eastAsia" w:cs="Times New Roman"/>
                <w:sz w:val="24"/>
                <w:szCs w:val="24"/>
                <w:lang w:val="en-US" w:eastAsia="zh-CN"/>
              </w:rPr>
              <w:t>距离项目区最近的保护目标为厂区东北方向200m的哨箐散户（21户，约80人），保护目标处于排气筒下风向，项目车间有组织排放的废气对其影响较小。</w:t>
            </w:r>
            <w:r>
              <w:rPr>
                <w:rFonts w:hint="default" w:ascii="Times New Roman" w:hAnsi="Times New Roman" w:cs="Times New Roman"/>
                <w:sz w:val="24"/>
                <w:szCs w:val="24"/>
                <w:lang w:val="en-US" w:eastAsia="zh-CN"/>
              </w:rPr>
              <w:t>所以本项目喷漆车间无组织排放的漆雾、</w:t>
            </w:r>
            <w:r>
              <w:rPr>
                <w:rFonts w:hint="eastAsia" w:ascii="Times New Roman" w:hAnsi="Times New Roman" w:cs="Times New Roman"/>
                <w:sz w:val="24"/>
                <w:szCs w:val="24"/>
                <w:lang w:val="en-US" w:eastAsia="zh-CN"/>
              </w:rPr>
              <w:t>VOCs对周围环境影响较小。</w:t>
            </w:r>
          </w:p>
          <w:p>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②无组织排放废气预测结果见下表。</w:t>
            </w:r>
          </w:p>
          <w:p>
            <w:pPr>
              <w:pStyle w:val="52"/>
              <w:bidi w:val="0"/>
              <w:spacing w:line="240" w:lineRule="auto"/>
            </w:pPr>
            <w:r>
              <w:t>表7-</w:t>
            </w:r>
            <w:r>
              <w:rPr>
                <w:rFonts w:hint="eastAsia"/>
                <w:lang w:val="en-US" w:eastAsia="zh-CN"/>
              </w:rPr>
              <w:t>8</w:t>
            </w:r>
            <w:r>
              <w:t xml:space="preserve">   </w:t>
            </w:r>
            <w:r>
              <w:rPr>
                <w:rFonts w:hint="eastAsia"/>
                <w:lang w:eastAsia="zh-CN"/>
              </w:rPr>
              <w:t>无组织</w:t>
            </w:r>
            <w:r>
              <w:t>废气估算模式计算结果表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7"/>
              <w:gridCol w:w="1637"/>
              <w:gridCol w:w="1309"/>
              <w:gridCol w:w="1568"/>
              <w:gridCol w:w="1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vMerge w:val="restart"/>
                  <w:noWrap w:val="0"/>
                  <w:vAlign w:val="center"/>
                </w:tcPr>
                <w:p>
                  <w:pPr>
                    <w:pStyle w:val="53"/>
                    <w:bidi w:val="0"/>
                    <w:spacing w:line="240" w:lineRule="auto"/>
                    <w:rPr>
                      <w:b w:val="0"/>
                      <w:bCs w:val="0"/>
                      <w:sz w:val="21"/>
                      <w:szCs w:val="21"/>
                    </w:rPr>
                  </w:pPr>
                  <w:r>
                    <w:rPr>
                      <w:b w:val="0"/>
                      <w:bCs w:val="0"/>
                      <w:sz w:val="21"/>
                      <w:szCs w:val="21"/>
                    </w:rPr>
                    <w:t>下风向距离</w:t>
                  </w:r>
                </w:p>
              </w:tc>
              <w:tc>
                <w:tcPr>
                  <w:tcW w:w="2946" w:type="dxa"/>
                  <w:gridSpan w:val="2"/>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TSP</w:t>
                  </w:r>
                </w:p>
              </w:tc>
              <w:tc>
                <w:tcPr>
                  <w:tcW w:w="2886" w:type="dxa"/>
                  <w:gridSpan w:val="2"/>
                  <w:noWrap w:val="0"/>
                  <w:vAlign w:val="center"/>
                </w:tcPr>
                <w:p>
                  <w:pPr>
                    <w:pStyle w:val="53"/>
                    <w:bidi w:val="0"/>
                    <w:spacing w:line="240" w:lineRule="auto"/>
                    <w:rPr>
                      <w:rFonts w:hint="eastAsia"/>
                      <w:b w:val="0"/>
                      <w:bCs w:val="0"/>
                      <w:sz w:val="21"/>
                      <w:szCs w:val="21"/>
                      <w:lang w:eastAsia="zh-CN"/>
                    </w:rPr>
                  </w:pPr>
                  <w:r>
                    <w:rPr>
                      <w:rFonts w:hint="eastAsia"/>
                      <w:b w:val="0"/>
                      <w:bCs w:val="0"/>
                      <w:sz w:val="21"/>
                      <w:szCs w:val="21"/>
                      <w:lang w:eastAsia="zh-CN"/>
                    </w:rPr>
                    <w:t>VOC</w:t>
                  </w:r>
                  <w:r>
                    <w:rPr>
                      <w:rFonts w:hint="eastAsia"/>
                      <w:b w:val="0"/>
                      <w:bCs w:val="0"/>
                      <w:sz w:val="21"/>
                      <w:szCs w:val="21"/>
                      <w:lang w:val="en-US" w:eastAsia="zh-CN"/>
                    </w:rPr>
                    <w: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vMerge w:val="continue"/>
                  <w:noWrap w:val="0"/>
                  <w:vAlign w:val="center"/>
                </w:tcPr>
                <w:p>
                  <w:pPr>
                    <w:pStyle w:val="53"/>
                    <w:bidi w:val="0"/>
                    <w:spacing w:line="240" w:lineRule="auto"/>
                    <w:rPr>
                      <w:b w:val="0"/>
                      <w:bCs w:val="0"/>
                      <w:sz w:val="21"/>
                      <w:szCs w:val="21"/>
                    </w:rPr>
                  </w:pPr>
                </w:p>
              </w:tc>
              <w:tc>
                <w:tcPr>
                  <w:tcW w:w="1637" w:type="dxa"/>
                  <w:noWrap w:val="0"/>
                  <w:vAlign w:val="center"/>
                </w:tcPr>
                <w:p>
                  <w:pPr>
                    <w:pStyle w:val="53"/>
                    <w:bidi w:val="0"/>
                    <w:spacing w:line="240" w:lineRule="auto"/>
                    <w:rPr>
                      <w:b w:val="0"/>
                      <w:bCs w:val="0"/>
                      <w:sz w:val="21"/>
                      <w:szCs w:val="21"/>
                    </w:rPr>
                  </w:pPr>
                  <w:r>
                    <w:rPr>
                      <w:b w:val="0"/>
                      <w:bCs w:val="0"/>
                      <w:sz w:val="21"/>
                      <w:szCs w:val="21"/>
                    </w:rPr>
                    <w:t>下风向预测浓度mg/</w:t>
                  </w:r>
                  <w:r>
                    <w:rPr>
                      <w:rFonts w:hint="eastAsia"/>
                      <w:b w:val="0"/>
                      <w:bCs w:val="0"/>
                      <w:sz w:val="21"/>
                      <w:szCs w:val="21"/>
                      <w:lang w:val="en-US" w:eastAsia="zh-CN"/>
                    </w:rPr>
                    <w:t>m</w:t>
                  </w:r>
                  <w:r>
                    <w:rPr>
                      <w:rFonts w:hint="eastAsia"/>
                      <w:b w:val="0"/>
                      <w:bCs w:val="0"/>
                      <w:sz w:val="21"/>
                      <w:szCs w:val="21"/>
                      <w:vertAlign w:val="superscript"/>
                      <w:lang w:val="en-US" w:eastAsia="zh-CN"/>
                    </w:rPr>
                    <w:t>3</w:t>
                  </w:r>
                </w:p>
              </w:tc>
              <w:tc>
                <w:tcPr>
                  <w:tcW w:w="1309" w:type="dxa"/>
                  <w:noWrap w:val="0"/>
                  <w:vAlign w:val="center"/>
                </w:tcPr>
                <w:p>
                  <w:pPr>
                    <w:pStyle w:val="53"/>
                    <w:bidi w:val="0"/>
                    <w:spacing w:line="240" w:lineRule="auto"/>
                    <w:rPr>
                      <w:b w:val="0"/>
                      <w:bCs w:val="0"/>
                      <w:sz w:val="21"/>
                      <w:szCs w:val="21"/>
                    </w:rPr>
                  </w:pPr>
                  <w:r>
                    <w:rPr>
                      <w:b w:val="0"/>
                      <w:bCs w:val="0"/>
                      <w:sz w:val="21"/>
                      <w:szCs w:val="21"/>
                    </w:rPr>
                    <w:t>浓度占标率%</w:t>
                  </w:r>
                </w:p>
              </w:tc>
              <w:tc>
                <w:tcPr>
                  <w:tcW w:w="1568" w:type="dxa"/>
                  <w:noWrap w:val="0"/>
                  <w:vAlign w:val="center"/>
                </w:tcPr>
                <w:p>
                  <w:pPr>
                    <w:pStyle w:val="53"/>
                    <w:bidi w:val="0"/>
                    <w:spacing w:line="240" w:lineRule="auto"/>
                    <w:rPr>
                      <w:b w:val="0"/>
                      <w:bCs w:val="0"/>
                      <w:sz w:val="21"/>
                      <w:szCs w:val="21"/>
                    </w:rPr>
                  </w:pPr>
                  <w:r>
                    <w:rPr>
                      <w:b w:val="0"/>
                      <w:bCs w:val="0"/>
                      <w:sz w:val="21"/>
                      <w:szCs w:val="21"/>
                    </w:rPr>
                    <w:t>下风向预测浓度mg/</w:t>
                  </w:r>
                  <w:r>
                    <w:rPr>
                      <w:rFonts w:hint="eastAsia"/>
                      <w:b w:val="0"/>
                      <w:bCs w:val="0"/>
                      <w:sz w:val="21"/>
                      <w:szCs w:val="21"/>
                      <w:lang w:val="en-US" w:eastAsia="zh-CN"/>
                    </w:rPr>
                    <w:t>m</w:t>
                  </w:r>
                  <w:r>
                    <w:rPr>
                      <w:rFonts w:hint="eastAsia"/>
                      <w:b w:val="0"/>
                      <w:bCs w:val="0"/>
                      <w:sz w:val="21"/>
                      <w:szCs w:val="21"/>
                      <w:vertAlign w:val="superscript"/>
                      <w:lang w:val="en-US" w:eastAsia="zh-CN"/>
                    </w:rPr>
                    <w:t>3</w:t>
                  </w:r>
                </w:p>
              </w:tc>
              <w:tc>
                <w:tcPr>
                  <w:tcW w:w="1318" w:type="dxa"/>
                  <w:noWrap w:val="0"/>
                  <w:vAlign w:val="center"/>
                </w:tcPr>
                <w:p>
                  <w:pPr>
                    <w:pStyle w:val="53"/>
                    <w:bidi w:val="0"/>
                    <w:spacing w:line="240" w:lineRule="auto"/>
                    <w:rPr>
                      <w:b w:val="0"/>
                      <w:bCs w:val="0"/>
                      <w:sz w:val="21"/>
                      <w:szCs w:val="21"/>
                    </w:rPr>
                  </w:pPr>
                  <w:r>
                    <w:rPr>
                      <w:b w:val="0"/>
                      <w:bCs w:val="0"/>
                      <w:sz w:val="21"/>
                      <w:szCs w:val="21"/>
                    </w:rPr>
                    <w:t>浓度占标率%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rFonts w:hint="default" w:eastAsia="宋体"/>
                      <w:b w:val="0"/>
                      <w:bCs w:val="0"/>
                      <w:sz w:val="21"/>
                      <w:szCs w:val="21"/>
                      <w:lang w:val="en-US" w:eastAsia="zh-CN"/>
                    </w:rPr>
                  </w:pPr>
                  <w:r>
                    <w:rPr>
                      <w:rFonts w:hint="eastAsia"/>
                      <w:b w:val="0"/>
                      <w:bCs w:val="0"/>
                      <w:sz w:val="21"/>
                      <w:szCs w:val="21"/>
                      <w:lang w:val="en-US" w:eastAsia="zh-CN"/>
                    </w:rPr>
                    <w:t>25</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60.0660 </w:t>
                  </w:r>
                </w:p>
              </w:tc>
              <w:tc>
                <w:tcPr>
                  <w:tcW w:w="1309"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6.67 </w:t>
                  </w:r>
                </w:p>
              </w:tc>
              <w:tc>
                <w:tcPr>
                  <w:tcW w:w="1568"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32.4470 </w:t>
                  </w:r>
                </w:p>
              </w:tc>
              <w:tc>
                <w:tcPr>
                  <w:tcW w:w="1318"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5.41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rFonts w:hint="default" w:eastAsia="宋体"/>
                      <w:b w:val="0"/>
                      <w:bCs w:val="0"/>
                      <w:sz w:val="21"/>
                      <w:szCs w:val="21"/>
                      <w:lang w:val="en-US" w:eastAsia="zh-CN"/>
                    </w:rPr>
                  </w:pPr>
                  <w:r>
                    <w:rPr>
                      <w:rFonts w:hint="eastAsia"/>
                      <w:b w:val="0"/>
                      <w:bCs w:val="0"/>
                      <w:sz w:val="21"/>
                      <w:szCs w:val="21"/>
                      <w:lang w:val="en-US" w:eastAsia="zh-CN"/>
                    </w:rPr>
                    <w:t>50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66.7420 </w:t>
                  </w:r>
                </w:p>
              </w:tc>
              <w:tc>
                <w:tcPr>
                  <w:tcW w:w="1309"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7.42 </w:t>
                  </w:r>
                </w:p>
              </w:tc>
              <w:tc>
                <w:tcPr>
                  <w:tcW w:w="1568"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36.0530 </w:t>
                  </w:r>
                </w:p>
              </w:tc>
              <w:tc>
                <w:tcPr>
                  <w:tcW w:w="1318"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6.01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rFonts w:hint="default" w:eastAsia="宋体"/>
                      <w:b w:val="0"/>
                      <w:bCs w:val="0"/>
                      <w:sz w:val="21"/>
                      <w:szCs w:val="21"/>
                      <w:lang w:val="en-US" w:eastAsia="zh-CN"/>
                    </w:rPr>
                  </w:pPr>
                  <w:r>
                    <w:rPr>
                      <w:rFonts w:hint="eastAsia"/>
                      <w:b w:val="0"/>
                      <w:bCs w:val="0"/>
                      <w:sz w:val="21"/>
                      <w:szCs w:val="21"/>
                      <w:lang w:val="en-US" w:eastAsia="zh-CN"/>
                    </w:rPr>
                    <w:t>72</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71.0750 </w:t>
                  </w:r>
                </w:p>
              </w:tc>
              <w:tc>
                <w:tcPr>
                  <w:tcW w:w="1309"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7.90 </w:t>
                  </w:r>
                </w:p>
              </w:tc>
              <w:tc>
                <w:tcPr>
                  <w:tcW w:w="1568"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38.3940 </w:t>
                  </w:r>
                </w:p>
              </w:tc>
              <w:tc>
                <w:tcPr>
                  <w:tcW w:w="1318"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6.40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100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51.3160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5.70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27.7200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4.62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102</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17.9900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2.00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9.7181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1.62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200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10.1060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1.12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5.4590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0.91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300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6.7669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0.75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3.6554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0.61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400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4.9654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0.55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2.6823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500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3.8617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0.43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2.0861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600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3.1248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0.35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1.6880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0.28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700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2.6026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0.29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1.4059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0.23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800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2.2147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0.25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1.1964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900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1.9193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0.21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1.0368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1000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1.6883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0.19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0.9120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1100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1.5041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0.17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0.8125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0.14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1200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1.3552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0.15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0.7321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1300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1.2336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0.14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0.6664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0.11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1400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1.1332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0.13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0.6121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1500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1.0496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0.12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0.5670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1600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0.9794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0.11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0.5291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1700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0.9070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0.10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0.4900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0.08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1800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0.8180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0.09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0.4554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0.08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1900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0.7864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0.09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0.4248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2000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0.7362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0.08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0.3977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2100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0.6912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0.08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0.3734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0.06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b w:val="0"/>
                      <w:bCs w:val="0"/>
                      <w:sz w:val="21"/>
                      <w:szCs w:val="21"/>
                    </w:rPr>
                  </w:pPr>
                  <w:r>
                    <w:rPr>
                      <w:rFonts w:hint="eastAsia"/>
                      <w:b w:val="0"/>
                      <w:bCs w:val="0"/>
                      <w:sz w:val="21"/>
                      <w:szCs w:val="21"/>
                    </w:rPr>
                    <w:t>2200</w:t>
                  </w:r>
                </w:p>
              </w:tc>
              <w:tc>
                <w:tcPr>
                  <w:tcW w:w="1637"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0.6508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0.07 </w:t>
                  </w:r>
                </w:p>
              </w:tc>
              <w:tc>
                <w:tcPr>
                  <w:tcW w:w="156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0.3516 </w:t>
                  </w:r>
                </w:p>
              </w:tc>
              <w:tc>
                <w:tcPr>
                  <w:tcW w:w="1318"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0.06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rFonts w:hint="default"/>
                      <w:b w:val="0"/>
                      <w:bCs w:val="0"/>
                      <w:sz w:val="21"/>
                      <w:szCs w:val="21"/>
                      <w:lang w:val="en-US" w:eastAsia="zh-CN"/>
                    </w:rPr>
                  </w:pPr>
                  <w:r>
                    <w:rPr>
                      <w:rFonts w:hint="eastAsia"/>
                      <w:b w:val="0"/>
                      <w:bCs w:val="0"/>
                      <w:sz w:val="21"/>
                      <w:szCs w:val="21"/>
                    </w:rPr>
                    <w:t>2300</w:t>
                  </w:r>
                </w:p>
              </w:tc>
              <w:tc>
                <w:tcPr>
                  <w:tcW w:w="1637"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 xml:space="preserve">0.6143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0.07 </w:t>
                  </w:r>
                </w:p>
              </w:tc>
              <w:tc>
                <w:tcPr>
                  <w:tcW w:w="1568"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0.3319 </w:t>
                  </w:r>
                </w:p>
              </w:tc>
              <w:tc>
                <w:tcPr>
                  <w:tcW w:w="1318"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0.06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rFonts w:hint="default"/>
                      <w:b w:val="0"/>
                      <w:bCs w:val="0"/>
                      <w:sz w:val="21"/>
                      <w:szCs w:val="21"/>
                      <w:lang w:val="en-US" w:eastAsia="zh-CN"/>
                    </w:rPr>
                  </w:pPr>
                  <w:r>
                    <w:rPr>
                      <w:rFonts w:hint="eastAsia"/>
                      <w:b w:val="0"/>
                      <w:bCs w:val="0"/>
                      <w:sz w:val="21"/>
                      <w:szCs w:val="21"/>
                    </w:rPr>
                    <w:t>2400</w:t>
                  </w:r>
                </w:p>
              </w:tc>
              <w:tc>
                <w:tcPr>
                  <w:tcW w:w="1637"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 xml:space="preserve">0.5813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0.06 </w:t>
                  </w:r>
                </w:p>
              </w:tc>
              <w:tc>
                <w:tcPr>
                  <w:tcW w:w="1568"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0.3140 </w:t>
                  </w:r>
                </w:p>
              </w:tc>
              <w:tc>
                <w:tcPr>
                  <w:tcW w:w="1318"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0.05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53"/>
                    <w:bidi w:val="0"/>
                    <w:spacing w:line="240" w:lineRule="auto"/>
                    <w:rPr>
                      <w:rFonts w:hint="default"/>
                      <w:b w:val="0"/>
                      <w:bCs w:val="0"/>
                      <w:sz w:val="21"/>
                      <w:szCs w:val="21"/>
                      <w:lang w:val="en-US" w:eastAsia="zh-CN"/>
                    </w:rPr>
                  </w:pPr>
                  <w:r>
                    <w:rPr>
                      <w:rFonts w:hint="eastAsia"/>
                      <w:b w:val="0"/>
                      <w:bCs w:val="0"/>
                      <w:sz w:val="21"/>
                      <w:szCs w:val="21"/>
                    </w:rPr>
                    <w:t>2500</w:t>
                  </w:r>
                </w:p>
              </w:tc>
              <w:tc>
                <w:tcPr>
                  <w:tcW w:w="1637" w:type="dxa"/>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 xml:space="preserve">60.0660 </w:t>
                  </w:r>
                </w:p>
              </w:tc>
              <w:tc>
                <w:tcPr>
                  <w:tcW w:w="1309" w:type="dxa"/>
                  <w:noWrap w:val="0"/>
                  <w:vAlign w:val="center"/>
                </w:tcPr>
                <w:p>
                  <w:pPr>
                    <w:pStyle w:val="53"/>
                    <w:bidi w:val="0"/>
                    <w:spacing w:line="240" w:lineRule="auto"/>
                    <w:rPr>
                      <w:rFonts w:hint="eastAsia"/>
                      <w:b w:val="0"/>
                      <w:bCs w:val="0"/>
                      <w:sz w:val="21"/>
                      <w:szCs w:val="21"/>
                    </w:rPr>
                  </w:pPr>
                  <w:r>
                    <w:rPr>
                      <w:rFonts w:hint="eastAsia"/>
                      <w:b w:val="0"/>
                      <w:bCs w:val="0"/>
                      <w:sz w:val="21"/>
                      <w:szCs w:val="21"/>
                      <w:lang w:val="en-US" w:eastAsia="zh-CN"/>
                    </w:rPr>
                    <w:t xml:space="preserve">6.67 </w:t>
                  </w:r>
                </w:p>
              </w:tc>
              <w:tc>
                <w:tcPr>
                  <w:tcW w:w="1568"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32.4470 </w:t>
                  </w:r>
                </w:p>
              </w:tc>
              <w:tc>
                <w:tcPr>
                  <w:tcW w:w="1318" w:type="dxa"/>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 xml:space="preserve">5.41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center"/>
                </w:tcPr>
                <w:p>
                  <w:pPr>
                    <w:pStyle w:val="53"/>
                    <w:bidi w:val="0"/>
                    <w:spacing w:line="240" w:lineRule="auto"/>
                    <w:rPr>
                      <w:b w:val="0"/>
                      <w:bCs w:val="0"/>
                      <w:sz w:val="21"/>
                      <w:szCs w:val="21"/>
                    </w:rPr>
                  </w:pPr>
                  <w:r>
                    <w:rPr>
                      <w:b w:val="0"/>
                      <w:bCs w:val="0"/>
                      <w:sz w:val="21"/>
                      <w:szCs w:val="21"/>
                    </w:rPr>
                    <w:t>下风向最大落地浓度</w:t>
                  </w:r>
                </w:p>
              </w:tc>
              <w:tc>
                <w:tcPr>
                  <w:tcW w:w="1637" w:type="dxa"/>
                  <w:noWrap w:val="0"/>
                  <w:vAlign w:val="center"/>
                </w:tcPr>
                <w:p>
                  <w:pPr>
                    <w:pStyle w:val="53"/>
                    <w:bidi w:val="0"/>
                    <w:spacing w:line="240" w:lineRule="auto"/>
                    <w:ind w:right="0" w:rightChars="0" w:firstLine="0" w:firstLineChars="0"/>
                    <w:rPr>
                      <w:rFonts w:hint="default"/>
                      <w:b w:val="0"/>
                      <w:bCs w:val="0"/>
                      <w:sz w:val="21"/>
                      <w:szCs w:val="21"/>
                      <w:lang w:val="en-US"/>
                    </w:rPr>
                  </w:pPr>
                  <w:r>
                    <w:rPr>
                      <w:rFonts w:hint="eastAsia"/>
                      <w:b w:val="0"/>
                      <w:bCs w:val="0"/>
                      <w:sz w:val="21"/>
                      <w:szCs w:val="21"/>
                      <w:lang w:val="en-US" w:eastAsia="zh-CN"/>
                    </w:rPr>
                    <w:t>71.075</w:t>
                  </w:r>
                </w:p>
              </w:tc>
              <w:tc>
                <w:tcPr>
                  <w:tcW w:w="1309" w:type="dxa"/>
                  <w:noWrap w:val="0"/>
                  <w:vAlign w:val="center"/>
                </w:tcPr>
                <w:p>
                  <w:pPr>
                    <w:pStyle w:val="53"/>
                    <w:bidi w:val="0"/>
                    <w:spacing w:line="240" w:lineRule="auto"/>
                    <w:ind w:right="0" w:rightChars="0" w:firstLine="0" w:firstLineChars="0"/>
                    <w:rPr>
                      <w:rFonts w:hint="default"/>
                      <w:b w:val="0"/>
                      <w:bCs w:val="0"/>
                      <w:sz w:val="21"/>
                      <w:szCs w:val="21"/>
                      <w:lang w:val="en-US"/>
                    </w:rPr>
                  </w:pPr>
                  <w:r>
                    <w:rPr>
                      <w:rFonts w:hint="eastAsia"/>
                      <w:b w:val="0"/>
                      <w:bCs w:val="0"/>
                      <w:sz w:val="21"/>
                      <w:szCs w:val="21"/>
                      <w:lang w:val="en-US" w:eastAsia="zh-CN"/>
                    </w:rPr>
                    <w:t>7.90</w:t>
                  </w:r>
                </w:p>
              </w:tc>
              <w:tc>
                <w:tcPr>
                  <w:tcW w:w="1568" w:type="dxa"/>
                  <w:noWrap w:val="0"/>
                  <w:vAlign w:val="center"/>
                </w:tcPr>
                <w:p>
                  <w:pPr>
                    <w:pStyle w:val="53"/>
                    <w:bidi w:val="0"/>
                    <w:spacing w:line="240" w:lineRule="auto"/>
                    <w:ind w:right="0" w:rightChars="0" w:firstLine="0" w:firstLineChars="0"/>
                    <w:rPr>
                      <w:rFonts w:hint="default"/>
                      <w:b w:val="0"/>
                      <w:bCs w:val="0"/>
                      <w:sz w:val="21"/>
                      <w:szCs w:val="21"/>
                      <w:lang w:val="en-US"/>
                    </w:rPr>
                  </w:pPr>
                  <w:r>
                    <w:rPr>
                      <w:rFonts w:hint="eastAsia"/>
                      <w:b w:val="0"/>
                      <w:bCs w:val="0"/>
                      <w:sz w:val="21"/>
                      <w:szCs w:val="21"/>
                      <w:lang w:val="en-US" w:eastAsia="zh-CN"/>
                    </w:rPr>
                    <w:t>38.394</w:t>
                  </w:r>
                </w:p>
              </w:tc>
              <w:tc>
                <w:tcPr>
                  <w:tcW w:w="1318" w:type="dxa"/>
                  <w:noWrap w:val="0"/>
                  <w:vAlign w:val="center"/>
                </w:tcPr>
                <w:p>
                  <w:pPr>
                    <w:pStyle w:val="53"/>
                    <w:bidi w:val="0"/>
                    <w:spacing w:line="240" w:lineRule="auto"/>
                    <w:ind w:right="0" w:rightChars="0" w:firstLine="0" w:firstLineChars="0"/>
                    <w:rPr>
                      <w:rFonts w:hint="default" w:eastAsia="宋体"/>
                      <w:b w:val="0"/>
                      <w:bCs w:val="0"/>
                      <w:sz w:val="21"/>
                      <w:szCs w:val="21"/>
                      <w:lang w:val="en-US" w:eastAsia="zh-CN"/>
                    </w:rPr>
                  </w:pPr>
                  <w:r>
                    <w:rPr>
                      <w:rFonts w:hint="eastAsia"/>
                      <w:b w:val="0"/>
                      <w:bCs w:val="0"/>
                      <w:sz w:val="21"/>
                      <w:szCs w:val="21"/>
                      <w:lang w:val="en-US" w:eastAsia="zh-CN"/>
                    </w:rPr>
                    <w:t>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center"/>
                </w:tcPr>
                <w:p>
                  <w:pPr>
                    <w:pStyle w:val="53"/>
                    <w:bidi w:val="0"/>
                    <w:spacing w:line="240" w:lineRule="auto"/>
                    <w:rPr>
                      <w:b w:val="0"/>
                      <w:bCs w:val="0"/>
                      <w:sz w:val="21"/>
                      <w:szCs w:val="21"/>
                    </w:rPr>
                  </w:pPr>
                  <w:r>
                    <w:rPr>
                      <w:b w:val="0"/>
                      <w:bCs w:val="0"/>
                      <w:sz w:val="21"/>
                      <w:szCs w:val="21"/>
                    </w:rPr>
                    <w:t>距污染源中心距离（m）</w:t>
                  </w:r>
                </w:p>
              </w:tc>
              <w:tc>
                <w:tcPr>
                  <w:tcW w:w="5832" w:type="dxa"/>
                  <w:gridSpan w:val="4"/>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72</w:t>
                  </w:r>
                </w:p>
              </w:tc>
            </w:tr>
          </w:tbl>
          <w:p>
            <w:pPr>
              <w:spacing w:line="360" w:lineRule="auto"/>
              <w:ind w:firstLine="480" w:firstLineChars="200"/>
              <w:rPr>
                <w:rFonts w:hint="eastAsia" w:cs="Times New Roman"/>
                <w:sz w:val="24"/>
                <w:szCs w:val="24"/>
                <w:lang w:val="en-US" w:eastAsia="zh-CN"/>
              </w:rPr>
            </w:pPr>
            <w:r>
              <w:rPr>
                <w:rFonts w:hint="default" w:ascii="Times New Roman" w:hAnsi="Times New Roman" w:cs="Times New Roman"/>
                <w:sz w:val="24"/>
                <w:szCs w:val="24"/>
                <w:lang w:val="en-US" w:eastAsia="zh-CN"/>
              </w:rPr>
              <w:t>根据上表可知，项目生产车间无组织废气排放的TSP、</w:t>
            </w:r>
            <w:r>
              <w:rPr>
                <w:rFonts w:hint="eastAsia" w:ascii="Times New Roman" w:hAnsi="Times New Roman" w:cs="Times New Roman"/>
                <w:sz w:val="24"/>
                <w:szCs w:val="24"/>
                <w:lang w:val="en-US" w:eastAsia="zh-CN"/>
              </w:rPr>
              <w:t>挥发性有机物（VOCs）</w:t>
            </w:r>
            <w:r>
              <w:rPr>
                <w:rFonts w:hint="default" w:ascii="Times New Roman" w:hAnsi="Times New Roman" w:cs="Times New Roman"/>
                <w:sz w:val="24"/>
                <w:szCs w:val="24"/>
                <w:lang w:val="en-US" w:eastAsia="zh-CN"/>
              </w:rPr>
              <w:t>下风向最大落地浓度为</w:t>
            </w:r>
            <w:r>
              <w:rPr>
                <w:rFonts w:hint="eastAsia" w:cs="Times New Roman"/>
                <w:sz w:val="24"/>
                <w:szCs w:val="24"/>
                <w:lang w:val="en-US" w:eastAsia="zh-CN"/>
              </w:rPr>
              <w:t>71.075</w:t>
            </w:r>
            <w:r>
              <w:rPr>
                <w:rFonts w:hint="default" w:ascii="Times New Roman" w:hAnsi="Times New Roman" w:cs="Times New Roman"/>
                <w:sz w:val="24"/>
                <w:szCs w:val="24"/>
                <w:lang w:val="en-US" w:eastAsia="zh-CN"/>
              </w:rPr>
              <w:t>ug/</w:t>
            </w:r>
            <w:r>
              <w:rPr>
                <w:rFonts w:hint="eastAsia" w:ascii="Times New Roman" w:hAnsi="Times New Roman" w:cs="Times New Roman"/>
                <w:sz w:val="24"/>
                <w:szCs w:val="24"/>
                <w:lang w:val="en-US" w:eastAsia="zh-CN"/>
              </w:rPr>
              <w:t>m</w:t>
            </w:r>
            <w:r>
              <w:rPr>
                <w:rFonts w:hint="eastAsia" w:ascii="Times New Roman" w:hAnsi="Times New Roman" w:cs="Times New Roman"/>
                <w:sz w:val="24"/>
                <w:szCs w:val="24"/>
                <w:vertAlign w:val="superscript"/>
                <w:lang w:val="en-US" w:eastAsia="zh-CN"/>
              </w:rPr>
              <w:t>3</w:t>
            </w:r>
            <w:r>
              <w:rPr>
                <w:rFonts w:hint="default" w:ascii="Times New Roman" w:hAnsi="Times New Roman" w:cs="Times New Roman"/>
                <w:sz w:val="24"/>
                <w:szCs w:val="24"/>
                <w:lang w:val="en-US" w:eastAsia="zh-CN"/>
              </w:rPr>
              <w:t>、</w:t>
            </w:r>
            <w:r>
              <w:rPr>
                <w:rFonts w:hint="eastAsia" w:cs="Times New Roman"/>
                <w:sz w:val="24"/>
                <w:szCs w:val="24"/>
                <w:lang w:val="en-US" w:eastAsia="zh-CN"/>
              </w:rPr>
              <w:t>38.394</w:t>
            </w:r>
            <w:r>
              <w:rPr>
                <w:rFonts w:hint="default" w:ascii="Times New Roman" w:hAnsi="Times New Roman" w:cs="Times New Roman"/>
                <w:sz w:val="24"/>
                <w:szCs w:val="24"/>
                <w:lang w:val="en-US" w:eastAsia="zh-CN"/>
              </w:rPr>
              <w:t>ug/</w:t>
            </w:r>
            <w:r>
              <w:rPr>
                <w:rFonts w:hint="eastAsia" w:ascii="Times New Roman" w:hAnsi="Times New Roman" w:cs="Times New Roman"/>
                <w:sz w:val="24"/>
                <w:szCs w:val="24"/>
                <w:lang w:val="en-US" w:eastAsia="zh-CN"/>
              </w:rPr>
              <w:t>m</w:t>
            </w:r>
            <w:r>
              <w:rPr>
                <w:rFonts w:hint="eastAsia" w:ascii="Times New Roman" w:hAnsi="Times New Roman" w:cs="Times New Roman"/>
                <w:sz w:val="24"/>
                <w:szCs w:val="24"/>
                <w:vertAlign w:val="superscript"/>
                <w:lang w:val="en-US" w:eastAsia="zh-CN"/>
              </w:rPr>
              <w:t>3</w:t>
            </w:r>
            <w:r>
              <w:rPr>
                <w:rFonts w:hint="default" w:ascii="Times New Roman" w:hAnsi="Times New Roman" w:cs="Times New Roman"/>
                <w:sz w:val="24"/>
                <w:szCs w:val="24"/>
                <w:lang w:val="en-US" w:eastAsia="zh-CN"/>
              </w:rPr>
              <w:t>；最大地面落地浓度分别满足《环境空气质量标准》(GB3095-2012)二级标准要求（TSP≤900ug/</w:t>
            </w:r>
            <w:r>
              <w:rPr>
                <w:rFonts w:hint="eastAsia" w:ascii="Times New Roman" w:hAnsi="Times New Roman" w:cs="Times New Roman"/>
                <w:sz w:val="24"/>
                <w:szCs w:val="24"/>
                <w:lang w:val="en-US" w:eastAsia="zh-CN"/>
              </w:rPr>
              <w:t>m</w:t>
            </w:r>
            <w:r>
              <w:rPr>
                <w:rFonts w:hint="eastAsia" w:ascii="Times New Roman" w:hAnsi="Times New Roman" w:cs="Times New Roman"/>
                <w:sz w:val="24"/>
                <w:szCs w:val="24"/>
                <w:vertAlign w:val="superscript"/>
                <w:lang w:val="en-US" w:eastAsia="zh-CN"/>
              </w:rPr>
              <w:t>3</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《环境影响评价技术导则-大气环境》HJ2.2-2018附录D中关于TVOC限值要求</w:t>
            </w:r>
            <w:r>
              <w:rPr>
                <w:rFonts w:hint="default" w:ascii="Times New Roman" w:hAnsi="Times New Roman" w:cs="Times New Roman"/>
                <w:sz w:val="24"/>
                <w:szCs w:val="24"/>
                <w:lang w:val="en-US" w:eastAsia="zh-CN"/>
              </w:rPr>
              <w:t>（T</w:t>
            </w:r>
            <w:r>
              <w:rPr>
                <w:rFonts w:hint="eastAsia" w:ascii="Times New Roman" w:hAnsi="Times New Roman" w:cs="Times New Roman"/>
                <w:sz w:val="24"/>
                <w:szCs w:val="24"/>
                <w:lang w:val="en-US" w:eastAsia="zh-CN"/>
              </w:rPr>
              <w:t>VOC</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600</w:t>
            </w:r>
            <w:r>
              <w:rPr>
                <w:rFonts w:hint="default" w:ascii="Times New Roman" w:hAnsi="Times New Roman" w:cs="Times New Roman"/>
                <w:sz w:val="24"/>
                <w:szCs w:val="24"/>
                <w:lang w:val="en-US" w:eastAsia="zh-CN"/>
              </w:rPr>
              <w:t>ug/</w:t>
            </w:r>
            <w:r>
              <w:rPr>
                <w:rFonts w:hint="eastAsia" w:ascii="Times New Roman" w:hAnsi="Times New Roman" w:cs="Times New Roman"/>
                <w:sz w:val="24"/>
                <w:szCs w:val="24"/>
                <w:lang w:val="en-US" w:eastAsia="zh-CN"/>
              </w:rPr>
              <w:t>m</w:t>
            </w:r>
            <w:r>
              <w:rPr>
                <w:rFonts w:hint="eastAsia" w:ascii="Times New Roman" w:hAnsi="Times New Roman" w:cs="Times New Roman"/>
                <w:sz w:val="24"/>
                <w:szCs w:val="24"/>
                <w:vertAlign w:val="superscript"/>
                <w:lang w:val="en-US" w:eastAsia="zh-CN"/>
              </w:rPr>
              <w:t>3</w:t>
            </w:r>
            <w:r>
              <w:rPr>
                <w:rFonts w:hint="default" w:ascii="Times New Roman" w:hAnsi="Times New Roman" w:cs="Times New Roman"/>
                <w:sz w:val="24"/>
                <w:szCs w:val="24"/>
                <w:lang w:val="en-US" w:eastAsia="zh-CN"/>
              </w:rPr>
              <w:t>）。最大占标率分别为</w:t>
            </w:r>
            <w:r>
              <w:rPr>
                <w:rFonts w:hint="eastAsia" w:cs="Times New Roman"/>
                <w:sz w:val="24"/>
                <w:szCs w:val="24"/>
                <w:lang w:val="en-US" w:eastAsia="zh-CN"/>
              </w:rPr>
              <w:t>7.9</w:t>
            </w:r>
            <w:r>
              <w:rPr>
                <w:rFonts w:hint="default" w:ascii="Times New Roman" w:hAnsi="Times New Roman" w:cs="Times New Roman"/>
                <w:sz w:val="24"/>
                <w:szCs w:val="24"/>
                <w:lang w:val="en-US" w:eastAsia="zh-CN"/>
              </w:rPr>
              <w:t>%、</w:t>
            </w:r>
            <w:r>
              <w:rPr>
                <w:rFonts w:hint="eastAsia" w:cs="Times New Roman"/>
                <w:sz w:val="24"/>
                <w:szCs w:val="24"/>
                <w:lang w:val="en-US" w:eastAsia="zh-CN"/>
              </w:rPr>
              <w:t>6.4</w:t>
            </w:r>
            <w:r>
              <w:rPr>
                <w:rFonts w:hint="default" w:ascii="Times New Roman" w:hAnsi="Times New Roman" w:cs="Times New Roman"/>
                <w:sz w:val="24"/>
                <w:szCs w:val="24"/>
                <w:lang w:val="en-US" w:eastAsia="zh-CN"/>
              </w:rPr>
              <w:t>%，最大地面落地浓度出现在距面源</w:t>
            </w:r>
            <w:r>
              <w:rPr>
                <w:rFonts w:hint="eastAsia" w:ascii="Times New Roman" w:hAnsi="Times New Roman" w:cs="Times New Roman"/>
                <w:sz w:val="24"/>
                <w:szCs w:val="24"/>
                <w:lang w:val="en-US" w:eastAsia="zh-CN"/>
              </w:rPr>
              <w:t>7</w:t>
            </w:r>
            <w:r>
              <w:rPr>
                <w:rFonts w:hint="eastAsia" w:cs="Times New Roman"/>
                <w:sz w:val="24"/>
                <w:szCs w:val="24"/>
                <w:lang w:val="en-US" w:eastAsia="zh-CN"/>
              </w:rPr>
              <w:t>2</w:t>
            </w:r>
            <w:r>
              <w:rPr>
                <w:rFonts w:hint="default" w:ascii="Times New Roman" w:hAnsi="Times New Roman" w:cs="Times New Roman"/>
                <w:sz w:val="24"/>
                <w:szCs w:val="24"/>
                <w:lang w:val="en-US" w:eastAsia="zh-CN"/>
              </w:rPr>
              <w:t>m处。生产车间无组织排放的TSP、</w:t>
            </w:r>
            <w:r>
              <w:rPr>
                <w:rFonts w:hint="eastAsia" w:ascii="Times New Roman" w:hAnsi="Times New Roman" w:cs="Times New Roman"/>
                <w:sz w:val="24"/>
                <w:szCs w:val="24"/>
                <w:lang w:val="en-US" w:eastAsia="zh-CN"/>
              </w:rPr>
              <w:t>VOCs</w:t>
            </w:r>
            <w:r>
              <w:rPr>
                <w:rFonts w:hint="default" w:ascii="Times New Roman" w:hAnsi="Times New Roman" w:cs="Times New Roman"/>
                <w:sz w:val="24"/>
                <w:szCs w:val="24"/>
                <w:lang w:val="en-US" w:eastAsia="zh-CN"/>
              </w:rPr>
              <w:t>最大落地浓度均达到其相应环境质量标准，占标率均在10%以下</w:t>
            </w:r>
            <w:r>
              <w:rPr>
                <w:rFonts w:hint="eastAsia" w:cs="Times New Roman"/>
                <w:sz w:val="24"/>
                <w:szCs w:val="24"/>
                <w:lang w:val="en-US" w:eastAsia="zh-CN"/>
              </w:rPr>
              <w:t>。</w:t>
            </w:r>
          </w:p>
          <w:p>
            <w:pPr>
              <w:spacing w:line="360" w:lineRule="auto"/>
              <w:ind w:firstLine="480" w:firstLineChars="200"/>
              <w:rPr>
                <w:rFonts w:hint="default" w:ascii="Times New Roman" w:hAnsi="Times New Roman" w:cs="Times New Roman"/>
                <w:sz w:val="24"/>
                <w:szCs w:val="24"/>
                <w:lang w:val="en-US" w:eastAsia="zh-CN"/>
              </w:rPr>
            </w:pPr>
            <w:r>
              <w:rPr>
                <w:rFonts w:hint="eastAsia" w:cs="Times New Roman"/>
                <w:sz w:val="24"/>
                <w:szCs w:val="24"/>
                <w:lang w:val="en-US" w:eastAsia="zh-CN"/>
              </w:rPr>
              <w:t>距离项目区最近的保护目标为厂区东北方向200m的哨箐散户（21户，约80人），保护目标处于排气筒下风向，项目车间有组织排放的废气对其影响较小。</w:t>
            </w:r>
            <w:r>
              <w:rPr>
                <w:rFonts w:hint="default" w:ascii="Times New Roman" w:hAnsi="Times New Roman" w:cs="Times New Roman"/>
                <w:sz w:val="24"/>
                <w:szCs w:val="24"/>
                <w:lang w:val="en-US" w:eastAsia="zh-CN"/>
              </w:rPr>
              <w:t>所以本项目喷漆车间无组织排放的漆雾、</w:t>
            </w:r>
            <w:r>
              <w:rPr>
                <w:rFonts w:hint="eastAsia" w:ascii="Times New Roman" w:hAnsi="Times New Roman" w:cs="Times New Roman"/>
                <w:sz w:val="24"/>
                <w:szCs w:val="24"/>
                <w:lang w:val="en-US" w:eastAsia="zh-CN"/>
              </w:rPr>
              <w:t>VOCs对周围环境影响较小</w:t>
            </w:r>
            <w:r>
              <w:rPr>
                <w:rFonts w:hint="default" w:ascii="Times New Roman" w:hAnsi="Times New Roman" w:cs="Times New Roman"/>
                <w:sz w:val="24"/>
                <w:szCs w:val="24"/>
                <w:lang w:val="en-US" w:eastAsia="zh-CN"/>
              </w:rPr>
              <w:t>。</w:t>
            </w:r>
          </w:p>
          <w:p>
            <w:pPr>
              <w:keepNext w:val="0"/>
              <w:keepLines w:val="0"/>
              <w:pageBreakBefore w:val="0"/>
              <w:widowControl w:val="0"/>
              <w:kinsoku/>
              <w:wordWrap/>
              <w:overflowPunct/>
              <w:topLinePunct w:val="0"/>
              <w:autoSpaceDE w:val="0"/>
              <w:autoSpaceDN w:val="0"/>
              <w:bidi w:val="0"/>
              <w:adjustRightInd w:val="0"/>
              <w:spacing w:line="360" w:lineRule="auto"/>
              <w:ind w:firstLine="482" w:firstLineChars="200"/>
              <w:jc w:val="both"/>
              <w:textAlignment w:val="auto"/>
              <w:rPr>
                <w:rFonts w:hint="eastAsia" w:ascii="Times New Roman" w:hAnsi="Times New Roman"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7</w:t>
            </w:r>
            <w:r>
              <w:rPr>
                <w:rFonts w:hint="eastAsia" w:ascii="Times New Roman" w:hAnsi="Times New Roman" w:cs="Times New Roman"/>
                <w:b/>
                <w:bCs/>
                <w:color w:val="000000" w:themeColor="text1"/>
                <w:sz w:val="24"/>
                <w:szCs w:val="24"/>
                <w:lang w:val="en-US" w:eastAsia="zh-CN"/>
                <w14:textFill>
                  <w14:solidFill>
                    <w14:schemeClr w14:val="tx1"/>
                  </w14:solidFill>
                </w14:textFill>
              </w:rPr>
              <w:t>）项目废气排放达标性分析</w:t>
            </w:r>
          </w:p>
          <w:p>
            <w:pPr>
              <w:pStyle w:val="105"/>
              <w:keepNext w:val="0"/>
              <w:keepLines w:val="0"/>
              <w:pageBreakBefore w:val="0"/>
              <w:widowControl w:val="0"/>
              <w:numPr>
                <w:ilvl w:val="0"/>
                <w:numId w:val="0"/>
              </w:numPr>
              <w:tabs>
                <w:tab w:val="left" w:pos="1068"/>
              </w:tabs>
              <w:kinsoku/>
              <w:wordWrap/>
              <w:overflowPunct/>
              <w:topLinePunct w:val="0"/>
              <w:bidi w:val="0"/>
              <w:spacing w:before="0" w:beforeLines="0" w:afterLines="0" w:line="360" w:lineRule="auto"/>
              <w:ind w:left="705" w:leftChars="0" w:right="0" w:rightChars="0"/>
              <w:jc w:val="left"/>
              <w:textAlignment w:val="auto"/>
              <w:rPr>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fldChar w:fldCharType="begin"/>
            </w:r>
            <w:r>
              <w:rPr>
                <w:rFonts w:hint="eastAsia" w:asciiTheme="minorEastAsia" w:hAnsiTheme="minorEastAsia" w:eastAsiaTheme="minorEastAsia"/>
                <w:color w:val="000000" w:themeColor="text1"/>
                <w:sz w:val="24"/>
                <w14:textFill>
                  <w14:solidFill>
                    <w14:schemeClr w14:val="tx1"/>
                  </w14:solidFill>
                </w14:textFill>
              </w:rPr>
              <w:instrText xml:space="preserve">= 1 \* GB3</w:instrText>
            </w:r>
            <w:r>
              <w:rPr>
                <w:rFonts w:asciiTheme="minorEastAsia" w:hAnsiTheme="minorEastAsia" w:eastAsiaTheme="minorEastAsia"/>
                <w:color w:val="000000" w:themeColor="text1"/>
                <w:sz w:val="24"/>
                <w14:textFill>
                  <w14:solidFill>
                    <w14:schemeClr w14:val="tx1"/>
                  </w14:solidFill>
                </w14:textFill>
              </w:rPr>
              <w:fldChar w:fldCharType="separate"/>
            </w:r>
            <w:r>
              <w:rPr>
                <w:rFonts w:hint="eastAsia" w:asciiTheme="minorEastAsia" w:hAnsiTheme="minorEastAsia" w:eastAsiaTheme="minorEastAsia"/>
                <w:color w:val="000000" w:themeColor="text1"/>
                <w:sz w:val="24"/>
                <w14:textFill>
                  <w14:solidFill>
                    <w14:schemeClr w14:val="tx1"/>
                  </w14:solidFill>
                </w14:textFill>
              </w:rPr>
              <w:t>①</w:t>
            </w:r>
            <w:r>
              <w:rPr>
                <w:rFonts w:asciiTheme="minorEastAsia" w:hAnsiTheme="minorEastAsia" w:eastAsiaTheme="minorEastAsia"/>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t>有组织</w:t>
            </w:r>
          </w:p>
          <w:p>
            <w:pPr>
              <w:keepNext w:val="0"/>
              <w:keepLines w:val="0"/>
              <w:pageBreakBefore w:val="0"/>
              <w:widowControl w:val="0"/>
              <w:kinsoku/>
              <w:wordWrap/>
              <w:overflowPunct/>
              <w:topLinePunct w:val="0"/>
              <w:bidi w:val="0"/>
              <w:snapToGrid w:val="0"/>
              <w:spacing w:line="240" w:lineRule="auto"/>
              <w:ind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废气有组织排放达标性分析见下表。</w:t>
            </w:r>
          </w:p>
          <w:p>
            <w:pPr>
              <w:pStyle w:val="7"/>
              <w:tabs>
                <w:tab w:val="left" w:pos="779"/>
              </w:tabs>
              <w:spacing w:before="81" w:after="3" w:line="240" w:lineRule="auto"/>
              <w:ind w:left="0" w:right="165"/>
              <w:jc w:val="center"/>
              <w:rPr>
                <w:color w:val="000000" w:themeColor="text1"/>
                <w:sz w:val="21"/>
                <w:szCs w:val="21"/>
                <w14:textFill>
                  <w14:solidFill>
                    <w14:schemeClr w14:val="tx1"/>
                  </w14:solidFill>
                </w14:textFill>
              </w:rPr>
            </w:pPr>
            <w:bookmarkStart w:id="102" w:name="_Toc25454"/>
            <w:bookmarkStart w:id="103" w:name="_Toc11252"/>
            <w:r>
              <w:rPr>
                <w:color w:val="000000" w:themeColor="text1"/>
                <w:sz w:val="21"/>
                <w:szCs w:val="21"/>
                <w14:textFill>
                  <w14:solidFill>
                    <w14:schemeClr w14:val="tx1"/>
                  </w14:solidFill>
                </w14:textFill>
              </w:rPr>
              <w:t>表</w:t>
            </w:r>
            <w:r>
              <w:rPr>
                <w:color w:val="000000" w:themeColor="text1"/>
                <w:spacing w:val="-62"/>
                <w:sz w:val="21"/>
                <w:szCs w:val="21"/>
                <w14:textFill>
                  <w14:solidFill>
                    <w14:schemeClr w14:val="tx1"/>
                  </w14:solidFill>
                </w14:textFill>
              </w:rPr>
              <w:t xml:space="preserve"> </w:t>
            </w:r>
            <w:r>
              <w:rPr>
                <w:rFonts w:hint="eastAsia" w:ascii="Times New Roman" w:eastAsia="宋体"/>
                <w:color w:val="000000" w:themeColor="text1"/>
                <w:sz w:val="21"/>
                <w:szCs w:val="21"/>
                <w:lang w:val="en-US" w:eastAsia="zh-CN"/>
                <w14:textFill>
                  <w14:solidFill>
                    <w14:schemeClr w14:val="tx1"/>
                  </w14:solidFill>
                </w14:textFill>
              </w:rPr>
              <w:t>7-9</w:t>
            </w:r>
            <w:r>
              <w:rPr>
                <w:color w:val="000000" w:themeColor="text1"/>
                <w:sz w:val="21"/>
                <w:szCs w:val="21"/>
                <w14:textFill>
                  <w14:solidFill>
                    <w14:schemeClr w14:val="tx1"/>
                  </w14:solidFill>
                </w14:textFill>
              </w:rPr>
              <w:t>有组织废气达标性分析</w:t>
            </w:r>
            <w:bookmarkEnd w:id="102"/>
            <w:bookmarkEnd w:id="103"/>
          </w:p>
          <w:tbl>
            <w:tblPr>
              <w:tblStyle w:val="37"/>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81"/>
              <w:gridCol w:w="1121"/>
              <w:gridCol w:w="927"/>
              <w:gridCol w:w="1069"/>
              <w:gridCol w:w="1129"/>
              <w:gridCol w:w="1090"/>
              <w:gridCol w:w="926"/>
              <w:gridCol w:w="10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537" w:type="pct"/>
                  <w:vMerge w:val="restart"/>
                  <w:vAlign w:val="center"/>
                </w:tcPr>
                <w:p>
                  <w:pPr>
                    <w:pStyle w:val="104"/>
                    <w:spacing w:line="240" w:lineRule="auto"/>
                    <w:jc w:val="center"/>
                    <w:rPr>
                      <w:rFonts w:hint="default"/>
                      <w:color w:val="000000" w:themeColor="text1"/>
                      <w:sz w:val="21"/>
                      <w:szCs w:val="22"/>
                      <w14:textFill>
                        <w14:solidFill>
                          <w14:schemeClr w14:val="tx1"/>
                        </w14:solidFill>
                      </w14:textFill>
                    </w:rPr>
                  </w:pPr>
                </w:p>
                <w:p>
                  <w:pPr>
                    <w:pStyle w:val="104"/>
                    <w:spacing w:line="240" w:lineRule="auto"/>
                    <w:jc w:val="center"/>
                    <w:rPr>
                      <w:rFonts w:hint="default"/>
                      <w:color w:val="000000" w:themeColor="text1"/>
                      <w:sz w:val="21"/>
                      <w:szCs w:val="22"/>
                      <w14:textFill>
                        <w14:solidFill>
                          <w14:schemeClr w14:val="tx1"/>
                        </w14:solidFill>
                      </w14:textFill>
                    </w:rPr>
                  </w:pPr>
                  <w:r>
                    <w:rPr>
                      <w:rFonts w:hint="default"/>
                      <w:color w:val="000000" w:themeColor="text1"/>
                      <w:sz w:val="21"/>
                      <w:szCs w:val="22"/>
                      <w14:textFill>
                        <w14:solidFill>
                          <w14:schemeClr w14:val="tx1"/>
                        </w14:solidFill>
                      </w14:textFill>
                    </w:rPr>
                    <w:t>产污工序</w:t>
                  </w:r>
                </w:p>
              </w:tc>
              <w:tc>
                <w:tcPr>
                  <w:tcW w:w="683" w:type="pct"/>
                  <w:vMerge w:val="restart"/>
                  <w:vAlign w:val="center"/>
                </w:tcPr>
                <w:p>
                  <w:pPr>
                    <w:pStyle w:val="104"/>
                    <w:spacing w:line="240" w:lineRule="auto"/>
                    <w:jc w:val="center"/>
                    <w:rPr>
                      <w:rFonts w:hint="default"/>
                      <w:color w:val="000000" w:themeColor="text1"/>
                      <w:sz w:val="21"/>
                      <w:szCs w:val="22"/>
                      <w14:textFill>
                        <w14:solidFill>
                          <w14:schemeClr w14:val="tx1"/>
                        </w14:solidFill>
                      </w14:textFill>
                    </w:rPr>
                  </w:pPr>
                </w:p>
                <w:p>
                  <w:pPr>
                    <w:pStyle w:val="104"/>
                    <w:spacing w:line="240" w:lineRule="auto"/>
                    <w:jc w:val="center"/>
                    <w:rPr>
                      <w:rFonts w:hint="default"/>
                      <w:color w:val="000000" w:themeColor="text1"/>
                      <w:sz w:val="21"/>
                      <w:szCs w:val="22"/>
                      <w14:textFill>
                        <w14:solidFill>
                          <w14:schemeClr w14:val="tx1"/>
                        </w14:solidFill>
                      </w14:textFill>
                    </w:rPr>
                  </w:pPr>
                  <w:r>
                    <w:rPr>
                      <w:rFonts w:hint="default"/>
                      <w:color w:val="000000" w:themeColor="text1"/>
                      <w:sz w:val="21"/>
                      <w:szCs w:val="22"/>
                      <w14:textFill>
                        <w14:solidFill>
                          <w14:schemeClr w14:val="tx1"/>
                        </w14:solidFill>
                      </w14:textFill>
                    </w:rPr>
                    <w:t>排气筒</w:t>
                  </w:r>
                </w:p>
              </w:tc>
              <w:tc>
                <w:tcPr>
                  <w:tcW w:w="565" w:type="pct"/>
                  <w:vMerge w:val="restart"/>
                  <w:vAlign w:val="center"/>
                </w:tcPr>
                <w:p>
                  <w:pPr>
                    <w:pStyle w:val="104"/>
                    <w:spacing w:line="240" w:lineRule="auto"/>
                    <w:jc w:val="center"/>
                    <w:rPr>
                      <w:rFonts w:hint="default"/>
                      <w:color w:val="000000" w:themeColor="text1"/>
                      <w:sz w:val="21"/>
                      <w:szCs w:val="22"/>
                      <w14:textFill>
                        <w14:solidFill>
                          <w14:schemeClr w14:val="tx1"/>
                        </w14:solidFill>
                      </w14:textFill>
                    </w:rPr>
                  </w:pPr>
                </w:p>
                <w:p>
                  <w:pPr>
                    <w:pStyle w:val="104"/>
                    <w:spacing w:line="240" w:lineRule="auto"/>
                    <w:jc w:val="center"/>
                    <w:rPr>
                      <w:rFonts w:hint="default"/>
                      <w:color w:val="000000" w:themeColor="text1"/>
                      <w:sz w:val="21"/>
                      <w:szCs w:val="22"/>
                      <w14:textFill>
                        <w14:solidFill>
                          <w14:schemeClr w14:val="tx1"/>
                        </w14:solidFill>
                      </w14:textFill>
                    </w:rPr>
                  </w:pPr>
                  <w:r>
                    <w:rPr>
                      <w:rFonts w:hint="default"/>
                      <w:color w:val="000000" w:themeColor="text1"/>
                      <w:sz w:val="21"/>
                      <w:szCs w:val="22"/>
                      <w14:textFill>
                        <w14:solidFill>
                          <w14:schemeClr w14:val="tx1"/>
                        </w14:solidFill>
                      </w14:textFill>
                    </w:rPr>
                    <w:t>污染物名称</w:t>
                  </w:r>
                </w:p>
              </w:tc>
              <w:tc>
                <w:tcPr>
                  <w:tcW w:w="1339" w:type="pct"/>
                  <w:gridSpan w:val="2"/>
                  <w:vAlign w:val="center"/>
                </w:tcPr>
                <w:p>
                  <w:pPr>
                    <w:pStyle w:val="104"/>
                    <w:spacing w:line="240" w:lineRule="auto"/>
                    <w:jc w:val="center"/>
                    <w:rPr>
                      <w:rFonts w:hint="default"/>
                      <w:color w:val="000000" w:themeColor="text1"/>
                      <w:sz w:val="21"/>
                      <w:szCs w:val="22"/>
                      <w14:textFill>
                        <w14:solidFill>
                          <w14:schemeClr w14:val="tx1"/>
                        </w14:solidFill>
                      </w14:textFill>
                    </w:rPr>
                  </w:pPr>
                  <w:r>
                    <w:rPr>
                      <w:rFonts w:hint="default"/>
                      <w:color w:val="000000" w:themeColor="text1"/>
                      <w:sz w:val="21"/>
                      <w:szCs w:val="22"/>
                      <w14:textFill>
                        <w14:solidFill>
                          <w14:schemeClr w14:val="tx1"/>
                        </w14:solidFill>
                      </w14:textFill>
                    </w:rPr>
                    <w:t>排放参数</w:t>
                  </w:r>
                </w:p>
              </w:tc>
              <w:tc>
                <w:tcPr>
                  <w:tcW w:w="1228" w:type="pct"/>
                  <w:gridSpan w:val="2"/>
                  <w:vAlign w:val="center"/>
                </w:tcPr>
                <w:p>
                  <w:pPr>
                    <w:pStyle w:val="104"/>
                    <w:spacing w:line="240" w:lineRule="auto"/>
                    <w:jc w:val="center"/>
                    <w:rPr>
                      <w:rFonts w:hint="default"/>
                      <w:color w:val="000000" w:themeColor="text1"/>
                      <w:sz w:val="21"/>
                      <w:szCs w:val="22"/>
                      <w14:textFill>
                        <w14:solidFill>
                          <w14:schemeClr w14:val="tx1"/>
                        </w14:solidFill>
                      </w14:textFill>
                    </w:rPr>
                  </w:pPr>
                  <w:r>
                    <w:rPr>
                      <w:rFonts w:hint="default"/>
                      <w:color w:val="000000" w:themeColor="text1"/>
                      <w:sz w:val="21"/>
                      <w:szCs w:val="22"/>
                      <w14:textFill>
                        <w14:solidFill>
                          <w14:schemeClr w14:val="tx1"/>
                        </w14:solidFill>
                      </w14:textFill>
                    </w:rPr>
                    <w:t>执行标准</w:t>
                  </w:r>
                </w:p>
              </w:tc>
              <w:tc>
                <w:tcPr>
                  <w:tcW w:w="645" w:type="pct"/>
                  <w:vMerge w:val="restart"/>
                  <w:vAlign w:val="center"/>
                </w:tcPr>
                <w:p>
                  <w:pPr>
                    <w:pStyle w:val="104"/>
                    <w:spacing w:line="240" w:lineRule="auto"/>
                    <w:jc w:val="center"/>
                    <w:rPr>
                      <w:rFonts w:hint="default"/>
                      <w:color w:val="000000" w:themeColor="text1"/>
                      <w:sz w:val="21"/>
                      <w:szCs w:val="22"/>
                      <w14:textFill>
                        <w14:solidFill>
                          <w14:schemeClr w14:val="tx1"/>
                        </w14:solidFill>
                      </w14:textFill>
                    </w:rPr>
                  </w:pPr>
                </w:p>
                <w:p>
                  <w:pPr>
                    <w:pStyle w:val="104"/>
                    <w:spacing w:line="240" w:lineRule="auto"/>
                    <w:jc w:val="center"/>
                    <w:rPr>
                      <w:rFonts w:hint="default"/>
                      <w:color w:val="000000" w:themeColor="text1"/>
                      <w:sz w:val="21"/>
                      <w:szCs w:val="22"/>
                      <w14:textFill>
                        <w14:solidFill>
                          <w14:schemeClr w14:val="tx1"/>
                        </w14:solidFill>
                      </w14:textFill>
                    </w:rPr>
                  </w:pPr>
                  <w:r>
                    <w:rPr>
                      <w:rFonts w:hint="default"/>
                      <w:color w:val="000000" w:themeColor="text1"/>
                      <w:sz w:val="21"/>
                      <w:szCs w:val="22"/>
                      <w14:textFill>
                        <w14:solidFill>
                          <w14:schemeClr w14:val="tx1"/>
                        </w14:solidFill>
                      </w14:textFill>
                    </w:rPr>
                    <w:t>达标情况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537" w:type="pct"/>
                  <w:vMerge w:val="continue"/>
                  <w:tcBorders>
                    <w:top w:val="nil"/>
                  </w:tcBorders>
                  <w:vAlign w:val="center"/>
                </w:tcPr>
                <w:p>
                  <w:pPr>
                    <w:pStyle w:val="104"/>
                    <w:spacing w:line="240" w:lineRule="auto"/>
                    <w:jc w:val="center"/>
                    <w:rPr>
                      <w:rFonts w:hint="default"/>
                      <w:color w:val="000000" w:themeColor="text1"/>
                      <w:sz w:val="21"/>
                      <w:szCs w:val="22"/>
                      <w14:textFill>
                        <w14:solidFill>
                          <w14:schemeClr w14:val="tx1"/>
                        </w14:solidFill>
                      </w14:textFill>
                    </w:rPr>
                  </w:pPr>
                </w:p>
              </w:tc>
              <w:tc>
                <w:tcPr>
                  <w:tcW w:w="683" w:type="pct"/>
                  <w:vMerge w:val="continue"/>
                  <w:tcBorders>
                    <w:top w:val="nil"/>
                  </w:tcBorders>
                  <w:vAlign w:val="center"/>
                </w:tcPr>
                <w:p>
                  <w:pPr>
                    <w:pStyle w:val="104"/>
                    <w:spacing w:line="240" w:lineRule="auto"/>
                    <w:jc w:val="center"/>
                    <w:rPr>
                      <w:rFonts w:hint="default"/>
                      <w:color w:val="000000" w:themeColor="text1"/>
                      <w:sz w:val="21"/>
                      <w:szCs w:val="22"/>
                      <w14:textFill>
                        <w14:solidFill>
                          <w14:schemeClr w14:val="tx1"/>
                        </w14:solidFill>
                      </w14:textFill>
                    </w:rPr>
                  </w:pPr>
                </w:p>
              </w:tc>
              <w:tc>
                <w:tcPr>
                  <w:tcW w:w="565" w:type="pct"/>
                  <w:vMerge w:val="continue"/>
                  <w:tcBorders>
                    <w:top w:val="nil"/>
                  </w:tcBorders>
                  <w:vAlign w:val="center"/>
                </w:tcPr>
                <w:p>
                  <w:pPr>
                    <w:pStyle w:val="104"/>
                    <w:spacing w:line="240" w:lineRule="auto"/>
                    <w:jc w:val="center"/>
                    <w:rPr>
                      <w:rFonts w:hint="default"/>
                      <w:color w:val="000000" w:themeColor="text1"/>
                      <w:sz w:val="21"/>
                      <w:szCs w:val="22"/>
                      <w14:textFill>
                        <w14:solidFill>
                          <w14:schemeClr w14:val="tx1"/>
                        </w14:solidFill>
                      </w14:textFill>
                    </w:rPr>
                  </w:pPr>
                </w:p>
              </w:tc>
              <w:tc>
                <w:tcPr>
                  <w:tcW w:w="651" w:type="pct"/>
                  <w:vAlign w:val="center"/>
                </w:tcPr>
                <w:p>
                  <w:pPr>
                    <w:pStyle w:val="104"/>
                    <w:spacing w:line="240" w:lineRule="auto"/>
                    <w:jc w:val="center"/>
                    <w:rPr>
                      <w:rFonts w:hint="default"/>
                      <w:color w:val="000000" w:themeColor="text1"/>
                      <w:sz w:val="21"/>
                      <w:szCs w:val="22"/>
                      <w14:textFill>
                        <w14:solidFill>
                          <w14:schemeClr w14:val="tx1"/>
                        </w14:solidFill>
                      </w14:textFill>
                    </w:rPr>
                  </w:pPr>
                  <w:r>
                    <w:rPr>
                      <w:rFonts w:hint="default"/>
                      <w:color w:val="000000" w:themeColor="text1"/>
                      <w:sz w:val="21"/>
                      <w:szCs w:val="22"/>
                      <w14:textFill>
                        <w14:solidFill>
                          <w14:schemeClr w14:val="tx1"/>
                        </w14:solidFill>
                      </w14:textFill>
                    </w:rPr>
                    <w:t>排放浓度</w:t>
                  </w:r>
                </w:p>
                <w:p>
                  <w:pPr>
                    <w:pStyle w:val="104"/>
                    <w:spacing w:line="240" w:lineRule="auto"/>
                    <w:jc w:val="center"/>
                    <w:rPr>
                      <w:rFonts w:hint="eastAsia"/>
                      <w:color w:val="000000" w:themeColor="text1"/>
                      <w:sz w:val="21"/>
                      <w:szCs w:val="22"/>
                      <w:lang w:val="en-US" w:eastAsia="zh-CN"/>
                      <w14:textFill>
                        <w14:solidFill>
                          <w14:schemeClr w14:val="tx1"/>
                        </w14:solidFill>
                      </w14:textFill>
                    </w:rPr>
                  </w:pPr>
                  <w:r>
                    <w:rPr>
                      <w:rFonts w:hint="default"/>
                      <w:color w:val="000000" w:themeColor="text1"/>
                      <w:sz w:val="21"/>
                      <w:szCs w:val="22"/>
                      <w14:textFill>
                        <w14:solidFill>
                          <w14:schemeClr w14:val="tx1"/>
                        </w14:solidFill>
                      </w14:textFill>
                    </w:rPr>
                    <w:t>mg/m</w:t>
                  </w:r>
                  <w:r>
                    <w:rPr>
                      <w:rFonts w:hint="eastAsia"/>
                      <w:color w:val="000000" w:themeColor="text1"/>
                      <w:sz w:val="21"/>
                      <w:szCs w:val="22"/>
                      <w:vertAlign w:val="superscript"/>
                      <w:lang w:val="en-US" w:eastAsia="zh-CN"/>
                      <w14:textFill>
                        <w14:solidFill>
                          <w14:schemeClr w14:val="tx1"/>
                        </w14:solidFill>
                      </w14:textFill>
                    </w:rPr>
                    <w:t>3</w:t>
                  </w:r>
                </w:p>
              </w:tc>
              <w:tc>
                <w:tcPr>
                  <w:tcW w:w="688" w:type="pct"/>
                  <w:vAlign w:val="center"/>
                </w:tcPr>
                <w:p>
                  <w:pPr>
                    <w:pStyle w:val="104"/>
                    <w:spacing w:line="240" w:lineRule="auto"/>
                    <w:jc w:val="center"/>
                    <w:rPr>
                      <w:rFonts w:hint="default"/>
                      <w:color w:val="000000" w:themeColor="text1"/>
                      <w:sz w:val="21"/>
                      <w:szCs w:val="22"/>
                      <w14:textFill>
                        <w14:solidFill>
                          <w14:schemeClr w14:val="tx1"/>
                        </w14:solidFill>
                      </w14:textFill>
                    </w:rPr>
                  </w:pPr>
                  <w:r>
                    <w:rPr>
                      <w:rFonts w:hint="default"/>
                      <w:color w:val="000000" w:themeColor="text1"/>
                      <w:sz w:val="21"/>
                      <w:szCs w:val="22"/>
                      <w14:textFill>
                        <w14:solidFill>
                          <w14:schemeClr w14:val="tx1"/>
                        </w14:solidFill>
                      </w14:textFill>
                    </w:rPr>
                    <w:t>排放速率</w:t>
                  </w:r>
                </w:p>
                <w:p>
                  <w:pPr>
                    <w:pStyle w:val="104"/>
                    <w:spacing w:line="240" w:lineRule="auto"/>
                    <w:jc w:val="center"/>
                    <w:rPr>
                      <w:rFonts w:hint="default"/>
                      <w:color w:val="000000" w:themeColor="text1"/>
                      <w:sz w:val="21"/>
                      <w:szCs w:val="22"/>
                      <w14:textFill>
                        <w14:solidFill>
                          <w14:schemeClr w14:val="tx1"/>
                        </w14:solidFill>
                      </w14:textFill>
                    </w:rPr>
                  </w:pPr>
                  <w:r>
                    <w:rPr>
                      <w:rFonts w:hint="default"/>
                      <w:color w:val="000000" w:themeColor="text1"/>
                      <w:sz w:val="21"/>
                      <w:szCs w:val="22"/>
                      <w14:textFill>
                        <w14:solidFill>
                          <w14:schemeClr w14:val="tx1"/>
                        </w14:solidFill>
                      </w14:textFill>
                    </w:rPr>
                    <w:t>kg/h</w:t>
                  </w:r>
                </w:p>
              </w:tc>
              <w:tc>
                <w:tcPr>
                  <w:tcW w:w="664" w:type="pct"/>
                  <w:vAlign w:val="center"/>
                </w:tcPr>
                <w:p>
                  <w:pPr>
                    <w:pStyle w:val="104"/>
                    <w:spacing w:line="240" w:lineRule="auto"/>
                    <w:jc w:val="center"/>
                    <w:rPr>
                      <w:rFonts w:hint="default"/>
                      <w:color w:val="000000" w:themeColor="text1"/>
                      <w:sz w:val="21"/>
                      <w:szCs w:val="22"/>
                      <w14:textFill>
                        <w14:solidFill>
                          <w14:schemeClr w14:val="tx1"/>
                        </w14:solidFill>
                      </w14:textFill>
                    </w:rPr>
                  </w:pPr>
                  <w:r>
                    <w:rPr>
                      <w:rFonts w:hint="default"/>
                      <w:color w:val="000000" w:themeColor="text1"/>
                      <w:sz w:val="21"/>
                      <w:szCs w:val="22"/>
                      <w14:textFill>
                        <w14:solidFill>
                          <w14:schemeClr w14:val="tx1"/>
                        </w14:solidFill>
                      </w14:textFill>
                    </w:rPr>
                    <w:t>排放浓度</w:t>
                  </w:r>
                </w:p>
                <w:p>
                  <w:pPr>
                    <w:pStyle w:val="104"/>
                    <w:spacing w:line="240" w:lineRule="auto"/>
                    <w:jc w:val="center"/>
                    <w:rPr>
                      <w:rFonts w:hint="eastAsia"/>
                      <w:color w:val="000000" w:themeColor="text1"/>
                      <w:sz w:val="21"/>
                      <w:szCs w:val="22"/>
                      <w:lang w:val="en-US" w:eastAsia="zh-CN"/>
                      <w14:textFill>
                        <w14:solidFill>
                          <w14:schemeClr w14:val="tx1"/>
                        </w14:solidFill>
                      </w14:textFill>
                    </w:rPr>
                  </w:pPr>
                  <w:r>
                    <w:rPr>
                      <w:rFonts w:hint="default"/>
                      <w:color w:val="000000" w:themeColor="text1"/>
                      <w:sz w:val="21"/>
                      <w:szCs w:val="22"/>
                      <w14:textFill>
                        <w14:solidFill>
                          <w14:schemeClr w14:val="tx1"/>
                        </w14:solidFill>
                      </w14:textFill>
                    </w:rPr>
                    <w:t>mg/m</w:t>
                  </w:r>
                  <w:r>
                    <w:rPr>
                      <w:rFonts w:hint="eastAsia"/>
                      <w:color w:val="000000" w:themeColor="text1"/>
                      <w:sz w:val="21"/>
                      <w:szCs w:val="22"/>
                      <w:vertAlign w:val="superscript"/>
                      <w:lang w:val="en-US" w:eastAsia="zh-CN"/>
                      <w14:textFill>
                        <w14:solidFill>
                          <w14:schemeClr w14:val="tx1"/>
                        </w14:solidFill>
                      </w14:textFill>
                    </w:rPr>
                    <w:t>3</w:t>
                  </w:r>
                </w:p>
              </w:tc>
              <w:tc>
                <w:tcPr>
                  <w:tcW w:w="564" w:type="pct"/>
                  <w:vAlign w:val="center"/>
                </w:tcPr>
                <w:p>
                  <w:pPr>
                    <w:pStyle w:val="104"/>
                    <w:spacing w:line="240" w:lineRule="auto"/>
                    <w:jc w:val="center"/>
                    <w:rPr>
                      <w:rFonts w:hint="default"/>
                      <w:color w:val="000000" w:themeColor="text1"/>
                      <w:sz w:val="21"/>
                      <w:szCs w:val="22"/>
                      <w14:textFill>
                        <w14:solidFill>
                          <w14:schemeClr w14:val="tx1"/>
                        </w14:solidFill>
                      </w14:textFill>
                    </w:rPr>
                  </w:pPr>
                  <w:r>
                    <w:rPr>
                      <w:rFonts w:hint="default"/>
                      <w:color w:val="000000" w:themeColor="text1"/>
                      <w:sz w:val="21"/>
                      <w:szCs w:val="22"/>
                      <w14:textFill>
                        <w14:solidFill>
                          <w14:schemeClr w14:val="tx1"/>
                        </w14:solidFill>
                      </w14:textFill>
                    </w:rPr>
                    <w:t>排放速率</w:t>
                  </w:r>
                </w:p>
                <w:p>
                  <w:pPr>
                    <w:pStyle w:val="104"/>
                    <w:spacing w:line="240" w:lineRule="auto"/>
                    <w:jc w:val="center"/>
                    <w:rPr>
                      <w:rFonts w:hint="default"/>
                      <w:color w:val="000000" w:themeColor="text1"/>
                      <w:sz w:val="21"/>
                      <w:szCs w:val="22"/>
                      <w14:textFill>
                        <w14:solidFill>
                          <w14:schemeClr w14:val="tx1"/>
                        </w14:solidFill>
                      </w14:textFill>
                    </w:rPr>
                  </w:pPr>
                  <w:r>
                    <w:rPr>
                      <w:rFonts w:hint="default"/>
                      <w:color w:val="000000" w:themeColor="text1"/>
                      <w:sz w:val="21"/>
                      <w:szCs w:val="22"/>
                      <w14:textFill>
                        <w14:solidFill>
                          <w14:schemeClr w14:val="tx1"/>
                        </w14:solidFill>
                      </w14:textFill>
                    </w:rPr>
                    <w:t>kg/h</w:t>
                  </w:r>
                </w:p>
              </w:tc>
              <w:tc>
                <w:tcPr>
                  <w:tcW w:w="645" w:type="pct"/>
                  <w:vMerge w:val="continue"/>
                  <w:tcBorders>
                    <w:top w:val="nil"/>
                  </w:tcBorders>
                  <w:vAlign w:val="center"/>
                </w:tcPr>
                <w:p>
                  <w:pPr>
                    <w:pStyle w:val="104"/>
                    <w:spacing w:line="240" w:lineRule="auto"/>
                    <w:jc w:val="center"/>
                    <w:rPr>
                      <w:rFonts w:hint="default"/>
                      <w:color w:val="000000" w:themeColor="text1"/>
                      <w:sz w:val="21"/>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537" w:type="pct"/>
                  <w:vMerge w:val="restart"/>
                  <w:vAlign w:val="center"/>
                </w:tcPr>
                <w:p>
                  <w:pPr>
                    <w:pStyle w:val="104"/>
                    <w:spacing w:line="240" w:lineRule="auto"/>
                    <w:jc w:val="center"/>
                    <w:rPr>
                      <w:rFonts w:hint="default"/>
                      <w:color w:val="000000" w:themeColor="text1"/>
                      <w:sz w:val="21"/>
                      <w:szCs w:val="22"/>
                      <w14:textFill>
                        <w14:solidFill>
                          <w14:schemeClr w14:val="tx1"/>
                        </w14:solidFill>
                      </w14:textFill>
                    </w:rPr>
                  </w:pPr>
                  <w:r>
                    <w:rPr>
                      <w:rFonts w:hint="eastAsia"/>
                      <w:color w:val="000000" w:themeColor="text1"/>
                      <w:sz w:val="21"/>
                      <w:szCs w:val="22"/>
                      <w:lang w:eastAsia="zh-CN"/>
                      <w14:textFill>
                        <w14:solidFill>
                          <w14:schemeClr w14:val="tx1"/>
                        </w14:solidFill>
                      </w14:textFill>
                    </w:rPr>
                    <w:t>调漆、</w:t>
                  </w:r>
                  <w:r>
                    <w:rPr>
                      <w:rFonts w:hint="default"/>
                      <w:color w:val="000000" w:themeColor="text1"/>
                      <w:sz w:val="21"/>
                      <w:szCs w:val="22"/>
                      <w14:textFill>
                        <w14:solidFill>
                          <w14:schemeClr w14:val="tx1"/>
                        </w14:solidFill>
                      </w14:textFill>
                    </w:rPr>
                    <w:t>喷漆、晾</w:t>
                  </w:r>
                </w:p>
                <w:p>
                  <w:pPr>
                    <w:pStyle w:val="104"/>
                    <w:spacing w:line="240" w:lineRule="auto"/>
                    <w:jc w:val="center"/>
                    <w:rPr>
                      <w:rFonts w:hint="default"/>
                      <w:color w:val="000000" w:themeColor="text1"/>
                      <w:sz w:val="21"/>
                      <w:szCs w:val="22"/>
                      <w14:textFill>
                        <w14:solidFill>
                          <w14:schemeClr w14:val="tx1"/>
                        </w14:solidFill>
                      </w14:textFill>
                    </w:rPr>
                  </w:pPr>
                  <w:r>
                    <w:rPr>
                      <w:rFonts w:hint="default"/>
                      <w:color w:val="000000" w:themeColor="text1"/>
                      <w:sz w:val="21"/>
                      <w:szCs w:val="22"/>
                      <w14:textFill>
                        <w14:solidFill>
                          <w14:schemeClr w14:val="tx1"/>
                        </w14:solidFill>
                      </w14:textFill>
                    </w:rPr>
                    <w:t>干工序</w:t>
                  </w:r>
                </w:p>
              </w:tc>
              <w:tc>
                <w:tcPr>
                  <w:tcW w:w="683" w:type="pct"/>
                  <w:vMerge w:val="restart"/>
                  <w:vAlign w:val="center"/>
                </w:tcPr>
                <w:p>
                  <w:pPr>
                    <w:pStyle w:val="104"/>
                    <w:spacing w:line="240" w:lineRule="auto"/>
                    <w:jc w:val="center"/>
                    <w:rPr>
                      <w:rFonts w:hint="default"/>
                      <w:color w:val="000000" w:themeColor="text1"/>
                      <w:sz w:val="21"/>
                      <w:szCs w:val="22"/>
                      <w:lang w:val="en-US" w:eastAsia="zh-CN"/>
                      <w14:textFill>
                        <w14:solidFill>
                          <w14:schemeClr w14:val="tx1"/>
                        </w14:solidFill>
                      </w14:textFill>
                    </w:rPr>
                  </w:pPr>
                  <w:r>
                    <w:rPr>
                      <w:rFonts w:hint="eastAsia"/>
                      <w:color w:val="000000" w:themeColor="text1"/>
                      <w:sz w:val="21"/>
                      <w:szCs w:val="22"/>
                      <w:lang w:val="en-US" w:eastAsia="zh-CN"/>
                      <w14:textFill>
                        <w14:solidFill>
                          <w14:schemeClr w14:val="tx1"/>
                        </w14:solidFill>
                      </w14:textFill>
                    </w:rPr>
                    <w:t>15m</w:t>
                  </w:r>
                </w:p>
              </w:tc>
              <w:tc>
                <w:tcPr>
                  <w:tcW w:w="565" w:type="pct"/>
                  <w:vAlign w:val="center"/>
                </w:tcPr>
                <w:p>
                  <w:pPr>
                    <w:pStyle w:val="104"/>
                    <w:spacing w:line="240" w:lineRule="auto"/>
                    <w:jc w:val="center"/>
                    <w:rPr>
                      <w:rFonts w:hint="eastAsia"/>
                      <w:color w:val="000000" w:themeColor="text1"/>
                      <w:sz w:val="21"/>
                      <w:szCs w:val="22"/>
                      <w:lang w:eastAsia="zh-CN"/>
                      <w14:textFill>
                        <w14:solidFill>
                          <w14:schemeClr w14:val="tx1"/>
                        </w14:solidFill>
                      </w14:textFill>
                    </w:rPr>
                  </w:pPr>
                  <w:r>
                    <w:rPr>
                      <w:rFonts w:hint="eastAsia"/>
                      <w:color w:val="000000" w:themeColor="text1"/>
                      <w:sz w:val="21"/>
                      <w:szCs w:val="22"/>
                      <w:lang w:val="en-US" w:eastAsia="zh-CN"/>
                      <w14:textFill>
                        <w14:solidFill>
                          <w14:schemeClr w14:val="tx1"/>
                        </w14:solidFill>
                      </w14:textFill>
                    </w:rPr>
                    <w:t>TSP</w:t>
                  </w:r>
                </w:p>
              </w:tc>
              <w:tc>
                <w:tcPr>
                  <w:tcW w:w="651" w:type="pct"/>
                  <w:vAlign w:val="center"/>
                </w:tcPr>
                <w:p>
                  <w:pPr>
                    <w:pStyle w:val="104"/>
                    <w:spacing w:line="240" w:lineRule="auto"/>
                    <w:jc w:val="center"/>
                    <w:rPr>
                      <w:rFonts w:hint="default"/>
                      <w:color w:val="000000" w:themeColor="text1"/>
                      <w:sz w:val="21"/>
                      <w:szCs w:val="22"/>
                      <w:lang w:val="en-US" w:eastAsia="zh-CN"/>
                      <w14:textFill>
                        <w14:solidFill>
                          <w14:schemeClr w14:val="tx1"/>
                        </w14:solidFill>
                      </w14:textFill>
                    </w:rPr>
                  </w:pPr>
                  <w:r>
                    <w:rPr>
                      <w:rFonts w:hint="eastAsia"/>
                      <w:color w:val="000000" w:themeColor="text1"/>
                      <w:sz w:val="21"/>
                      <w:szCs w:val="22"/>
                      <w:lang w:val="en-US" w:eastAsia="zh-CN"/>
                      <w14:textFill>
                        <w14:solidFill>
                          <w14:schemeClr w14:val="tx1"/>
                        </w14:solidFill>
                      </w14:textFill>
                    </w:rPr>
                    <w:t>6.819</w:t>
                  </w:r>
                </w:p>
              </w:tc>
              <w:tc>
                <w:tcPr>
                  <w:tcW w:w="688" w:type="pct"/>
                  <w:vAlign w:val="center"/>
                </w:tcPr>
                <w:p>
                  <w:pPr>
                    <w:pStyle w:val="104"/>
                    <w:spacing w:line="240" w:lineRule="auto"/>
                    <w:jc w:val="center"/>
                    <w:rPr>
                      <w:rFonts w:hint="default"/>
                      <w:color w:val="000000" w:themeColor="text1"/>
                      <w:sz w:val="21"/>
                      <w:szCs w:val="22"/>
                      <w:lang w:val="en-US" w:eastAsia="zh-CN"/>
                      <w14:textFill>
                        <w14:solidFill>
                          <w14:schemeClr w14:val="tx1"/>
                        </w14:solidFill>
                      </w14:textFill>
                    </w:rPr>
                  </w:pPr>
                  <w:r>
                    <w:rPr>
                      <w:rFonts w:hint="eastAsia"/>
                      <w:color w:val="000000" w:themeColor="text1"/>
                      <w:sz w:val="21"/>
                      <w:szCs w:val="22"/>
                      <w:lang w:val="en-US" w:eastAsia="zh-CN"/>
                      <w14:textFill>
                        <w14:solidFill>
                          <w14:schemeClr w14:val="tx1"/>
                        </w14:solidFill>
                      </w14:textFill>
                    </w:rPr>
                    <w:t>0.041</w:t>
                  </w:r>
                </w:p>
              </w:tc>
              <w:tc>
                <w:tcPr>
                  <w:tcW w:w="664" w:type="pct"/>
                  <w:vAlign w:val="center"/>
                </w:tcPr>
                <w:p>
                  <w:pPr>
                    <w:pStyle w:val="104"/>
                    <w:spacing w:line="240" w:lineRule="auto"/>
                    <w:jc w:val="center"/>
                    <w:rPr>
                      <w:rFonts w:hint="default"/>
                      <w:color w:val="000000" w:themeColor="text1"/>
                      <w:sz w:val="21"/>
                      <w:szCs w:val="22"/>
                      <w:lang w:val="en-US" w:eastAsia="zh-CN"/>
                      <w14:textFill>
                        <w14:solidFill>
                          <w14:schemeClr w14:val="tx1"/>
                        </w14:solidFill>
                      </w14:textFill>
                    </w:rPr>
                  </w:pPr>
                  <w:r>
                    <w:rPr>
                      <w:rFonts w:hint="eastAsia"/>
                      <w:color w:val="000000" w:themeColor="text1"/>
                      <w:sz w:val="21"/>
                      <w:szCs w:val="22"/>
                      <w:lang w:val="en-US" w:eastAsia="zh-CN"/>
                      <w14:textFill>
                        <w14:solidFill>
                          <w14:schemeClr w14:val="tx1"/>
                        </w14:solidFill>
                      </w14:textFill>
                    </w:rPr>
                    <w:t>120</w:t>
                  </w:r>
                </w:p>
              </w:tc>
              <w:tc>
                <w:tcPr>
                  <w:tcW w:w="564" w:type="pct"/>
                  <w:vAlign w:val="center"/>
                </w:tcPr>
                <w:p>
                  <w:pPr>
                    <w:pStyle w:val="104"/>
                    <w:spacing w:line="240" w:lineRule="auto"/>
                    <w:jc w:val="center"/>
                    <w:rPr>
                      <w:rFonts w:hint="default"/>
                      <w:color w:val="000000" w:themeColor="text1"/>
                      <w:sz w:val="21"/>
                      <w:szCs w:val="22"/>
                      <w:lang w:val="en-US" w:eastAsia="zh-CN"/>
                      <w14:textFill>
                        <w14:solidFill>
                          <w14:schemeClr w14:val="tx1"/>
                        </w14:solidFill>
                      </w14:textFill>
                    </w:rPr>
                  </w:pPr>
                  <w:r>
                    <w:rPr>
                      <w:rFonts w:hint="eastAsia"/>
                      <w:color w:val="000000" w:themeColor="text1"/>
                      <w:sz w:val="21"/>
                      <w:szCs w:val="22"/>
                      <w:lang w:val="en-US" w:eastAsia="zh-CN"/>
                      <w14:textFill>
                        <w14:solidFill>
                          <w14:schemeClr w14:val="tx1"/>
                        </w14:solidFill>
                      </w14:textFill>
                    </w:rPr>
                    <w:t>3.5</w:t>
                  </w:r>
                </w:p>
              </w:tc>
              <w:tc>
                <w:tcPr>
                  <w:tcW w:w="645" w:type="pct"/>
                  <w:vAlign w:val="center"/>
                </w:tcPr>
                <w:p>
                  <w:pPr>
                    <w:pStyle w:val="104"/>
                    <w:spacing w:line="240" w:lineRule="auto"/>
                    <w:jc w:val="center"/>
                    <w:rPr>
                      <w:rFonts w:hint="default"/>
                      <w:color w:val="000000" w:themeColor="text1"/>
                      <w:sz w:val="21"/>
                      <w:szCs w:val="22"/>
                      <w14:textFill>
                        <w14:solidFill>
                          <w14:schemeClr w14:val="tx1"/>
                        </w14:solidFill>
                      </w14:textFill>
                    </w:rPr>
                  </w:pPr>
                  <w:r>
                    <w:rPr>
                      <w:rFonts w:hint="default"/>
                      <w:color w:val="000000" w:themeColor="text1"/>
                      <w:sz w:val="21"/>
                      <w:szCs w:val="22"/>
                      <w14:textFill>
                        <w14:solidFill>
                          <w14:schemeClr w14:val="tx1"/>
                        </w14:solidFill>
                      </w14:textFill>
                    </w:rPr>
                    <w:t>达标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537" w:type="pct"/>
                  <w:vMerge w:val="continue"/>
                  <w:tcBorders>
                    <w:top w:val="nil"/>
                  </w:tcBorders>
                  <w:vAlign w:val="center"/>
                </w:tcPr>
                <w:p>
                  <w:pPr>
                    <w:pStyle w:val="104"/>
                    <w:spacing w:line="240" w:lineRule="auto"/>
                    <w:jc w:val="center"/>
                    <w:rPr>
                      <w:rFonts w:hint="default"/>
                      <w:color w:val="000000" w:themeColor="text1"/>
                      <w:sz w:val="21"/>
                      <w:szCs w:val="22"/>
                      <w14:textFill>
                        <w14:solidFill>
                          <w14:schemeClr w14:val="tx1"/>
                        </w14:solidFill>
                      </w14:textFill>
                    </w:rPr>
                  </w:pPr>
                </w:p>
              </w:tc>
              <w:tc>
                <w:tcPr>
                  <w:tcW w:w="683" w:type="pct"/>
                  <w:vMerge w:val="continue"/>
                  <w:tcBorders>
                    <w:top w:val="nil"/>
                  </w:tcBorders>
                  <w:vAlign w:val="center"/>
                </w:tcPr>
                <w:p>
                  <w:pPr>
                    <w:pStyle w:val="104"/>
                    <w:spacing w:line="240" w:lineRule="auto"/>
                    <w:jc w:val="center"/>
                    <w:rPr>
                      <w:rFonts w:hint="default"/>
                      <w:color w:val="000000" w:themeColor="text1"/>
                      <w:sz w:val="21"/>
                      <w:szCs w:val="22"/>
                      <w14:textFill>
                        <w14:solidFill>
                          <w14:schemeClr w14:val="tx1"/>
                        </w14:solidFill>
                      </w14:textFill>
                    </w:rPr>
                  </w:pPr>
                </w:p>
              </w:tc>
              <w:tc>
                <w:tcPr>
                  <w:tcW w:w="565" w:type="pct"/>
                  <w:vAlign w:val="center"/>
                </w:tcPr>
                <w:p>
                  <w:pPr>
                    <w:pStyle w:val="104"/>
                    <w:spacing w:line="240" w:lineRule="auto"/>
                    <w:jc w:val="center"/>
                    <w:rPr>
                      <w:rFonts w:hint="default"/>
                      <w:color w:val="000000" w:themeColor="text1"/>
                      <w:sz w:val="21"/>
                      <w:szCs w:val="22"/>
                      <w:lang w:val="en-US" w:eastAsia="zh-CN"/>
                      <w14:textFill>
                        <w14:solidFill>
                          <w14:schemeClr w14:val="tx1"/>
                        </w14:solidFill>
                      </w14:textFill>
                    </w:rPr>
                  </w:pPr>
                  <w:r>
                    <w:rPr>
                      <w:rFonts w:hint="eastAsia"/>
                      <w:color w:val="000000" w:themeColor="text1"/>
                      <w:sz w:val="21"/>
                      <w:szCs w:val="22"/>
                      <w:lang w:val="en-US" w:eastAsia="zh-CN"/>
                      <w14:textFill>
                        <w14:solidFill>
                          <w14:schemeClr w14:val="tx1"/>
                        </w14:solidFill>
                      </w14:textFill>
                    </w:rPr>
                    <w:t>VOCs</w:t>
                  </w:r>
                </w:p>
              </w:tc>
              <w:tc>
                <w:tcPr>
                  <w:tcW w:w="651" w:type="pct"/>
                  <w:vAlign w:val="center"/>
                </w:tcPr>
                <w:p>
                  <w:pPr>
                    <w:pStyle w:val="104"/>
                    <w:spacing w:line="240" w:lineRule="auto"/>
                    <w:jc w:val="center"/>
                    <w:rPr>
                      <w:rFonts w:hint="default"/>
                      <w:color w:val="000000" w:themeColor="text1"/>
                      <w:sz w:val="21"/>
                      <w:szCs w:val="22"/>
                      <w:lang w:val="en-US" w:eastAsia="zh-CN"/>
                      <w14:textFill>
                        <w14:solidFill>
                          <w14:schemeClr w14:val="tx1"/>
                        </w14:solidFill>
                      </w14:textFill>
                    </w:rPr>
                  </w:pPr>
                  <w:r>
                    <w:rPr>
                      <w:rFonts w:hint="eastAsia"/>
                      <w:color w:val="000000" w:themeColor="text1"/>
                      <w:sz w:val="21"/>
                      <w:szCs w:val="22"/>
                      <w:lang w:val="en-US" w:eastAsia="zh-CN"/>
                      <w14:textFill>
                        <w14:solidFill>
                          <w14:schemeClr w14:val="tx1"/>
                        </w14:solidFill>
                      </w14:textFill>
                    </w:rPr>
                    <w:t>16.04</w:t>
                  </w:r>
                </w:p>
              </w:tc>
              <w:tc>
                <w:tcPr>
                  <w:tcW w:w="688" w:type="pct"/>
                  <w:vAlign w:val="center"/>
                </w:tcPr>
                <w:p>
                  <w:pPr>
                    <w:pStyle w:val="104"/>
                    <w:spacing w:line="240" w:lineRule="auto"/>
                    <w:jc w:val="center"/>
                    <w:rPr>
                      <w:rFonts w:hint="default"/>
                      <w:color w:val="000000" w:themeColor="text1"/>
                      <w:sz w:val="21"/>
                      <w:szCs w:val="22"/>
                      <w:lang w:val="en-US" w:eastAsia="zh-CN"/>
                      <w14:textFill>
                        <w14:solidFill>
                          <w14:schemeClr w14:val="tx1"/>
                        </w14:solidFill>
                      </w14:textFill>
                    </w:rPr>
                  </w:pPr>
                  <w:r>
                    <w:rPr>
                      <w:rFonts w:hint="eastAsia"/>
                      <w:color w:val="000000" w:themeColor="text1"/>
                      <w:sz w:val="21"/>
                      <w:szCs w:val="22"/>
                      <w:lang w:val="en-US" w:eastAsia="zh-CN"/>
                      <w14:textFill>
                        <w14:solidFill>
                          <w14:schemeClr w14:val="tx1"/>
                        </w14:solidFill>
                      </w14:textFill>
                    </w:rPr>
                    <w:t>0.0963</w:t>
                  </w:r>
                </w:p>
              </w:tc>
              <w:tc>
                <w:tcPr>
                  <w:tcW w:w="664" w:type="pct"/>
                  <w:vAlign w:val="center"/>
                </w:tcPr>
                <w:p>
                  <w:pPr>
                    <w:pStyle w:val="104"/>
                    <w:spacing w:line="240" w:lineRule="auto"/>
                    <w:jc w:val="center"/>
                    <w:rPr>
                      <w:rFonts w:hint="default"/>
                      <w:color w:val="000000" w:themeColor="text1"/>
                      <w:sz w:val="21"/>
                      <w:szCs w:val="22"/>
                      <w:lang w:val="en-US" w:eastAsia="zh-CN"/>
                      <w14:textFill>
                        <w14:solidFill>
                          <w14:schemeClr w14:val="tx1"/>
                        </w14:solidFill>
                      </w14:textFill>
                    </w:rPr>
                  </w:pPr>
                  <w:r>
                    <w:rPr>
                      <w:rFonts w:hint="eastAsia"/>
                      <w:color w:val="000000" w:themeColor="text1"/>
                      <w:sz w:val="21"/>
                      <w:szCs w:val="22"/>
                      <w:lang w:val="en-US" w:eastAsia="zh-CN"/>
                      <w14:textFill>
                        <w14:solidFill>
                          <w14:schemeClr w14:val="tx1"/>
                        </w14:solidFill>
                      </w14:textFill>
                    </w:rPr>
                    <w:t>120</w:t>
                  </w:r>
                </w:p>
              </w:tc>
              <w:tc>
                <w:tcPr>
                  <w:tcW w:w="564" w:type="pct"/>
                  <w:vAlign w:val="center"/>
                </w:tcPr>
                <w:p>
                  <w:pPr>
                    <w:pStyle w:val="104"/>
                    <w:spacing w:line="240" w:lineRule="auto"/>
                    <w:jc w:val="center"/>
                    <w:rPr>
                      <w:rFonts w:hint="default"/>
                      <w:color w:val="000000" w:themeColor="text1"/>
                      <w:sz w:val="21"/>
                      <w:szCs w:val="22"/>
                      <w:lang w:val="en-US" w:eastAsia="zh-CN"/>
                      <w14:textFill>
                        <w14:solidFill>
                          <w14:schemeClr w14:val="tx1"/>
                        </w14:solidFill>
                      </w14:textFill>
                    </w:rPr>
                  </w:pPr>
                  <w:r>
                    <w:rPr>
                      <w:rFonts w:hint="eastAsia"/>
                      <w:color w:val="000000" w:themeColor="text1"/>
                      <w:sz w:val="21"/>
                      <w:szCs w:val="22"/>
                      <w:lang w:val="en-US" w:eastAsia="zh-CN"/>
                      <w14:textFill>
                        <w14:solidFill>
                          <w14:schemeClr w14:val="tx1"/>
                        </w14:solidFill>
                      </w14:textFill>
                    </w:rPr>
                    <w:t>10</w:t>
                  </w:r>
                </w:p>
              </w:tc>
              <w:tc>
                <w:tcPr>
                  <w:tcW w:w="645" w:type="pct"/>
                  <w:vAlign w:val="center"/>
                </w:tcPr>
                <w:p>
                  <w:pPr>
                    <w:pStyle w:val="104"/>
                    <w:spacing w:line="240" w:lineRule="auto"/>
                    <w:jc w:val="center"/>
                    <w:rPr>
                      <w:rFonts w:hint="default"/>
                      <w:color w:val="000000" w:themeColor="text1"/>
                      <w:sz w:val="21"/>
                      <w:szCs w:val="22"/>
                      <w14:textFill>
                        <w14:solidFill>
                          <w14:schemeClr w14:val="tx1"/>
                        </w14:solidFill>
                      </w14:textFill>
                    </w:rPr>
                  </w:pPr>
                  <w:r>
                    <w:rPr>
                      <w:rFonts w:hint="default"/>
                      <w:color w:val="000000" w:themeColor="text1"/>
                      <w:sz w:val="21"/>
                      <w:szCs w:val="22"/>
                      <w14:textFill>
                        <w14:solidFill>
                          <w14:schemeClr w14:val="tx1"/>
                        </w14:solidFill>
                      </w14:textFill>
                    </w:rPr>
                    <w:t>达标</w:t>
                  </w:r>
                </w:p>
              </w:tc>
            </w:tr>
          </w:tbl>
          <w:p>
            <w:pPr>
              <w:pStyle w:val="51"/>
              <w:keepNext w:val="0"/>
              <w:keepLines w:val="0"/>
              <w:pageBreakBefore w:val="0"/>
              <w:widowControl w:val="0"/>
              <w:kinsoku/>
              <w:wordWrap/>
              <w:overflowPunct/>
              <w:topLinePunct w:val="0"/>
              <w:autoSpaceDE/>
              <w:autoSpaceDN/>
              <w:bidi w:val="0"/>
              <w:adjustRightInd/>
              <w:spacing w:line="360" w:lineRule="auto"/>
              <w:textAlignment w:val="auto"/>
              <w:rPr>
                <w:rFonts w:hint="eastAsia"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kern w:val="0"/>
                <w:sz w:val="24"/>
                <w:szCs w:val="22"/>
                <w:lang w:val="zh-CN" w:eastAsia="zh-CN" w:bidi="ar-SA"/>
                <w14:textFill>
                  <w14:solidFill>
                    <w14:schemeClr w14:val="tx1"/>
                  </w14:solidFill>
                </w14:textFill>
              </w:rPr>
              <w:t>由上表可知，项目喷漆、晾干、烤漆工序产生的</w:t>
            </w:r>
            <w:r>
              <w:rPr>
                <w:rFonts w:hint="eastAsia" w:cs="Times New Roman"/>
                <w:color w:val="000000" w:themeColor="text1"/>
                <w:spacing w:val="0"/>
                <w:kern w:val="0"/>
                <w:sz w:val="24"/>
                <w:szCs w:val="22"/>
                <w:lang w:val="en-US" w:eastAsia="zh-CN" w:bidi="ar-SA"/>
                <w14:textFill>
                  <w14:solidFill>
                    <w14:schemeClr w14:val="tx1"/>
                  </w14:solidFill>
                </w14:textFill>
              </w:rPr>
              <w:t>VOCs</w:t>
            </w:r>
            <w:r>
              <w:rPr>
                <w:rFonts w:hint="eastAsia" w:ascii="Times New Roman" w:hAnsi="Times New Roman" w:eastAsia="宋体" w:cs="Times New Roman"/>
                <w:color w:val="000000" w:themeColor="text1"/>
                <w:spacing w:val="0"/>
                <w:kern w:val="0"/>
                <w:sz w:val="24"/>
                <w:szCs w:val="22"/>
                <w:lang w:val="zh-CN" w:eastAsia="zh-CN" w:bidi="ar-SA"/>
                <w14:textFill>
                  <w14:solidFill>
                    <w14:schemeClr w14:val="tx1"/>
                  </w14:solidFill>
                </w14:textFill>
              </w:rPr>
              <w:t>、</w:t>
            </w:r>
            <w:r>
              <w:rPr>
                <w:rFonts w:hint="eastAsia" w:cs="Times New Roman"/>
                <w:color w:val="000000" w:themeColor="text1"/>
                <w:spacing w:val="0"/>
                <w:kern w:val="0"/>
                <w:sz w:val="24"/>
                <w:szCs w:val="22"/>
                <w:lang w:val="en-US" w:eastAsia="zh-CN" w:bidi="ar-SA"/>
                <w14:textFill>
                  <w14:solidFill>
                    <w14:schemeClr w14:val="tx1"/>
                  </w14:solidFill>
                </w14:textFill>
              </w:rPr>
              <w:t>TSP</w:t>
            </w:r>
            <w:r>
              <w:rPr>
                <w:rFonts w:hint="eastAsia" w:ascii="Times New Roman" w:hAnsi="Times New Roman" w:eastAsia="宋体" w:cs="Times New Roman"/>
                <w:color w:val="000000" w:themeColor="text1"/>
                <w:spacing w:val="0"/>
                <w:kern w:val="0"/>
                <w:sz w:val="24"/>
                <w:szCs w:val="22"/>
                <w:lang w:val="zh-CN" w:eastAsia="zh-CN" w:bidi="ar-SA"/>
                <w14:textFill>
                  <w14:solidFill>
                    <w14:schemeClr w14:val="tx1"/>
                  </w14:solidFill>
                </w14:textFill>
              </w:rPr>
              <w:t>排放浓度、排放速率均能够满足</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《大气污染物综合排放标准》（GB16297-1996）表 2 二级标准</w:t>
            </w:r>
            <w:r>
              <w:rPr>
                <w:rFonts w:hint="eastAsia" w:cs="Times New Roman"/>
                <w:color w:val="000000" w:themeColor="text1"/>
                <w:kern w:val="2"/>
                <w:sz w:val="24"/>
                <w:szCs w:val="24"/>
                <w:lang w:val="en-US" w:eastAsia="zh-CN" w:bidi="ar-SA"/>
                <w14:textFill>
                  <w14:solidFill>
                    <w14:schemeClr w14:val="tx1"/>
                  </w14:solidFill>
                </w14:textFill>
              </w:rPr>
              <w:t>。因此，项目有组织废气对周边大气环境和环境敏感点影响较小。</w:t>
            </w:r>
          </w:p>
          <w:p>
            <w:pPr>
              <w:pStyle w:val="105"/>
              <w:keepNext w:val="0"/>
              <w:keepLines w:val="0"/>
              <w:pageBreakBefore w:val="0"/>
              <w:widowControl w:val="0"/>
              <w:numPr>
                <w:ilvl w:val="0"/>
                <w:numId w:val="0"/>
              </w:numPr>
              <w:tabs>
                <w:tab w:val="left" w:pos="1068"/>
              </w:tabs>
              <w:kinsoku/>
              <w:wordWrap/>
              <w:overflowPunct/>
              <w:topLinePunct w:val="0"/>
              <w:autoSpaceDE/>
              <w:autoSpaceDN/>
              <w:bidi w:val="0"/>
              <w:adjustRightInd/>
              <w:spacing w:before="0" w:beforeLines="0" w:afterLines="0" w:line="360" w:lineRule="auto"/>
              <w:ind w:left="705" w:leftChars="0" w:right="0" w:rightChars="0"/>
              <w:jc w:val="left"/>
              <w:textAlignment w:val="auto"/>
              <w:rPr>
                <w:color w:val="000000" w:themeColor="text1"/>
                <w:sz w:val="24"/>
                <w14:textFill>
                  <w14:solidFill>
                    <w14:schemeClr w14:val="tx1"/>
                  </w14:solidFill>
                </w14:textFill>
              </w:rPr>
            </w:pPr>
            <w:r>
              <w:rPr>
                <w:color w:val="000000" w:themeColor="text1"/>
                <w:sz w:val="24"/>
                <w14:textFill>
                  <w14:solidFill>
                    <w14:schemeClr w14:val="tx1"/>
                  </w14:solidFill>
                </w14:textFill>
              </w:rPr>
              <w:fldChar w:fldCharType="begin"/>
            </w:r>
            <w:r>
              <w:rPr>
                <w:rFonts w:hint="eastAsia"/>
                <w:color w:val="000000" w:themeColor="text1"/>
                <w:sz w:val="24"/>
                <w14:textFill>
                  <w14:solidFill>
                    <w14:schemeClr w14:val="tx1"/>
                  </w14:solidFill>
                </w14:textFill>
              </w:rPr>
              <w:instrText xml:space="preserve">= 2 \* GB3</w:instrText>
            </w:r>
            <w:r>
              <w:rPr>
                <w:color w:val="000000" w:themeColor="text1"/>
                <w:sz w:val="24"/>
                <w14:textFill>
                  <w14:solidFill>
                    <w14:schemeClr w14:val="tx1"/>
                  </w14:solidFill>
                </w14:textFill>
              </w:rPr>
              <w:fldChar w:fldCharType="separate"/>
            </w:r>
            <w:r>
              <w:rPr>
                <w:rFonts w:hint="eastAsia"/>
                <w:color w:val="000000" w:themeColor="text1"/>
                <w:sz w:val="24"/>
                <w14:textFill>
                  <w14:solidFill>
                    <w14:schemeClr w14:val="tx1"/>
                  </w14:solidFill>
                </w14:textFill>
              </w:rPr>
              <w:t>②</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t>无组织</w:t>
            </w:r>
          </w:p>
          <w:p>
            <w:pPr>
              <w:pStyle w:val="51"/>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imes New Roman" w:hAnsi="Times New Roman" w:eastAsia="宋体" w:cs="Times New Roman"/>
                <w:color w:val="000000" w:themeColor="text1"/>
                <w:spacing w:val="0"/>
                <w:kern w:val="0"/>
                <w:sz w:val="24"/>
                <w:szCs w:val="22"/>
                <w:lang w:val="zh-CN" w:eastAsia="zh-CN" w:bidi="ar-SA"/>
                <w14:textFill>
                  <w14:solidFill>
                    <w14:schemeClr w14:val="tx1"/>
                  </w14:solidFill>
                </w14:textFill>
              </w:rPr>
            </w:pPr>
            <w:r>
              <w:rPr>
                <w:rFonts w:hint="eastAsia" w:ascii="Times New Roman" w:hAnsi="Times New Roman" w:eastAsia="宋体" w:cs="Times New Roman"/>
                <w:color w:val="000000" w:themeColor="text1"/>
                <w:spacing w:val="0"/>
                <w:kern w:val="0"/>
                <w:sz w:val="24"/>
                <w:szCs w:val="22"/>
                <w:lang w:val="zh-CN" w:eastAsia="zh-CN" w:bidi="ar-SA"/>
                <w14:textFill>
                  <w14:solidFill>
                    <w14:schemeClr w14:val="tx1"/>
                  </w14:solidFill>
                </w14:textFill>
              </w:rPr>
              <w:t>废气无组织排放达标性分析见下表。</w:t>
            </w:r>
          </w:p>
          <w:p>
            <w:pPr>
              <w:pStyle w:val="7"/>
              <w:tabs>
                <w:tab w:val="left" w:pos="763"/>
              </w:tabs>
              <w:spacing w:before="81" w:after="3" w:line="240" w:lineRule="auto"/>
              <w:ind w:left="0" w:right="153"/>
              <w:jc w:val="center"/>
              <w:rPr>
                <w:color w:val="000000" w:themeColor="text1"/>
                <w:sz w:val="21"/>
                <w:szCs w:val="21"/>
                <w14:textFill>
                  <w14:solidFill>
                    <w14:schemeClr w14:val="tx1"/>
                  </w14:solidFill>
                </w14:textFill>
              </w:rPr>
            </w:pPr>
            <w:bookmarkStart w:id="104" w:name="_Toc1439"/>
            <w:bookmarkStart w:id="105" w:name="_Toc2660"/>
            <w:r>
              <w:rPr>
                <w:color w:val="000000" w:themeColor="text1"/>
                <w:sz w:val="21"/>
                <w:szCs w:val="21"/>
                <w14:textFill>
                  <w14:solidFill>
                    <w14:schemeClr w14:val="tx1"/>
                  </w14:solidFill>
                </w14:textFill>
              </w:rPr>
              <w:t>表</w:t>
            </w:r>
            <w:r>
              <w:rPr>
                <w:color w:val="000000" w:themeColor="text1"/>
                <w:spacing w:val="-67"/>
                <w:sz w:val="21"/>
                <w:szCs w:val="21"/>
                <w14:textFill>
                  <w14:solidFill>
                    <w14:schemeClr w14:val="tx1"/>
                  </w14:solidFill>
                </w14:textFill>
              </w:rPr>
              <w:t xml:space="preserve"> </w:t>
            </w:r>
            <w:r>
              <w:rPr>
                <w:rFonts w:hint="eastAsia" w:ascii="Times New Roman" w:eastAsia="宋体"/>
                <w:color w:val="000000" w:themeColor="text1"/>
                <w:sz w:val="21"/>
                <w:szCs w:val="21"/>
                <w:lang w:val="en-US" w:eastAsia="zh-CN"/>
                <w14:textFill>
                  <w14:solidFill>
                    <w14:schemeClr w14:val="tx1"/>
                  </w14:solidFill>
                </w14:textFill>
              </w:rPr>
              <w:t>7-10</w:t>
            </w:r>
            <w:r>
              <w:rPr>
                <w:rFonts w:ascii="Times New Roman" w:eastAsia="Times New Roman"/>
                <w:color w:val="000000" w:themeColor="text1"/>
                <w:sz w:val="21"/>
                <w:szCs w:val="21"/>
                <w14:textFill>
                  <w14:solidFill>
                    <w14:schemeClr w14:val="tx1"/>
                  </w14:solidFill>
                </w14:textFill>
              </w:rPr>
              <w:tab/>
            </w:r>
            <w:r>
              <w:rPr>
                <w:color w:val="000000" w:themeColor="text1"/>
                <w:spacing w:val="-3"/>
                <w:sz w:val="21"/>
                <w:szCs w:val="21"/>
                <w14:textFill>
                  <w14:solidFill>
                    <w14:schemeClr w14:val="tx1"/>
                  </w14:solidFill>
                </w14:textFill>
              </w:rPr>
              <w:t>废</w:t>
            </w:r>
            <w:r>
              <w:rPr>
                <w:color w:val="000000" w:themeColor="text1"/>
                <w:spacing w:val="-5"/>
                <w:sz w:val="21"/>
                <w:szCs w:val="21"/>
                <w14:textFill>
                  <w14:solidFill>
                    <w14:schemeClr w14:val="tx1"/>
                  </w14:solidFill>
                </w14:textFill>
              </w:rPr>
              <w:t>气</w:t>
            </w:r>
            <w:r>
              <w:rPr>
                <w:color w:val="000000" w:themeColor="text1"/>
                <w:spacing w:val="-3"/>
                <w:sz w:val="21"/>
                <w:szCs w:val="21"/>
                <w14:textFill>
                  <w14:solidFill>
                    <w14:schemeClr w14:val="tx1"/>
                  </w14:solidFill>
                </w14:textFill>
              </w:rPr>
              <w:t>无组织</w:t>
            </w:r>
            <w:r>
              <w:rPr>
                <w:color w:val="000000" w:themeColor="text1"/>
                <w:spacing w:val="-5"/>
                <w:sz w:val="21"/>
                <w:szCs w:val="21"/>
                <w14:textFill>
                  <w14:solidFill>
                    <w14:schemeClr w14:val="tx1"/>
                  </w14:solidFill>
                </w14:textFill>
              </w:rPr>
              <w:t>排</w:t>
            </w:r>
            <w:r>
              <w:rPr>
                <w:color w:val="000000" w:themeColor="text1"/>
                <w:spacing w:val="-3"/>
                <w:sz w:val="21"/>
                <w:szCs w:val="21"/>
                <w14:textFill>
                  <w14:solidFill>
                    <w14:schemeClr w14:val="tx1"/>
                  </w14:solidFill>
                </w14:textFill>
              </w:rPr>
              <w:t>放预测</w:t>
            </w:r>
            <w:r>
              <w:rPr>
                <w:color w:val="000000" w:themeColor="text1"/>
                <w:spacing w:val="-5"/>
                <w:sz w:val="21"/>
                <w:szCs w:val="21"/>
                <w14:textFill>
                  <w14:solidFill>
                    <w14:schemeClr w14:val="tx1"/>
                  </w14:solidFill>
                </w14:textFill>
              </w:rPr>
              <w:t>结</w:t>
            </w:r>
            <w:r>
              <w:rPr>
                <w:color w:val="000000" w:themeColor="text1"/>
                <w:spacing w:val="-3"/>
                <w:sz w:val="21"/>
                <w:szCs w:val="21"/>
                <w14:textFill>
                  <w14:solidFill>
                    <w14:schemeClr w14:val="tx1"/>
                  </w14:solidFill>
                </w14:textFill>
              </w:rPr>
              <w:t>果及</w:t>
            </w:r>
            <w:r>
              <w:rPr>
                <w:color w:val="000000" w:themeColor="text1"/>
                <w:spacing w:val="-5"/>
                <w:sz w:val="21"/>
                <w:szCs w:val="21"/>
                <w14:textFill>
                  <w14:solidFill>
                    <w14:schemeClr w14:val="tx1"/>
                  </w14:solidFill>
                </w14:textFill>
              </w:rPr>
              <w:t>达</w:t>
            </w:r>
            <w:r>
              <w:rPr>
                <w:color w:val="000000" w:themeColor="text1"/>
                <w:spacing w:val="-3"/>
                <w:sz w:val="21"/>
                <w:szCs w:val="21"/>
                <w14:textFill>
                  <w14:solidFill>
                    <w14:schemeClr w14:val="tx1"/>
                  </w14:solidFill>
                </w14:textFill>
              </w:rPr>
              <w:t>标性分</w:t>
            </w:r>
            <w:r>
              <w:rPr>
                <w:color w:val="000000" w:themeColor="text1"/>
                <w:sz w:val="21"/>
                <w:szCs w:val="21"/>
                <w14:textFill>
                  <w14:solidFill>
                    <w14:schemeClr w14:val="tx1"/>
                  </w14:solidFill>
                </w14:textFill>
              </w:rPr>
              <w:t>析</w:t>
            </w:r>
            <w:bookmarkEnd w:id="104"/>
            <w:bookmarkEnd w:id="105"/>
          </w:p>
          <w:tbl>
            <w:tblPr>
              <w:tblStyle w:val="37"/>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185"/>
              <w:gridCol w:w="845"/>
              <w:gridCol w:w="614"/>
              <w:gridCol w:w="699"/>
              <w:gridCol w:w="1284"/>
              <w:gridCol w:w="1435"/>
              <w:gridCol w:w="1221"/>
              <w:gridCol w:w="9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jc w:val="center"/>
              </w:trPr>
              <w:tc>
                <w:tcPr>
                  <w:tcW w:w="722" w:type="pct"/>
                  <w:vMerge w:val="restart"/>
                  <w:vAlign w:val="center"/>
                </w:tcPr>
                <w:p>
                  <w:pPr>
                    <w:pStyle w:val="104"/>
                    <w:spacing w:line="240" w:lineRule="auto"/>
                    <w:jc w:val="center"/>
                    <w:rPr>
                      <w:color w:val="000000" w:themeColor="text1"/>
                      <w:sz w:val="21"/>
                      <w:szCs w:val="22"/>
                      <w14:textFill>
                        <w14:solidFill>
                          <w14:schemeClr w14:val="tx1"/>
                        </w14:solidFill>
                      </w14:textFill>
                    </w:rPr>
                  </w:pPr>
                  <w:r>
                    <w:rPr>
                      <w:color w:val="000000" w:themeColor="text1"/>
                      <w:sz w:val="21"/>
                      <w:szCs w:val="22"/>
                      <w14:textFill>
                        <w14:solidFill>
                          <w14:schemeClr w14:val="tx1"/>
                        </w14:solidFill>
                      </w14:textFill>
                    </w:rPr>
                    <w:t>产污车间</w:t>
                  </w:r>
                </w:p>
              </w:tc>
              <w:tc>
                <w:tcPr>
                  <w:tcW w:w="1315" w:type="pct"/>
                  <w:gridSpan w:val="3"/>
                  <w:vAlign w:val="center"/>
                </w:tcPr>
                <w:p>
                  <w:pPr>
                    <w:pStyle w:val="104"/>
                    <w:spacing w:line="240" w:lineRule="auto"/>
                    <w:jc w:val="center"/>
                    <w:rPr>
                      <w:color w:val="000000" w:themeColor="text1"/>
                      <w:sz w:val="21"/>
                      <w:szCs w:val="22"/>
                      <w14:textFill>
                        <w14:solidFill>
                          <w14:schemeClr w14:val="tx1"/>
                        </w14:solidFill>
                      </w14:textFill>
                    </w:rPr>
                  </w:pPr>
                  <w:r>
                    <w:rPr>
                      <w:color w:val="000000" w:themeColor="text1"/>
                      <w:sz w:val="21"/>
                      <w:szCs w:val="22"/>
                      <w14:textFill>
                        <w14:solidFill>
                          <w14:schemeClr w14:val="tx1"/>
                        </w14:solidFill>
                      </w14:textFill>
                    </w:rPr>
                    <w:t>面源参数（m）</w:t>
                  </w:r>
                </w:p>
              </w:tc>
              <w:tc>
                <w:tcPr>
                  <w:tcW w:w="782" w:type="pct"/>
                  <w:vMerge w:val="restart"/>
                  <w:vAlign w:val="center"/>
                </w:tcPr>
                <w:p>
                  <w:pPr>
                    <w:pStyle w:val="104"/>
                    <w:spacing w:line="240" w:lineRule="auto"/>
                    <w:jc w:val="center"/>
                    <w:rPr>
                      <w:color w:val="000000" w:themeColor="text1"/>
                      <w:sz w:val="21"/>
                      <w:szCs w:val="22"/>
                      <w14:textFill>
                        <w14:solidFill>
                          <w14:schemeClr w14:val="tx1"/>
                        </w14:solidFill>
                      </w14:textFill>
                    </w:rPr>
                  </w:pPr>
                </w:p>
                <w:p>
                  <w:pPr>
                    <w:pStyle w:val="104"/>
                    <w:spacing w:line="240" w:lineRule="auto"/>
                    <w:jc w:val="center"/>
                    <w:rPr>
                      <w:color w:val="000000" w:themeColor="text1"/>
                      <w:sz w:val="21"/>
                      <w:szCs w:val="22"/>
                      <w14:textFill>
                        <w14:solidFill>
                          <w14:schemeClr w14:val="tx1"/>
                        </w14:solidFill>
                      </w14:textFill>
                    </w:rPr>
                  </w:pPr>
                  <w:r>
                    <w:rPr>
                      <w:color w:val="000000" w:themeColor="text1"/>
                      <w:sz w:val="21"/>
                      <w:szCs w:val="22"/>
                      <w14:textFill>
                        <w14:solidFill>
                          <w14:schemeClr w14:val="tx1"/>
                        </w14:solidFill>
                      </w14:textFill>
                    </w:rPr>
                    <w:t>污染物</w:t>
                  </w:r>
                </w:p>
              </w:tc>
              <w:tc>
                <w:tcPr>
                  <w:tcW w:w="874" w:type="pct"/>
                  <w:vMerge w:val="restart"/>
                  <w:vAlign w:val="center"/>
                </w:tcPr>
                <w:p>
                  <w:pPr>
                    <w:pStyle w:val="104"/>
                    <w:spacing w:line="240" w:lineRule="auto"/>
                    <w:jc w:val="center"/>
                    <w:rPr>
                      <w:color w:val="000000" w:themeColor="text1"/>
                      <w:sz w:val="21"/>
                      <w:szCs w:val="22"/>
                      <w14:textFill>
                        <w14:solidFill>
                          <w14:schemeClr w14:val="tx1"/>
                        </w14:solidFill>
                      </w14:textFill>
                    </w:rPr>
                  </w:pPr>
                  <w:r>
                    <w:rPr>
                      <w:color w:val="000000" w:themeColor="text1"/>
                      <w:sz w:val="21"/>
                      <w:szCs w:val="22"/>
                      <w14:textFill>
                        <w14:solidFill>
                          <w14:schemeClr w14:val="tx1"/>
                        </w14:solidFill>
                      </w14:textFill>
                    </w:rPr>
                    <w:t>最大预测值</w:t>
                  </w:r>
                </w:p>
                <w:p>
                  <w:pPr>
                    <w:pStyle w:val="104"/>
                    <w:spacing w:line="240" w:lineRule="auto"/>
                    <w:jc w:val="center"/>
                    <w:rPr>
                      <w:color w:val="000000" w:themeColor="text1"/>
                      <w:sz w:val="21"/>
                      <w:szCs w:val="22"/>
                      <w14:textFill>
                        <w14:solidFill>
                          <w14:schemeClr w14:val="tx1"/>
                        </w14:solidFill>
                      </w14:textFill>
                    </w:rPr>
                  </w:pPr>
                  <w:r>
                    <w:rPr>
                      <w:color w:val="000000" w:themeColor="text1"/>
                      <w:sz w:val="21"/>
                      <w:szCs w:val="22"/>
                      <w14:textFill>
                        <w14:solidFill>
                          <w14:schemeClr w14:val="tx1"/>
                        </w14:solidFill>
                      </w14:textFill>
                    </w:rPr>
                    <w:t>mg/m</w:t>
                  </w:r>
                  <w:r>
                    <w:rPr>
                      <w:color w:val="000000" w:themeColor="text1"/>
                      <w:sz w:val="21"/>
                      <w:szCs w:val="22"/>
                      <w:vertAlign w:val="superscript"/>
                      <w14:textFill>
                        <w14:solidFill>
                          <w14:schemeClr w14:val="tx1"/>
                        </w14:solidFill>
                      </w14:textFill>
                    </w:rPr>
                    <w:t>3</w:t>
                  </w:r>
                </w:p>
              </w:tc>
              <w:tc>
                <w:tcPr>
                  <w:tcW w:w="744" w:type="pct"/>
                  <w:vMerge w:val="restart"/>
                  <w:vAlign w:val="center"/>
                </w:tcPr>
                <w:p>
                  <w:pPr>
                    <w:pStyle w:val="104"/>
                    <w:spacing w:line="240" w:lineRule="auto"/>
                    <w:jc w:val="center"/>
                    <w:rPr>
                      <w:color w:val="000000" w:themeColor="text1"/>
                      <w:sz w:val="21"/>
                      <w:szCs w:val="22"/>
                      <w14:textFill>
                        <w14:solidFill>
                          <w14:schemeClr w14:val="tx1"/>
                        </w14:solidFill>
                      </w14:textFill>
                    </w:rPr>
                  </w:pPr>
                  <w:r>
                    <w:rPr>
                      <w:color w:val="000000" w:themeColor="text1"/>
                      <w:sz w:val="21"/>
                      <w:szCs w:val="22"/>
                      <w14:textFill>
                        <w14:solidFill>
                          <w14:schemeClr w14:val="tx1"/>
                        </w14:solidFill>
                      </w14:textFill>
                    </w:rPr>
                    <w:t>标准限值</w:t>
                  </w:r>
                </w:p>
                <w:p>
                  <w:pPr>
                    <w:pStyle w:val="104"/>
                    <w:spacing w:line="240" w:lineRule="auto"/>
                    <w:jc w:val="center"/>
                    <w:rPr>
                      <w:color w:val="000000" w:themeColor="text1"/>
                      <w:sz w:val="21"/>
                      <w:szCs w:val="22"/>
                      <w14:textFill>
                        <w14:solidFill>
                          <w14:schemeClr w14:val="tx1"/>
                        </w14:solidFill>
                      </w14:textFill>
                    </w:rPr>
                  </w:pPr>
                  <w:r>
                    <w:rPr>
                      <w:color w:val="000000" w:themeColor="text1"/>
                      <w:sz w:val="21"/>
                      <w:szCs w:val="22"/>
                      <w14:textFill>
                        <w14:solidFill>
                          <w14:schemeClr w14:val="tx1"/>
                        </w14:solidFill>
                      </w14:textFill>
                    </w:rPr>
                    <w:t>mg/m</w:t>
                  </w:r>
                  <w:r>
                    <w:rPr>
                      <w:color w:val="000000" w:themeColor="text1"/>
                      <w:sz w:val="21"/>
                      <w:szCs w:val="22"/>
                      <w:vertAlign w:val="superscript"/>
                      <w14:textFill>
                        <w14:solidFill>
                          <w14:schemeClr w14:val="tx1"/>
                        </w14:solidFill>
                      </w14:textFill>
                    </w:rPr>
                    <w:t>3</w:t>
                  </w:r>
                </w:p>
              </w:tc>
              <w:tc>
                <w:tcPr>
                  <w:tcW w:w="560" w:type="pct"/>
                  <w:vMerge w:val="restart"/>
                  <w:vAlign w:val="center"/>
                </w:tcPr>
                <w:p>
                  <w:pPr>
                    <w:pStyle w:val="104"/>
                    <w:spacing w:line="240" w:lineRule="auto"/>
                    <w:jc w:val="center"/>
                    <w:rPr>
                      <w:color w:val="000000" w:themeColor="text1"/>
                      <w:sz w:val="21"/>
                      <w:szCs w:val="22"/>
                      <w14:textFill>
                        <w14:solidFill>
                          <w14:schemeClr w14:val="tx1"/>
                        </w14:solidFill>
                      </w14:textFill>
                    </w:rPr>
                  </w:pPr>
                  <w:r>
                    <w:rPr>
                      <w:color w:val="000000" w:themeColor="text1"/>
                      <w:sz w:val="21"/>
                      <w:szCs w:val="22"/>
                      <w14:textFill>
                        <w14:solidFill>
                          <w14:schemeClr w14:val="tx1"/>
                        </w14:solidFill>
                      </w14:textFill>
                    </w:rPr>
                    <w:t>达标情况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jc w:val="center"/>
              </w:trPr>
              <w:tc>
                <w:tcPr>
                  <w:tcW w:w="722" w:type="pct"/>
                  <w:vMerge w:val="continue"/>
                  <w:tcBorders>
                    <w:top w:val="nil"/>
                  </w:tcBorders>
                  <w:vAlign w:val="center"/>
                </w:tcPr>
                <w:p>
                  <w:pPr>
                    <w:pStyle w:val="104"/>
                    <w:spacing w:line="240" w:lineRule="auto"/>
                    <w:jc w:val="center"/>
                    <w:rPr>
                      <w:color w:val="000000" w:themeColor="text1"/>
                      <w:sz w:val="21"/>
                      <w:szCs w:val="22"/>
                      <w14:textFill>
                        <w14:solidFill>
                          <w14:schemeClr w14:val="tx1"/>
                        </w14:solidFill>
                      </w14:textFill>
                    </w:rPr>
                  </w:pPr>
                </w:p>
              </w:tc>
              <w:tc>
                <w:tcPr>
                  <w:tcW w:w="515" w:type="pct"/>
                  <w:vAlign w:val="center"/>
                </w:tcPr>
                <w:p>
                  <w:pPr>
                    <w:pStyle w:val="104"/>
                    <w:spacing w:line="240" w:lineRule="auto"/>
                    <w:jc w:val="center"/>
                    <w:rPr>
                      <w:color w:val="000000" w:themeColor="text1"/>
                      <w:sz w:val="21"/>
                      <w:szCs w:val="22"/>
                      <w14:textFill>
                        <w14:solidFill>
                          <w14:schemeClr w14:val="tx1"/>
                        </w14:solidFill>
                      </w14:textFill>
                    </w:rPr>
                  </w:pPr>
                  <w:r>
                    <w:rPr>
                      <w:color w:val="000000" w:themeColor="text1"/>
                      <w:sz w:val="21"/>
                      <w:szCs w:val="22"/>
                      <w14:textFill>
                        <w14:solidFill>
                          <w14:schemeClr w14:val="tx1"/>
                        </w14:solidFill>
                      </w14:textFill>
                    </w:rPr>
                    <w:t>长</w:t>
                  </w:r>
                </w:p>
              </w:tc>
              <w:tc>
                <w:tcPr>
                  <w:tcW w:w="374" w:type="pct"/>
                  <w:vAlign w:val="center"/>
                </w:tcPr>
                <w:p>
                  <w:pPr>
                    <w:pStyle w:val="104"/>
                    <w:spacing w:line="240" w:lineRule="auto"/>
                    <w:jc w:val="center"/>
                    <w:rPr>
                      <w:color w:val="000000" w:themeColor="text1"/>
                      <w:sz w:val="21"/>
                      <w:szCs w:val="22"/>
                      <w14:textFill>
                        <w14:solidFill>
                          <w14:schemeClr w14:val="tx1"/>
                        </w14:solidFill>
                      </w14:textFill>
                    </w:rPr>
                  </w:pPr>
                  <w:r>
                    <w:rPr>
                      <w:color w:val="000000" w:themeColor="text1"/>
                      <w:sz w:val="21"/>
                      <w:szCs w:val="22"/>
                      <w14:textFill>
                        <w14:solidFill>
                          <w14:schemeClr w14:val="tx1"/>
                        </w14:solidFill>
                      </w14:textFill>
                    </w:rPr>
                    <w:t>宽</w:t>
                  </w:r>
                </w:p>
              </w:tc>
              <w:tc>
                <w:tcPr>
                  <w:tcW w:w="426" w:type="pct"/>
                  <w:vAlign w:val="center"/>
                </w:tcPr>
                <w:p>
                  <w:pPr>
                    <w:pStyle w:val="104"/>
                    <w:spacing w:line="240" w:lineRule="auto"/>
                    <w:jc w:val="center"/>
                    <w:rPr>
                      <w:color w:val="000000" w:themeColor="text1"/>
                      <w:sz w:val="21"/>
                      <w:szCs w:val="22"/>
                      <w14:textFill>
                        <w14:solidFill>
                          <w14:schemeClr w14:val="tx1"/>
                        </w14:solidFill>
                      </w14:textFill>
                    </w:rPr>
                  </w:pPr>
                  <w:r>
                    <w:rPr>
                      <w:color w:val="000000" w:themeColor="text1"/>
                      <w:sz w:val="21"/>
                      <w:szCs w:val="22"/>
                      <w14:textFill>
                        <w14:solidFill>
                          <w14:schemeClr w14:val="tx1"/>
                        </w14:solidFill>
                      </w14:textFill>
                    </w:rPr>
                    <w:t>高</w:t>
                  </w:r>
                </w:p>
              </w:tc>
              <w:tc>
                <w:tcPr>
                  <w:tcW w:w="782" w:type="pct"/>
                  <w:vMerge w:val="continue"/>
                  <w:tcBorders>
                    <w:top w:val="nil"/>
                  </w:tcBorders>
                  <w:vAlign w:val="center"/>
                </w:tcPr>
                <w:p>
                  <w:pPr>
                    <w:pStyle w:val="104"/>
                    <w:spacing w:line="240" w:lineRule="auto"/>
                    <w:jc w:val="center"/>
                    <w:rPr>
                      <w:color w:val="000000" w:themeColor="text1"/>
                      <w:sz w:val="21"/>
                      <w:szCs w:val="22"/>
                      <w14:textFill>
                        <w14:solidFill>
                          <w14:schemeClr w14:val="tx1"/>
                        </w14:solidFill>
                      </w14:textFill>
                    </w:rPr>
                  </w:pPr>
                </w:p>
              </w:tc>
              <w:tc>
                <w:tcPr>
                  <w:tcW w:w="874" w:type="pct"/>
                  <w:vMerge w:val="continue"/>
                  <w:tcBorders>
                    <w:top w:val="nil"/>
                  </w:tcBorders>
                  <w:vAlign w:val="center"/>
                </w:tcPr>
                <w:p>
                  <w:pPr>
                    <w:pStyle w:val="104"/>
                    <w:spacing w:line="240" w:lineRule="auto"/>
                    <w:jc w:val="center"/>
                    <w:rPr>
                      <w:color w:val="000000" w:themeColor="text1"/>
                      <w:sz w:val="21"/>
                      <w:szCs w:val="22"/>
                      <w14:textFill>
                        <w14:solidFill>
                          <w14:schemeClr w14:val="tx1"/>
                        </w14:solidFill>
                      </w14:textFill>
                    </w:rPr>
                  </w:pPr>
                </w:p>
              </w:tc>
              <w:tc>
                <w:tcPr>
                  <w:tcW w:w="744" w:type="pct"/>
                  <w:vMerge w:val="continue"/>
                  <w:tcBorders>
                    <w:top w:val="nil"/>
                  </w:tcBorders>
                  <w:vAlign w:val="center"/>
                </w:tcPr>
                <w:p>
                  <w:pPr>
                    <w:pStyle w:val="104"/>
                    <w:spacing w:line="240" w:lineRule="auto"/>
                    <w:jc w:val="center"/>
                    <w:rPr>
                      <w:color w:val="000000" w:themeColor="text1"/>
                      <w:sz w:val="21"/>
                      <w:szCs w:val="22"/>
                      <w14:textFill>
                        <w14:solidFill>
                          <w14:schemeClr w14:val="tx1"/>
                        </w14:solidFill>
                      </w14:textFill>
                    </w:rPr>
                  </w:pPr>
                </w:p>
              </w:tc>
              <w:tc>
                <w:tcPr>
                  <w:tcW w:w="560" w:type="pct"/>
                  <w:vMerge w:val="continue"/>
                  <w:tcBorders>
                    <w:top w:val="nil"/>
                  </w:tcBorders>
                  <w:vAlign w:val="center"/>
                </w:tcPr>
                <w:p>
                  <w:pPr>
                    <w:pStyle w:val="104"/>
                    <w:spacing w:line="240" w:lineRule="auto"/>
                    <w:jc w:val="center"/>
                    <w:rPr>
                      <w:color w:val="000000" w:themeColor="text1"/>
                      <w:sz w:val="21"/>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722" w:type="pct"/>
                  <w:vMerge w:val="restart"/>
                  <w:vAlign w:val="center"/>
                </w:tcPr>
                <w:p>
                  <w:pPr>
                    <w:pStyle w:val="104"/>
                    <w:spacing w:line="240" w:lineRule="auto"/>
                    <w:jc w:val="center"/>
                    <w:rPr>
                      <w:color w:val="000000" w:themeColor="text1"/>
                      <w:sz w:val="21"/>
                      <w:szCs w:val="22"/>
                      <w14:textFill>
                        <w14:solidFill>
                          <w14:schemeClr w14:val="tx1"/>
                        </w14:solidFill>
                      </w14:textFill>
                    </w:rPr>
                  </w:pPr>
                  <w:r>
                    <w:rPr>
                      <w:color w:val="000000" w:themeColor="text1"/>
                      <w:sz w:val="21"/>
                      <w:szCs w:val="22"/>
                      <w14:textFill>
                        <w14:solidFill>
                          <w14:schemeClr w14:val="tx1"/>
                        </w14:solidFill>
                      </w14:textFill>
                    </w:rPr>
                    <w:t>生产车间</w:t>
                  </w:r>
                </w:p>
              </w:tc>
              <w:tc>
                <w:tcPr>
                  <w:tcW w:w="515" w:type="pct"/>
                  <w:vMerge w:val="restart"/>
                  <w:vAlign w:val="center"/>
                </w:tcPr>
                <w:p>
                  <w:pPr>
                    <w:pStyle w:val="104"/>
                    <w:spacing w:line="240" w:lineRule="auto"/>
                    <w:jc w:val="center"/>
                    <w:rPr>
                      <w:rFonts w:hint="default" w:eastAsia="宋体"/>
                      <w:color w:val="000000" w:themeColor="text1"/>
                      <w:sz w:val="21"/>
                      <w:szCs w:val="22"/>
                      <w:lang w:val="en-US" w:eastAsia="zh-CN"/>
                      <w14:textFill>
                        <w14:solidFill>
                          <w14:schemeClr w14:val="tx1"/>
                        </w14:solidFill>
                      </w14:textFill>
                    </w:rPr>
                  </w:pPr>
                  <w:r>
                    <w:rPr>
                      <w:rFonts w:hint="eastAsia"/>
                      <w:color w:val="000000" w:themeColor="text1"/>
                      <w:sz w:val="21"/>
                      <w:szCs w:val="22"/>
                      <w:lang w:val="en-US" w:eastAsia="zh-CN"/>
                      <w14:textFill>
                        <w14:solidFill>
                          <w14:schemeClr w14:val="tx1"/>
                        </w14:solidFill>
                      </w14:textFill>
                    </w:rPr>
                    <w:t>142</w:t>
                  </w:r>
                </w:p>
              </w:tc>
              <w:tc>
                <w:tcPr>
                  <w:tcW w:w="374" w:type="pct"/>
                  <w:vMerge w:val="restart"/>
                  <w:vAlign w:val="center"/>
                </w:tcPr>
                <w:p>
                  <w:pPr>
                    <w:pStyle w:val="104"/>
                    <w:spacing w:line="240" w:lineRule="auto"/>
                    <w:jc w:val="center"/>
                    <w:rPr>
                      <w:rFonts w:hint="default" w:eastAsia="宋体"/>
                      <w:color w:val="000000" w:themeColor="text1"/>
                      <w:sz w:val="21"/>
                      <w:szCs w:val="22"/>
                      <w:lang w:val="en-US" w:eastAsia="zh-CN"/>
                      <w14:textFill>
                        <w14:solidFill>
                          <w14:schemeClr w14:val="tx1"/>
                        </w14:solidFill>
                      </w14:textFill>
                    </w:rPr>
                  </w:pPr>
                  <w:r>
                    <w:rPr>
                      <w:rFonts w:hint="eastAsia"/>
                      <w:color w:val="000000" w:themeColor="text1"/>
                      <w:sz w:val="21"/>
                      <w:szCs w:val="22"/>
                      <w:lang w:val="en-US" w:eastAsia="zh-CN"/>
                      <w14:textFill>
                        <w14:solidFill>
                          <w14:schemeClr w14:val="tx1"/>
                        </w14:solidFill>
                      </w14:textFill>
                    </w:rPr>
                    <w:t>38</w:t>
                  </w:r>
                </w:p>
              </w:tc>
              <w:tc>
                <w:tcPr>
                  <w:tcW w:w="426" w:type="pct"/>
                  <w:vMerge w:val="restart"/>
                  <w:vAlign w:val="center"/>
                </w:tcPr>
                <w:p>
                  <w:pPr>
                    <w:pStyle w:val="104"/>
                    <w:spacing w:line="240" w:lineRule="auto"/>
                    <w:jc w:val="center"/>
                    <w:rPr>
                      <w:rFonts w:hint="default" w:eastAsia="宋体"/>
                      <w:color w:val="000000" w:themeColor="text1"/>
                      <w:sz w:val="21"/>
                      <w:szCs w:val="22"/>
                      <w:lang w:val="en-US" w:eastAsia="zh-CN"/>
                      <w14:textFill>
                        <w14:solidFill>
                          <w14:schemeClr w14:val="tx1"/>
                        </w14:solidFill>
                      </w14:textFill>
                    </w:rPr>
                  </w:pPr>
                  <w:r>
                    <w:rPr>
                      <w:rFonts w:hint="eastAsia"/>
                      <w:color w:val="000000" w:themeColor="text1"/>
                      <w:sz w:val="21"/>
                      <w:szCs w:val="22"/>
                      <w:lang w:val="en-US" w:eastAsia="zh-CN"/>
                      <w14:textFill>
                        <w14:solidFill>
                          <w14:schemeClr w14:val="tx1"/>
                        </w14:solidFill>
                      </w14:textFill>
                    </w:rPr>
                    <w:t>9.6</w:t>
                  </w:r>
                </w:p>
              </w:tc>
              <w:tc>
                <w:tcPr>
                  <w:tcW w:w="782" w:type="pct"/>
                  <w:vAlign w:val="center"/>
                </w:tcPr>
                <w:p>
                  <w:pPr>
                    <w:pStyle w:val="104"/>
                    <w:spacing w:line="240" w:lineRule="auto"/>
                    <w:jc w:val="center"/>
                    <w:rPr>
                      <w:rFonts w:hint="default"/>
                      <w:color w:val="000000" w:themeColor="text1"/>
                      <w:sz w:val="21"/>
                      <w:szCs w:val="22"/>
                      <w:lang w:val="en-US" w:eastAsia="zh-CN"/>
                      <w14:textFill>
                        <w14:solidFill>
                          <w14:schemeClr w14:val="tx1"/>
                        </w14:solidFill>
                      </w14:textFill>
                    </w:rPr>
                  </w:pPr>
                  <w:r>
                    <w:rPr>
                      <w:rFonts w:hint="eastAsia"/>
                      <w:color w:val="000000" w:themeColor="text1"/>
                      <w:sz w:val="21"/>
                      <w:szCs w:val="22"/>
                      <w:lang w:val="en-US" w:eastAsia="zh-CN"/>
                      <w14:textFill>
                        <w14:solidFill>
                          <w14:schemeClr w14:val="tx1"/>
                        </w14:solidFill>
                      </w14:textFill>
                    </w:rPr>
                    <w:t>TSP</w:t>
                  </w:r>
                </w:p>
              </w:tc>
              <w:tc>
                <w:tcPr>
                  <w:tcW w:w="874" w:type="pct"/>
                  <w:vAlign w:val="center"/>
                </w:tcPr>
                <w:p>
                  <w:pPr>
                    <w:pStyle w:val="104"/>
                    <w:spacing w:line="240" w:lineRule="auto"/>
                    <w:jc w:val="center"/>
                    <w:rPr>
                      <w:rFonts w:hint="default" w:eastAsia="宋体"/>
                      <w:color w:val="000000" w:themeColor="text1"/>
                      <w:sz w:val="21"/>
                      <w:szCs w:val="22"/>
                      <w:lang w:val="en-US" w:eastAsia="zh-CN"/>
                      <w14:textFill>
                        <w14:solidFill>
                          <w14:schemeClr w14:val="tx1"/>
                        </w14:solidFill>
                      </w14:textFill>
                    </w:rPr>
                  </w:pPr>
                  <w:r>
                    <w:rPr>
                      <w:rFonts w:hint="eastAsia"/>
                      <w:color w:val="000000" w:themeColor="text1"/>
                      <w:sz w:val="21"/>
                      <w:szCs w:val="22"/>
                      <w:lang w:val="en-US" w:eastAsia="zh-CN"/>
                      <w14:textFill>
                        <w14:solidFill>
                          <w14:schemeClr w14:val="tx1"/>
                        </w14:solidFill>
                      </w14:textFill>
                    </w:rPr>
                    <w:t>0.071</w:t>
                  </w:r>
                </w:p>
              </w:tc>
              <w:tc>
                <w:tcPr>
                  <w:tcW w:w="744" w:type="pct"/>
                  <w:vAlign w:val="center"/>
                </w:tcPr>
                <w:p>
                  <w:pPr>
                    <w:pStyle w:val="104"/>
                    <w:spacing w:line="240" w:lineRule="auto"/>
                    <w:jc w:val="center"/>
                    <w:rPr>
                      <w:color w:val="000000" w:themeColor="text1"/>
                      <w:sz w:val="21"/>
                      <w:szCs w:val="22"/>
                      <w14:textFill>
                        <w14:solidFill>
                          <w14:schemeClr w14:val="tx1"/>
                        </w14:solidFill>
                      </w14:textFill>
                    </w:rPr>
                  </w:pPr>
                  <w:r>
                    <w:rPr>
                      <w:color w:val="000000" w:themeColor="text1"/>
                      <w:sz w:val="21"/>
                      <w:szCs w:val="22"/>
                      <w14:textFill>
                        <w14:solidFill>
                          <w14:schemeClr w14:val="tx1"/>
                        </w14:solidFill>
                      </w14:textFill>
                    </w:rPr>
                    <w:t>1.0</w:t>
                  </w:r>
                </w:p>
              </w:tc>
              <w:tc>
                <w:tcPr>
                  <w:tcW w:w="560" w:type="pct"/>
                  <w:vAlign w:val="center"/>
                </w:tcPr>
                <w:p>
                  <w:pPr>
                    <w:pStyle w:val="104"/>
                    <w:spacing w:line="240" w:lineRule="auto"/>
                    <w:jc w:val="center"/>
                    <w:rPr>
                      <w:color w:val="000000" w:themeColor="text1"/>
                      <w:sz w:val="21"/>
                      <w:szCs w:val="22"/>
                      <w14:textFill>
                        <w14:solidFill>
                          <w14:schemeClr w14:val="tx1"/>
                        </w14:solidFill>
                      </w14:textFill>
                    </w:rPr>
                  </w:pPr>
                  <w:r>
                    <w:rPr>
                      <w:color w:val="000000" w:themeColor="text1"/>
                      <w:sz w:val="21"/>
                      <w:szCs w:val="22"/>
                      <w14:textFill>
                        <w14:solidFill>
                          <w14:schemeClr w14:val="tx1"/>
                        </w14:solidFill>
                      </w14:textFill>
                    </w:rPr>
                    <w:t>达标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722" w:type="pct"/>
                  <w:vMerge w:val="continue"/>
                  <w:tcBorders>
                    <w:top w:val="nil"/>
                  </w:tcBorders>
                  <w:vAlign w:val="center"/>
                </w:tcPr>
                <w:p>
                  <w:pPr>
                    <w:pStyle w:val="104"/>
                    <w:spacing w:line="240" w:lineRule="auto"/>
                    <w:jc w:val="center"/>
                    <w:rPr>
                      <w:color w:val="000000" w:themeColor="text1"/>
                      <w:sz w:val="21"/>
                      <w:szCs w:val="22"/>
                      <w14:textFill>
                        <w14:solidFill>
                          <w14:schemeClr w14:val="tx1"/>
                        </w14:solidFill>
                      </w14:textFill>
                    </w:rPr>
                  </w:pPr>
                </w:p>
              </w:tc>
              <w:tc>
                <w:tcPr>
                  <w:tcW w:w="515" w:type="pct"/>
                  <w:vMerge w:val="continue"/>
                  <w:tcBorders>
                    <w:top w:val="nil"/>
                  </w:tcBorders>
                  <w:vAlign w:val="center"/>
                </w:tcPr>
                <w:p>
                  <w:pPr>
                    <w:pStyle w:val="104"/>
                    <w:spacing w:line="240" w:lineRule="auto"/>
                    <w:jc w:val="center"/>
                    <w:rPr>
                      <w:color w:val="000000" w:themeColor="text1"/>
                      <w:sz w:val="21"/>
                      <w:szCs w:val="22"/>
                      <w14:textFill>
                        <w14:solidFill>
                          <w14:schemeClr w14:val="tx1"/>
                        </w14:solidFill>
                      </w14:textFill>
                    </w:rPr>
                  </w:pPr>
                </w:p>
              </w:tc>
              <w:tc>
                <w:tcPr>
                  <w:tcW w:w="374" w:type="pct"/>
                  <w:vMerge w:val="continue"/>
                  <w:tcBorders>
                    <w:top w:val="nil"/>
                  </w:tcBorders>
                  <w:vAlign w:val="center"/>
                </w:tcPr>
                <w:p>
                  <w:pPr>
                    <w:pStyle w:val="104"/>
                    <w:spacing w:line="240" w:lineRule="auto"/>
                    <w:jc w:val="center"/>
                    <w:rPr>
                      <w:color w:val="000000" w:themeColor="text1"/>
                      <w:sz w:val="21"/>
                      <w:szCs w:val="22"/>
                      <w14:textFill>
                        <w14:solidFill>
                          <w14:schemeClr w14:val="tx1"/>
                        </w14:solidFill>
                      </w14:textFill>
                    </w:rPr>
                  </w:pPr>
                </w:p>
              </w:tc>
              <w:tc>
                <w:tcPr>
                  <w:tcW w:w="426" w:type="pct"/>
                  <w:vMerge w:val="continue"/>
                  <w:tcBorders>
                    <w:top w:val="nil"/>
                  </w:tcBorders>
                  <w:vAlign w:val="center"/>
                </w:tcPr>
                <w:p>
                  <w:pPr>
                    <w:pStyle w:val="104"/>
                    <w:spacing w:line="240" w:lineRule="auto"/>
                    <w:jc w:val="center"/>
                    <w:rPr>
                      <w:color w:val="000000" w:themeColor="text1"/>
                      <w:sz w:val="21"/>
                      <w:szCs w:val="22"/>
                      <w14:textFill>
                        <w14:solidFill>
                          <w14:schemeClr w14:val="tx1"/>
                        </w14:solidFill>
                      </w14:textFill>
                    </w:rPr>
                  </w:pPr>
                </w:p>
              </w:tc>
              <w:tc>
                <w:tcPr>
                  <w:tcW w:w="782" w:type="pct"/>
                  <w:vAlign w:val="center"/>
                </w:tcPr>
                <w:p>
                  <w:pPr>
                    <w:pStyle w:val="104"/>
                    <w:spacing w:line="240" w:lineRule="auto"/>
                    <w:jc w:val="center"/>
                    <w:rPr>
                      <w:rFonts w:hint="default"/>
                      <w:color w:val="000000" w:themeColor="text1"/>
                      <w:sz w:val="21"/>
                      <w:szCs w:val="22"/>
                      <w:lang w:val="en-US" w:eastAsia="zh-CN"/>
                      <w14:textFill>
                        <w14:solidFill>
                          <w14:schemeClr w14:val="tx1"/>
                        </w14:solidFill>
                      </w14:textFill>
                    </w:rPr>
                  </w:pPr>
                  <w:r>
                    <w:rPr>
                      <w:rFonts w:hint="eastAsia"/>
                      <w:color w:val="000000" w:themeColor="text1"/>
                      <w:sz w:val="21"/>
                      <w:szCs w:val="22"/>
                      <w:lang w:val="en-US" w:eastAsia="zh-CN"/>
                      <w14:textFill>
                        <w14:solidFill>
                          <w14:schemeClr w14:val="tx1"/>
                        </w14:solidFill>
                      </w14:textFill>
                    </w:rPr>
                    <w:t>VOCs</w:t>
                  </w:r>
                </w:p>
              </w:tc>
              <w:tc>
                <w:tcPr>
                  <w:tcW w:w="874" w:type="pct"/>
                  <w:vAlign w:val="center"/>
                </w:tcPr>
                <w:p>
                  <w:pPr>
                    <w:pStyle w:val="104"/>
                    <w:spacing w:line="240" w:lineRule="auto"/>
                    <w:jc w:val="center"/>
                    <w:rPr>
                      <w:rFonts w:hint="default" w:eastAsia="宋体"/>
                      <w:color w:val="000000" w:themeColor="text1"/>
                      <w:sz w:val="21"/>
                      <w:szCs w:val="22"/>
                      <w:lang w:val="en-US" w:eastAsia="zh-CN"/>
                      <w14:textFill>
                        <w14:solidFill>
                          <w14:schemeClr w14:val="tx1"/>
                        </w14:solidFill>
                      </w14:textFill>
                    </w:rPr>
                  </w:pPr>
                  <w:r>
                    <w:rPr>
                      <w:rFonts w:hint="eastAsia"/>
                      <w:color w:val="000000" w:themeColor="text1"/>
                      <w:sz w:val="21"/>
                      <w:szCs w:val="22"/>
                      <w:lang w:val="en-US" w:eastAsia="zh-CN"/>
                      <w14:textFill>
                        <w14:solidFill>
                          <w14:schemeClr w14:val="tx1"/>
                        </w14:solidFill>
                      </w14:textFill>
                    </w:rPr>
                    <w:t>0.038</w:t>
                  </w:r>
                </w:p>
              </w:tc>
              <w:tc>
                <w:tcPr>
                  <w:tcW w:w="744" w:type="pct"/>
                  <w:vAlign w:val="center"/>
                </w:tcPr>
                <w:p>
                  <w:pPr>
                    <w:pStyle w:val="104"/>
                    <w:spacing w:line="240" w:lineRule="auto"/>
                    <w:jc w:val="center"/>
                    <w:rPr>
                      <w:rFonts w:hint="default"/>
                      <w:color w:val="000000" w:themeColor="text1"/>
                      <w:sz w:val="21"/>
                      <w:szCs w:val="22"/>
                      <w:lang w:val="en-US"/>
                      <w14:textFill>
                        <w14:solidFill>
                          <w14:schemeClr w14:val="tx1"/>
                        </w14:solidFill>
                      </w14:textFill>
                    </w:rPr>
                  </w:pPr>
                  <w:r>
                    <w:rPr>
                      <w:rFonts w:hint="eastAsia"/>
                      <w:color w:val="000000" w:themeColor="text1"/>
                      <w:sz w:val="21"/>
                      <w:szCs w:val="22"/>
                      <w:lang w:val="en-US" w:eastAsia="zh-CN"/>
                      <w14:textFill>
                        <w14:solidFill>
                          <w14:schemeClr w14:val="tx1"/>
                        </w14:solidFill>
                      </w14:textFill>
                    </w:rPr>
                    <w:t>10.0</w:t>
                  </w:r>
                </w:p>
              </w:tc>
              <w:tc>
                <w:tcPr>
                  <w:tcW w:w="560" w:type="pct"/>
                  <w:vAlign w:val="center"/>
                </w:tcPr>
                <w:p>
                  <w:pPr>
                    <w:pStyle w:val="104"/>
                    <w:spacing w:line="240" w:lineRule="auto"/>
                    <w:jc w:val="center"/>
                    <w:rPr>
                      <w:color w:val="000000" w:themeColor="text1"/>
                      <w:sz w:val="21"/>
                      <w:szCs w:val="22"/>
                      <w14:textFill>
                        <w14:solidFill>
                          <w14:schemeClr w14:val="tx1"/>
                        </w14:solidFill>
                      </w14:textFill>
                    </w:rPr>
                  </w:pPr>
                  <w:r>
                    <w:rPr>
                      <w:color w:val="000000" w:themeColor="text1"/>
                      <w:sz w:val="21"/>
                      <w:szCs w:val="22"/>
                      <w14:textFill>
                        <w14:solidFill>
                          <w14:schemeClr w14:val="tx1"/>
                        </w14:solidFill>
                      </w14:textFill>
                    </w:rPr>
                    <w:t>达标</w:t>
                  </w:r>
                </w:p>
              </w:tc>
            </w:tr>
          </w:tbl>
          <w:p>
            <w:pPr>
              <w:autoSpaceDE w:val="0"/>
              <w:autoSpaceDN w:val="0"/>
              <w:adjustRightInd w:val="0"/>
              <w:spacing w:line="360" w:lineRule="auto"/>
              <w:ind w:firstLine="480" w:firstLineChars="200"/>
              <w:rPr>
                <w:rFonts w:hint="eastAsia"/>
                <w:color w:val="000000" w:themeColor="text1"/>
                <w:kern w:val="0"/>
                <w:sz w:val="24"/>
                <w:szCs w:val="22"/>
                <w:lang w:val="zh-CN" w:eastAsia="zh-CN"/>
                <w14:textFill>
                  <w14:solidFill>
                    <w14:schemeClr w14:val="tx1"/>
                  </w14:solidFill>
                </w14:textFill>
              </w:rPr>
            </w:pPr>
            <w:r>
              <w:rPr>
                <w:rFonts w:hint="eastAsia"/>
                <w:color w:val="000000" w:themeColor="text1"/>
                <w:kern w:val="0"/>
                <w:sz w:val="24"/>
                <w:szCs w:val="22"/>
                <w:lang w:val="zh-CN" w:eastAsia="zh-CN"/>
                <w14:textFill>
                  <w14:solidFill>
                    <w14:schemeClr w14:val="tx1"/>
                  </w14:solidFill>
                </w14:textFill>
              </w:rPr>
              <w:t>由上表可知，经预测，厂界无组织排放的</w:t>
            </w:r>
            <w:r>
              <w:rPr>
                <w:rFonts w:hint="eastAsia" w:cs="Times New Roman"/>
                <w:color w:val="000000" w:themeColor="text1"/>
                <w:spacing w:val="0"/>
                <w:kern w:val="0"/>
                <w:sz w:val="24"/>
                <w:szCs w:val="22"/>
                <w:lang w:val="en-US" w:eastAsia="zh-CN" w:bidi="ar-SA"/>
                <w14:textFill>
                  <w14:solidFill>
                    <w14:schemeClr w14:val="tx1"/>
                  </w14:solidFill>
                </w14:textFill>
              </w:rPr>
              <w:t>TSP</w:t>
            </w:r>
            <w:r>
              <w:rPr>
                <w:rFonts w:hint="eastAsia"/>
                <w:color w:val="000000" w:themeColor="text1"/>
                <w:kern w:val="0"/>
                <w:sz w:val="24"/>
                <w:szCs w:val="22"/>
                <w:lang w:val="zh-CN" w:eastAsia="zh-CN"/>
                <w14:textFill>
                  <w14:solidFill>
                    <w14:schemeClr w14:val="tx1"/>
                  </w14:solidFill>
                </w14:textFill>
              </w:rPr>
              <w:t>满足《大气污染物综合排放标准》（GB16297-1996）表 2 中无组织排放检测浓度限值，厂区</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 xml:space="preserve">VOCs </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无组织</w:t>
            </w:r>
            <w:r>
              <w:rPr>
                <w:rFonts w:hint="eastAsia" w:cs="Times New Roman"/>
                <w:color w:val="000000" w:themeColor="text1"/>
                <w:kern w:val="2"/>
                <w:sz w:val="24"/>
                <w:szCs w:val="24"/>
                <w:lang w:val="en-US" w:eastAsia="zh-CN" w:bidi="ar-SA"/>
                <w14:textFill>
                  <w14:solidFill>
                    <w14:schemeClr w14:val="tx1"/>
                  </w14:solidFill>
                </w14:textFill>
              </w:rPr>
              <w:t>排放满足</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《挥发性有机物无组织排放控制标准》（GB37822-2019）附录A中表A.1中标准限值</w:t>
            </w:r>
            <w:r>
              <w:rPr>
                <w:rFonts w:hint="eastAsia"/>
                <w:color w:val="000000" w:themeColor="text1"/>
                <w:kern w:val="0"/>
                <w:sz w:val="24"/>
                <w:szCs w:val="22"/>
                <w:lang w:val="zh-CN" w:eastAsia="zh-CN"/>
                <w14:textFill>
                  <w14:solidFill>
                    <w14:schemeClr w14:val="tx1"/>
                  </w14:solidFill>
                </w14:textFill>
              </w:rPr>
              <w:t>。</w:t>
            </w:r>
          </w:p>
          <w:p>
            <w:pPr>
              <w:autoSpaceDE w:val="0"/>
              <w:autoSpaceDN w:val="0"/>
              <w:adjustRightInd w:val="0"/>
              <w:spacing w:line="360" w:lineRule="auto"/>
              <w:ind w:firstLine="482" w:firstLineChars="200"/>
              <w:jc w:val="both"/>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8</w:t>
            </w:r>
            <w:r>
              <w:rPr>
                <w:rFonts w:hint="eastAsia" w:ascii="Times New Roman" w:hAnsi="Times New Roman" w:cs="Times New Roman"/>
                <w:b/>
                <w:bCs/>
                <w:color w:val="000000" w:themeColor="text1"/>
                <w:sz w:val="24"/>
                <w:szCs w:val="24"/>
                <w:lang w:val="en-US" w:eastAsia="zh-CN"/>
                <w14:textFill>
                  <w14:solidFill>
                    <w14:schemeClr w14:val="tx1"/>
                  </w14:solidFill>
                </w14:textFill>
              </w:rPr>
              <w:t>）正常情况下污染物排放量核算</w:t>
            </w:r>
          </w:p>
          <w:p>
            <w:pPr>
              <w:autoSpaceDE w:val="0"/>
              <w:autoSpaceDN w:val="0"/>
              <w:adjustRightInd w:val="0"/>
              <w:spacing w:line="360" w:lineRule="auto"/>
              <w:ind w:firstLine="480" w:firstLineChars="200"/>
              <w:rPr>
                <w:rFonts w:hint="eastAsia" w:eastAsia="宋体"/>
                <w:color w:val="000000" w:themeColor="text1"/>
                <w:kern w:val="0"/>
                <w:sz w:val="24"/>
                <w:lang w:val="zh-CN" w:eastAsia="zh-CN"/>
                <w14:textFill>
                  <w14:solidFill>
                    <w14:schemeClr w14:val="tx1"/>
                  </w14:solidFill>
                </w14:textFill>
              </w:rPr>
            </w:pPr>
            <w:r>
              <w:rPr>
                <w:color w:val="000000" w:themeColor="text1"/>
                <w:kern w:val="0"/>
                <w:sz w:val="24"/>
                <w:lang w:val="zh-CN"/>
                <w14:textFill>
                  <w14:solidFill>
                    <w14:schemeClr w14:val="tx1"/>
                  </w14:solidFill>
                </w14:textFill>
              </w:rPr>
              <w:t>根据《环境影响评价技术导则大气环境》（HJ2.2-2018）要求，“二级评价项目不进行进一步预测与评价，只对污染物排放量进行核算。污染物排放量核算表包括有组织及无组织排放量、大气污染物年排放量、非正常排放量等。”因此，本项目污染物排放量核算主要包括有组织排放量核算、无组织排放量核算、大气污染物</w:t>
            </w:r>
            <w:r>
              <w:rPr>
                <w:rFonts w:hint="eastAsia"/>
                <w:color w:val="000000" w:themeColor="text1"/>
                <w:kern w:val="0"/>
                <w:sz w:val="24"/>
                <w:lang w:val="zh-CN"/>
                <w14:textFill>
                  <w14:solidFill>
                    <w14:schemeClr w14:val="tx1"/>
                  </w14:solidFill>
                </w14:textFill>
              </w:rPr>
              <w:t>年排放量核算及非正常排放量核算</w:t>
            </w:r>
            <w:r>
              <w:rPr>
                <w:rFonts w:hint="eastAsia"/>
                <w:color w:val="000000" w:themeColor="text1"/>
                <w:kern w:val="0"/>
                <w:sz w:val="24"/>
                <w:lang w:val="zh-CN" w:eastAsia="zh-CN"/>
                <w14:textFill>
                  <w14:solidFill>
                    <w14:schemeClr w14:val="tx1"/>
                  </w14:solidFill>
                </w14:textFill>
              </w:rPr>
              <w:t>，</w:t>
            </w:r>
            <w:r>
              <w:rPr>
                <w:rFonts w:hint="eastAsia"/>
                <w:color w:val="000000" w:themeColor="text1"/>
                <w:kern w:val="0"/>
                <w:sz w:val="24"/>
                <w:lang w:val="zh-CN"/>
                <w14:textFill>
                  <w14:solidFill>
                    <w14:schemeClr w14:val="tx1"/>
                  </w14:solidFill>
                </w14:textFill>
              </w:rPr>
              <w:t>具体情况如下：</w:t>
            </w:r>
          </w:p>
          <w:p>
            <w:pPr>
              <w:snapToGrid w:val="0"/>
              <w:spacing w:line="360" w:lineRule="auto"/>
              <w:ind w:firstLine="480" w:firstLineChars="200"/>
              <w:rPr>
                <w:rFonts w:hint="eastAsia"/>
                <w:b/>
                <w:color w:val="000000" w:themeColor="text1"/>
                <w:szCs w:val="21"/>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fldChar w:fldCharType="begin"/>
            </w:r>
            <w:r>
              <w:rPr>
                <w:rFonts w:hint="eastAsia" w:asciiTheme="minorEastAsia" w:hAnsiTheme="minorEastAsia" w:eastAsiaTheme="minorEastAsia"/>
                <w:color w:val="000000" w:themeColor="text1"/>
                <w:sz w:val="24"/>
                <w14:textFill>
                  <w14:solidFill>
                    <w14:schemeClr w14:val="tx1"/>
                  </w14:solidFill>
                </w14:textFill>
              </w:rPr>
              <w:instrText xml:space="preserve">= 1 \* GB3</w:instrText>
            </w:r>
            <w:r>
              <w:rPr>
                <w:rFonts w:asciiTheme="minorEastAsia" w:hAnsiTheme="minorEastAsia" w:eastAsiaTheme="minorEastAsia"/>
                <w:color w:val="000000" w:themeColor="text1"/>
                <w:sz w:val="24"/>
                <w14:textFill>
                  <w14:solidFill>
                    <w14:schemeClr w14:val="tx1"/>
                  </w14:solidFill>
                </w14:textFill>
              </w:rPr>
              <w:fldChar w:fldCharType="separate"/>
            </w:r>
            <w:r>
              <w:rPr>
                <w:rFonts w:hint="eastAsia" w:asciiTheme="minorEastAsia" w:hAnsiTheme="minorEastAsia" w:eastAsiaTheme="minorEastAsia"/>
                <w:color w:val="000000" w:themeColor="text1"/>
                <w:sz w:val="24"/>
                <w14:textFill>
                  <w14:solidFill>
                    <w14:schemeClr w14:val="tx1"/>
                  </w14:solidFill>
                </w14:textFill>
              </w:rPr>
              <w:t>①</w:t>
            </w:r>
            <w:r>
              <w:rPr>
                <w:rFonts w:asciiTheme="minorEastAsia" w:hAnsiTheme="minorEastAsia" w:eastAsiaTheme="minorEastAsia"/>
                <w:color w:val="000000" w:themeColor="text1"/>
                <w:sz w:val="24"/>
                <w14:textFill>
                  <w14:solidFill>
                    <w14:schemeClr w14:val="tx1"/>
                  </w14:solidFill>
                </w14:textFill>
              </w:rPr>
              <w:fldChar w:fldCharType="end"/>
            </w:r>
            <w:r>
              <w:rPr>
                <w:rFonts w:hint="eastAsia" w:asciiTheme="minorEastAsia" w:hAnsiTheme="minorEastAsia" w:eastAsiaTheme="minorEastAsia"/>
                <w:color w:val="000000" w:themeColor="text1"/>
                <w:sz w:val="24"/>
                <w14:textFill>
                  <w14:solidFill>
                    <w14:schemeClr w14:val="tx1"/>
                  </w14:solidFill>
                </w14:textFill>
              </w:rPr>
              <w:t>正常情况下有组织排放量核算</w:t>
            </w:r>
          </w:p>
          <w:p>
            <w:pPr>
              <w:ind w:firstLine="422" w:firstLineChars="200"/>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表7-</w:t>
            </w:r>
            <w:r>
              <w:rPr>
                <w:rFonts w:hint="eastAsia"/>
                <w:b/>
                <w:color w:val="000000" w:themeColor="text1"/>
                <w:szCs w:val="21"/>
                <w:lang w:val="en-US" w:eastAsia="zh-CN"/>
                <w14:textFill>
                  <w14:solidFill>
                    <w14:schemeClr w14:val="tx1"/>
                  </w14:solidFill>
                </w14:textFill>
              </w:rPr>
              <w:t>11</w:t>
            </w:r>
            <w:r>
              <w:rPr>
                <w:rFonts w:hint="eastAsia"/>
                <w:b/>
                <w:color w:val="000000" w:themeColor="text1"/>
                <w:szCs w:val="21"/>
                <w14:textFill>
                  <w14:solidFill>
                    <w14:schemeClr w14:val="tx1"/>
                  </w14:solidFill>
                </w14:textFill>
              </w:rPr>
              <w:t>本项目正常情况下有组织排放情况表</w:t>
            </w:r>
          </w:p>
          <w:tbl>
            <w:tblPr>
              <w:tblStyle w:val="38"/>
              <w:tblW w:w="4995"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318"/>
              <w:gridCol w:w="1318"/>
              <w:gridCol w:w="1318"/>
              <w:gridCol w:w="1436"/>
              <w:gridCol w:w="1412"/>
              <w:gridCol w:w="139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04" w:type="pct"/>
                  <w:tcBorders>
                    <w:tl2br w:val="nil"/>
                    <w:tr2bl w:val="nil"/>
                  </w:tcBorders>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序号</w:t>
                  </w:r>
                </w:p>
              </w:tc>
              <w:tc>
                <w:tcPr>
                  <w:tcW w:w="804" w:type="pct"/>
                  <w:tcBorders>
                    <w:tl2br w:val="nil"/>
                    <w:tr2bl w:val="nil"/>
                  </w:tcBorders>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排放口</w:t>
                  </w:r>
                </w:p>
              </w:tc>
              <w:tc>
                <w:tcPr>
                  <w:tcW w:w="804" w:type="pct"/>
                  <w:tcBorders>
                    <w:tl2br w:val="nil"/>
                    <w:tr2bl w:val="nil"/>
                  </w:tcBorders>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污染物</w:t>
                  </w:r>
                </w:p>
              </w:tc>
              <w:tc>
                <w:tcPr>
                  <w:tcW w:w="876" w:type="pct"/>
                  <w:tcBorders>
                    <w:tl2br w:val="nil"/>
                    <w:tr2bl w:val="nil"/>
                  </w:tcBorders>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核算排放浓度（</w:t>
                  </w:r>
                  <w:r>
                    <w:rPr>
                      <w:color w:val="000000" w:themeColor="text1"/>
                      <w:kern w:val="0"/>
                      <w:szCs w:val="21"/>
                      <w14:textFill>
                        <w14:solidFill>
                          <w14:schemeClr w14:val="tx1"/>
                        </w14:solidFill>
                      </w14:textFill>
                    </w:rPr>
                    <w:t>mg/m</w:t>
                  </w:r>
                  <w:r>
                    <w:rPr>
                      <w:color w:val="000000" w:themeColor="text1"/>
                      <w:kern w:val="0"/>
                      <w:szCs w:val="21"/>
                      <w:vertAlign w:val="superscript"/>
                      <w14:textFill>
                        <w14:solidFill>
                          <w14:schemeClr w14:val="tx1"/>
                        </w14:solidFill>
                      </w14:textFill>
                    </w:rPr>
                    <w:t>3</w:t>
                  </w:r>
                  <w:r>
                    <w:rPr>
                      <w:rFonts w:hint="eastAsia"/>
                      <w:b/>
                      <w:color w:val="000000" w:themeColor="text1"/>
                      <w:szCs w:val="21"/>
                      <w14:textFill>
                        <w14:solidFill>
                          <w14:schemeClr w14:val="tx1"/>
                        </w14:solidFill>
                      </w14:textFill>
                    </w:rPr>
                    <w:t>）</w:t>
                  </w:r>
                </w:p>
              </w:tc>
              <w:tc>
                <w:tcPr>
                  <w:tcW w:w="861" w:type="pct"/>
                  <w:tcBorders>
                    <w:tl2br w:val="nil"/>
                    <w:tr2bl w:val="nil"/>
                  </w:tcBorders>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核算排放速率（kg/h）</w:t>
                  </w:r>
                </w:p>
              </w:tc>
              <w:tc>
                <w:tcPr>
                  <w:tcW w:w="847" w:type="pct"/>
                  <w:tcBorders>
                    <w:tl2br w:val="nil"/>
                    <w:tr2bl w:val="nil"/>
                  </w:tcBorders>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核算年排放量（t/a）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04" w:type="pct"/>
                  <w:tcBorders>
                    <w:tl2br w:val="nil"/>
                    <w:tr2bl w:val="nil"/>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804" w:type="pct"/>
                  <w:vMerge w:val="restart"/>
                  <w:tcBorders>
                    <w:tl2br w:val="nil"/>
                    <w:tr2bl w:val="nil"/>
                  </w:tcBorders>
                  <w:vAlign w:val="center"/>
                </w:tcPr>
                <w:p>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15m排气筒</w:t>
                  </w:r>
                </w:p>
              </w:tc>
              <w:tc>
                <w:tcPr>
                  <w:tcW w:w="804" w:type="pct"/>
                  <w:tcBorders>
                    <w:tl2br w:val="nil"/>
                    <w:tr2bl w:val="nil"/>
                  </w:tcBorders>
                  <w:vAlign w:val="center"/>
                </w:tcPr>
                <w:p>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VOCs</w:t>
                  </w:r>
                </w:p>
              </w:tc>
              <w:tc>
                <w:tcPr>
                  <w:tcW w:w="876" w:type="pct"/>
                  <w:tcBorders>
                    <w:tl2br w:val="nil"/>
                    <w:tr2bl w:val="nil"/>
                  </w:tcBorders>
                  <w:vAlign w:val="center"/>
                </w:tcPr>
                <w:p>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16.04</w:t>
                  </w:r>
                </w:p>
              </w:tc>
              <w:tc>
                <w:tcPr>
                  <w:tcW w:w="861" w:type="pct"/>
                  <w:tcBorders>
                    <w:tl2br w:val="nil"/>
                    <w:tr2bl w:val="nil"/>
                  </w:tcBorders>
                  <w:vAlign w:val="center"/>
                </w:tcPr>
                <w:p>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0.0963</w:t>
                  </w:r>
                </w:p>
              </w:tc>
              <w:tc>
                <w:tcPr>
                  <w:tcW w:w="847" w:type="pct"/>
                  <w:tcBorders>
                    <w:tl2br w:val="nil"/>
                    <w:tr2bl w:val="nil"/>
                  </w:tcBorders>
                  <w:vAlign w:val="center"/>
                </w:tcPr>
                <w:p>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0.231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04" w:type="pct"/>
                  <w:tcBorders>
                    <w:tl2br w:val="nil"/>
                    <w:tr2bl w:val="nil"/>
                  </w:tcBorders>
                  <w:vAlign w:val="center"/>
                </w:tcPr>
                <w:p>
                  <w:pPr>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w:t>
                  </w:r>
                </w:p>
              </w:tc>
              <w:tc>
                <w:tcPr>
                  <w:tcW w:w="804" w:type="pct"/>
                  <w:vMerge w:val="continue"/>
                  <w:tcBorders>
                    <w:tl2br w:val="nil"/>
                    <w:tr2bl w:val="nil"/>
                  </w:tcBorders>
                  <w:vAlign w:val="center"/>
                </w:tcPr>
                <w:p>
                  <w:pPr>
                    <w:jc w:val="center"/>
                    <w:rPr>
                      <w:color w:val="000000" w:themeColor="text1"/>
                      <w:szCs w:val="21"/>
                      <w14:textFill>
                        <w14:solidFill>
                          <w14:schemeClr w14:val="tx1"/>
                        </w14:solidFill>
                      </w14:textFill>
                    </w:rPr>
                  </w:pPr>
                </w:p>
              </w:tc>
              <w:tc>
                <w:tcPr>
                  <w:tcW w:w="804" w:type="pct"/>
                  <w:tcBorders>
                    <w:tl2br w:val="nil"/>
                    <w:tr2bl w:val="nil"/>
                  </w:tcBorders>
                  <w:vAlign w:val="center"/>
                </w:tcPr>
                <w:p>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TSP</w:t>
                  </w:r>
                </w:p>
              </w:tc>
              <w:tc>
                <w:tcPr>
                  <w:tcW w:w="876" w:type="pct"/>
                  <w:tcBorders>
                    <w:tl2br w:val="nil"/>
                    <w:tr2bl w:val="nil"/>
                  </w:tcBorders>
                  <w:vAlign w:val="center"/>
                </w:tcPr>
                <w:p>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6.819</w:t>
                  </w:r>
                </w:p>
              </w:tc>
              <w:tc>
                <w:tcPr>
                  <w:tcW w:w="861" w:type="pct"/>
                  <w:tcBorders>
                    <w:tl2br w:val="nil"/>
                    <w:tr2bl w:val="nil"/>
                  </w:tcBorders>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0.041</w:t>
                  </w:r>
                </w:p>
              </w:tc>
              <w:tc>
                <w:tcPr>
                  <w:tcW w:w="847" w:type="pct"/>
                  <w:tcBorders>
                    <w:tl2br w:val="nil"/>
                    <w:tr2bl w:val="nil"/>
                  </w:tcBorders>
                  <w:vAlign w:val="center"/>
                </w:tcPr>
                <w:p>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0.0982</w:t>
                  </w:r>
                </w:p>
              </w:tc>
            </w:tr>
          </w:tbl>
          <w:p>
            <w:pPr>
              <w:spacing w:line="360" w:lineRule="auto"/>
              <w:ind w:firstLine="480" w:firstLineChars="200"/>
              <w:rPr>
                <w:rFonts w:hint="eastAsia"/>
                <w:b/>
                <w:color w:val="000000" w:themeColor="text1"/>
                <w:szCs w:val="21"/>
                <w14:textFill>
                  <w14:solidFill>
                    <w14:schemeClr w14:val="tx1"/>
                  </w14:solidFill>
                </w14:textFill>
              </w:rPr>
            </w:pPr>
            <w:r>
              <w:rPr>
                <w:color w:val="000000" w:themeColor="text1"/>
                <w:sz w:val="24"/>
                <w14:textFill>
                  <w14:solidFill>
                    <w14:schemeClr w14:val="tx1"/>
                  </w14:solidFill>
                </w14:textFill>
              </w:rPr>
              <w:fldChar w:fldCharType="begin"/>
            </w:r>
            <w:r>
              <w:rPr>
                <w:rFonts w:hint="eastAsia"/>
                <w:color w:val="000000" w:themeColor="text1"/>
                <w:sz w:val="24"/>
                <w14:textFill>
                  <w14:solidFill>
                    <w14:schemeClr w14:val="tx1"/>
                  </w14:solidFill>
                </w14:textFill>
              </w:rPr>
              <w:instrText xml:space="preserve">= 2 \* GB3</w:instrText>
            </w:r>
            <w:r>
              <w:rPr>
                <w:color w:val="000000" w:themeColor="text1"/>
                <w:sz w:val="24"/>
                <w14:textFill>
                  <w14:solidFill>
                    <w14:schemeClr w14:val="tx1"/>
                  </w14:solidFill>
                </w14:textFill>
              </w:rPr>
              <w:fldChar w:fldCharType="separate"/>
            </w:r>
            <w:r>
              <w:rPr>
                <w:rFonts w:hint="eastAsia"/>
                <w:color w:val="000000" w:themeColor="text1"/>
                <w:sz w:val="24"/>
                <w14:textFill>
                  <w14:solidFill>
                    <w14:schemeClr w14:val="tx1"/>
                  </w14:solidFill>
                </w14:textFill>
              </w:rPr>
              <w:t>②</w:t>
            </w:r>
            <w:r>
              <w:rPr>
                <w:color w:val="000000" w:themeColor="text1"/>
                <w:sz w:val="24"/>
                <w14:textFill>
                  <w14:solidFill>
                    <w14:schemeClr w14:val="tx1"/>
                  </w14:solidFill>
                </w14:textFill>
              </w:rPr>
              <w:fldChar w:fldCharType="end"/>
            </w:r>
            <w:r>
              <w:rPr>
                <w:rFonts w:hint="eastAsia"/>
                <w:color w:val="000000" w:themeColor="text1"/>
                <w:sz w:val="24"/>
                <w14:textFill>
                  <w14:solidFill>
                    <w14:schemeClr w14:val="tx1"/>
                  </w14:solidFill>
                </w14:textFill>
              </w:rPr>
              <w:t>正常情况下无组织排放量核算</w:t>
            </w:r>
          </w:p>
          <w:p>
            <w:pPr>
              <w:ind w:firstLine="422" w:firstLineChars="200"/>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表7-1</w:t>
            </w:r>
            <w:r>
              <w:rPr>
                <w:rFonts w:hint="eastAsia"/>
                <w:b/>
                <w:color w:val="000000" w:themeColor="text1"/>
                <w:szCs w:val="21"/>
                <w:lang w:val="en-US" w:eastAsia="zh-CN"/>
                <w14:textFill>
                  <w14:solidFill>
                    <w14:schemeClr w14:val="tx1"/>
                  </w14:solidFill>
                </w14:textFill>
              </w:rPr>
              <w:t>2</w:t>
            </w:r>
            <w:r>
              <w:rPr>
                <w:rFonts w:hint="eastAsia"/>
                <w:b/>
                <w:color w:val="000000" w:themeColor="text1"/>
                <w:szCs w:val="21"/>
                <w14:textFill>
                  <w14:solidFill>
                    <w14:schemeClr w14:val="tx1"/>
                  </w14:solidFill>
                </w14:textFill>
              </w:rPr>
              <w:t xml:space="preserve"> 本项目无组织排放情况表</w:t>
            </w:r>
          </w:p>
          <w:tbl>
            <w:tblPr>
              <w:tblStyle w:val="38"/>
              <w:tblW w:w="4998"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652"/>
              <w:gridCol w:w="1670"/>
              <w:gridCol w:w="1670"/>
              <w:gridCol w:w="1601"/>
              <w:gridCol w:w="160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19" w:hRule="atLeast"/>
              </w:trPr>
              <w:tc>
                <w:tcPr>
                  <w:tcW w:w="1008" w:type="pct"/>
                  <w:tcBorders>
                    <w:tl2br w:val="nil"/>
                    <w:tr2bl w:val="nil"/>
                  </w:tcBorders>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序号</w:t>
                  </w:r>
                </w:p>
              </w:tc>
              <w:tc>
                <w:tcPr>
                  <w:tcW w:w="1018" w:type="pct"/>
                  <w:tcBorders>
                    <w:tl2br w:val="nil"/>
                    <w:tr2bl w:val="nil"/>
                  </w:tcBorders>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排放源</w:t>
                  </w:r>
                </w:p>
              </w:tc>
              <w:tc>
                <w:tcPr>
                  <w:tcW w:w="1018" w:type="pct"/>
                  <w:tcBorders>
                    <w:tl2br w:val="nil"/>
                    <w:tr2bl w:val="nil"/>
                  </w:tcBorders>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污染物</w:t>
                  </w:r>
                </w:p>
              </w:tc>
              <w:tc>
                <w:tcPr>
                  <w:tcW w:w="976" w:type="pct"/>
                  <w:tcBorders>
                    <w:tl2br w:val="nil"/>
                    <w:tr2bl w:val="nil"/>
                  </w:tcBorders>
                  <w:vAlign w:val="center"/>
                </w:tcPr>
                <w:p>
                  <w:pPr>
                    <w:jc w:val="center"/>
                    <w:rPr>
                      <w:rFonts w:hint="eastAsia" w:eastAsia="宋体"/>
                      <w:b/>
                      <w:color w:val="000000" w:themeColor="text1"/>
                      <w:szCs w:val="21"/>
                      <w:lang w:eastAsia="zh-CN"/>
                      <w14:textFill>
                        <w14:solidFill>
                          <w14:schemeClr w14:val="tx1"/>
                        </w14:solidFill>
                      </w14:textFill>
                    </w:rPr>
                  </w:pPr>
                  <w:r>
                    <w:rPr>
                      <w:rFonts w:hint="eastAsia"/>
                      <w:b/>
                      <w:color w:val="000000" w:themeColor="text1"/>
                      <w:szCs w:val="21"/>
                      <w:lang w:eastAsia="zh-CN"/>
                      <w14:textFill>
                        <w14:solidFill>
                          <w14:schemeClr w14:val="tx1"/>
                        </w14:solidFill>
                      </w14:textFill>
                    </w:rPr>
                    <w:t>核算排放速率</w:t>
                  </w:r>
                  <w:r>
                    <w:rPr>
                      <w:rFonts w:hint="eastAsia"/>
                      <w:b/>
                      <w:color w:val="000000" w:themeColor="text1"/>
                      <w:szCs w:val="21"/>
                      <w14:textFill>
                        <w14:solidFill>
                          <w14:schemeClr w14:val="tx1"/>
                        </w14:solidFill>
                      </w14:textFill>
                    </w:rPr>
                    <w:t>（kg/h）</w:t>
                  </w:r>
                </w:p>
              </w:tc>
              <w:tc>
                <w:tcPr>
                  <w:tcW w:w="978" w:type="pct"/>
                  <w:tcBorders>
                    <w:tl2br w:val="nil"/>
                    <w:tr2bl w:val="nil"/>
                  </w:tcBorders>
                  <w:vAlign w:val="center"/>
                </w:tcPr>
                <w:p>
                  <w:pPr>
                    <w:jc w:val="center"/>
                    <w:rPr>
                      <w:b/>
                      <w:color w:val="000000" w:themeColor="text1"/>
                      <w:szCs w:val="21"/>
                      <w14:textFill>
                        <w14:solidFill>
                          <w14:schemeClr w14:val="tx1"/>
                        </w14:solidFill>
                      </w14:textFill>
                    </w:rPr>
                  </w:pPr>
                  <w:r>
                    <w:rPr>
                      <w:rFonts w:hint="eastAsia"/>
                      <w:b/>
                      <w:color w:val="000000" w:themeColor="text1"/>
                      <w:szCs w:val="21"/>
                      <w:lang w:eastAsia="zh-CN"/>
                      <w14:textFill>
                        <w14:solidFill>
                          <w14:schemeClr w14:val="tx1"/>
                        </w14:solidFill>
                      </w14:textFill>
                    </w:rPr>
                    <w:t>核算</w:t>
                  </w:r>
                  <w:r>
                    <w:rPr>
                      <w:rFonts w:hint="eastAsia"/>
                      <w:b/>
                      <w:color w:val="000000" w:themeColor="text1"/>
                      <w:szCs w:val="21"/>
                      <w14:textFill>
                        <w14:solidFill>
                          <w14:schemeClr w14:val="tx1"/>
                        </w14:solidFill>
                      </w14:textFill>
                    </w:rPr>
                    <w:t>年排放量（</w:t>
                  </w:r>
                  <w:r>
                    <w:rPr>
                      <w:rFonts w:hint="eastAsia"/>
                      <w:color w:val="000000" w:themeColor="text1"/>
                      <w:szCs w:val="21"/>
                      <w14:textFill>
                        <w14:solidFill>
                          <w14:schemeClr w14:val="tx1"/>
                        </w14:solidFill>
                      </w14:textFill>
                    </w:rPr>
                    <w:t>t/a）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7" w:hRule="atLeast"/>
              </w:trPr>
              <w:tc>
                <w:tcPr>
                  <w:tcW w:w="1008" w:type="pct"/>
                  <w:tcBorders>
                    <w:tl2br w:val="nil"/>
                    <w:tr2bl w:val="nil"/>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1018" w:type="pct"/>
                  <w:vMerge w:val="restart"/>
                  <w:tcBorders>
                    <w:tl2br w:val="nil"/>
                    <w:tr2bl w:val="nil"/>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生产车间</w:t>
                  </w:r>
                </w:p>
              </w:tc>
              <w:tc>
                <w:tcPr>
                  <w:tcW w:w="1018" w:type="pct"/>
                  <w:tcBorders>
                    <w:tl2br w:val="nil"/>
                    <w:tr2bl w:val="nil"/>
                  </w:tcBorders>
                  <w:vAlign w:val="center"/>
                </w:tcPr>
                <w:p>
                  <w:pPr>
                    <w:jc w:val="center"/>
                    <w:rPr>
                      <w:rFonts w:hint="default"/>
                      <w:color w:val="000000" w:themeColor="text1"/>
                      <w:szCs w:val="21"/>
                      <w:lang w:val="en-US"/>
                      <w14:textFill>
                        <w14:solidFill>
                          <w14:schemeClr w14:val="tx1"/>
                        </w14:solidFill>
                      </w14:textFill>
                    </w:rPr>
                  </w:pPr>
                  <w:r>
                    <w:rPr>
                      <w:rFonts w:hint="eastAsia"/>
                      <w:color w:val="000000" w:themeColor="text1"/>
                      <w:szCs w:val="21"/>
                      <w:lang w:val="en-US" w:eastAsia="zh-CN"/>
                      <w14:textFill>
                        <w14:solidFill>
                          <w14:schemeClr w14:val="tx1"/>
                        </w14:solidFill>
                      </w14:textFill>
                    </w:rPr>
                    <w:t>VOCs</w:t>
                  </w:r>
                </w:p>
              </w:tc>
              <w:tc>
                <w:tcPr>
                  <w:tcW w:w="976" w:type="pct"/>
                  <w:tcBorders>
                    <w:tl2br w:val="nil"/>
                    <w:tr2bl w:val="nil"/>
                  </w:tcBorders>
                  <w:vAlign w:val="center"/>
                </w:tcPr>
                <w:p>
                  <w:pPr>
                    <w:jc w:val="center"/>
                    <w:rPr>
                      <w:rFonts w:hint="default" w:eastAsia="宋体"/>
                      <w:color w:val="000000" w:themeColor="text1"/>
                      <w:sz w:val="21"/>
                      <w:szCs w:val="16"/>
                      <w:lang w:val="en-US" w:eastAsia="zh-CN"/>
                      <w14:textFill>
                        <w14:solidFill>
                          <w14:schemeClr w14:val="tx1"/>
                        </w14:solidFill>
                      </w14:textFill>
                    </w:rPr>
                  </w:pPr>
                  <w:r>
                    <w:rPr>
                      <w:rFonts w:hint="eastAsia"/>
                      <w:color w:val="000000" w:themeColor="text1"/>
                      <w:sz w:val="21"/>
                      <w:szCs w:val="16"/>
                      <w:lang w:val="en-US" w:eastAsia="zh-CN"/>
                      <w14:textFill>
                        <w14:solidFill>
                          <w14:schemeClr w14:val="tx1"/>
                        </w14:solidFill>
                      </w14:textFill>
                    </w:rPr>
                    <w:t>0.0715</w:t>
                  </w:r>
                </w:p>
              </w:tc>
              <w:tc>
                <w:tcPr>
                  <w:tcW w:w="978" w:type="pct"/>
                  <w:tcBorders>
                    <w:tl2br w:val="nil"/>
                    <w:tr2bl w:val="nil"/>
                  </w:tcBorders>
                  <w:vAlign w:val="center"/>
                </w:tcPr>
                <w:p>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0.171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08" w:type="pct"/>
                  <w:tcBorders>
                    <w:tl2br w:val="nil"/>
                    <w:tr2bl w:val="nil"/>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w:t>
                  </w:r>
                </w:p>
              </w:tc>
              <w:tc>
                <w:tcPr>
                  <w:tcW w:w="1018" w:type="pct"/>
                  <w:vMerge w:val="continue"/>
                  <w:tcBorders>
                    <w:tl2br w:val="nil"/>
                    <w:tr2bl w:val="nil"/>
                  </w:tcBorders>
                </w:tcPr>
                <w:p>
                  <w:pPr>
                    <w:jc w:val="center"/>
                    <w:rPr>
                      <w:color w:val="000000" w:themeColor="text1"/>
                      <w:szCs w:val="21"/>
                      <w14:textFill>
                        <w14:solidFill>
                          <w14:schemeClr w14:val="tx1"/>
                        </w14:solidFill>
                      </w14:textFill>
                    </w:rPr>
                  </w:pPr>
                </w:p>
              </w:tc>
              <w:tc>
                <w:tcPr>
                  <w:tcW w:w="1018" w:type="pct"/>
                  <w:tcBorders>
                    <w:tl2br w:val="nil"/>
                    <w:tr2bl w:val="nil"/>
                  </w:tcBorders>
                  <w:vAlign w:val="center"/>
                </w:tcPr>
                <w:p>
                  <w:pPr>
                    <w:jc w:val="cente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TSP</w:t>
                  </w:r>
                </w:p>
              </w:tc>
              <w:tc>
                <w:tcPr>
                  <w:tcW w:w="976" w:type="pct"/>
                  <w:tcBorders>
                    <w:tl2br w:val="nil"/>
                    <w:tr2bl w:val="nil"/>
                  </w:tcBorders>
                  <w:vAlign w:val="center"/>
                </w:tcPr>
                <w:p>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0.1322</w:t>
                  </w:r>
                </w:p>
              </w:tc>
              <w:tc>
                <w:tcPr>
                  <w:tcW w:w="978" w:type="pct"/>
                  <w:tcBorders>
                    <w:tl2br w:val="nil"/>
                    <w:tr2bl w:val="nil"/>
                  </w:tcBorders>
                  <w:vAlign w:val="center"/>
                </w:tcPr>
                <w:p>
                  <w:pPr>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0.317</w:t>
                  </w:r>
                </w:p>
              </w:tc>
            </w:tr>
          </w:tbl>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fldChar w:fldCharType="begin"/>
            </w:r>
            <w:r>
              <w:rPr>
                <w:rFonts w:hint="eastAsia"/>
                <w:color w:val="000000" w:themeColor="text1"/>
                <w:sz w:val="24"/>
                <w14:textFill>
                  <w14:solidFill>
                    <w14:schemeClr w14:val="tx1"/>
                  </w14:solidFill>
                </w14:textFill>
              </w:rPr>
              <w:instrText xml:space="preserve">= 3 \* GB3</w:instrText>
            </w:r>
            <w:r>
              <w:rPr>
                <w:color w:val="000000" w:themeColor="text1"/>
                <w:sz w:val="24"/>
                <w14:textFill>
                  <w14:solidFill>
                    <w14:schemeClr w14:val="tx1"/>
                  </w14:solidFill>
                </w14:textFill>
              </w:rPr>
              <w:fldChar w:fldCharType="separate"/>
            </w:r>
            <w:r>
              <w:rPr>
                <w:rFonts w:hint="eastAsia"/>
                <w:color w:val="000000" w:themeColor="text1"/>
                <w:sz w:val="24"/>
                <w14:textFill>
                  <w14:solidFill>
                    <w14:schemeClr w14:val="tx1"/>
                  </w14:solidFill>
                </w14:textFill>
              </w:rPr>
              <w:t>③</w:t>
            </w:r>
            <w:r>
              <w:rPr>
                <w:color w:val="000000" w:themeColor="text1"/>
                <w:sz w:val="24"/>
                <w14:textFill>
                  <w14:solidFill>
                    <w14:schemeClr w14:val="tx1"/>
                  </w14:solidFill>
                </w14:textFill>
              </w:rPr>
              <w:fldChar w:fldCharType="end"/>
            </w:r>
            <w:r>
              <w:rPr>
                <w:rFonts w:hint="eastAsia"/>
                <w:color w:val="000000" w:themeColor="text1"/>
                <w:sz w:val="24"/>
                <w14:textFill>
                  <w14:solidFill>
                    <w14:schemeClr w14:val="tx1"/>
                  </w14:solidFill>
                </w14:textFill>
              </w:rPr>
              <w:t>非正常情况排放量核算</w:t>
            </w:r>
          </w:p>
          <w:p>
            <w:pPr>
              <w:pStyle w:val="51"/>
              <w:bidi w:val="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项目非正常情况考虑因处理设施（</w:t>
            </w:r>
            <w:r>
              <w:rPr>
                <w:rFonts w:hint="eastAsia"/>
                <w:color w:val="000000" w:themeColor="text1"/>
                <w:sz w:val="24"/>
                <w:lang w:eastAsia="zh-CN"/>
                <w14:textFill>
                  <w14:solidFill>
                    <w14:schemeClr w14:val="tx1"/>
                  </w14:solidFill>
                </w14:textFill>
              </w:rPr>
              <w:t>过滤棉</w:t>
            </w:r>
            <w:r>
              <w:rPr>
                <w:rFonts w:hint="eastAsia"/>
                <w:color w:val="000000" w:themeColor="text1"/>
                <w:sz w:val="24"/>
                <w14:textFill>
                  <w14:solidFill>
                    <w14:schemeClr w14:val="tx1"/>
                  </w14:solidFill>
                </w14:textFill>
              </w:rPr>
              <w:t>、活性炭吸附）维护不到位，导致去除效率降低至设计处理效率的一半。在此情况下，项目污染物排放情况如下表7-1</w:t>
            </w:r>
            <w:r>
              <w:rPr>
                <w:rFonts w:hint="eastAsia"/>
                <w:color w:val="000000" w:themeColor="text1"/>
                <w:sz w:val="24"/>
                <w:lang w:val="en-US" w:eastAsia="zh-CN"/>
                <w14:textFill>
                  <w14:solidFill>
                    <w14:schemeClr w14:val="tx1"/>
                  </w14:solidFill>
                </w14:textFill>
              </w:rPr>
              <w:t>3</w:t>
            </w:r>
            <w:r>
              <w:rPr>
                <w:rFonts w:hint="eastAsia"/>
                <w:color w:val="000000" w:themeColor="text1"/>
                <w:sz w:val="24"/>
                <w14:textFill>
                  <w14:solidFill>
                    <w14:schemeClr w14:val="tx1"/>
                  </w14:solidFill>
                </w14:textFill>
              </w:rPr>
              <w:t>。</w:t>
            </w:r>
          </w:p>
          <w:p>
            <w:pPr>
              <w:ind w:firstLine="422" w:firstLineChars="200"/>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表7-1</w:t>
            </w:r>
            <w:r>
              <w:rPr>
                <w:rFonts w:hint="eastAsia"/>
                <w:b/>
                <w:color w:val="000000" w:themeColor="text1"/>
                <w:szCs w:val="21"/>
                <w:lang w:val="en-US" w:eastAsia="zh-CN"/>
                <w14:textFill>
                  <w14:solidFill>
                    <w14:schemeClr w14:val="tx1"/>
                  </w14:solidFill>
                </w14:textFill>
              </w:rPr>
              <w:t>3</w:t>
            </w:r>
            <w:r>
              <w:rPr>
                <w:rFonts w:hint="eastAsia"/>
                <w:b/>
                <w:color w:val="000000" w:themeColor="text1"/>
                <w:szCs w:val="21"/>
                <w14:textFill>
                  <w14:solidFill>
                    <w14:schemeClr w14:val="tx1"/>
                  </w14:solidFill>
                </w14:textFill>
              </w:rPr>
              <w:t xml:space="preserve"> 本项目非正常情况下污染物排放情况表</w:t>
            </w:r>
          </w:p>
          <w:tbl>
            <w:tblPr>
              <w:tblStyle w:val="38"/>
              <w:tblW w:w="8163" w:type="dxa"/>
              <w:tblInd w:w="3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62"/>
              <w:gridCol w:w="908"/>
              <w:gridCol w:w="863"/>
              <w:gridCol w:w="863"/>
              <w:gridCol w:w="973"/>
              <w:gridCol w:w="1035"/>
              <w:gridCol w:w="933"/>
              <w:gridCol w:w="863"/>
              <w:gridCol w:w="86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62" w:type="dxa"/>
                  <w:tcBorders>
                    <w:tl2br w:val="nil"/>
                    <w:tr2bl w:val="nil"/>
                  </w:tcBorders>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序号</w:t>
                  </w:r>
                </w:p>
              </w:tc>
              <w:tc>
                <w:tcPr>
                  <w:tcW w:w="908" w:type="dxa"/>
                  <w:tcBorders>
                    <w:tl2br w:val="nil"/>
                    <w:tr2bl w:val="nil"/>
                  </w:tcBorders>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非正常设施</w:t>
                  </w:r>
                </w:p>
              </w:tc>
              <w:tc>
                <w:tcPr>
                  <w:tcW w:w="863" w:type="dxa"/>
                  <w:tcBorders>
                    <w:tl2br w:val="nil"/>
                    <w:tr2bl w:val="nil"/>
                  </w:tcBorders>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非正常原因</w:t>
                  </w:r>
                </w:p>
              </w:tc>
              <w:tc>
                <w:tcPr>
                  <w:tcW w:w="863" w:type="dxa"/>
                  <w:tcBorders>
                    <w:tl2br w:val="nil"/>
                    <w:tr2bl w:val="nil"/>
                  </w:tcBorders>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污染物</w:t>
                  </w:r>
                </w:p>
              </w:tc>
              <w:tc>
                <w:tcPr>
                  <w:tcW w:w="973" w:type="dxa"/>
                  <w:tcBorders>
                    <w:tl2br w:val="nil"/>
                    <w:tr2bl w:val="nil"/>
                  </w:tcBorders>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非正常排放浓度(mg/m</w:t>
                  </w:r>
                  <w:r>
                    <w:rPr>
                      <w:rFonts w:hint="eastAsia"/>
                      <w:b/>
                      <w:color w:val="000000" w:themeColor="text1"/>
                      <w:szCs w:val="21"/>
                      <w:vertAlign w:val="superscript"/>
                      <w14:textFill>
                        <w14:solidFill>
                          <w14:schemeClr w14:val="tx1"/>
                        </w14:solidFill>
                      </w14:textFill>
                    </w:rPr>
                    <w:t>3</w:t>
                  </w:r>
                  <w:r>
                    <w:rPr>
                      <w:rFonts w:hint="eastAsia"/>
                      <w:b/>
                      <w:color w:val="000000" w:themeColor="text1"/>
                      <w:szCs w:val="21"/>
                      <w14:textFill>
                        <w14:solidFill>
                          <w14:schemeClr w14:val="tx1"/>
                        </w14:solidFill>
                      </w14:textFill>
                    </w:rPr>
                    <w:t>)</w:t>
                  </w:r>
                </w:p>
              </w:tc>
              <w:tc>
                <w:tcPr>
                  <w:tcW w:w="1035" w:type="dxa"/>
                  <w:tcBorders>
                    <w:tl2br w:val="nil"/>
                    <w:tr2bl w:val="nil"/>
                  </w:tcBorders>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非正常排放速率（kg/h）</w:t>
                  </w:r>
                </w:p>
              </w:tc>
              <w:tc>
                <w:tcPr>
                  <w:tcW w:w="933" w:type="dxa"/>
                  <w:tcBorders>
                    <w:tl2br w:val="nil"/>
                    <w:tr2bl w:val="nil"/>
                  </w:tcBorders>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单次持续时间（h）</w:t>
                  </w:r>
                </w:p>
              </w:tc>
              <w:tc>
                <w:tcPr>
                  <w:tcW w:w="863" w:type="dxa"/>
                  <w:tcBorders>
                    <w:tl2br w:val="nil"/>
                    <w:tr2bl w:val="nil"/>
                  </w:tcBorders>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年发生频次</w:t>
                  </w:r>
                </w:p>
              </w:tc>
              <w:tc>
                <w:tcPr>
                  <w:tcW w:w="863" w:type="dxa"/>
                  <w:tcBorders>
                    <w:tl2br w:val="nil"/>
                    <w:tr2bl w:val="nil"/>
                  </w:tcBorders>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应对措施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6" w:hRule="atLeast"/>
              </w:trPr>
              <w:tc>
                <w:tcPr>
                  <w:tcW w:w="862" w:type="dxa"/>
                  <w:tcBorders>
                    <w:tl2br w:val="nil"/>
                    <w:tr2bl w:val="nil"/>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908" w:type="dxa"/>
                  <w:vMerge w:val="restart"/>
                  <w:tcBorders>
                    <w:tl2br w:val="nil"/>
                    <w:tr2bl w:val="nil"/>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活性炭吸附、光氧催化</w:t>
                  </w:r>
                </w:p>
              </w:tc>
              <w:tc>
                <w:tcPr>
                  <w:tcW w:w="863" w:type="dxa"/>
                  <w:vMerge w:val="restart"/>
                  <w:tcBorders>
                    <w:tl2br w:val="nil"/>
                    <w:tr2bl w:val="nil"/>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维护</w:t>
                  </w:r>
                </w:p>
              </w:tc>
              <w:tc>
                <w:tcPr>
                  <w:tcW w:w="863" w:type="dxa"/>
                  <w:tcBorders>
                    <w:tl2br w:val="nil"/>
                    <w:tr2bl w:val="nil"/>
                  </w:tcBorders>
                  <w:vAlign w:val="center"/>
                </w:tcPr>
                <w:p>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VOCs</w:t>
                  </w:r>
                </w:p>
              </w:tc>
              <w:tc>
                <w:tcPr>
                  <w:tcW w:w="973" w:type="dxa"/>
                  <w:tcBorders>
                    <w:tl2br w:val="nil"/>
                    <w:tr2bl w:val="nil"/>
                  </w:tcBorders>
                  <w:vAlign w:val="center"/>
                </w:tcPr>
                <w:p>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53.594</w:t>
                  </w:r>
                </w:p>
              </w:tc>
              <w:tc>
                <w:tcPr>
                  <w:tcW w:w="1035" w:type="dxa"/>
                  <w:tcBorders>
                    <w:tl2br w:val="nil"/>
                    <w:tr2bl w:val="nil"/>
                  </w:tcBorders>
                  <w:vAlign w:val="center"/>
                </w:tcPr>
                <w:p>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0.322</w:t>
                  </w:r>
                </w:p>
              </w:tc>
              <w:tc>
                <w:tcPr>
                  <w:tcW w:w="933" w:type="dxa"/>
                  <w:tcBorders>
                    <w:tl2br w:val="nil"/>
                    <w:tr2bl w:val="nil"/>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863" w:type="dxa"/>
                  <w:tcBorders>
                    <w:tl2br w:val="nil"/>
                    <w:tr2bl w:val="nil"/>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863" w:type="dxa"/>
                  <w:tcBorders>
                    <w:tl2br w:val="nil"/>
                    <w:tr2bl w:val="nil"/>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停产维护</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6" w:hRule="atLeast"/>
              </w:trPr>
              <w:tc>
                <w:tcPr>
                  <w:tcW w:w="862" w:type="dxa"/>
                  <w:tcBorders>
                    <w:tl2br w:val="nil"/>
                    <w:tr2bl w:val="nil"/>
                  </w:tcBorders>
                  <w:vAlign w:val="center"/>
                </w:tcPr>
                <w:p>
                  <w:pPr>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w:t>
                  </w:r>
                </w:p>
              </w:tc>
              <w:tc>
                <w:tcPr>
                  <w:tcW w:w="908" w:type="dxa"/>
                  <w:vMerge w:val="continue"/>
                  <w:tcBorders>
                    <w:tl2br w:val="nil"/>
                    <w:tr2bl w:val="nil"/>
                  </w:tcBorders>
                  <w:vAlign w:val="center"/>
                </w:tcPr>
                <w:p>
                  <w:pPr>
                    <w:jc w:val="center"/>
                    <w:rPr>
                      <w:rFonts w:hint="eastAsia"/>
                      <w:color w:val="000000" w:themeColor="text1"/>
                      <w:szCs w:val="21"/>
                      <w14:textFill>
                        <w14:solidFill>
                          <w14:schemeClr w14:val="tx1"/>
                        </w14:solidFill>
                      </w14:textFill>
                    </w:rPr>
                  </w:pPr>
                </w:p>
              </w:tc>
              <w:tc>
                <w:tcPr>
                  <w:tcW w:w="863" w:type="dxa"/>
                  <w:vMerge w:val="continue"/>
                  <w:tcBorders>
                    <w:tl2br w:val="nil"/>
                    <w:tr2bl w:val="nil"/>
                  </w:tcBorders>
                  <w:vAlign w:val="center"/>
                </w:tcPr>
                <w:p>
                  <w:pPr>
                    <w:jc w:val="center"/>
                    <w:rPr>
                      <w:rFonts w:hint="eastAsia"/>
                      <w:color w:val="000000" w:themeColor="text1"/>
                      <w:szCs w:val="21"/>
                      <w14:textFill>
                        <w14:solidFill>
                          <w14:schemeClr w14:val="tx1"/>
                        </w14:solidFill>
                      </w14:textFill>
                    </w:rPr>
                  </w:pPr>
                </w:p>
              </w:tc>
              <w:tc>
                <w:tcPr>
                  <w:tcW w:w="863" w:type="dxa"/>
                  <w:tcBorders>
                    <w:tl2br w:val="nil"/>
                    <w:tr2bl w:val="nil"/>
                  </w:tcBorders>
                  <w:vAlign w:val="center"/>
                </w:tcPr>
                <w:p>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TSP</w:t>
                  </w:r>
                </w:p>
              </w:tc>
              <w:tc>
                <w:tcPr>
                  <w:tcW w:w="973" w:type="dxa"/>
                  <w:tcBorders>
                    <w:tl2br w:val="nil"/>
                    <w:tr2bl w:val="nil"/>
                  </w:tcBorders>
                  <w:vAlign w:val="center"/>
                </w:tcPr>
                <w:p>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22.72</w:t>
                  </w:r>
                </w:p>
              </w:tc>
              <w:tc>
                <w:tcPr>
                  <w:tcW w:w="1035" w:type="dxa"/>
                  <w:tcBorders>
                    <w:tl2br w:val="nil"/>
                    <w:tr2bl w:val="nil"/>
                  </w:tcBorders>
                  <w:vAlign w:val="center"/>
                </w:tcPr>
                <w:p>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0.136</w:t>
                  </w:r>
                </w:p>
              </w:tc>
              <w:tc>
                <w:tcPr>
                  <w:tcW w:w="933" w:type="dxa"/>
                  <w:tcBorders>
                    <w:tl2br w:val="nil"/>
                    <w:tr2bl w:val="nil"/>
                  </w:tcBorders>
                  <w:vAlign w:val="center"/>
                </w:tcPr>
                <w:p>
                  <w:pPr>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w:t>
                  </w:r>
                </w:p>
              </w:tc>
              <w:tc>
                <w:tcPr>
                  <w:tcW w:w="863" w:type="dxa"/>
                  <w:tcBorders>
                    <w:tl2br w:val="nil"/>
                    <w:tr2bl w:val="nil"/>
                  </w:tcBorders>
                  <w:vAlign w:val="center"/>
                </w:tcPr>
                <w:p>
                  <w:pPr>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w:t>
                  </w:r>
                </w:p>
              </w:tc>
              <w:tc>
                <w:tcPr>
                  <w:tcW w:w="863" w:type="dxa"/>
                  <w:tcBorders>
                    <w:tl2br w:val="nil"/>
                    <w:tr2bl w:val="nil"/>
                  </w:tcBorders>
                  <w:vAlign w:val="center"/>
                </w:tcPr>
                <w:p>
                  <w:pPr>
                    <w:jc w:val="center"/>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停产维护</w:t>
                  </w:r>
                </w:p>
              </w:tc>
            </w:tr>
          </w:tbl>
          <w:p>
            <w:pPr>
              <w:spacing w:line="360" w:lineRule="auto"/>
              <w:ind w:firstLine="482" w:firstLineChars="200"/>
              <w:rPr>
                <w:rFonts w:hint="eastAsia" w:ascii="Times New Roman" w:hAnsi="Times New Roman" w:cs="Times New Roman"/>
                <w:b/>
                <w:bCs/>
                <w:sz w:val="24"/>
                <w:szCs w:val="24"/>
                <w:lang w:val="en-US" w:eastAsia="zh-CN"/>
              </w:rPr>
            </w:pPr>
            <w:r>
              <w:rPr>
                <w:rFonts w:hint="eastAsia" w:cs="Times New Roman"/>
                <w:b/>
                <w:bCs/>
                <w:sz w:val="24"/>
                <w:szCs w:val="24"/>
                <w:lang w:val="en-US" w:eastAsia="zh-CN"/>
              </w:rPr>
              <w:t>9</w:t>
            </w:r>
            <w:r>
              <w:rPr>
                <w:rFonts w:hint="eastAsia" w:ascii="Times New Roman" w:hAnsi="Times New Roman" w:cs="Times New Roman"/>
                <w:b/>
                <w:bCs/>
                <w:sz w:val="24"/>
                <w:szCs w:val="24"/>
                <w:lang w:val="en-US" w:eastAsia="zh-CN"/>
              </w:rPr>
              <w:t>）本项目废气控制措施可行性分析</w:t>
            </w:r>
          </w:p>
          <w:p>
            <w:pPr>
              <w:spacing w:line="360" w:lineRule="auto"/>
              <w:ind w:firstLine="480" w:firstLineChars="200"/>
              <w:rPr>
                <w:rFonts w:hint="eastAsia" w:cs="Times New Roman"/>
                <w:b w:val="0"/>
                <w:bCs w:val="0"/>
                <w:sz w:val="24"/>
                <w:szCs w:val="24"/>
                <w:lang w:val="en-US" w:eastAsia="zh-CN"/>
              </w:rPr>
            </w:pPr>
            <w:r>
              <w:rPr>
                <w:rFonts w:hint="eastAsia" w:cs="Times New Roman"/>
                <w:b w:val="0"/>
                <w:bCs w:val="0"/>
                <w:sz w:val="24"/>
                <w:szCs w:val="24"/>
                <w:lang w:val="en-US" w:eastAsia="zh-CN"/>
              </w:rPr>
              <w:fldChar w:fldCharType="begin"/>
            </w:r>
            <w:r>
              <w:rPr>
                <w:rFonts w:hint="eastAsia" w:cs="Times New Roman"/>
                <w:b w:val="0"/>
                <w:bCs w:val="0"/>
                <w:sz w:val="24"/>
                <w:szCs w:val="24"/>
                <w:lang w:val="en-US" w:eastAsia="zh-CN"/>
              </w:rPr>
              <w:instrText xml:space="preserve"> = 1 \* GB3 </w:instrText>
            </w:r>
            <w:r>
              <w:rPr>
                <w:rFonts w:hint="eastAsia" w:cs="Times New Roman"/>
                <w:b w:val="0"/>
                <w:bCs w:val="0"/>
                <w:sz w:val="24"/>
                <w:szCs w:val="24"/>
                <w:lang w:val="en-US" w:eastAsia="zh-CN"/>
              </w:rPr>
              <w:fldChar w:fldCharType="separate"/>
            </w:r>
            <w:r>
              <w:rPr>
                <w:rFonts w:hint="eastAsia" w:cs="Times New Roman"/>
                <w:b w:val="0"/>
                <w:bCs w:val="0"/>
                <w:sz w:val="24"/>
                <w:szCs w:val="24"/>
                <w:lang w:val="en-US" w:eastAsia="zh-CN"/>
              </w:rPr>
              <w:t>①</w:t>
            </w:r>
            <w:r>
              <w:rPr>
                <w:rFonts w:hint="eastAsia" w:cs="Times New Roman"/>
                <w:b w:val="0"/>
                <w:bCs w:val="0"/>
                <w:sz w:val="24"/>
                <w:szCs w:val="24"/>
                <w:lang w:val="en-US" w:eastAsia="zh-CN"/>
              </w:rPr>
              <w:fldChar w:fldCharType="end"/>
            </w:r>
            <w:r>
              <w:rPr>
                <w:rFonts w:hint="eastAsia" w:cs="Times New Roman"/>
                <w:b w:val="0"/>
                <w:bCs w:val="0"/>
                <w:sz w:val="24"/>
                <w:szCs w:val="24"/>
                <w:lang w:val="en-US" w:eastAsia="zh-CN"/>
              </w:rPr>
              <w:t>密闭喷漆房+过滤棉+活性炭吸附装置</w:t>
            </w:r>
          </w:p>
          <w:p>
            <w:pPr>
              <w:spacing w:line="360" w:lineRule="auto"/>
              <w:ind w:firstLine="480" w:firstLineChars="200"/>
              <w:rPr>
                <w:rFonts w:hint="eastAsia" w:cs="Times New Roman"/>
                <w:b w:val="0"/>
                <w:bCs w:val="0"/>
                <w:sz w:val="24"/>
                <w:szCs w:val="24"/>
                <w:lang w:val="en-US" w:eastAsia="zh-CN"/>
              </w:rPr>
            </w:pPr>
            <w:r>
              <w:rPr>
                <w:rFonts w:hint="eastAsia" w:cs="Times New Roman"/>
                <w:b w:val="0"/>
                <w:bCs w:val="0"/>
                <w:sz w:val="24"/>
                <w:szCs w:val="24"/>
                <w:lang w:val="en-US" w:eastAsia="zh-CN"/>
              </w:rPr>
              <w:t>本项目运营过程中产生的挥发性有机物及漆雾采用“过滤棉+活性炭吸附”系统进行处理。项目的喷漆房为密闭车间，可有效的收集喷漆过程产生的90%有机废气，通过集气总管连接1套“过滤棉+活性炭吸附”系统处理，最后由一根15m高排气筒排放。风机风量为6000m</w:t>
            </w:r>
            <w:r>
              <w:rPr>
                <w:rFonts w:hint="eastAsia" w:cs="Times New Roman"/>
                <w:b w:val="0"/>
                <w:bCs w:val="0"/>
                <w:sz w:val="24"/>
                <w:szCs w:val="24"/>
                <w:vertAlign w:val="superscript"/>
                <w:lang w:val="en-US" w:eastAsia="zh-CN"/>
              </w:rPr>
              <w:t>3</w:t>
            </w:r>
            <w:r>
              <w:rPr>
                <w:rFonts w:hint="eastAsia" w:cs="Times New Roman"/>
                <w:b w:val="0"/>
                <w:bCs w:val="0"/>
                <w:sz w:val="24"/>
                <w:szCs w:val="24"/>
                <w:lang w:val="en-US" w:eastAsia="zh-CN"/>
              </w:rPr>
              <w:t>/h，挥发性有机物处理效率不低于85%，漆雾处理效率不等于85%。根据云南省生态环境厅《关于印发云南省重点行业挥发性有机物综合治理实施方案的通知》（云环通[2019]125号）文件要求，本项目首先工艺设备均在密闭厂房内进行，其次，有机废气采用吸附法，并且是“过滤棉+活性炭吸附”组合工艺，而非单级处理，处理效率能达到85%，符合通知中“去除效率不低于80%”要求，该工艺广泛应用在处理石油化工、制药、喷漆、烤漆、印刷等有机废气行业，而且效果理想。本环评要求建设单位委托有设计资质的环保设备厂家进行废气设施设计、安装等，确保设施设计符合《吸附法工艺有机废气技术规范要求》。</w:t>
            </w:r>
          </w:p>
          <w:p>
            <w:pPr>
              <w:spacing w:line="360" w:lineRule="auto"/>
              <w:ind w:firstLine="480" w:firstLineChars="200"/>
              <w:rPr>
                <w:rFonts w:hint="eastAsia" w:cs="Times New Roman"/>
                <w:b w:val="0"/>
                <w:bCs w:val="0"/>
                <w:sz w:val="24"/>
                <w:szCs w:val="24"/>
                <w:lang w:val="en-US" w:eastAsia="zh-CN"/>
              </w:rPr>
            </w:pPr>
            <w:r>
              <w:rPr>
                <w:rFonts w:hint="eastAsia" w:cs="Times New Roman"/>
                <w:b w:val="0"/>
                <w:bCs w:val="0"/>
                <w:sz w:val="24"/>
                <w:szCs w:val="24"/>
                <w:lang w:val="en-US" w:eastAsia="zh-CN"/>
              </w:rPr>
              <w:t>项目经该处理装置后挥发性有机物的排放浓度为，20.55mg/ m</w:t>
            </w:r>
            <w:r>
              <w:rPr>
                <w:rFonts w:hint="eastAsia" w:cs="Times New Roman"/>
                <w:b w:val="0"/>
                <w:bCs w:val="0"/>
                <w:sz w:val="24"/>
                <w:szCs w:val="24"/>
                <w:vertAlign w:val="superscript"/>
                <w:lang w:val="en-US" w:eastAsia="zh-CN"/>
              </w:rPr>
              <w:t>3</w:t>
            </w:r>
            <w:r>
              <w:rPr>
                <w:rFonts w:hint="eastAsia" w:cs="Times New Roman"/>
                <w:b w:val="0"/>
                <w:bCs w:val="0"/>
                <w:sz w:val="24"/>
                <w:szCs w:val="24"/>
                <w:lang w:val="en-US" w:eastAsia="zh-CN"/>
              </w:rPr>
              <w:t>，能满足《大气污染物综合排放标准》（GB16297-1996）表2中非甲烷总烃最高允许排放浓度限值。</w:t>
            </w:r>
          </w:p>
          <w:p>
            <w:pPr>
              <w:spacing w:line="360" w:lineRule="auto"/>
              <w:ind w:firstLine="480" w:firstLineChars="200"/>
              <w:rPr>
                <w:rFonts w:hint="eastAsia" w:cs="Times New Roman"/>
                <w:b w:val="0"/>
                <w:bCs w:val="0"/>
                <w:sz w:val="24"/>
                <w:szCs w:val="24"/>
                <w:lang w:val="en-US" w:eastAsia="zh-CN"/>
              </w:rPr>
            </w:pPr>
            <w:r>
              <w:rPr>
                <w:rFonts w:hint="eastAsia" w:cs="Times New Roman"/>
                <w:b w:val="0"/>
                <w:bCs w:val="0"/>
                <w:sz w:val="24"/>
                <w:szCs w:val="24"/>
                <w:lang w:val="en-US" w:eastAsia="zh-CN"/>
              </w:rPr>
              <w:fldChar w:fldCharType="begin"/>
            </w:r>
            <w:r>
              <w:rPr>
                <w:rFonts w:hint="eastAsia" w:cs="Times New Roman"/>
                <w:b w:val="0"/>
                <w:bCs w:val="0"/>
                <w:sz w:val="24"/>
                <w:szCs w:val="24"/>
                <w:lang w:val="en-US" w:eastAsia="zh-CN"/>
              </w:rPr>
              <w:instrText xml:space="preserve"> = 2 \* GB3 </w:instrText>
            </w:r>
            <w:r>
              <w:rPr>
                <w:rFonts w:hint="eastAsia" w:cs="Times New Roman"/>
                <w:b w:val="0"/>
                <w:bCs w:val="0"/>
                <w:sz w:val="24"/>
                <w:szCs w:val="24"/>
                <w:lang w:val="en-US" w:eastAsia="zh-CN"/>
              </w:rPr>
              <w:fldChar w:fldCharType="separate"/>
            </w:r>
            <w:r>
              <w:rPr>
                <w:rFonts w:hint="eastAsia" w:cs="Times New Roman"/>
                <w:b w:val="0"/>
                <w:bCs w:val="0"/>
                <w:sz w:val="24"/>
                <w:szCs w:val="24"/>
                <w:lang w:val="en-US" w:eastAsia="zh-CN"/>
              </w:rPr>
              <w:t>②</w:t>
            </w:r>
            <w:r>
              <w:rPr>
                <w:rFonts w:hint="eastAsia" w:cs="Times New Roman"/>
                <w:b w:val="0"/>
                <w:bCs w:val="0"/>
                <w:sz w:val="24"/>
                <w:szCs w:val="24"/>
                <w:lang w:val="en-US" w:eastAsia="zh-CN"/>
              </w:rPr>
              <w:fldChar w:fldCharType="end"/>
            </w:r>
            <w:r>
              <w:rPr>
                <w:rFonts w:hint="eastAsia" w:cs="Times New Roman"/>
                <w:b w:val="0"/>
                <w:bCs w:val="0"/>
                <w:sz w:val="24"/>
                <w:szCs w:val="24"/>
                <w:lang w:val="en-US" w:eastAsia="zh-CN"/>
              </w:rPr>
              <w:t>食堂油烟净化器</w:t>
            </w:r>
          </w:p>
          <w:p>
            <w:pPr>
              <w:spacing w:line="360" w:lineRule="auto"/>
              <w:ind w:firstLine="480" w:firstLineChars="200"/>
              <w:rPr>
                <w:rFonts w:hint="eastAsia" w:cs="Times New Roman"/>
                <w:b w:val="0"/>
                <w:bCs w:val="0"/>
                <w:sz w:val="24"/>
                <w:szCs w:val="24"/>
                <w:lang w:val="en-US" w:eastAsia="zh-CN"/>
              </w:rPr>
            </w:pPr>
            <w:r>
              <w:rPr>
                <w:rFonts w:hint="eastAsia" w:cs="Times New Roman"/>
                <w:b w:val="0"/>
                <w:bCs w:val="0"/>
                <w:sz w:val="24"/>
                <w:szCs w:val="24"/>
                <w:lang w:val="en-US" w:eastAsia="zh-CN"/>
              </w:rPr>
              <w:t>本项目食堂设置一个灶头，根据《饮食业油烟排放标准》（GB18483-2001）中规模划分为小型食堂，根据该标准要求，使用的食堂油烟净化器处理效率不低于60%，本次环评提出项目使用高效静电式油烟净化器1台，设计处理效率最低处理效率80%计算，处理后排放浓度 为0.525mg/ m</w:t>
            </w:r>
            <w:r>
              <w:rPr>
                <w:rFonts w:hint="eastAsia" w:cs="Times New Roman"/>
                <w:b w:val="0"/>
                <w:bCs w:val="0"/>
                <w:sz w:val="24"/>
                <w:szCs w:val="24"/>
                <w:vertAlign w:val="superscript"/>
                <w:lang w:val="en-US" w:eastAsia="zh-CN"/>
              </w:rPr>
              <w:t>3</w:t>
            </w:r>
            <w:r>
              <w:rPr>
                <w:rFonts w:hint="eastAsia" w:cs="Times New Roman"/>
                <w:b w:val="0"/>
                <w:bCs w:val="0"/>
                <w:sz w:val="24"/>
                <w:szCs w:val="24"/>
                <w:lang w:val="en-US" w:eastAsia="zh-CN"/>
              </w:rPr>
              <w:t>，能满足《饮食业油烟排放标准》（GB18483-2001）小型食堂最高允许排放浓度2.0mg/ m</w:t>
            </w:r>
            <w:r>
              <w:rPr>
                <w:rFonts w:hint="eastAsia" w:cs="Times New Roman"/>
                <w:b w:val="0"/>
                <w:bCs w:val="0"/>
                <w:sz w:val="24"/>
                <w:szCs w:val="24"/>
                <w:vertAlign w:val="superscript"/>
                <w:lang w:val="en-US" w:eastAsia="zh-CN"/>
              </w:rPr>
              <w:t>3</w:t>
            </w:r>
            <w:r>
              <w:rPr>
                <w:rFonts w:hint="eastAsia" w:cs="Times New Roman"/>
                <w:b w:val="0"/>
                <w:bCs w:val="0"/>
                <w:sz w:val="24"/>
                <w:szCs w:val="24"/>
                <w:lang w:val="en-US" w:eastAsia="zh-CN"/>
              </w:rPr>
              <w:t>的要求。</w:t>
            </w:r>
          </w:p>
          <w:p>
            <w:pPr>
              <w:spacing w:line="360" w:lineRule="auto"/>
              <w:ind w:firstLine="480" w:firstLineChars="200"/>
              <w:rPr>
                <w:rFonts w:hint="eastAsia" w:cs="Times New Roman"/>
                <w:b w:val="0"/>
                <w:bCs w:val="0"/>
                <w:sz w:val="24"/>
                <w:szCs w:val="24"/>
                <w:lang w:val="en-US" w:eastAsia="zh-CN"/>
              </w:rPr>
            </w:pPr>
            <w:r>
              <w:rPr>
                <w:rFonts w:hint="eastAsia" w:cs="Times New Roman"/>
                <w:b w:val="0"/>
                <w:bCs w:val="0"/>
                <w:sz w:val="24"/>
                <w:szCs w:val="24"/>
                <w:lang w:val="en-US" w:eastAsia="zh-CN"/>
              </w:rPr>
              <w:fldChar w:fldCharType="begin"/>
            </w:r>
            <w:r>
              <w:rPr>
                <w:rFonts w:hint="eastAsia" w:cs="Times New Roman"/>
                <w:b w:val="0"/>
                <w:bCs w:val="0"/>
                <w:sz w:val="24"/>
                <w:szCs w:val="24"/>
                <w:lang w:val="en-US" w:eastAsia="zh-CN"/>
              </w:rPr>
              <w:instrText xml:space="preserve"> = 3 \* GB3 </w:instrText>
            </w:r>
            <w:r>
              <w:rPr>
                <w:rFonts w:hint="eastAsia" w:cs="Times New Roman"/>
                <w:b w:val="0"/>
                <w:bCs w:val="0"/>
                <w:sz w:val="24"/>
                <w:szCs w:val="24"/>
                <w:lang w:val="en-US" w:eastAsia="zh-CN"/>
              </w:rPr>
              <w:fldChar w:fldCharType="separate"/>
            </w:r>
            <w:r>
              <w:rPr>
                <w:rFonts w:hint="eastAsia" w:cs="Times New Roman"/>
                <w:b w:val="0"/>
                <w:bCs w:val="0"/>
                <w:sz w:val="24"/>
                <w:szCs w:val="24"/>
                <w:lang w:val="en-US" w:eastAsia="zh-CN"/>
              </w:rPr>
              <w:t>③</w:t>
            </w:r>
            <w:r>
              <w:rPr>
                <w:rFonts w:hint="eastAsia" w:cs="Times New Roman"/>
                <w:b w:val="0"/>
                <w:bCs w:val="0"/>
                <w:sz w:val="24"/>
                <w:szCs w:val="24"/>
                <w:lang w:val="en-US" w:eastAsia="zh-CN"/>
              </w:rPr>
              <w:fldChar w:fldCharType="end"/>
            </w:r>
            <w:r>
              <w:rPr>
                <w:rFonts w:hint="eastAsia" w:cs="Times New Roman"/>
                <w:b w:val="0"/>
                <w:bCs w:val="0"/>
                <w:sz w:val="24"/>
                <w:szCs w:val="24"/>
                <w:lang w:val="en-US" w:eastAsia="zh-CN"/>
              </w:rPr>
              <w:t>排气筒设置高度合理性分析</w:t>
            </w:r>
          </w:p>
          <w:p>
            <w:pPr>
              <w:spacing w:line="360" w:lineRule="auto"/>
              <w:ind w:firstLine="480" w:firstLineChars="200"/>
              <w:rPr>
                <w:rFonts w:hint="eastAsia" w:cs="Times New Roman"/>
                <w:b w:val="0"/>
                <w:bCs w:val="0"/>
                <w:sz w:val="24"/>
                <w:szCs w:val="24"/>
                <w:lang w:val="en-US" w:eastAsia="zh-CN"/>
              </w:rPr>
            </w:pPr>
            <w:r>
              <w:rPr>
                <w:rFonts w:hint="eastAsia" w:cs="Times New Roman"/>
                <w:b w:val="0"/>
                <w:bCs w:val="0"/>
                <w:sz w:val="24"/>
                <w:szCs w:val="24"/>
                <w:lang w:val="en-US" w:eastAsia="zh-CN"/>
              </w:rPr>
              <w:t>本项目设置有1个排气筒，排气筒排放喷漆房产生的有机废气，排气筒有效高度为15m。根据《大气污染物综合排放标准》（GB16297—1996）7.1“排气筒高度除遵守表列排放速率标准值外，还应高出周围200米半径范围的建筑物5m以上，不能达到该要求的排气筒，应按其高度对应的表列排放速率标准值严格50%执行”。本项目周边200m范围标高最高的建筑为本项目的办公生活楼，楼顶标高约1737m，本项目食堂油烟引至综合楼顶部排放，符合排气筒高度要求。项目有机废气排气筒高度为15m，排气筒底部标高为1725m，则排气筒有效标高为1740m，高于本项目综合楼。</w:t>
            </w:r>
          </w:p>
          <w:p>
            <w:pPr>
              <w:spacing w:line="360" w:lineRule="auto"/>
              <w:ind w:firstLine="480" w:firstLineChars="200"/>
              <w:rPr>
                <w:rFonts w:hint="eastAsia" w:cs="Times New Roman"/>
                <w:b w:val="0"/>
                <w:bCs w:val="0"/>
                <w:sz w:val="24"/>
                <w:szCs w:val="24"/>
                <w:lang w:val="en-US" w:eastAsia="zh-CN"/>
              </w:rPr>
            </w:pPr>
            <w:r>
              <w:rPr>
                <w:rFonts w:hint="eastAsia" w:cs="Times New Roman"/>
                <w:b w:val="0"/>
                <w:bCs w:val="0"/>
                <w:sz w:val="24"/>
                <w:szCs w:val="24"/>
                <w:lang w:val="en-US" w:eastAsia="zh-CN"/>
              </w:rPr>
              <w:t>综上，本项目排气筒设置的高度是合理的。</w:t>
            </w:r>
          </w:p>
          <w:p>
            <w:pPr>
              <w:spacing w:line="360" w:lineRule="auto"/>
              <w:ind w:firstLine="482" w:firstLineChars="200"/>
              <w:rPr>
                <w:rFonts w:hint="default" w:ascii="Times New Roman" w:hAnsi="Times New Roman" w:cs="Times New Roman"/>
                <w:b/>
                <w:bCs/>
                <w:sz w:val="24"/>
                <w:szCs w:val="24"/>
                <w:lang w:val="en-US" w:eastAsia="zh-CN"/>
              </w:rPr>
            </w:pPr>
            <w:r>
              <w:rPr>
                <w:rFonts w:hint="eastAsia" w:cs="Times New Roman"/>
                <w:b/>
                <w:bCs/>
                <w:sz w:val="24"/>
                <w:szCs w:val="24"/>
                <w:lang w:val="en-US" w:eastAsia="zh-CN"/>
              </w:rPr>
              <w:t>10</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lang w:val="en-US" w:eastAsia="zh-CN"/>
              </w:rPr>
              <w:t>大气环境防护距离</w:t>
            </w:r>
          </w:p>
          <w:p>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本次项目大气评价等级为二级，按照《环境影响评价技术导则一大气环境》（HJ2.2-2018）规定8.7.5要求“对于项目厂界浓度满足大气污染物厂界浓度限值，但厂界外大气污染物短期贡献浓度超过环境质量浓度限值的，可以自厂界向外设置一定范围的大气环境防护区域，以确保大气环境防护区域外的污染物贡献浓度满足环境质量标准”，根据预测结果，本项目无组织排放的TSP、VOCs最大地面落地浓度分别满足《环境空气质量标准》(GB3095-2012)二级标准要求（TSP≤900ug/m</w:t>
            </w:r>
            <w:r>
              <w:rPr>
                <w:rFonts w:hint="eastAsia" w:ascii="Times New Roman" w:hAnsi="Times New Roman" w:cs="Times New Roman"/>
                <w:sz w:val="24"/>
                <w:szCs w:val="24"/>
                <w:vertAlign w:val="superscript"/>
                <w:lang w:val="en-US" w:eastAsia="zh-CN"/>
              </w:rPr>
              <w:t>3</w:t>
            </w:r>
            <w:r>
              <w:rPr>
                <w:rFonts w:hint="eastAsia" w:ascii="Times New Roman" w:hAnsi="Times New Roman" w:cs="Times New Roman"/>
                <w:sz w:val="24"/>
                <w:szCs w:val="24"/>
                <w:lang w:val="en-US" w:eastAsia="zh-CN"/>
              </w:rPr>
              <w:t>）、《环境影响评价技术导则-大气环境》HJ2.2-2018附录D中关于TVOC限值要求</w:t>
            </w:r>
            <w:r>
              <w:rPr>
                <w:rFonts w:hint="default" w:ascii="Times New Roman" w:hAnsi="Times New Roman" w:cs="Times New Roman"/>
                <w:sz w:val="24"/>
                <w:szCs w:val="24"/>
                <w:lang w:val="en-US" w:eastAsia="zh-CN"/>
              </w:rPr>
              <w:t>（T</w:t>
            </w:r>
            <w:r>
              <w:rPr>
                <w:rFonts w:hint="eastAsia" w:ascii="Times New Roman" w:hAnsi="Times New Roman" w:cs="Times New Roman"/>
                <w:sz w:val="24"/>
                <w:szCs w:val="24"/>
                <w:lang w:val="en-US" w:eastAsia="zh-CN"/>
              </w:rPr>
              <w:t>VOC</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600</w:t>
            </w:r>
            <w:r>
              <w:rPr>
                <w:rFonts w:hint="default" w:ascii="Times New Roman" w:hAnsi="Times New Roman" w:cs="Times New Roman"/>
                <w:sz w:val="24"/>
                <w:szCs w:val="24"/>
                <w:lang w:val="en-US" w:eastAsia="zh-CN"/>
              </w:rPr>
              <w:t>ug/</w:t>
            </w:r>
            <w:r>
              <w:rPr>
                <w:rFonts w:hint="eastAsia" w:ascii="Times New Roman" w:hAnsi="Times New Roman" w:cs="Times New Roman"/>
                <w:sz w:val="24"/>
                <w:szCs w:val="24"/>
                <w:lang w:val="en-US" w:eastAsia="zh-CN"/>
              </w:rPr>
              <w:t>m</w:t>
            </w:r>
            <w:r>
              <w:rPr>
                <w:rFonts w:hint="eastAsia" w:ascii="Times New Roman" w:hAnsi="Times New Roman" w:cs="Times New Roman"/>
                <w:sz w:val="24"/>
                <w:szCs w:val="24"/>
                <w:vertAlign w:val="superscript"/>
                <w:lang w:val="en-US" w:eastAsia="zh-CN"/>
              </w:rPr>
              <w:t>3</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，故无需计算大气环境防护距离，无需设置大气环境防护区域。</w:t>
            </w:r>
          </w:p>
          <w:p>
            <w:pPr>
              <w:pStyle w:val="2"/>
              <w:numPr>
                <w:ilvl w:val="0"/>
                <w:numId w:val="0"/>
              </w:numPr>
              <w:ind w:firstLine="482" w:firstLineChars="200"/>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11）</w:t>
            </w:r>
            <w:r>
              <w:rPr>
                <w:rFonts w:hint="default" w:ascii="Times New Roman" w:hAnsi="Times New Roman" w:cs="Times New Roman"/>
                <w:b/>
                <w:bCs/>
                <w:sz w:val="24"/>
                <w:szCs w:val="24"/>
                <w:lang w:val="en-US" w:eastAsia="zh-CN"/>
              </w:rPr>
              <w:t>大气环境影响分析总结论</w:t>
            </w:r>
          </w:p>
          <w:p>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项目有机废气采用“过滤棉+活性炭吸附”系统处理后，由15m高排气筒排放，可实现达标排放。本项目最近的敏感目标为项目东侧</w:t>
            </w:r>
            <w:r>
              <w:rPr>
                <w:rFonts w:hint="eastAsia" w:cs="Times New Roman"/>
                <w:sz w:val="24"/>
                <w:szCs w:val="24"/>
                <w:lang w:val="en-US" w:eastAsia="zh-CN"/>
              </w:rPr>
              <w:t>200</w:t>
            </w:r>
            <w:r>
              <w:rPr>
                <w:rFonts w:hint="eastAsia" w:ascii="Times New Roman" w:hAnsi="Times New Roman" w:cs="Times New Roman"/>
                <w:sz w:val="24"/>
                <w:szCs w:val="24"/>
                <w:lang w:val="en-US" w:eastAsia="zh-CN"/>
              </w:rPr>
              <w:t>m（排气筒至敏感点的距离）</w:t>
            </w:r>
            <w:r>
              <w:rPr>
                <w:rFonts w:hint="eastAsia" w:cs="Times New Roman"/>
                <w:sz w:val="24"/>
                <w:szCs w:val="24"/>
                <w:lang w:val="en-US" w:eastAsia="zh-CN"/>
              </w:rPr>
              <w:t>的哨箐散户</w:t>
            </w:r>
            <w:r>
              <w:rPr>
                <w:rFonts w:hint="eastAsia" w:ascii="Times New Roman" w:hAnsi="Times New Roman" w:cs="Times New Roman"/>
                <w:sz w:val="24"/>
                <w:szCs w:val="24"/>
                <w:lang w:val="en-US" w:eastAsia="zh-CN"/>
              </w:rPr>
              <w:t>，挥发性有机物及颗粒物的预测占标率均小于10％，对周边环境影响较小。项目食堂油烟经高效静电式油烟净化器处理后引至楼顶排放，符合排放标准，对周边环境影响较小。</w:t>
            </w:r>
          </w:p>
          <w:p>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项目产生的粉尘、焊烟经移动式除尘器处理后排入生产车间，大部分经重力沉降，无组织</w:t>
            </w:r>
            <w:r>
              <w:rPr>
                <w:rFonts w:hint="eastAsia" w:cs="Times New Roman"/>
                <w:sz w:val="24"/>
                <w:szCs w:val="24"/>
                <w:lang w:val="en-US" w:eastAsia="zh-CN"/>
              </w:rPr>
              <w:t>T</w:t>
            </w:r>
            <w:r>
              <w:rPr>
                <w:rFonts w:hint="eastAsia" w:ascii="Times New Roman" w:hAnsi="Times New Roman" w:cs="Times New Roman"/>
                <w:sz w:val="24"/>
                <w:szCs w:val="24"/>
                <w:lang w:val="en-US" w:eastAsia="zh-CN"/>
              </w:rPr>
              <w:t>VOC产生很小，经空气自然稀释净化对周围环境影响较小。</w:t>
            </w:r>
          </w:p>
          <w:p>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建设项目大气环境影响评价自查表见报告后附表1。</w:t>
            </w:r>
          </w:p>
          <w:p>
            <w:pPr>
              <w:pStyle w:val="25"/>
              <w:adjustRightInd w:val="0"/>
              <w:snapToGrid w:val="0"/>
              <w:spacing w:line="360" w:lineRule="auto"/>
              <w:ind w:firstLine="0" w:firstLineChars="0"/>
              <w:rPr>
                <w:rFonts w:hint="default"/>
                <w:b/>
                <w:bCs/>
                <w:color w:val="000000" w:themeColor="text1"/>
                <w14:textFill>
                  <w14:solidFill>
                    <w14:schemeClr w14:val="tx1"/>
                  </w14:solidFill>
                </w14:textFill>
              </w:rPr>
            </w:pPr>
            <w:r>
              <w:rPr>
                <w:rFonts w:hint="default"/>
              </w:rPr>
              <w:t xml:space="preserve">  </w:t>
            </w:r>
            <w:r>
              <w:rPr>
                <w:rFonts w:hint="default"/>
                <w:sz w:val="24"/>
                <w:szCs w:val="18"/>
              </w:rPr>
              <w:t xml:space="preserve"> </w:t>
            </w:r>
            <w:r>
              <w:rPr>
                <w:rFonts w:hint="default"/>
                <w:b/>
                <w:bCs/>
                <w:color w:val="000000" w:themeColor="text1"/>
                <w:sz w:val="24"/>
                <w:szCs w:val="18"/>
                <w14:textFill>
                  <w14:solidFill>
                    <w14:schemeClr w14:val="tx1"/>
                  </w14:solidFill>
                </w14:textFill>
              </w:rPr>
              <w:t xml:space="preserve"> 2、水环境影响分析</w:t>
            </w:r>
          </w:p>
          <w:p>
            <w:pPr>
              <w:pStyle w:val="18"/>
              <w:numPr>
                <w:ilvl w:val="0"/>
                <w:numId w:val="0"/>
              </w:numPr>
              <w:spacing w:line="360" w:lineRule="auto"/>
              <w:ind w:firstLine="482" w:firstLineChars="200"/>
              <w:jc w:val="both"/>
              <w:rPr>
                <w:rFonts w:hint="eastAsia"/>
                <w:b/>
                <w:bCs/>
                <w:color w:val="000000" w:themeColor="text1"/>
                <w:sz w:val="24"/>
                <w:szCs w:val="24"/>
                <w:lang w:val="zh-CN"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（1）</w:t>
            </w:r>
            <w:r>
              <w:rPr>
                <w:rFonts w:hint="eastAsia"/>
                <w:b/>
                <w:bCs/>
                <w:color w:val="000000" w:themeColor="text1"/>
                <w:sz w:val="24"/>
                <w:szCs w:val="24"/>
                <w:lang w:val="zh-CN" w:eastAsia="zh-CN"/>
                <w14:textFill>
                  <w14:solidFill>
                    <w14:schemeClr w14:val="tx1"/>
                  </w14:solidFill>
                </w14:textFill>
              </w:rPr>
              <w:t>污水特征及排水去向</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9"/>
              <w:rPr>
                <w:rFonts w:hint="eastAsia" w:eastAsia="宋体"/>
                <w:sz w:val="24"/>
                <w:szCs w:val="24"/>
                <w:lang w:val="en-US" w:eastAsia="zh-CN"/>
              </w:rPr>
            </w:pPr>
            <w:r>
              <w:rPr>
                <w:rFonts w:hint="eastAsia"/>
                <w:color w:val="auto"/>
                <w:sz w:val="24"/>
                <w:szCs w:val="24"/>
                <w:lang w:val="zh-CN" w:eastAsia="zh-CN"/>
              </w:rPr>
              <w:t>本项目主要进行钢结构加工，</w:t>
            </w:r>
            <w:r>
              <w:rPr>
                <w:rFonts w:hint="eastAsia"/>
                <w:color w:val="auto"/>
                <w:sz w:val="24"/>
                <w:szCs w:val="24"/>
                <w:lang w:val="en-US" w:eastAsia="zh-CN"/>
              </w:rPr>
              <w:t>营运</w:t>
            </w:r>
            <w:r>
              <w:rPr>
                <w:rFonts w:hint="eastAsia"/>
                <w:color w:val="auto"/>
                <w:sz w:val="24"/>
                <w:szCs w:val="24"/>
                <w:lang w:val="zh-CN" w:eastAsia="zh-CN"/>
              </w:rPr>
              <w:t>期产生的废水主要是</w:t>
            </w:r>
            <w:r>
              <w:rPr>
                <w:rFonts w:hint="eastAsia"/>
                <w:color w:val="auto"/>
                <w:sz w:val="24"/>
                <w:szCs w:val="24"/>
                <w:lang w:val="en-US" w:eastAsia="zh-CN"/>
              </w:rPr>
              <w:t>生活污水</w:t>
            </w:r>
            <w:r>
              <w:rPr>
                <w:rFonts w:hint="eastAsia"/>
                <w:color w:val="auto"/>
                <w:sz w:val="24"/>
                <w:szCs w:val="24"/>
                <w:lang w:val="zh-CN" w:eastAsia="zh-CN"/>
              </w:rPr>
              <w:t>。根据</w:t>
            </w:r>
            <w:r>
              <w:rPr>
                <w:rFonts w:hint="eastAsia"/>
                <w:color w:val="auto"/>
                <w:sz w:val="24"/>
                <w:szCs w:val="24"/>
                <w:lang w:val="en-US" w:eastAsia="zh-CN"/>
              </w:rPr>
              <w:t>项目</w:t>
            </w:r>
            <w:r>
              <w:rPr>
                <w:rFonts w:hint="eastAsia"/>
                <w:color w:val="auto"/>
                <w:sz w:val="24"/>
                <w:szCs w:val="24"/>
                <w:lang w:val="zh-CN" w:eastAsia="zh-CN"/>
              </w:rPr>
              <w:t>工程分析，项目运营期生产用水量</w:t>
            </w:r>
            <w:r>
              <w:rPr>
                <w:rFonts w:hint="eastAsia"/>
                <w:color w:val="auto"/>
                <w:sz w:val="24"/>
                <w:szCs w:val="24"/>
                <w:lang w:val="en-US" w:eastAsia="zh-CN"/>
              </w:rPr>
              <w:t>为：0.013</w:t>
            </w:r>
            <w:r>
              <w:rPr>
                <w:rFonts w:hint="eastAsia"/>
                <w:color w:val="auto"/>
                <w:sz w:val="24"/>
                <w:szCs w:val="24"/>
                <w:lang w:val="zh-CN" w:eastAsia="zh-CN"/>
              </w:rPr>
              <w:t>m</w:t>
            </w:r>
            <w:r>
              <w:rPr>
                <w:rFonts w:hint="eastAsia"/>
                <w:color w:val="auto"/>
                <w:sz w:val="24"/>
                <w:szCs w:val="24"/>
                <w:vertAlign w:val="superscript"/>
                <w:lang w:val="zh-CN" w:eastAsia="zh-CN"/>
              </w:rPr>
              <w:t>3</w:t>
            </w:r>
            <w:r>
              <w:rPr>
                <w:rFonts w:hint="eastAsia"/>
                <w:color w:val="auto"/>
                <w:sz w:val="24"/>
                <w:szCs w:val="24"/>
                <w:lang w:val="zh-CN" w:eastAsia="zh-CN"/>
              </w:rPr>
              <w:t>/d，</w:t>
            </w:r>
            <w:r>
              <w:rPr>
                <w:rFonts w:hint="eastAsia"/>
                <w:color w:val="auto"/>
                <w:sz w:val="24"/>
                <w:szCs w:val="24"/>
                <w:lang w:val="en-US" w:eastAsia="zh-CN"/>
              </w:rPr>
              <w:t>4</w:t>
            </w:r>
            <w:r>
              <w:rPr>
                <w:rFonts w:hint="eastAsia"/>
                <w:color w:val="auto"/>
                <w:sz w:val="24"/>
                <w:szCs w:val="24"/>
                <w:lang w:val="zh-CN" w:eastAsia="zh-CN"/>
              </w:rPr>
              <w:t>m</w:t>
            </w:r>
            <w:r>
              <w:rPr>
                <w:rFonts w:hint="eastAsia"/>
                <w:color w:val="auto"/>
                <w:sz w:val="24"/>
                <w:szCs w:val="24"/>
                <w:vertAlign w:val="superscript"/>
                <w:lang w:val="zh-CN" w:eastAsia="zh-CN"/>
              </w:rPr>
              <w:t>3</w:t>
            </w:r>
            <w:r>
              <w:rPr>
                <w:rFonts w:hint="eastAsia"/>
                <w:color w:val="auto"/>
                <w:sz w:val="24"/>
                <w:szCs w:val="24"/>
                <w:lang w:val="zh-CN" w:eastAsia="zh-CN"/>
              </w:rPr>
              <w:t>/a，生产废水全部挥发或进入产品，生产过程中无生产废水产生。</w:t>
            </w:r>
            <w:r>
              <w:rPr>
                <w:rFonts w:hint="default" w:ascii="Times New Roman" w:hAnsi="Times New Roman" w:cs="Times New Roman"/>
                <w:bCs/>
                <w:color w:val="auto"/>
                <w:sz w:val="24"/>
                <w:szCs w:val="22"/>
              </w:rPr>
              <w:t>场区员工用水量为</w:t>
            </w:r>
            <w:r>
              <w:rPr>
                <w:rFonts w:hint="eastAsia" w:cs="Times New Roman"/>
                <w:bCs/>
                <w:color w:val="auto"/>
                <w:sz w:val="24"/>
                <w:szCs w:val="22"/>
                <w:lang w:val="en-US" w:eastAsia="zh-CN"/>
              </w:rPr>
              <w:t>2</w:t>
            </w:r>
            <w:r>
              <w:rPr>
                <w:rFonts w:hint="default" w:ascii="Times New Roman" w:hAnsi="Times New Roman" w:cs="Times New Roman"/>
                <w:bCs/>
                <w:color w:val="auto"/>
                <w:sz w:val="24"/>
                <w:szCs w:val="22"/>
              </w:rPr>
              <w:t>m</w:t>
            </w:r>
            <w:r>
              <w:rPr>
                <w:rFonts w:hint="default" w:ascii="Times New Roman" w:hAnsi="Times New Roman" w:cs="Times New Roman"/>
                <w:bCs/>
                <w:color w:val="auto"/>
                <w:sz w:val="24"/>
                <w:szCs w:val="22"/>
                <w:vertAlign w:val="superscript"/>
              </w:rPr>
              <w:t>3</w:t>
            </w:r>
            <w:r>
              <w:rPr>
                <w:rFonts w:hint="default" w:ascii="Times New Roman" w:hAnsi="Times New Roman" w:cs="Times New Roman"/>
                <w:bCs/>
                <w:color w:val="auto"/>
                <w:sz w:val="24"/>
                <w:szCs w:val="22"/>
              </w:rPr>
              <w:t>/d（</w:t>
            </w:r>
            <w:r>
              <w:rPr>
                <w:rFonts w:hint="eastAsia" w:cs="Times New Roman"/>
                <w:bCs/>
                <w:color w:val="auto"/>
                <w:sz w:val="24"/>
                <w:szCs w:val="22"/>
                <w:lang w:val="en-US" w:eastAsia="zh-CN"/>
              </w:rPr>
              <w:t>600</w:t>
            </w:r>
            <w:r>
              <w:rPr>
                <w:rFonts w:hint="default" w:ascii="Times New Roman" w:hAnsi="Times New Roman" w:cs="Times New Roman"/>
                <w:bCs/>
                <w:color w:val="auto"/>
                <w:sz w:val="24"/>
                <w:szCs w:val="22"/>
              </w:rPr>
              <w:t xml:space="preserve"> m</w:t>
            </w:r>
            <w:r>
              <w:rPr>
                <w:rFonts w:hint="default" w:ascii="Times New Roman" w:hAnsi="Times New Roman" w:cs="Times New Roman"/>
                <w:bCs/>
                <w:color w:val="auto"/>
                <w:sz w:val="24"/>
                <w:szCs w:val="22"/>
                <w:vertAlign w:val="superscript"/>
              </w:rPr>
              <w:t>3</w:t>
            </w:r>
            <w:r>
              <w:rPr>
                <w:rFonts w:hint="default" w:ascii="Times New Roman" w:hAnsi="Times New Roman" w:cs="Times New Roman"/>
                <w:bCs/>
                <w:color w:val="auto"/>
                <w:sz w:val="24"/>
                <w:szCs w:val="22"/>
              </w:rPr>
              <w:t>/a），排放系数取0.8，污水产生量为</w:t>
            </w:r>
            <w:r>
              <w:rPr>
                <w:rFonts w:hint="eastAsia" w:cs="Times New Roman"/>
                <w:bCs/>
                <w:color w:val="auto"/>
                <w:sz w:val="24"/>
                <w:szCs w:val="22"/>
                <w:lang w:val="en-US" w:eastAsia="zh-CN"/>
              </w:rPr>
              <w:t>1.6</w:t>
            </w:r>
            <w:r>
              <w:rPr>
                <w:rFonts w:hint="default" w:ascii="Times New Roman" w:hAnsi="Times New Roman" w:cs="Times New Roman"/>
                <w:bCs/>
                <w:color w:val="auto"/>
                <w:sz w:val="24"/>
                <w:szCs w:val="22"/>
              </w:rPr>
              <w:t>m</w:t>
            </w:r>
            <w:r>
              <w:rPr>
                <w:rFonts w:hint="default" w:ascii="Times New Roman" w:hAnsi="Times New Roman" w:cs="Times New Roman"/>
                <w:bCs/>
                <w:color w:val="auto"/>
                <w:sz w:val="24"/>
                <w:szCs w:val="22"/>
                <w:vertAlign w:val="superscript"/>
              </w:rPr>
              <w:t>3</w:t>
            </w:r>
            <w:r>
              <w:rPr>
                <w:rFonts w:hint="default" w:ascii="Times New Roman" w:hAnsi="Times New Roman" w:cs="Times New Roman"/>
                <w:bCs/>
                <w:color w:val="auto"/>
                <w:sz w:val="24"/>
                <w:szCs w:val="22"/>
              </w:rPr>
              <w:t>/d（</w:t>
            </w:r>
            <w:r>
              <w:rPr>
                <w:rFonts w:hint="eastAsia" w:cs="Times New Roman"/>
                <w:bCs/>
                <w:color w:val="auto"/>
                <w:sz w:val="24"/>
                <w:szCs w:val="22"/>
                <w:lang w:val="en-US" w:eastAsia="zh-CN"/>
              </w:rPr>
              <w:t>480</w:t>
            </w:r>
            <w:r>
              <w:rPr>
                <w:rFonts w:hint="default" w:ascii="Times New Roman" w:hAnsi="Times New Roman" w:cs="Times New Roman"/>
                <w:bCs/>
                <w:color w:val="auto"/>
                <w:sz w:val="24"/>
                <w:szCs w:val="22"/>
              </w:rPr>
              <w:t>m</w:t>
            </w:r>
            <w:r>
              <w:rPr>
                <w:rFonts w:hint="default" w:ascii="Times New Roman" w:hAnsi="Times New Roman" w:cs="Times New Roman"/>
                <w:bCs/>
                <w:color w:val="auto"/>
                <w:sz w:val="24"/>
                <w:szCs w:val="22"/>
                <w:vertAlign w:val="superscript"/>
              </w:rPr>
              <w:t>3</w:t>
            </w:r>
            <w:r>
              <w:rPr>
                <w:rFonts w:hint="default" w:ascii="Times New Roman" w:hAnsi="Times New Roman" w:cs="Times New Roman"/>
                <w:bCs/>
                <w:color w:val="auto"/>
                <w:sz w:val="24"/>
                <w:szCs w:val="22"/>
              </w:rPr>
              <w:t>/a）</w:t>
            </w:r>
            <w:r>
              <w:rPr>
                <w:rFonts w:hint="eastAsia"/>
                <w:color w:val="auto"/>
                <w:sz w:val="24"/>
                <w:szCs w:val="24"/>
                <w:lang w:val="zh-CN" w:eastAsia="zh-CN"/>
              </w:rPr>
              <w:t>。</w:t>
            </w:r>
            <w:r>
              <w:rPr>
                <w:rFonts w:hint="default" w:ascii="Times New Roman" w:hAnsi="Times New Roman" w:cs="Times New Roman"/>
                <w:b w:val="0"/>
                <w:bCs w:val="0"/>
                <w:sz w:val="24"/>
                <w:szCs w:val="22"/>
                <w:lang w:val="en-US" w:eastAsia="zh-CN"/>
              </w:rPr>
              <w:t>项目营运期</w:t>
            </w:r>
            <w:r>
              <w:rPr>
                <w:rFonts w:hint="eastAsia" w:ascii="Times New Roman" w:hAnsi="Times New Roman" w:cs="Times New Roman"/>
                <w:b w:val="0"/>
                <w:bCs w:val="0"/>
                <w:sz w:val="24"/>
                <w:szCs w:val="22"/>
                <w:lang w:val="en-US" w:eastAsia="zh-CN"/>
              </w:rPr>
              <w:t>生活污水、</w:t>
            </w:r>
            <w:r>
              <w:rPr>
                <w:rFonts w:hint="eastAsia" w:cs="Times New Roman"/>
                <w:b w:val="0"/>
                <w:bCs w:val="0"/>
                <w:sz w:val="24"/>
                <w:szCs w:val="22"/>
                <w:lang w:val="en-US" w:eastAsia="zh-CN"/>
              </w:rPr>
              <w:t>冲厕废水</w:t>
            </w:r>
            <w:r>
              <w:rPr>
                <w:rFonts w:hint="default" w:ascii="Times New Roman" w:hAnsi="Times New Roman" w:cs="Times New Roman"/>
                <w:b w:val="0"/>
                <w:bCs w:val="0"/>
                <w:sz w:val="24"/>
                <w:szCs w:val="22"/>
                <w:lang w:val="en-US" w:eastAsia="zh-CN"/>
              </w:rPr>
              <w:t>排入化粪池处理</w:t>
            </w:r>
            <w:r>
              <w:rPr>
                <w:rFonts w:hint="eastAsia" w:ascii="Times New Roman" w:hAnsi="Times New Roman" w:cs="Times New Roman"/>
                <w:b w:val="0"/>
                <w:bCs w:val="0"/>
                <w:sz w:val="24"/>
                <w:szCs w:val="22"/>
                <w:lang w:val="en-US" w:eastAsia="zh-CN"/>
              </w:rPr>
              <w:t>，</w:t>
            </w:r>
            <w:r>
              <w:rPr>
                <w:rFonts w:hint="default" w:ascii="Times New Roman" w:hAnsi="Times New Roman" w:cs="Times New Roman"/>
                <w:b w:val="0"/>
                <w:bCs w:val="0"/>
                <w:sz w:val="24"/>
                <w:szCs w:val="22"/>
                <w:lang w:val="en-US" w:eastAsia="zh-CN"/>
              </w:rPr>
              <w:t>经</w:t>
            </w:r>
            <w:r>
              <w:rPr>
                <w:rFonts w:hint="default" w:ascii="Times New Roman" w:hAnsi="Times New Roman" w:cs="Times New Roman"/>
                <w:bCs/>
                <w:color w:val="auto"/>
                <w:sz w:val="24"/>
              </w:rPr>
              <w:t>化粪池处理</w:t>
            </w:r>
            <w:r>
              <w:rPr>
                <w:rFonts w:hint="default" w:ascii="Times New Roman" w:hAnsi="Times New Roman" w:cs="Times New Roman"/>
                <w:bCs/>
                <w:color w:val="auto"/>
                <w:sz w:val="24"/>
                <w:lang w:val="en-US" w:eastAsia="zh-CN"/>
              </w:rPr>
              <w:t>达到</w:t>
            </w:r>
            <w:r>
              <w:rPr>
                <w:rFonts w:ascii="Times New Roman"/>
                <w:sz w:val="24"/>
                <w:szCs w:val="24"/>
              </w:rPr>
              <w:t>《污水排入城镇下水道水质标准》（</w:t>
            </w:r>
            <w:r>
              <w:rPr>
                <w:rFonts w:ascii="Times New Roman" w:hAnsi="Times New Roman"/>
                <w:sz w:val="24"/>
                <w:szCs w:val="24"/>
              </w:rPr>
              <w:t>GB/T31962-2015</w:t>
            </w:r>
            <w:r>
              <w:rPr>
                <w:rFonts w:ascii="Times New Roman"/>
                <w:sz w:val="24"/>
                <w:szCs w:val="24"/>
              </w:rPr>
              <w:t>）</w:t>
            </w:r>
            <w:r>
              <w:rPr>
                <w:rFonts w:ascii="Times New Roman" w:hAnsi="Times New Roman"/>
                <w:sz w:val="24"/>
                <w:szCs w:val="24"/>
              </w:rPr>
              <w:t>表1中</w:t>
            </w:r>
            <w:r>
              <w:rPr>
                <w:rFonts w:hint="eastAsia"/>
                <w:sz w:val="24"/>
                <w:szCs w:val="24"/>
                <w:lang w:eastAsia="zh-CN"/>
              </w:rPr>
              <w:t>A级标准</w:t>
            </w:r>
            <w:r>
              <w:rPr>
                <w:rFonts w:hint="eastAsia"/>
                <w:sz w:val="24"/>
                <w:szCs w:val="24"/>
                <w:lang w:val="en-US" w:eastAsia="zh-CN"/>
              </w:rPr>
              <w:t>后</w:t>
            </w:r>
            <w:r>
              <w:rPr>
                <w:rFonts w:hint="eastAsia" w:ascii="Times New Roman" w:hAnsi="Times New Roman"/>
                <w:sz w:val="24"/>
                <w:szCs w:val="24"/>
                <w:lang w:eastAsia="zh-CN"/>
              </w:rPr>
              <w:t>排入园区污水管网</w:t>
            </w:r>
            <w:r>
              <w:rPr>
                <w:rFonts w:hint="eastAsia"/>
                <w:sz w:val="24"/>
                <w:szCs w:val="24"/>
                <w:lang w:eastAsia="zh-CN"/>
              </w:rPr>
              <w:t>，</w:t>
            </w:r>
            <w:r>
              <w:rPr>
                <w:rFonts w:hint="eastAsia"/>
                <w:sz w:val="24"/>
                <w:szCs w:val="24"/>
                <w:lang w:val="en-US" w:eastAsia="zh-CN"/>
              </w:rPr>
              <w:t>最终进入</w:t>
            </w:r>
            <w:r>
              <w:rPr>
                <w:rFonts w:hint="eastAsia" w:ascii="Times New Roman" w:hAnsi="Times New Roman"/>
                <w:sz w:val="24"/>
                <w:szCs w:val="24"/>
                <w:lang w:eastAsia="zh-CN"/>
              </w:rPr>
              <w:t>工业园区污水处理厂处理。</w:t>
            </w:r>
          </w:p>
          <w:p>
            <w:pPr>
              <w:pStyle w:val="18"/>
              <w:numPr>
                <w:ilvl w:val="0"/>
                <w:numId w:val="0"/>
              </w:numPr>
              <w:spacing w:line="360" w:lineRule="auto"/>
              <w:ind w:firstLine="482" w:firstLineChars="200"/>
              <w:jc w:val="both"/>
              <w:rPr>
                <w:rFonts w:hint="eastAsia"/>
                <w:b/>
                <w:bCs/>
                <w:lang w:val="zh-CN" w:eastAsia="zh-CN"/>
              </w:rPr>
            </w:pPr>
            <w:r>
              <w:rPr>
                <w:rFonts w:hint="eastAsia"/>
                <w:b/>
                <w:bCs/>
                <w:lang w:val="en-US" w:eastAsia="zh-CN"/>
              </w:rPr>
              <w:t>（2）</w:t>
            </w:r>
            <w:r>
              <w:rPr>
                <w:rFonts w:hint="default" w:ascii="Times New Roman" w:hAnsi="Times New Roman" w:eastAsia="宋体" w:cs="Times New Roman"/>
                <w:b/>
                <w:sz w:val="24"/>
                <w:lang w:bidi="ar"/>
              </w:rPr>
              <w:t>污水处理设施可行性分析</w:t>
            </w:r>
          </w:p>
          <w:p>
            <w:pPr>
              <w:pStyle w:val="18"/>
              <w:numPr>
                <w:ilvl w:val="0"/>
                <w:numId w:val="0"/>
              </w:numPr>
              <w:spacing w:line="360" w:lineRule="auto"/>
              <w:ind w:firstLine="464" w:firstLineChars="200"/>
              <w:jc w:val="both"/>
              <w:rPr>
                <w:rFonts w:hint="eastAsia"/>
                <w:b/>
                <w:bCs/>
                <w:lang w:val="en-US" w:eastAsia="zh-CN"/>
              </w:rPr>
            </w:pPr>
            <w:r>
              <w:rPr>
                <w:rFonts w:hint="default" w:ascii="Times New Roman" w:hAnsi="Times New Roman" w:eastAsia="宋体" w:cs="Times New Roman"/>
                <w:spacing w:val="-4"/>
                <w:sz w:val="24"/>
              </w:rPr>
              <w:t>根据GB50015-2003《建筑给排水设计规范》（2009年版），</w:t>
            </w:r>
            <w:r>
              <w:rPr>
                <w:rFonts w:hint="default" w:ascii="Times New Roman" w:hAnsi="Times New Roman" w:eastAsia="宋体" w:cs="Times New Roman"/>
                <w:kern w:val="0"/>
                <w:sz w:val="24"/>
              </w:rPr>
              <w:t>化粪池总容积应满足废水停留时间12-24小时的要求，并做好防渗处理</w:t>
            </w:r>
            <w:r>
              <w:rPr>
                <w:rFonts w:hint="default" w:ascii="Times New Roman" w:hAnsi="Times New Roman" w:eastAsia="宋体" w:cs="Times New Roman"/>
                <w:sz w:val="24"/>
                <w:lang w:val="zh-CN"/>
              </w:rPr>
              <w:t>，项目租用地块内已设有</w:t>
            </w:r>
            <w:r>
              <w:rPr>
                <w:rFonts w:hint="default" w:ascii="Times New Roman" w:hAnsi="Times New Roman" w:eastAsia="宋体" w:cs="Times New Roman"/>
                <w:sz w:val="24"/>
              </w:rPr>
              <w:t>1</w:t>
            </w:r>
            <w:r>
              <w:rPr>
                <w:rFonts w:hint="default" w:ascii="Times New Roman" w:hAnsi="Times New Roman" w:eastAsia="宋体" w:cs="Times New Roman"/>
                <w:sz w:val="24"/>
                <w:lang w:val="zh-CN"/>
              </w:rPr>
              <w:t>个容积为</w:t>
            </w:r>
            <w:r>
              <w:rPr>
                <w:rFonts w:hint="eastAsia" w:eastAsia="宋体" w:cs="Times New Roman"/>
                <w:sz w:val="24"/>
                <w:lang w:val="en-US" w:eastAsia="zh-CN"/>
              </w:rPr>
              <w:t>6</w:t>
            </w:r>
            <w:r>
              <w:rPr>
                <w:rFonts w:hint="default" w:ascii="Times New Roman" w:hAnsi="Times New Roman" w:eastAsia="宋体" w:cs="Times New Roman"/>
                <w:sz w:val="24"/>
                <w:lang w:val="zh-CN"/>
              </w:rPr>
              <w:t>m</w:t>
            </w:r>
            <w:r>
              <w:rPr>
                <w:rFonts w:hint="default" w:ascii="Times New Roman" w:hAnsi="Times New Roman" w:eastAsia="宋体" w:cs="Times New Roman"/>
                <w:sz w:val="24"/>
                <w:vertAlign w:val="superscript"/>
              </w:rPr>
              <w:t>3</w:t>
            </w:r>
            <w:r>
              <w:rPr>
                <w:rFonts w:hint="default" w:ascii="Times New Roman" w:hAnsi="Times New Roman" w:eastAsia="宋体" w:cs="Times New Roman"/>
                <w:sz w:val="24"/>
                <w:lang w:val="zh-CN"/>
              </w:rPr>
              <w:t>的地埋式化粪池，</w:t>
            </w:r>
            <w:r>
              <w:rPr>
                <w:rFonts w:hint="default" w:ascii="Times New Roman" w:hAnsi="Times New Roman" w:eastAsia="宋体" w:cs="Times New Roman"/>
                <w:sz w:val="24"/>
              </w:rPr>
              <w:t>用于预处理卫生间废水及项目区所有生活污水。根据工程分析，本项目进入化粪池处理的废水量为</w:t>
            </w:r>
            <w:r>
              <w:rPr>
                <w:rFonts w:hint="eastAsia" w:eastAsia="宋体" w:cs="Times New Roman"/>
                <w:sz w:val="24"/>
                <w:lang w:val="en-US" w:eastAsia="zh-CN"/>
              </w:rPr>
              <w:t>2</w:t>
            </w:r>
            <w:r>
              <w:rPr>
                <w:rFonts w:hint="default" w:ascii="Times New Roman" w:hAnsi="Times New Roman" w:eastAsia="宋体" w:cs="Times New Roman"/>
                <w:sz w:val="24"/>
              </w:rPr>
              <w:t>m</w:t>
            </w:r>
            <w:r>
              <w:rPr>
                <w:rFonts w:hint="default" w:ascii="Times New Roman" w:hAnsi="Times New Roman" w:eastAsia="宋体" w:cs="Times New Roman"/>
                <w:sz w:val="24"/>
                <w:vertAlign w:val="superscript"/>
              </w:rPr>
              <w:t>3</w:t>
            </w:r>
            <w:r>
              <w:rPr>
                <w:rFonts w:hint="default" w:ascii="Times New Roman" w:hAnsi="Times New Roman" w:eastAsia="宋体" w:cs="Times New Roman"/>
                <w:sz w:val="24"/>
              </w:rPr>
              <w:t>/d，</w:t>
            </w:r>
            <w:r>
              <w:rPr>
                <w:rFonts w:hint="eastAsia" w:eastAsia="宋体" w:cs="Times New Roman"/>
                <w:sz w:val="24"/>
                <w:lang w:val="en-US" w:eastAsia="zh-CN"/>
              </w:rPr>
              <w:t>600</w:t>
            </w:r>
            <w:r>
              <w:rPr>
                <w:rFonts w:hint="default" w:ascii="Times New Roman" w:hAnsi="Times New Roman" w:eastAsia="宋体" w:cs="Times New Roman"/>
                <w:sz w:val="24"/>
              </w:rPr>
              <w:t>m</w:t>
            </w:r>
            <w:r>
              <w:rPr>
                <w:rFonts w:hint="default" w:ascii="Times New Roman" w:hAnsi="Times New Roman" w:eastAsia="宋体" w:cs="Times New Roman"/>
                <w:sz w:val="24"/>
                <w:vertAlign w:val="superscript"/>
              </w:rPr>
              <w:t>3</w:t>
            </w:r>
            <w:r>
              <w:rPr>
                <w:rFonts w:hint="default" w:ascii="Times New Roman" w:hAnsi="Times New Roman" w:eastAsia="宋体" w:cs="Times New Roman"/>
                <w:sz w:val="24"/>
              </w:rPr>
              <w:t>/a，化粪池容积大于项目生活污水日产生量，能够保证</w:t>
            </w:r>
            <w:r>
              <w:rPr>
                <w:rFonts w:hint="default" w:ascii="Times New Roman" w:hAnsi="Times New Roman" w:eastAsia="宋体" w:cs="Times New Roman"/>
                <w:kern w:val="0"/>
                <w:sz w:val="24"/>
              </w:rPr>
              <w:t>污水停留24小时以上，熟化效果较好；此外，</w:t>
            </w:r>
            <w:r>
              <w:rPr>
                <w:rFonts w:hint="default" w:ascii="Times New Roman" w:hAnsi="Times New Roman" w:eastAsia="宋体" w:cs="Times New Roman"/>
                <w:sz w:val="24"/>
              </w:rPr>
              <w:t>经查阅资料，化粪池CODcr去除效率约15%、BOD</w:t>
            </w:r>
            <w:r>
              <w:rPr>
                <w:rFonts w:hint="default" w:ascii="Times New Roman" w:hAnsi="Times New Roman" w:eastAsia="宋体" w:cs="Times New Roman"/>
                <w:sz w:val="24"/>
                <w:vertAlign w:val="subscript"/>
              </w:rPr>
              <w:t>5</w:t>
            </w:r>
            <w:r>
              <w:rPr>
                <w:rFonts w:hint="default" w:ascii="Times New Roman" w:hAnsi="Times New Roman" w:eastAsia="宋体" w:cs="Times New Roman"/>
                <w:sz w:val="24"/>
              </w:rPr>
              <w:t>去除效率约15%，项目生活污水经化粪池预处理后达标排放。因此，本项目化粪池设置合理。</w:t>
            </w:r>
          </w:p>
          <w:p>
            <w:pPr>
              <w:widowControl/>
              <w:adjustRightInd w:val="0"/>
              <w:snapToGrid w:val="0"/>
              <w:spacing w:line="351" w:lineRule="auto"/>
              <w:ind w:firstLine="482" w:firstLineChars="200"/>
              <w:rPr>
                <w:rFonts w:hint="default" w:ascii="Times New Roman" w:hAnsi="Times New Roman" w:eastAsia="宋体" w:cs="Times New Roman"/>
                <w:b/>
                <w:bCs/>
                <w:sz w:val="24"/>
              </w:rPr>
            </w:pPr>
            <w:r>
              <w:rPr>
                <w:rFonts w:hint="default" w:ascii="Times New Roman" w:hAnsi="Times New Roman" w:eastAsia="宋体" w:cs="Times New Roman"/>
                <w:b/>
                <w:bCs/>
                <w:sz w:val="24"/>
              </w:rPr>
              <w:t>（3）达标排放可行性分析</w:t>
            </w:r>
          </w:p>
          <w:p>
            <w:pPr>
              <w:widowControl/>
              <w:adjustRightInd w:val="0"/>
              <w:snapToGrid w:val="0"/>
              <w:spacing w:line="351"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根据工程分析，本项目废水经隔油池、化粪池处理后进出水质情况见表7-</w:t>
            </w:r>
            <w:r>
              <w:rPr>
                <w:rFonts w:hint="eastAsia" w:eastAsia="宋体" w:cs="Times New Roman"/>
                <w:sz w:val="24"/>
                <w:lang w:val="en-US" w:eastAsia="zh-CN"/>
              </w:rPr>
              <w:t>14</w:t>
            </w:r>
            <w:r>
              <w:rPr>
                <w:rFonts w:hint="default" w:ascii="Times New Roman" w:hAnsi="Times New Roman" w:eastAsia="宋体" w:cs="Times New Roman"/>
                <w:sz w:val="24"/>
              </w:rPr>
              <w:t>。</w:t>
            </w:r>
          </w:p>
          <w:p>
            <w:pPr>
              <w:ind w:firstLine="482"/>
              <w:jc w:val="center"/>
              <w:rPr>
                <w:rFonts w:hint="default" w:ascii="Times New Roman" w:hAnsi="Times New Roman" w:eastAsia="宋体" w:cs="Times New Roman"/>
                <w:b/>
                <w:bCs/>
                <w:lang w:val="zh-CN"/>
              </w:rPr>
            </w:pPr>
            <w:r>
              <w:rPr>
                <w:rFonts w:hint="default" w:ascii="Times New Roman" w:hAnsi="Times New Roman" w:eastAsia="宋体" w:cs="Times New Roman"/>
                <w:b/>
                <w:bCs/>
                <w:lang w:val="zh-CN"/>
              </w:rPr>
              <w:t>表7-</w:t>
            </w:r>
            <w:r>
              <w:rPr>
                <w:rFonts w:hint="eastAsia" w:eastAsia="宋体" w:cs="Times New Roman"/>
                <w:b/>
                <w:bCs/>
                <w:lang w:val="en-US" w:eastAsia="zh-CN"/>
              </w:rPr>
              <w:t>14</w:t>
            </w:r>
            <w:r>
              <w:rPr>
                <w:rFonts w:hint="default" w:ascii="Times New Roman" w:hAnsi="Times New Roman" w:eastAsia="宋体" w:cs="Times New Roman"/>
                <w:b/>
                <w:bCs/>
              </w:rPr>
              <w:t xml:space="preserve">   </w:t>
            </w:r>
            <w:r>
              <w:rPr>
                <w:rFonts w:hint="default" w:ascii="Times New Roman" w:hAnsi="Times New Roman" w:eastAsia="宋体" w:cs="Times New Roman"/>
                <w:b/>
                <w:bCs/>
                <w:lang w:val="zh-CN"/>
              </w:rPr>
              <w:t>化粪池进出水质对比</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9"/>
              <w:gridCol w:w="1895"/>
              <w:gridCol w:w="2091"/>
              <w:gridCol w:w="2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dxa"/>
                  <w:noWrap w:val="0"/>
                  <w:vAlign w:val="top"/>
                </w:tcPr>
                <w:p>
                  <w:pPr>
                    <w:spacing w:line="400" w:lineRule="exact"/>
                    <w:jc w:val="center"/>
                    <w:rPr>
                      <w:rFonts w:hint="default" w:ascii="Times New Roman" w:hAnsi="Times New Roman" w:eastAsia="宋体" w:cs="Times New Roman"/>
                      <w:b/>
                      <w:bCs/>
                      <w:lang w:val="zh-CN"/>
                    </w:rPr>
                  </w:pPr>
                  <w:r>
                    <w:rPr>
                      <w:rFonts w:hint="default" w:ascii="Times New Roman" w:hAnsi="Times New Roman" w:eastAsia="宋体" w:cs="Times New Roman"/>
                      <w:b/>
                      <w:bCs/>
                      <w:lang w:val="zh-CN"/>
                    </w:rPr>
                    <w:t>项目</w:t>
                  </w:r>
                </w:p>
              </w:tc>
              <w:tc>
                <w:tcPr>
                  <w:tcW w:w="1913" w:type="dxa"/>
                  <w:noWrap w:val="0"/>
                  <w:vAlign w:val="top"/>
                </w:tcPr>
                <w:p>
                  <w:pPr>
                    <w:spacing w:line="400" w:lineRule="exact"/>
                    <w:jc w:val="center"/>
                    <w:rPr>
                      <w:rFonts w:hint="default" w:ascii="Times New Roman" w:hAnsi="Times New Roman" w:eastAsia="宋体" w:cs="Times New Roman"/>
                      <w:b/>
                      <w:bCs/>
                      <w:lang w:val="zh-CN"/>
                    </w:rPr>
                  </w:pPr>
                  <w:r>
                    <w:rPr>
                      <w:rFonts w:hint="default" w:ascii="Times New Roman" w:hAnsi="Times New Roman" w:eastAsia="宋体" w:cs="Times New Roman"/>
                      <w:b/>
                      <w:bCs/>
                      <w:lang w:val="zh-CN"/>
                    </w:rPr>
                    <w:t>进水水质（</w:t>
                  </w:r>
                  <w:r>
                    <w:rPr>
                      <w:rFonts w:hint="default" w:ascii="Times New Roman" w:hAnsi="Times New Roman" w:eastAsia="宋体" w:cs="Times New Roman"/>
                      <w:b/>
                      <w:bCs/>
                    </w:rPr>
                    <w:t>mg/L</w:t>
                  </w:r>
                  <w:r>
                    <w:rPr>
                      <w:rFonts w:hint="default" w:ascii="Times New Roman" w:hAnsi="Times New Roman" w:eastAsia="宋体" w:cs="Times New Roman"/>
                      <w:b/>
                      <w:bCs/>
                      <w:lang w:val="zh-CN"/>
                    </w:rPr>
                    <w:t>）</w:t>
                  </w:r>
                </w:p>
              </w:tc>
              <w:tc>
                <w:tcPr>
                  <w:tcW w:w="2113" w:type="dxa"/>
                  <w:noWrap w:val="0"/>
                  <w:vAlign w:val="top"/>
                </w:tcPr>
                <w:p>
                  <w:pPr>
                    <w:spacing w:line="400" w:lineRule="exact"/>
                    <w:jc w:val="center"/>
                    <w:rPr>
                      <w:rFonts w:hint="default" w:ascii="Times New Roman" w:hAnsi="Times New Roman" w:eastAsia="宋体" w:cs="Times New Roman"/>
                      <w:b/>
                      <w:bCs/>
                      <w:lang w:val="zh-CN"/>
                    </w:rPr>
                  </w:pPr>
                  <w:r>
                    <w:rPr>
                      <w:rFonts w:hint="default" w:ascii="Times New Roman" w:hAnsi="Times New Roman" w:eastAsia="宋体" w:cs="Times New Roman"/>
                      <w:b/>
                      <w:bCs/>
                      <w:lang w:val="zh-CN"/>
                    </w:rPr>
                    <w:t>出水水质（</w:t>
                  </w:r>
                  <w:r>
                    <w:rPr>
                      <w:rFonts w:hint="default" w:ascii="Times New Roman" w:hAnsi="Times New Roman" w:eastAsia="宋体" w:cs="Times New Roman"/>
                      <w:b/>
                      <w:bCs/>
                    </w:rPr>
                    <w:t>mg/L</w:t>
                  </w:r>
                  <w:r>
                    <w:rPr>
                      <w:rFonts w:hint="default" w:ascii="Times New Roman" w:hAnsi="Times New Roman" w:eastAsia="宋体" w:cs="Times New Roman"/>
                      <w:b/>
                      <w:bCs/>
                      <w:lang w:val="zh-CN"/>
                    </w:rPr>
                    <w:t>）</w:t>
                  </w:r>
                </w:p>
              </w:tc>
              <w:tc>
                <w:tcPr>
                  <w:tcW w:w="2817" w:type="dxa"/>
                  <w:noWrap w:val="0"/>
                  <w:vAlign w:val="top"/>
                </w:tcPr>
                <w:p>
                  <w:pPr>
                    <w:spacing w:line="400" w:lineRule="exact"/>
                    <w:jc w:val="center"/>
                    <w:rPr>
                      <w:rFonts w:hint="default" w:ascii="Times New Roman" w:hAnsi="Times New Roman" w:eastAsia="宋体" w:cs="Times New Roman"/>
                      <w:b/>
                      <w:bCs/>
                      <w:lang w:val="zh-CN"/>
                    </w:rPr>
                  </w:pPr>
                  <w:r>
                    <w:rPr>
                      <w:rFonts w:hint="default" w:ascii="Times New Roman" w:hAnsi="Times New Roman" w:eastAsia="宋体" w:cs="Times New Roman"/>
                      <w:b/>
                      <w:bCs/>
                      <w:lang w:val="zh-CN"/>
                    </w:rPr>
                    <w:t>废水排放标准（</w:t>
                  </w:r>
                  <w:r>
                    <w:rPr>
                      <w:rFonts w:hint="default" w:ascii="Times New Roman" w:hAnsi="Times New Roman" w:eastAsia="宋体" w:cs="Times New Roman"/>
                      <w:b/>
                      <w:bCs/>
                    </w:rPr>
                    <w:t>mg/L</w:t>
                  </w:r>
                  <w:r>
                    <w:rPr>
                      <w:rFonts w:hint="default" w:ascii="Times New Roman" w:hAnsi="Times New Roman" w:eastAsia="宋体" w:cs="Times New Roman"/>
                      <w:b/>
                      <w:bCs/>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dxa"/>
                  <w:noWrap w:val="0"/>
                  <w:vAlign w:val="center"/>
                </w:tcPr>
                <w:p>
                  <w:pPr>
                    <w:adjustRightInd w:val="0"/>
                    <w:snapToGrid w:val="0"/>
                    <w:jc w:val="center"/>
                    <w:rPr>
                      <w:rFonts w:hint="default" w:ascii="Times New Roman" w:hAnsi="Times New Roman" w:eastAsia="宋体" w:cs="Times New Roman"/>
                      <w:b/>
                      <w:bCs/>
                      <w:lang w:val="zh-CN"/>
                    </w:rPr>
                  </w:pPr>
                  <w:r>
                    <w:rPr>
                      <w:rFonts w:hint="default" w:ascii="Times New Roman" w:hAnsi="Times New Roman" w:eastAsia="宋体" w:cs="Times New Roman"/>
                    </w:rPr>
                    <w:t>COD</w:t>
                  </w:r>
                </w:p>
              </w:tc>
              <w:tc>
                <w:tcPr>
                  <w:tcW w:w="1913" w:type="dxa"/>
                  <w:noWrap w:val="0"/>
                  <w:vAlign w:val="center"/>
                </w:tcPr>
                <w:p>
                  <w:pPr>
                    <w:widowControl/>
                    <w:jc w:val="center"/>
                    <w:textAlignment w:val="center"/>
                    <w:rPr>
                      <w:rFonts w:hint="default" w:ascii="Times New Roman" w:hAnsi="Times New Roman" w:eastAsia="宋体" w:cs="Times New Roman"/>
                      <w:lang w:val="en-US" w:eastAsia="zh-CN"/>
                    </w:rPr>
                  </w:pPr>
                  <w:r>
                    <w:rPr>
                      <w:rFonts w:hint="eastAsia" w:eastAsia="宋体" w:cs="Times New Roman"/>
                      <w:kern w:val="0"/>
                      <w:lang w:val="en-US" w:eastAsia="zh-CN" w:bidi="ar"/>
                    </w:rPr>
                    <w:t>330</w:t>
                  </w:r>
                </w:p>
              </w:tc>
              <w:tc>
                <w:tcPr>
                  <w:tcW w:w="2113" w:type="dxa"/>
                  <w:noWrap w:val="0"/>
                  <w:vAlign w:val="center"/>
                </w:tcPr>
                <w:p>
                  <w:pPr>
                    <w:widowControl/>
                    <w:jc w:val="center"/>
                    <w:textAlignment w:val="center"/>
                    <w:rPr>
                      <w:rFonts w:hint="default" w:ascii="Times New Roman" w:hAnsi="Times New Roman" w:eastAsia="宋体" w:cs="Times New Roman"/>
                      <w:lang w:val="en-US" w:eastAsia="zh-CN"/>
                    </w:rPr>
                  </w:pPr>
                  <w:r>
                    <w:rPr>
                      <w:rFonts w:hint="eastAsia" w:eastAsia="宋体" w:cs="Times New Roman"/>
                      <w:kern w:val="0"/>
                      <w:lang w:val="en-US" w:eastAsia="zh-CN" w:bidi="ar"/>
                    </w:rPr>
                    <w:t>300</w:t>
                  </w:r>
                </w:p>
              </w:tc>
              <w:tc>
                <w:tcPr>
                  <w:tcW w:w="2817" w:type="dxa"/>
                  <w:noWrap w:val="0"/>
                  <w:vAlign w:val="center"/>
                </w:tcPr>
                <w:p>
                  <w:pPr>
                    <w:widowControl/>
                    <w:kinsoku w:val="0"/>
                    <w:overflowPunct w:val="0"/>
                    <w:autoSpaceDE w:val="0"/>
                    <w:autoSpaceDN w:val="0"/>
                    <w:jc w:val="center"/>
                    <w:rPr>
                      <w:rFonts w:hint="default" w:ascii="Times New Roman" w:hAnsi="Times New Roman" w:eastAsia="宋体" w:cs="Times New Roman"/>
                    </w:rPr>
                  </w:pPr>
                  <w:r>
                    <w:rPr>
                      <w:rFonts w:hint="default" w:ascii="Times New Roman" w:hAnsi="Times New Roman" w:eastAsia="宋体" w:cs="Times New Roman"/>
                      <w:kern w:val="0"/>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dxa"/>
                  <w:noWrap w:val="0"/>
                  <w:vAlign w:val="center"/>
                </w:tcPr>
                <w:p>
                  <w:pPr>
                    <w:adjustRightInd w:val="0"/>
                    <w:snapToGrid w:val="0"/>
                    <w:jc w:val="center"/>
                    <w:rPr>
                      <w:rFonts w:hint="default" w:ascii="Times New Roman" w:hAnsi="Times New Roman" w:eastAsia="宋体" w:cs="Times New Roman"/>
                      <w:b/>
                      <w:bCs/>
                    </w:rPr>
                  </w:pPr>
                  <w:r>
                    <w:rPr>
                      <w:rFonts w:hint="default" w:ascii="Times New Roman" w:hAnsi="Times New Roman" w:eastAsia="宋体" w:cs="Times New Roman"/>
                    </w:rPr>
                    <w:t>BOD</w:t>
                  </w:r>
                  <w:r>
                    <w:rPr>
                      <w:rFonts w:hint="default" w:ascii="Times New Roman" w:hAnsi="Times New Roman" w:eastAsia="宋体" w:cs="Times New Roman"/>
                      <w:vertAlign w:val="subscript"/>
                    </w:rPr>
                    <w:t>5</w:t>
                  </w:r>
                </w:p>
              </w:tc>
              <w:tc>
                <w:tcPr>
                  <w:tcW w:w="1913" w:type="dxa"/>
                  <w:noWrap w:val="0"/>
                  <w:vAlign w:val="center"/>
                </w:tcPr>
                <w:p>
                  <w:pPr>
                    <w:widowControl/>
                    <w:jc w:val="center"/>
                    <w:textAlignment w:val="center"/>
                    <w:rPr>
                      <w:rFonts w:hint="default" w:ascii="Times New Roman" w:hAnsi="Times New Roman" w:eastAsia="宋体" w:cs="Times New Roman"/>
                      <w:lang w:val="en-US" w:eastAsia="zh-CN"/>
                    </w:rPr>
                  </w:pPr>
                  <w:r>
                    <w:rPr>
                      <w:rFonts w:hint="eastAsia" w:eastAsia="宋体" w:cs="Times New Roman"/>
                      <w:kern w:val="0"/>
                      <w:lang w:val="en-US" w:eastAsia="zh-CN" w:bidi="ar"/>
                    </w:rPr>
                    <w:t>180</w:t>
                  </w:r>
                </w:p>
              </w:tc>
              <w:tc>
                <w:tcPr>
                  <w:tcW w:w="2113" w:type="dxa"/>
                  <w:noWrap w:val="0"/>
                  <w:vAlign w:val="center"/>
                </w:tcPr>
                <w:p>
                  <w:pPr>
                    <w:widowControl/>
                    <w:jc w:val="center"/>
                    <w:textAlignment w:val="center"/>
                    <w:rPr>
                      <w:rFonts w:hint="default" w:ascii="Times New Roman" w:hAnsi="Times New Roman" w:eastAsia="宋体" w:cs="Times New Roman"/>
                      <w:lang w:val="en-US" w:eastAsia="zh-CN"/>
                    </w:rPr>
                  </w:pPr>
                  <w:r>
                    <w:rPr>
                      <w:rFonts w:hint="eastAsia" w:eastAsia="宋体" w:cs="Times New Roman"/>
                      <w:kern w:val="0"/>
                      <w:lang w:val="en-US" w:eastAsia="zh-CN" w:bidi="ar"/>
                    </w:rPr>
                    <w:t>150</w:t>
                  </w:r>
                </w:p>
              </w:tc>
              <w:tc>
                <w:tcPr>
                  <w:tcW w:w="2817" w:type="dxa"/>
                  <w:noWrap w:val="0"/>
                  <w:vAlign w:val="center"/>
                </w:tcPr>
                <w:p>
                  <w:pPr>
                    <w:autoSpaceDE w:val="0"/>
                    <w:autoSpaceDN w:val="0"/>
                    <w:jc w:val="center"/>
                    <w:rPr>
                      <w:rFonts w:hint="default" w:ascii="Times New Roman" w:hAnsi="Times New Roman" w:eastAsia="宋体" w:cs="Times New Roman"/>
                    </w:rPr>
                  </w:pPr>
                  <w:r>
                    <w:rPr>
                      <w:rFonts w:hint="default" w:ascii="Times New Roman" w:hAnsi="Times New Roman" w:eastAsia="宋体" w:cs="Times New Roman"/>
                      <w:kern w:val="0"/>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dxa"/>
                  <w:noWrap w:val="0"/>
                  <w:vAlign w:val="center"/>
                </w:tcPr>
                <w:p>
                  <w:pPr>
                    <w:adjustRightInd w:val="0"/>
                    <w:snapToGrid w:val="0"/>
                    <w:jc w:val="center"/>
                    <w:rPr>
                      <w:rFonts w:hint="default" w:ascii="Times New Roman" w:hAnsi="Times New Roman" w:eastAsia="宋体" w:cs="Times New Roman"/>
                      <w:b/>
                      <w:bCs/>
                      <w:lang w:val="zh-CN"/>
                    </w:rPr>
                  </w:pPr>
                  <w:r>
                    <w:rPr>
                      <w:rFonts w:hint="default" w:ascii="Times New Roman" w:hAnsi="Times New Roman" w:eastAsia="宋体" w:cs="Times New Roman"/>
                    </w:rPr>
                    <w:t>SS</w:t>
                  </w:r>
                </w:p>
              </w:tc>
              <w:tc>
                <w:tcPr>
                  <w:tcW w:w="1913" w:type="dxa"/>
                  <w:noWrap w:val="0"/>
                  <w:vAlign w:val="center"/>
                </w:tcPr>
                <w:p>
                  <w:pPr>
                    <w:widowControl/>
                    <w:jc w:val="center"/>
                    <w:textAlignment w:val="center"/>
                    <w:rPr>
                      <w:rFonts w:hint="default" w:ascii="Times New Roman" w:hAnsi="Times New Roman" w:eastAsia="宋体" w:cs="Times New Roman"/>
                      <w:lang w:val="en-US" w:eastAsia="zh-CN"/>
                    </w:rPr>
                  </w:pPr>
                  <w:r>
                    <w:rPr>
                      <w:rFonts w:hint="eastAsia" w:eastAsia="宋体" w:cs="Times New Roman"/>
                      <w:kern w:val="0"/>
                      <w:lang w:val="en-US" w:eastAsia="zh-CN" w:bidi="ar"/>
                    </w:rPr>
                    <w:t>150</w:t>
                  </w:r>
                </w:p>
              </w:tc>
              <w:tc>
                <w:tcPr>
                  <w:tcW w:w="2113" w:type="dxa"/>
                  <w:noWrap w:val="0"/>
                  <w:vAlign w:val="center"/>
                </w:tcPr>
                <w:p>
                  <w:pPr>
                    <w:widowControl/>
                    <w:jc w:val="center"/>
                    <w:textAlignment w:val="center"/>
                    <w:rPr>
                      <w:rFonts w:hint="default" w:ascii="Times New Roman" w:hAnsi="Times New Roman" w:eastAsia="宋体" w:cs="Times New Roman"/>
                      <w:lang w:val="en-US" w:eastAsia="zh-CN"/>
                    </w:rPr>
                  </w:pPr>
                  <w:r>
                    <w:rPr>
                      <w:rFonts w:hint="eastAsia" w:eastAsia="宋体" w:cs="Times New Roman"/>
                      <w:kern w:val="0"/>
                      <w:lang w:val="en-US" w:eastAsia="zh-CN" w:bidi="ar"/>
                    </w:rPr>
                    <w:t>150</w:t>
                  </w:r>
                </w:p>
              </w:tc>
              <w:tc>
                <w:tcPr>
                  <w:tcW w:w="2817" w:type="dxa"/>
                  <w:noWrap w:val="0"/>
                  <w:vAlign w:val="center"/>
                </w:tcPr>
                <w:p>
                  <w:pPr>
                    <w:autoSpaceDE w:val="0"/>
                    <w:autoSpaceDN w:val="0"/>
                    <w:jc w:val="center"/>
                    <w:rPr>
                      <w:rFonts w:hint="default" w:ascii="Times New Roman" w:hAnsi="Times New Roman" w:eastAsia="宋体" w:cs="Times New Roman"/>
                    </w:rPr>
                  </w:pPr>
                  <w:r>
                    <w:rPr>
                      <w:rFonts w:hint="default" w:ascii="Times New Roman" w:hAnsi="Times New Roman" w:eastAsia="宋体" w:cs="Times New Roman"/>
                      <w:kern w:val="0"/>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dxa"/>
                  <w:noWrap w:val="0"/>
                  <w:vAlign w:val="center"/>
                </w:tcPr>
                <w:p>
                  <w:pPr>
                    <w:adjustRightInd w:val="0"/>
                    <w:snapToGrid w:val="0"/>
                    <w:jc w:val="center"/>
                    <w:rPr>
                      <w:rFonts w:hint="default" w:ascii="Times New Roman" w:hAnsi="Times New Roman" w:eastAsia="宋体" w:cs="Times New Roman"/>
                      <w:b/>
                      <w:bCs/>
                      <w:lang w:val="zh-CN"/>
                    </w:rPr>
                  </w:pPr>
                  <w:r>
                    <w:rPr>
                      <w:rFonts w:hint="default" w:ascii="Times New Roman" w:hAnsi="Times New Roman" w:eastAsia="宋体" w:cs="Times New Roman"/>
                      <w:position w:val="2"/>
                    </w:rPr>
                    <w:t>NH</w:t>
                  </w:r>
                  <w:r>
                    <w:rPr>
                      <w:rFonts w:hint="default" w:ascii="Times New Roman" w:hAnsi="Times New Roman" w:eastAsia="宋体" w:cs="Times New Roman"/>
                      <w:position w:val="2"/>
                      <w:vertAlign w:val="subscript"/>
                    </w:rPr>
                    <w:t>3</w:t>
                  </w:r>
                  <w:r>
                    <w:rPr>
                      <w:rFonts w:hint="default" w:ascii="Times New Roman" w:hAnsi="Times New Roman" w:eastAsia="宋体" w:cs="Times New Roman"/>
                      <w:position w:val="2"/>
                    </w:rPr>
                    <w:t>-N</w:t>
                  </w:r>
                </w:p>
              </w:tc>
              <w:tc>
                <w:tcPr>
                  <w:tcW w:w="1913" w:type="dxa"/>
                  <w:noWrap w:val="0"/>
                  <w:vAlign w:val="center"/>
                </w:tcPr>
                <w:p>
                  <w:pPr>
                    <w:widowControl/>
                    <w:jc w:val="center"/>
                    <w:textAlignment w:val="center"/>
                    <w:rPr>
                      <w:rFonts w:hint="default" w:ascii="Times New Roman" w:hAnsi="Times New Roman" w:eastAsia="宋体" w:cs="Times New Roman"/>
                      <w:lang w:val="en-US" w:eastAsia="zh-CN"/>
                    </w:rPr>
                  </w:pPr>
                  <w:r>
                    <w:rPr>
                      <w:rFonts w:hint="eastAsia" w:eastAsia="宋体" w:cs="Times New Roman"/>
                      <w:kern w:val="0"/>
                      <w:lang w:val="en-US" w:eastAsia="zh-CN" w:bidi="ar"/>
                    </w:rPr>
                    <w:t>40</w:t>
                  </w:r>
                </w:p>
              </w:tc>
              <w:tc>
                <w:tcPr>
                  <w:tcW w:w="2113" w:type="dxa"/>
                  <w:noWrap w:val="0"/>
                  <w:vAlign w:val="center"/>
                </w:tcPr>
                <w:p>
                  <w:pPr>
                    <w:widowControl/>
                    <w:jc w:val="center"/>
                    <w:textAlignment w:val="center"/>
                    <w:rPr>
                      <w:rFonts w:hint="default" w:ascii="Times New Roman" w:hAnsi="Times New Roman" w:eastAsia="宋体" w:cs="Times New Roman"/>
                      <w:lang w:val="en-US" w:eastAsia="zh-CN"/>
                    </w:rPr>
                  </w:pPr>
                  <w:r>
                    <w:rPr>
                      <w:rFonts w:hint="eastAsia" w:eastAsia="宋体" w:cs="Times New Roman"/>
                      <w:kern w:val="0"/>
                      <w:lang w:val="en-US" w:eastAsia="zh-CN" w:bidi="ar"/>
                    </w:rPr>
                    <w:t>40</w:t>
                  </w:r>
                </w:p>
              </w:tc>
              <w:tc>
                <w:tcPr>
                  <w:tcW w:w="2817" w:type="dxa"/>
                  <w:noWrap w:val="0"/>
                  <w:vAlign w:val="center"/>
                </w:tcPr>
                <w:p>
                  <w:pPr>
                    <w:autoSpaceDE w:val="0"/>
                    <w:autoSpaceDN w:val="0"/>
                    <w:jc w:val="center"/>
                    <w:rPr>
                      <w:rFonts w:hint="default" w:ascii="Times New Roman" w:hAnsi="Times New Roman" w:eastAsia="宋体" w:cs="Times New Roman"/>
                    </w:rPr>
                  </w:pPr>
                  <w:r>
                    <w:rPr>
                      <w:rFonts w:hint="default" w:ascii="Times New Roman" w:hAnsi="Times New Roman" w:eastAsia="宋体" w:cs="Times New Roman"/>
                      <w:kern w:val="0"/>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dxa"/>
                  <w:noWrap w:val="0"/>
                  <w:vAlign w:val="center"/>
                </w:tcPr>
                <w:p>
                  <w:pPr>
                    <w:adjustRightInd w:val="0"/>
                    <w:snapToGrid w:val="0"/>
                    <w:jc w:val="center"/>
                    <w:rPr>
                      <w:rFonts w:hint="default" w:ascii="Times New Roman" w:hAnsi="Times New Roman" w:eastAsia="宋体" w:cs="Times New Roman"/>
                      <w:b/>
                      <w:bCs/>
                      <w:lang w:val="zh-CN"/>
                    </w:rPr>
                  </w:pPr>
                  <w:r>
                    <w:rPr>
                      <w:rFonts w:hint="default" w:ascii="Times New Roman" w:hAnsi="Times New Roman" w:eastAsia="宋体" w:cs="Times New Roman"/>
                    </w:rPr>
                    <w:t>TP</w:t>
                  </w:r>
                </w:p>
              </w:tc>
              <w:tc>
                <w:tcPr>
                  <w:tcW w:w="1913" w:type="dxa"/>
                  <w:noWrap w:val="0"/>
                  <w:vAlign w:val="center"/>
                </w:tcPr>
                <w:p>
                  <w:pPr>
                    <w:widowControl/>
                    <w:jc w:val="center"/>
                    <w:textAlignment w:val="center"/>
                    <w:rPr>
                      <w:rFonts w:hint="eastAsia" w:ascii="Times New Roman" w:hAnsi="Times New Roman" w:eastAsia="宋体" w:cs="Times New Roman"/>
                      <w:lang w:val="zh-CN" w:eastAsia="zh-CN"/>
                    </w:rPr>
                  </w:pPr>
                  <w:r>
                    <w:rPr>
                      <w:rFonts w:hint="eastAsia" w:eastAsia="宋体" w:cs="Times New Roman"/>
                      <w:kern w:val="0"/>
                      <w:lang w:val="en-US" w:eastAsia="zh-CN" w:bidi="ar"/>
                    </w:rPr>
                    <w:t>5</w:t>
                  </w:r>
                </w:p>
              </w:tc>
              <w:tc>
                <w:tcPr>
                  <w:tcW w:w="2113" w:type="dxa"/>
                  <w:noWrap w:val="0"/>
                  <w:vAlign w:val="center"/>
                </w:tcPr>
                <w:p>
                  <w:pPr>
                    <w:widowControl/>
                    <w:jc w:val="center"/>
                    <w:textAlignment w:val="center"/>
                    <w:rPr>
                      <w:rFonts w:hint="eastAsia" w:ascii="Times New Roman" w:hAnsi="Times New Roman" w:eastAsia="宋体" w:cs="Times New Roman"/>
                      <w:lang w:eastAsia="zh-CN"/>
                    </w:rPr>
                  </w:pPr>
                  <w:r>
                    <w:rPr>
                      <w:rFonts w:hint="eastAsia" w:eastAsia="宋体" w:cs="Times New Roman"/>
                      <w:kern w:val="0"/>
                      <w:lang w:val="en-US" w:eastAsia="zh-CN" w:bidi="ar"/>
                    </w:rPr>
                    <w:t>5</w:t>
                  </w:r>
                </w:p>
              </w:tc>
              <w:tc>
                <w:tcPr>
                  <w:tcW w:w="2817" w:type="dxa"/>
                  <w:noWrap w:val="0"/>
                  <w:vAlign w:val="center"/>
                </w:tcPr>
                <w:p>
                  <w:pPr>
                    <w:autoSpaceDE w:val="0"/>
                    <w:autoSpaceDN w:val="0"/>
                    <w:jc w:val="center"/>
                    <w:rPr>
                      <w:rFonts w:hint="default" w:ascii="Times New Roman" w:hAnsi="Times New Roman" w:eastAsia="宋体" w:cs="Times New Roman"/>
                    </w:rPr>
                  </w:pPr>
                  <w:r>
                    <w:rPr>
                      <w:rFonts w:hint="default" w:ascii="Times New Roman" w:hAnsi="Times New Roman" w:eastAsia="宋体" w:cs="Times New Roman"/>
                      <w:kern w:val="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dxa"/>
                  <w:noWrap w:val="0"/>
                  <w:vAlign w:val="center"/>
                </w:tcPr>
                <w:p>
                  <w:pPr>
                    <w:adjustRightInd w:val="0"/>
                    <w:snapToGrid w:val="0"/>
                    <w:jc w:val="center"/>
                    <w:rPr>
                      <w:rFonts w:hint="default" w:ascii="Times New Roman" w:hAnsi="Times New Roman" w:eastAsia="宋体" w:cs="Times New Roman"/>
                      <w:lang w:val="zh-CN" w:bidi="ar"/>
                    </w:rPr>
                  </w:pPr>
                  <w:r>
                    <w:rPr>
                      <w:rFonts w:hint="default" w:ascii="Times New Roman" w:hAnsi="Times New Roman" w:eastAsia="宋体" w:cs="Times New Roman"/>
                    </w:rPr>
                    <w:t>动植物油</w:t>
                  </w:r>
                </w:p>
              </w:tc>
              <w:tc>
                <w:tcPr>
                  <w:tcW w:w="1913" w:type="dxa"/>
                  <w:noWrap w:val="0"/>
                  <w:vAlign w:val="center"/>
                </w:tcPr>
                <w:p>
                  <w:pPr>
                    <w:widowControl/>
                    <w:jc w:val="center"/>
                    <w:textAlignment w:val="center"/>
                    <w:rPr>
                      <w:rFonts w:hint="default" w:ascii="Times New Roman" w:hAnsi="Times New Roman" w:eastAsia="宋体" w:cs="Times New Roman"/>
                      <w:bCs/>
                    </w:rPr>
                  </w:pPr>
                  <w:r>
                    <w:rPr>
                      <w:rFonts w:hint="default" w:ascii="Times New Roman" w:hAnsi="Times New Roman" w:eastAsia="宋体" w:cs="Times New Roman"/>
                      <w:kern w:val="0"/>
                      <w:lang w:bidi="ar"/>
                    </w:rPr>
                    <w:t>100</w:t>
                  </w:r>
                </w:p>
              </w:tc>
              <w:tc>
                <w:tcPr>
                  <w:tcW w:w="2113" w:type="dxa"/>
                  <w:noWrap w:val="0"/>
                  <w:vAlign w:val="center"/>
                </w:tcPr>
                <w:p>
                  <w:pPr>
                    <w:widowControl/>
                    <w:jc w:val="center"/>
                    <w:textAlignment w:val="center"/>
                    <w:rPr>
                      <w:rFonts w:hint="default" w:ascii="Times New Roman" w:hAnsi="Times New Roman" w:eastAsia="宋体" w:cs="Times New Roman"/>
                      <w:bCs/>
                    </w:rPr>
                  </w:pPr>
                  <w:r>
                    <w:rPr>
                      <w:rFonts w:hint="default" w:ascii="Times New Roman" w:hAnsi="Times New Roman" w:eastAsia="宋体" w:cs="Times New Roman"/>
                      <w:kern w:val="0"/>
                      <w:lang w:bidi="ar"/>
                    </w:rPr>
                    <w:t>20</w:t>
                  </w:r>
                </w:p>
              </w:tc>
              <w:tc>
                <w:tcPr>
                  <w:tcW w:w="2817" w:type="dxa"/>
                  <w:noWrap w:val="0"/>
                  <w:vAlign w:val="center"/>
                </w:tcPr>
                <w:p>
                  <w:pPr>
                    <w:autoSpaceDE w:val="0"/>
                    <w:autoSpaceDN w:val="0"/>
                    <w:jc w:val="center"/>
                    <w:rPr>
                      <w:rFonts w:hint="default" w:ascii="Times New Roman" w:hAnsi="Times New Roman" w:eastAsia="宋体" w:cs="Times New Roman"/>
                      <w:kern w:val="0"/>
                    </w:rPr>
                  </w:pPr>
                  <w:r>
                    <w:rPr>
                      <w:rFonts w:hint="default" w:ascii="Times New Roman" w:hAnsi="Times New Roman" w:eastAsia="宋体" w:cs="Times New Roman"/>
                      <w:kern w:val="0"/>
                    </w:rPr>
                    <w:t>≤100</w:t>
                  </w:r>
                </w:p>
              </w:tc>
            </w:tr>
          </w:tbl>
          <w:p>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综上分析，项目区采取的废水处理措施后可保证出水水质达到</w:t>
            </w:r>
            <w:r>
              <w:rPr>
                <w:rFonts w:hint="default" w:ascii="Times New Roman" w:hAnsi="Times New Roman" w:eastAsia="宋体" w:cs="Times New Roman"/>
                <w:spacing w:val="-14"/>
                <w:sz w:val="24"/>
              </w:rPr>
              <w:t>《污水排入城镇下水道水质标准》（GB/T31962-2015）</w:t>
            </w:r>
            <w:r>
              <w:rPr>
                <w:rFonts w:hint="default" w:ascii="Times New Roman" w:hAnsi="Times New Roman" w:eastAsia="宋体" w:cs="Times New Roman"/>
                <w:sz w:val="24"/>
              </w:rPr>
              <w:t>表1中</w:t>
            </w:r>
            <w:r>
              <w:rPr>
                <w:rFonts w:hint="eastAsia" w:cs="Times New Roman"/>
                <w:sz w:val="24"/>
                <w:lang w:val="en-US" w:eastAsia="zh-CN"/>
              </w:rPr>
              <w:t>A级标准</w:t>
            </w:r>
            <w:r>
              <w:rPr>
                <w:rFonts w:hint="default" w:ascii="Times New Roman" w:hAnsi="Times New Roman" w:eastAsia="宋体" w:cs="Times New Roman"/>
                <w:sz w:val="24"/>
              </w:rPr>
              <w:t>，项目废水达标外排可行。</w:t>
            </w:r>
          </w:p>
          <w:p>
            <w:pPr>
              <w:pStyle w:val="18"/>
              <w:numPr>
                <w:ilvl w:val="0"/>
                <w:numId w:val="0"/>
              </w:numPr>
              <w:spacing w:line="360" w:lineRule="auto"/>
              <w:ind w:firstLine="482" w:firstLineChars="200"/>
              <w:jc w:val="both"/>
              <w:rPr>
                <w:rFonts w:hint="eastAsia"/>
                <w:b/>
                <w:bCs/>
                <w:szCs w:val="22"/>
                <w:lang w:val="en-US" w:eastAsia="zh-CN"/>
              </w:rPr>
            </w:pPr>
            <w:r>
              <w:rPr>
                <w:rFonts w:hint="eastAsia"/>
                <w:b/>
                <w:bCs/>
                <w:szCs w:val="22"/>
                <w:lang w:val="en-US" w:eastAsia="zh-CN"/>
              </w:rPr>
              <w:t>（4）废水排入园区污水处理厂的可行性分析</w:t>
            </w:r>
          </w:p>
          <w:p>
            <w:pPr>
              <w:pStyle w:val="18"/>
              <w:numPr>
                <w:ilvl w:val="0"/>
                <w:numId w:val="0"/>
              </w:numPr>
              <w:spacing w:line="360" w:lineRule="auto"/>
              <w:ind w:firstLine="480" w:firstLineChars="200"/>
              <w:jc w:val="both"/>
              <w:rPr>
                <w:rFonts w:hint="eastAsia"/>
                <w:lang w:val="en-US" w:eastAsia="zh-CN"/>
              </w:rPr>
            </w:pPr>
            <w:r>
              <w:rPr>
                <w:rFonts w:hint="eastAsia"/>
                <w:szCs w:val="22"/>
                <w:lang w:val="en-US" w:eastAsia="zh-CN"/>
              </w:rPr>
              <w:t>哨箐工业园区污水处理站处理能力500m³/d，采用“预处理+一体化MBR膜生物反应器+消毒”处理工艺，出水水质达到《城镇污水处理厂污染物排放标准》（GB18918-2002）一级A标准，目前处理负荷为450m³/d，剩余处理能力50m³/d，根据工程分析可知，本项目生活污水产生量2m³/d，占剩余污水处理能力的4%，不会造成园区污水处理厂超负荷运行，</w:t>
            </w:r>
            <w:bookmarkStart w:id="106" w:name="_Hlk532912337"/>
            <w:r>
              <w:rPr>
                <w:rFonts w:hint="eastAsia"/>
                <w:szCs w:val="22"/>
                <w:lang w:val="en-US" w:eastAsia="zh-CN"/>
              </w:rPr>
              <w:t>本项目生活污水经化粪池处理后可达到《污水排入城镇下水道水质标准》（GB/T31962-2015）中B级要求，符合园区污水处理厂接纳污水的水质标准</w:t>
            </w:r>
            <w:bookmarkEnd w:id="106"/>
            <w:r>
              <w:rPr>
                <w:rFonts w:hint="eastAsia"/>
                <w:szCs w:val="22"/>
                <w:lang w:val="en-US" w:eastAsia="zh-CN"/>
              </w:rPr>
              <w:t>，项目东侧已建设污水管网并接通园区污水处理厂，因此本项目废水通过污水管排入园区污水处理厂是可行的。</w:t>
            </w:r>
          </w:p>
          <w:p>
            <w:pPr>
              <w:pStyle w:val="18"/>
              <w:numPr>
                <w:ilvl w:val="0"/>
                <w:numId w:val="0"/>
              </w:numPr>
              <w:spacing w:line="360" w:lineRule="auto"/>
              <w:ind w:firstLine="482" w:firstLineChars="200"/>
              <w:jc w:val="both"/>
              <w:rPr>
                <w:rFonts w:hint="eastAsia"/>
                <w:b/>
                <w:bCs/>
                <w:lang w:val="zh-CN" w:eastAsia="zh-CN"/>
              </w:rPr>
            </w:pPr>
            <w:r>
              <w:rPr>
                <w:rFonts w:hint="eastAsia"/>
                <w:b/>
                <w:bCs/>
                <w:lang w:val="en-US" w:eastAsia="zh-CN"/>
              </w:rPr>
              <w:t>（5）</w:t>
            </w:r>
            <w:r>
              <w:rPr>
                <w:rFonts w:hint="eastAsia"/>
                <w:b/>
                <w:bCs/>
                <w:lang w:val="zh-CN" w:eastAsia="zh-CN"/>
              </w:rPr>
              <w:t>废水对</w:t>
            </w:r>
            <w:r>
              <w:rPr>
                <w:rFonts w:hint="eastAsia"/>
                <w:b/>
                <w:bCs/>
                <w:lang w:val="en-US" w:eastAsia="zh-CN"/>
              </w:rPr>
              <w:t>水</w:t>
            </w:r>
            <w:r>
              <w:rPr>
                <w:rFonts w:hint="eastAsia"/>
                <w:b/>
                <w:bCs/>
                <w:lang w:val="zh-CN" w:eastAsia="zh-CN"/>
              </w:rPr>
              <w:t>环境的影响</w:t>
            </w:r>
          </w:p>
          <w:p>
            <w:pPr>
              <w:pStyle w:val="18"/>
              <w:numPr>
                <w:ilvl w:val="0"/>
                <w:numId w:val="0"/>
              </w:numPr>
              <w:spacing w:line="360" w:lineRule="auto"/>
              <w:ind w:firstLine="480" w:firstLineChars="200"/>
              <w:jc w:val="both"/>
              <w:rPr>
                <w:rFonts w:hint="eastAsia"/>
                <w:lang w:val="zh-CN" w:eastAsia="zh-CN"/>
              </w:rPr>
            </w:pPr>
            <w:r>
              <w:rPr>
                <w:rFonts w:hint="eastAsia"/>
                <w:lang w:val="zh-CN" w:eastAsia="zh-CN"/>
              </w:rPr>
              <w:t>地表水：</w:t>
            </w:r>
            <w:r>
              <w:rPr>
                <w:rFonts w:hint="default"/>
                <w:lang w:val="en-US" w:eastAsia="zh-CN"/>
              </w:rPr>
              <w:t>据现场调查，距离项目最近的地表水为项目</w:t>
            </w:r>
            <w:r>
              <w:rPr>
                <w:rFonts w:hint="eastAsia"/>
                <w:lang w:val="en-US" w:eastAsia="zh-CN"/>
              </w:rPr>
              <w:t>南面850m</w:t>
            </w:r>
            <w:r>
              <w:rPr>
                <w:rFonts w:hint="default"/>
                <w:lang w:val="en-US" w:eastAsia="zh-CN"/>
              </w:rPr>
              <w:t>的</w:t>
            </w:r>
            <w:r>
              <w:rPr>
                <w:rFonts w:hint="eastAsia"/>
                <w:lang w:val="en-US" w:eastAsia="zh-CN"/>
              </w:rPr>
              <w:t>哨箐。项目营运期</w:t>
            </w:r>
            <w:r>
              <w:rPr>
                <w:rFonts w:hint="eastAsia"/>
                <w:lang w:val="zh-CN" w:eastAsia="zh-CN"/>
              </w:rPr>
              <w:t>采用雨污分流制</w:t>
            </w:r>
            <w:r>
              <w:rPr>
                <w:rFonts w:hint="eastAsia"/>
                <w:lang w:val="en-US" w:eastAsia="zh-CN"/>
              </w:rPr>
              <w:t>排水系统</w:t>
            </w:r>
            <w:r>
              <w:rPr>
                <w:rFonts w:hint="eastAsia"/>
                <w:lang w:val="zh-CN" w:eastAsia="zh-CN"/>
              </w:rPr>
              <w:t>，项目不产生生产废水，雨水经厂区截排水沟收集后</w:t>
            </w:r>
            <w:r>
              <w:rPr>
                <w:rFonts w:hint="eastAsia"/>
                <w:lang w:val="en-US" w:eastAsia="zh-CN"/>
              </w:rPr>
              <w:t>排入园区污水处理厂管网，</w:t>
            </w:r>
            <w:r>
              <w:rPr>
                <w:rFonts w:hint="eastAsia"/>
                <w:sz w:val="24"/>
                <w:szCs w:val="24"/>
                <w:lang w:val="en-US" w:eastAsia="zh-CN"/>
              </w:rPr>
              <w:t>生活污水</w:t>
            </w:r>
            <w:r>
              <w:rPr>
                <w:rFonts w:hint="default" w:ascii="Times New Roman" w:hAnsi="Times New Roman" w:cs="Times New Roman"/>
                <w:b w:val="0"/>
                <w:bCs w:val="0"/>
                <w:sz w:val="24"/>
                <w:szCs w:val="22"/>
                <w:lang w:val="en-US" w:eastAsia="zh-CN"/>
              </w:rPr>
              <w:t>经</w:t>
            </w:r>
            <w:r>
              <w:rPr>
                <w:rFonts w:hint="default" w:ascii="Times New Roman" w:hAnsi="Times New Roman" w:cs="Times New Roman"/>
                <w:bCs/>
                <w:color w:val="auto"/>
                <w:sz w:val="24"/>
              </w:rPr>
              <w:t>化粪池处理</w:t>
            </w:r>
            <w:r>
              <w:rPr>
                <w:rFonts w:hint="default" w:ascii="Times New Roman" w:hAnsi="Times New Roman" w:cs="Times New Roman"/>
                <w:bCs/>
                <w:color w:val="auto"/>
                <w:sz w:val="24"/>
                <w:lang w:val="en-US" w:eastAsia="zh-CN"/>
              </w:rPr>
              <w:t>达到</w:t>
            </w:r>
            <w:r>
              <w:rPr>
                <w:rFonts w:ascii="Times New Roman"/>
                <w:sz w:val="24"/>
                <w:szCs w:val="24"/>
              </w:rPr>
              <w:t>《污水排入城镇下水道水质标准》（</w:t>
            </w:r>
            <w:r>
              <w:rPr>
                <w:rFonts w:ascii="Times New Roman" w:hAnsi="Times New Roman"/>
                <w:sz w:val="24"/>
                <w:szCs w:val="24"/>
              </w:rPr>
              <w:t>GB/T31962-2015</w:t>
            </w:r>
            <w:r>
              <w:rPr>
                <w:rFonts w:ascii="Times New Roman"/>
                <w:sz w:val="24"/>
                <w:szCs w:val="24"/>
              </w:rPr>
              <w:t>）</w:t>
            </w:r>
            <w:r>
              <w:rPr>
                <w:rFonts w:ascii="Times New Roman" w:hAnsi="Times New Roman"/>
                <w:sz w:val="24"/>
                <w:szCs w:val="24"/>
              </w:rPr>
              <w:t>表1中</w:t>
            </w:r>
            <w:r>
              <w:rPr>
                <w:rFonts w:hint="eastAsia"/>
                <w:sz w:val="24"/>
                <w:szCs w:val="24"/>
                <w:lang w:eastAsia="zh-CN"/>
              </w:rPr>
              <w:t>A级标准</w:t>
            </w:r>
            <w:r>
              <w:rPr>
                <w:rFonts w:hint="eastAsia"/>
                <w:sz w:val="24"/>
                <w:szCs w:val="24"/>
                <w:lang w:val="en-US" w:eastAsia="zh-CN"/>
              </w:rPr>
              <w:t>后</w:t>
            </w:r>
            <w:r>
              <w:rPr>
                <w:rFonts w:hint="eastAsia" w:ascii="Times New Roman" w:hAnsi="Times New Roman"/>
                <w:sz w:val="24"/>
                <w:szCs w:val="24"/>
                <w:lang w:eastAsia="zh-CN"/>
              </w:rPr>
              <w:t>排入园区污水管网</w:t>
            </w:r>
            <w:r>
              <w:rPr>
                <w:rFonts w:hint="eastAsia"/>
                <w:lang w:val="zh-CN" w:eastAsia="zh-CN"/>
              </w:rPr>
              <w:t>。因此，</w:t>
            </w:r>
            <w:r>
              <w:rPr>
                <w:rFonts w:hint="eastAsia"/>
                <w:lang w:val="en-US" w:eastAsia="zh-CN"/>
              </w:rPr>
              <w:t>项目营运期产生的废水不会进入外环境</w:t>
            </w:r>
            <w:r>
              <w:rPr>
                <w:rFonts w:hint="eastAsia"/>
                <w:lang w:val="zh-CN" w:eastAsia="zh-CN"/>
              </w:rPr>
              <w:t>，对</w:t>
            </w:r>
            <w:r>
              <w:rPr>
                <w:rFonts w:hint="eastAsia"/>
                <w:lang w:val="en-US" w:eastAsia="zh-CN"/>
              </w:rPr>
              <w:t>项目所在区域的地表水</w:t>
            </w:r>
            <w:r>
              <w:rPr>
                <w:rFonts w:hint="eastAsia"/>
                <w:lang w:val="zh-CN" w:eastAsia="zh-CN"/>
              </w:rPr>
              <w:t>环境影响较小。</w:t>
            </w:r>
          </w:p>
          <w:p>
            <w:pPr>
              <w:pStyle w:val="18"/>
              <w:numPr>
                <w:ilvl w:val="0"/>
                <w:numId w:val="0"/>
              </w:numPr>
              <w:spacing w:line="360" w:lineRule="auto"/>
              <w:ind w:firstLine="480" w:firstLineChars="200"/>
              <w:jc w:val="both"/>
              <w:rPr>
                <w:rFonts w:hint="eastAsia"/>
                <w:lang w:val="zh-CN" w:eastAsia="zh-CN"/>
              </w:rPr>
            </w:pPr>
            <w:r>
              <w:rPr>
                <w:rFonts w:hint="eastAsia"/>
                <w:lang w:val="zh-CN" w:eastAsia="zh-CN"/>
              </w:rPr>
              <w:t>地下水：本项目可能会对地下水造成影响的主要为危废渗滤液，渗滤液下渗进入地下水系统，污染地下水水质。</w:t>
            </w:r>
            <w:r>
              <w:rPr>
                <w:rFonts w:hint="eastAsia"/>
                <w:lang w:val="en-US" w:eastAsia="zh-CN"/>
              </w:rPr>
              <w:t>项目用地</w:t>
            </w:r>
            <w:r>
              <w:rPr>
                <w:rFonts w:hint="eastAsia"/>
                <w:lang w:val="zh-CN" w:eastAsia="zh-CN"/>
              </w:rPr>
              <w:t>地面已</w:t>
            </w:r>
            <w:r>
              <w:rPr>
                <w:rFonts w:hint="eastAsia"/>
                <w:lang w:val="en-US" w:eastAsia="zh-CN"/>
              </w:rPr>
              <w:t>全部</w:t>
            </w:r>
            <w:r>
              <w:rPr>
                <w:rFonts w:hint="eastAsia"/>
                <w:lang w:val="zh-CN" w:eastAsia="zh-CN"/>
              </w:rPr>
              <w:t>硬化</w:t>
            </w:r>
            <w:r>
              <w:rPr>
                <w:rFonts w:hint="eastAsia"/>
                <w:lang w:val="en-US" w:eastAsia="zh-CN"/>
              </w:rPr>
              <w:t>处理</w:t>
            </w:r>
            <w:r>
              <w:rPr>
                <w:rFonts w:hint="eastAsia"/>
                <w:lang w:val="zh-CN" w:eastAsia="zh-CN"/>
              </w:rPr>
              <w:t>，项目危险废物暂存间设置于厂区西侧，本次环评要求</w:t>
            </w:r>
            <w:r>
              <w:rPr>
                <w:rFonts w:hint="eastAsia"/>
                <w:lang w:val="en-US" w:eastAsia="zh-CN"/>
              </w:rPr>
              <w:t>危废暂存间严格按照危废暂存间的设置要求</w:t>
            </w:r>
            <w:r>
              <w:rPr>
                <w:rFonts w:hint="eastAsia"/>
                <w:lang w:val="zh-CN" w:eastAsia="zh-CN"/>
              </w:rPr>
              <w:t>进行防渗等防护措施，故危废渗滤液下渗至地表及地下的可能性极小，对地下水</w:t>
            </w:r>
            <w:r>
              <w:rPr>
                <w:rFonts w:hint="eastAsia"/>
                <w:lang w:val="en-US" w:eastAsia="zh-CN"/>
              </w:rPr>
              <w:t>环境无影响</w:t>
            </w:r>
            <w:r>
              <w:rPr>
                <w:rFonts w:hint="eastAsia"/>
                <w:lang w:val="zh-CN" w:eastAsia="zh-CN"/>
              </w:rPr>
              <w:t>。</w:t>
            </w:r>
          </w:p>
          <w:p>
            <w:pPr>
              <w:pStyle w:val="18"/>
              <w:numPr>
                <w:ilvl w:val="0"/>
                <w:numId w:val="0"/>
              </w:numPr>
              <w:spacing w:line="360" w:lineRule="auto"/>
              <w:ind w:firstLine="480" w:firstLineChars="200"/>
              <w:jc w:val="both"/>
              <w:rPr>
                <w:rFonts w:hint="eastAsia"/>
                <w:lang w:val="zh-CN" w:eastAsia="zh-CN"/>
              </w:rPr>
            </w:pPr>
            <w:r>
              <w:rPr>
                <w:rFonts w:hint="eastAsia"/>
                <w:lang w:val="zh-CN" w:eastAsia="zh-CN"/>
              </w:rPr>
              <w:t>综上所述，</w:t>
            </w:r>
            <w:r>
              <w:rPr>
                <w:rFonts w:hint="eastAsia"/>
                <w:lang w:val="en-US" w:eastAsia="zh-CN"/>
              </w:rPr>
              <w:t>项目营运期产生的废水经过</w:t>
            </w:r>
            <w:r>
              <w:rPr>
                <w:rFonts w:hint="default" w:ascii="Times New Roman" w:hAnsi="Times New Roman" w:cs="Times New Roman"/>
                <w:bCs/>
                <w:color w:val="auto"/>
                <w:sz w:val="24"/>
              </w:rPr>
              <w:t>化粪池处理</w:t>
            </w:r>
            <w:r>
              <w:rPr>
                <w:rFonts w:hint="default" w:ascii="Times New Roman" w:hAnsi="Times New Roman" w:cs="Times New Roman"/>
                <w:bCs/>
                <w:color w:val="auto"/>
                <w:sz w:val="24"/>
                <w:lang w:val="en-US" w:eastAsia="zh-CN"/>
              </w:rPr>
              <w:t>达到</w:t>
            </w:r>
            <w:r>
              <w:rPr>
                <w:rFonts w:ascii="Times New Roman"/>
                <w:sz w:val="24"/>
                <w:szCs w:val="24"/>
              </w:rPr>
              <w:t>《污水排入城镇下水道水质标准》（</w:t>
            </w:r>
            <w:r>
              <w:rPr>
                <w:rFonts w:ascii="Times New Roman" w:hAnsi="Times New Roman"/>
                <w:sz w:val="24"/>
                <w:szCs w:val="24"/>
              </w:rPr>
              <w:t>GB/T31962-2015</w:t>
            </w:r>
            <w:r>
              <w:rPr>
                <w:rFonts w:ascii="Times New Roman"/>
                <w:sz w:val="24"/>
                <w:szCs w:val="24"/>
              </w:rPr>
              <w:t>）</w:t>
            </w:r>
            <w:r>
              <w:rPr>
                <w:rFonts w:ascii="Times New Roman" w:hAnsi="Times New Roman"/>
                <w:sz w:val="24"/>
                <w:szCs w:val="24"/>
              </w:rPr>
              <w:t>表1中</w:t>
            </w:r>
            <w:r>
              <w:rPr>
                <w:rFonts w:hint="eastAsia"/>
                <w:sz w:val="24"/>
                <w:szCs w:val="24"/>
                <w:lang w:eastAsia="zh-CN"/>
              </w:rPr>
              <w:t>A级标准</w:t>
            </w:r>
            <w:r>
              <w:rPr>
                <w:rFonts w:hint="eastAsia"/>
                <w:sz w:val="24"/>
                <w:szCs w:val="24"/>
                <w:lang w:val="en-US" w:eastAsia="zh-CN"/>
              </w:rPr>
              <w:t>后</w:t>
            </w:r>
            <w:r>
              <w:rPr>
                <w:rFonts w:hint="eastAsia" w:ascii="Times New Roman" w:hAnsi="Times New Roman"/>
                <w:sz w:val="24"/>
                <w:szCs w:val="24"/>
                <w:lang w:eastAsia="zh-CN"/>
              </w:rPr>
              <w:t>排入园区污水管网</w:t>
            </w:r>
            <w:r>
              <w:rPr>
                <w:rFonts w:hint="eastAsia"/>
                <w:lang w:val="en-US" w:eastAsia="zh-CN"/>
              </w:rPr>
              <w:t>，对项目所在区域的</w:t>
            </w:r>
            <w:r>
              <w:rPr>
                <w:rFonts w:hint="eastAsia"/>
                <w:lang w:val="zh-CN" w:eastAsia="zh-CN"/>
              </w:rPr>
              <w:t>地表水、地下水的环境影响较小。</w:t>
            </w:r>
          </w:p>
          <w:p>
            <w:pPr>
              <w:spacing w:line="360" w:lineRule="auto"/>
              <w:ind w:firstLine="482" w:firstLineChars="200"/>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3、声环境影响分析</w:t>
            </w:r>
          </w:p>
          <w:p>
            <w:pPr>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1）项目设备噪声产生情况</w:t>
            </w:r>
          </w:p>
          <w:p>
            <w:pPr>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项目营运期噪声主要为设备噪声，其中设备噪声源为</w:t>
            </w:r>
            <w:r>
              <w:rPr>
                <w:rFonts w:hint="eastAsia" w:ascii="Times New Roman" w:hAnsi="Times New Roman" w:cs="Times New Roman"/>
                <w:color w:val="auto"/>
                <w:sz w:val="24"/>
                <w:szCs w:val="24"/>
                <w:lang w:val="en-US" w:eastAsia="zh-CN"/>
              </w:rPr>
              <w:t>剪板机、折弯机、液压机、卷板机等</w:t>
            </w:r>
            <w:r>
              <w:rPr>
                <w:rFonts w:hint="default" w:ascii="Times New Roman" w:hAnsi="Times New Roman" w:cs="Times New Roman"/>
                <w:color w:val="auto"/>
                <w:sz w:val="24"/>
                <w:szCs w:val="24"/>
                <w:lang w:val="en-US" w:eastAsia="zh-CN"/>
              </w:rPr>
              <w:t>，其主要噪声源强见表</w:t>
            </w:r>
            <w:r>
              <w:rPr>
                <w:rFonts w:hint="eastAsia" w:ascii="Times New Roman" w:hAnsi="Times New Roman" w:cs="Times New Roman"/>
                <w:color w:val="auto"/>
                <w:sz w:val="24"/>
                <w:szCs w:val="24"/>
                <w:lang w:val="en-US" w:eastAsia="zh-CN"/>
              </w:rPr>
              <w:t>7-</w:t>
            </w:r>
            <w:r>
              <w:rPr>
                <w:rFonts w:hint="eastAsia" w:cs="Times New Roman"/>
                <w:color w:val="auto"/>
                <w:sz w:val="24"/>
                <w:szCs w:val="24"/>
                <w:lang w:val="en-US" w:eastAsia="zh-CN"/>
              </w:rPr>
              <w:t>15</w:t>
            </w:r>
            <w:r>
              <w:rPr>
                <w:rFonts w:hint="default" w:ascii="Times New Roman" w:hAnsi="Times New Roman" w:cs="Times New Roman"/>
                <w:color w:val="auto"/>
                <w:sz w:val="24"/>
                <w:szCs w:val="24"/>
                <w:lang w:val="en-US" w:eastAsia="zh-CN"/>
              </w:rPr>
              <w:t>。</w:t>
            </w:r>
          </w:p>
          <w:p>
            <w:pPr>
              <w:pStyle w:val="52"/>
              <w:bidi w:val="0"/>
              <w:spacing w:line="240" w:lineRule="auto"/>
              <w:rPr>
                <w:rFonts w:hint="default"/>
              </w:rPr>
            </w:pPr>
            <w:r>
              <w:rPr>
                <w:rFonts w:hint="default"/>
              </w:rPr>
              <w:t>表</w:t>
            </w:r>
            <w:r>
              <w:rPr>
                <w:rFonts w:hint="eastAsia"/>
                <w:lang w:val="en-US" w:eastAsia="zh-CN"/>
              </w:rPr>
              <w:t>7-15</w:t>
            </w:r>
            <w:r>
              <w:rPr>
                <w:rFonts w:hint="default"/>
              </w:rPr>
              <w:t xml:space="preserve">  运营期各类噪声源强及治理措施</w:t>
            </w:r>
          </w:p>
          <w:tbl>
            <w:tblPr>
              <w:tblStyle w:val="3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2197"/>
              <w:gridCol w:w="1088"/>
              <w:gridCol w:w="1892"/>
              <w:gridCol w:w="2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pct"/>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序号</w:t>
                  </w:r>
                </w:p>
              </w:tc>
              <w:tc>
                <w:tcPr>
                  <w:tcW w:w="1339" w:type="pct"/>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设备名称</w:t>
                  </w:r>
                </w:p>
              </w:tc>
              <w:tc>
                <w:tcPr>
                  <w:tcW w:w="663" w:type="pct"/>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数量</w:t>
                  </w:r>
                </w:p>
              </w:tc>
              <w:tc>
                <w:tcPr>
                  <w:tcW w:w="1153" w:type="pct"/>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源强</w:t>
                  </w:r>
                </w:p>
              </w:tc>
              <w:tc>
                <w:tcPr>
                  <w:tcW w:w="1416" w:type="pct"/>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w:t>
                  </w:r>
                </w:p>
              </w:tc>
              <w:tc>
                <w:tcPr>
                  <w:tcW w:w="2197" w:type="dxa"/>
                  <w:noWrap w:val="0"/>
                  <w:vAlign w:val="top"/>
                </w:tcPr>
                <w:p>
                  <w:pPr>
                    <w:pStyle w:val="104"/>
                    <w:spacing w:line="360" w:lineRule="auto"/>
                    <w:jc w:val="center"/>
                    <w:rPr>
                      <w:rFonts w:hint="eastAsia"/>
                      <w:b w:val="0"/>
                      <w:bCs w:val="0"/>
                      <w:sz w:val="21"/>
                      <w:szCs w:val="21"/>
                      <w:lang w:val="en-US" w:eastAsia="zh-CN"/>
                    </w:rPr>
                  </w:pPr>
                  <w:r>
                    <w:rPr>
                      <w:rFonts w:hint="eastAsia" w:ascii="Times New Roman"/>
                      <w:sz w:val="21"/>
                      <w:szCs w:val="21"/>
                      <w:lang w:eastAsia="zh-CN"/>
                    </w:rPr>
                    <w:t>液压式折弯机</w:t>
                  </w:r>
                </w:p>
              </w:tc>
              <w:tc>
                <w:tcPr>
                  <w:tcW w:w="663"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1台</w:t>
                  </w:r>
                </w:p>
              </w:tc>
              <w:tc>
                <w:tcPr>
                  <w:tcW w:w="1892" w:type="dxa"/>
                  <w:noWrap w:val="0"/>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90</w:t>
                  </w:r>
                </w:p>
              </w:tc>
              <w:tc>
                <w:tcPr>
                  <w:tcW w:w="1416" w:type="pct"/>
                  <w:vMerge w:val="restart"/>
                  <w:noWrap w:val="0"/>
                  <w:vAlign w:val="center"/>
                </w:tcPr>
                <w:p>
                  <w:pPr>
                    <w:pStyle w:val="53"/>
                    <w:bidi w:val="0"/>
                    <w:spacing w:line="240" w:lineRule="auto"/>
                    <w:rPr>
                      <w:rFonts w:hint="eastAsia"/>
                      <w:b w:val="0"/>
                      <w:bCs w:val="0"/>
                      <w:sz w:val="21"/>
                      <w:szCs w:val="21"/>
                      <w:lang w:val="en-US" w:eastAsia="zh-CN"/>
                    </w:rPr>
                  </w:pPr>
                  <w:r>
                    <w:rPr>
                      <w:rFonts w:hint="eastAsia"/>
                      <w:b w:val="0"/>
                      <w:bCs w:val="0"/>
                      <w:sz w:val="21"/>
                      <w:szCs w:val="21"/>
                      <w:lang w:val="en-US" w:eastAsia="zh-CN"/>
                    </w:rPr>
                    <w:t>低噪声设备、基础减震、车间隔声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2</w:t>
                  </w:r>
                </w:p>
              </w:tc>
              <w:tc>
                <w:tcPr>
                  <w:tcW w:w="2197" w:type="dxa"/>
                  <w:noWrap w:val="0"/>
                  <w:vAlign w:val="top"/>
                </w:tcPr>
                <w:p>
                  <w:pPr>
                    <w:pStyle w:val="104"/>
                    <w:spacing w:line="360" w:lineRule="auto"/>
                    <w:jc w:val="center"/>
                    <w:rPr>
                      <w:rFonts w:hint="eastAsia"/>
                      <w:b w:val="0"/>
                      <w:bCs w:val="0"/>
                      <w:sz w:val="21"/>
                      <w:szCs w:val="21"/>
                      <w:lang w:val="en-US" w:eastAsia="zh-CN"/>
                    </w:rPr>
                  </w:pPr>
                  <w:r>
                    <w:rPr>
                      <w:rFonts w:hint="eastAsia" w:ascii="Times New Roman"/>
                      <w:sz w:val="21"/>
                      <w:szCs w:val="21"/>
                      <w:lang w:eastAsia="zh-CN"/>
                    </w:rPr>
                    <w:t>摇臂钻床</w:t>
                  </w:r>
                </w:p>
              </w:tc>
              <w:tc>
                <w:tcPr>
                  <w:tcW w:w="663"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1台</w:t>
                  </w:r>
                </w:p>
              </w:tc>
              <w:tc>
                <w:tcPr>
                  <w:tcW w:w="1892" w:type="dxa"/>
                  <w:noWrap w:val="0"/>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85</w:t>
                  </w:r>
                </w:p>
              </w:tc>
              <w:tc>
                <w:tcPr>
                  <w:tcW w:w="1416" w:type="pct"/>
                  <w:vMerge w:val="continue"/>
                  <w:noWrap w:val="0"/>
                  <w:vAlign w:val="center"/>
                </w:tcPr>
                <w:p>
                  <w:pPr>
                    <w:pStyle w:val="53"/>
                    <w:bidi w:val="0"/>
                    <w:spacing w:line="240" w:lineRule="auto"/>
                    <w:rPr>
                      <w:rFonts w:hint="eastAsia"/>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3</w:t>
                  </w:r>
                </w:p>
              </w:tc>
              <w:tc>
                <w:tcPr>
                  <w:tcW w:w="2197" w:type="dxa"/>
                  <w:noWrap w:val="0"/>
                  <w:vAlign w:val="top"/>
                </w:tcPr>
                <w:p>
                  <w:pPr>
                    <w:pStyle w:val="104"/>
                    <w:spacing w:line="360" w:lineRule="auto"/>
                    <w:jc w:val="center"/>
                    <w:rPr>
                      <w:rFonts w:hint="eastAsia"/>
                      <w:b w:val="0"/>
                      <w:bCs w:val="0"/>
                      <w:sz w:val="21"/>
                      <w:szCs w:val="21"/>
                      <w:lang w:val="en-US" w:eastAsia="zh-CN"/>
                    </w:rPr>
                  </w:pPr>
                  <w:r>
                    <w:rPr>
                      <w:rFonts w:hint="eastAsia" w:ascii="Times New Roman"/>
                      <w:sz w:val="21"/>
                      <w:szCs w:val="21"/>
                      <w:lang w:eastAsia="zh-CN"/>
                    </w:rPr>
                    <w:t>激光切割机</w:t>
                  </w:r>
                </w:p>
              </w:tc>
              <w:tc>
                <w:tcPr>
                  <w:tcW w:w="663"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3台</w:t>
                  </w:r>
                </w:p>
              </w:tc>
              <w:tc>
                <w:tcPr>
                  <w:tcW w:w="1892" w:type="dxa"/>
                  <w:noWrap w:val="0"/>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95</w:t>
                  </w:r>
                </w:p>
              </w:tc>
              <w:tc>
                <w:tcPr>
                  <w:tcW w:w="1416" w:type="pct"/>
                  <w:vMerge w:val="continue"/>
                  <w:noWrap w:val="0"/>
                  <w:vAlign w:val="center"/>
                </w:tcPr>
                <w:p>
                  <w:pPr>
                    <w:pStyle w:val="53"/>
                    <w:bidi w:val="0"/>
                    <w:spacing w:line="240" w:lineRule="auto"/>
                    <w:rPr>
                      <w:rFonts w:hint="eastAsia"/>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4</w:t>
                  </w:r>
                </w:p>
              </w:tc>
              <w:tc>
                <w:tcPr>
                  <w:tcW w:w="2197" w:type="dxa"/>
                  <w:noWrap w:val="0"/>
                  <w:vAlign w:val="top"/>
                </w:tcPr>
                <w:p>
                  <w:pPr>
                    <w:pStyle w:val="104"/>
                    <w:spacing w:line="360" w:lineRule="auto"/>
                    <w:jc w:val="center"/>
                    <w:rPr>
                      <w:rFonts w:hint="eastAsia"/>
                      <w:b w:val="0"/>
                      <w:bCs w:val="0"/>
                      <w:sz w:val="21"/>
                      <w:szCs w:val="21"/>
                      <w:lang w:val="en-US" w:eastAsia="zh-CN"/>
                    </w:rPr>
                  </w:pPr>
                  <w:r>
                    <w:rPr>
                      <w:rFonts w:hint="eastAsia" w:ascii="Times New Roman"/>
                      <w:sz w:val="21"/>
                      <w:szCs w:val="21"/>
                      <w:lang w:eastAsia="zh-CN"/>
                    </w:rPr>
                    <w:t>行吊</w:t>
                  </w:r>
                </w:p>
              </w:tc>
              <w:tc>
                <w:tcPr>
                  <w:tcW w:w="663"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1台</w:t>
                  </w:r>
                </w:p>
              </w:tc>
              <w:tc>
                <w:tcPr>
                  <w:tcW w:w="1892" w:type="dxa"/>
                  <w:noWrap w:val="0"/>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85</w:t>
                  </w:r>
                </w:p>
              </w:tc>
              <w:tc>
                <w:tcPr>
                  <w:tcW w:w="1416" w:type="pct"/>
                  <w:vMerge w:val="continue"/>
                  <w:noWrap w:val="0"/>
                  <w:vAlign w:val="center"/>
                </w:tcPr>
                <w:p>
                  <w:pPr>
                    <w:pStyle w:val="53"/>
                    <w:bidi w:val="0"/>
                    <w:spacing w:line="240" w:lineRule="auto"/>
                    <w:rPr>
                      <w:rFonts w:hint="eastAsia"/>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5</w:t>
                  </w:r>
                </w:p>
              </w:tc>
              <w:tc>
                <w:tcPr>
                  <w:tcW w:w="2197" w:type="dxa"/>
                  <w:noWrap w:val="0"/>
                  <w:vAlign w:val="top"/>
                </w:tcPr>
                <w:p>
                  <w:pPr>
                    <w:pStyle w:val="104"/>
                    <w:spacing w:line="360" w:lineRule="auto"/>
                    <w:jc w:val="center"/>
                    <w:rPr>
                      <w:rFonts w:hint="eastAsia"/>
                      <w:b w:val="0"/>
                      <w:bCs w:val="0"/>
                      <w:sz w:val="21"/>
                      <w:szCs w:val="21"/>
                      <w:lang w:val="en-US" w:eastAsia="zh-CN"/>
                    </w:rPr>
                  </w:pPr>
                  <w:r>
                    <w:rPr>
                      <w:rFonts w:hint="eastAsia" w:ascii="Times New Roman"/>
                      <w:sz w:val="21"/>
                      <w:szCs w:val="21"/>
                      <w:lang w:eastAsia="zh-CN"/>
                    </w:rPr>
                    <w:t>空压机</w:t>
                  </w:r>
                </w:p>
              </w:tc>
              <w:tc>
                <w:tcPr>
                  <w:tcW w:w="663"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1台</w:t>
                  </w:r>
                </w:p>
              </w:tc>
              <w:tc>
                <w:tcPr>
                  <w:tcW w:w="1892" w:type="dxa"/>
                  <w:noWrap w:val="0"/>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95</w:t>
                  </w:r>
                </w:p>
              </w:tc>
              <w:tc>
                <w:tcPr>
                  <w:tcW w:w="1416" w:type="pct"/>
                  <w:vMerge w:val="continue"/>
                  <w:noWrap w:val="0"/>
                  <w:vAlign w:val="center"/>
                </w:tcPr>
                <w:p>
                  <w:pPr>
                    <w:pStyle w:val="53"/>
                    <w:bidi w:val="0"/>
                    <w:spacing w:line="240" w:lineRule="auto"/>
                    <w:rPr>
                      <w:rFonts w:hint="eastAsia"/>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6</w:t>
                  </w:r>
                </w:p>
              </w:tc>
              <w:tc>
                <w:tcPr>
                  <w:tcW w:w="2197" w:type="dxa"/>
                  <w:noWrap w:val="0"/>
                  <w:vAlign w:val="top"/>
                </w:tcPr>
                <w:p>
                  <w:pPr>
                    <w:pStyle w:val="104"/>
                    <w:spacing w:line="360" w:lineRule="auto"/>
                    <w:jc w:val="center"/>
                    <w:rPr>
                      <w:rFonts w:hint="eastAsia"/>
                      <w:b w:val="0"/>
                      <w:bCs w:val="0"/>
                      <w:sz w:val="21"/>
                      <w:szCs w:val="21"/>
                      <w:lang w:val="en-US" w:eastAsia="zh-CN"/>
                    </w:rPr>
                  </w:pPr>
                  <w:r>
                    <w:rPr>
                      <w:rFonts w:hint="eastAsia" w:ascii="Times New Roman"/>
                      <w:sz w:val="21"/>
                      <w:szCs w:val="21"/>
                      <w:lang w:eastAsia="zh-CN"/>
                    </w:rPr>
                    <w:t>焊机</w:t>
                  </w:r>
                </w:p>
              </w:tc>
              <w:tc>
                <w:tcPr>
                  <w:tcW w:w="663"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1台</w:t>
                  </w:r>
                </w:p>
              </w:tc>
              <w:tc>
                <w:tcPr>
                  <w:tcW w:w="1892" w:type="dxa"/>
                  <w:noWrap w:val="0"/>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80</w:t>
                  </w:r>
                </w:p>
              </w:tc>
              <w:tc>
                <w:tcPr>
                  <w:tcW w:w="1416" w:type="pct"/>
                  <w:vMerge w:val="continue"/>
                  <w:noWrap w:val="0"/>
                  <w:vAlign w:val="center"/>
                </w:tcPr>
                <w:p>
                  <w:pPr>
                    <w:pStyle w:val="53"/>
                    <w:bidi w:val="0"/>
                    <w:spacing w:line="240" w:lineRule="auto"/>
                    <w:rPr>
                      <w:rFonts w:hint="eastAsia"/>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7</w:t>
                  </w:r>
                </w:p>
              </w:tc>
              <w:tc>
                <w:tcPr>
                  <w:tcW w:w="2197" w:type="dxa"/>
                  <w:noWrap w:val="0"/>
                  <w:vAlign w:val="top"/>
                </w:tcPr>
                <w:p>
                  <w:pPr>
                    <w:pStyle w:val="104"/>
                    <w:spacing w:line="360" w:lineRule="auto"/>
                    <w:jc w:val="center"/>
                    <w:rPr>
                      <w:rFonts w:hint="eastAsia"/>
                      <w:b w:val="0"/>
                      <w:bCs w:val="0"/>
                      <w:sz w:val="21"/>
                      <w:szCs w:val="21"/>
                      <w:lang w:val="en-US" w:eastAsia="zh-CN"/>
                    </w:rPr>
                  </w:pPr>
                  <w:r>
                    <w:rPr>
                      <w:rFonts w:hint="eastAsia" w:ascii="Times New Roman"/>
                      <w:sz w:val="21"/>
                      <w:szCs w:val="21"/>
                      <w:lang w:eastAsia="zh-CN"/>
                    </w:rPr>
                    <w:t>锯床</w:t>
                  </w:r>
                </w:p>
              </w:tc>
              <w:tc>
                <w:tcPr>
                  <w:tcW w:w="663"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1台</w:t>
                  </w:r>
                </w:p>
              </w:tc>
              <w:tc>
                <w:tcPr>
                  <w:tcW w:w="1892" w:type="dxa"/>
                  <w:noWrap w:val="0"/>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90</w:t>
                  </w:r>
                </w:p>
              </w:tc>
              <w:tc>
                <w:tcPr>
                  <w:tcW w:w="1416" w:type="pct"/>
                  <w:vMerge w:val="continue"/>
                  <w:noWrap w:val="0"/>
                  <w:vAlign w:val="center"/>
                </w:tcPr>
                <w:p>
                  <w:pPr>
                    <w:pStyle w:val="53"/>
                    <w:bidi w:val="0"/>
                    <w:spacing w:line="240" w:lineRule="auto"/>
                    <w:rPr>
                      <w:rFonts w:hint="eastAsia"/>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8</w:t>
                  </w:r>
                </w:p>
              </w:tc>
              <w:tc>
                <w:tcPr>
                  <w:tcW w:w="2197" w:type="dxa"/>
                  <w:noWrap w:val="0"/>
                  <w:vAlign w:val="top"/>
                </w:tcPr>
                <w:p>
                  <w:pPr>
                    <w:pStyle w:val="104"/>
                    <w:spacing w:line="360" w:lineRule="auto"/>
                    <w:jc w:val="center"/>
                    <w:rPr>
                      <w:rFonts w:hint="eastAsia"/>
                      <w:b w:val="0"/>
                      <w:bCs w:val="0"/>
                      <w:sz w:val="21"/>
                      <w:szCs w:val="21"/>
                      <w:lang w:val="en-US" w:eastAsia="zh-CN"/>
                    </w:rPr>
                  </w:pPr>
                  <w:r>
                    <w:rPr>
                      <w:rFonts w:hint="eastAsia" w:ascii="Times New Roman"/>
                      <w:sz w:val="21"/>
                      <w:szCs w:val="21"/>
                      <w:lang w:eastAsia="zh-CN"/>
                    </w:rPr>
                    <w:t>喷砂机</w:t>
                  </w:r>
                </w:p>
              </w:tc>
              <w:tc>
                <w:tcPr>
                  <w:tcW w:w="663" w:type="pct"/>
                  <w:noWrap w:val="0"/>
                  <w:vAlign w:val="center"/>
                </w:tcPr>
                <w:p>
                  <w:pPr>
                    <w:pStyle w:val="53"/>
                    <w:bidi w:val="0"/>
                    <w:spacing w:line="240" w:lineRule="auto"/>
                    <w:rPr>
                      <w:rFonts w:hint="default"/>
                      <w:b w:val="0"/>
                      <w:bCs w:val="0"/>
                      <w:sz w:val="21"/>
                      <w:szCs w:val="21"/>
                      <w:lang w:val="en-US" w:eastAsia="zh-CN"/>
                    </w:rPr>
                  </w:pPr>
                  <w:r>
                    <w:rPr>
                      <w:rFonts w:hint="eastAsia"/>
                      <w:b w:val="0"/>
                      <w:bCs w:val="0"/>
                      <w:sz w:val="21"/>
                      <w:szCs w:val="21"/>
                      <w:lang w:val="en-US" w:eastAsia="zh-CN"/>
                    </w:rPr>
                    <w:t>1套</w:t>
                  </w:r>
                </w:p>
              </w:tc>
              <w:tc>
                <w:tcPr>
                  <w:tcW w:w="1892" w:type="dxa"/>
                  <w:noWrap w:val="0"/>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90</w:t>
                  </w:r>
                </w:p>
              </w:tc>
              <w:tc>
                <w:tcPr>
                  <w:tcW w:w="1416" w:type="pct"/>
                  <w:vMerge w:val="continue"/>
                  <w:noWrap w:val="0"/>
                  <w:vAlign w:val="center"/>
                </w:tcPr>
                <w:p>
                  <w:pPr>
                    <w:pStyle w:val="53"/>
                    <w:bidi w:val="0"/>
                    <w:spacing w:line="240" w:lineRule="auto"/>
                    <w:rPr>
                      <w:rFonts w:hint="eastAsia"/>
                      <w:b w:val="0"/>
                      <w:bCs w:val="0"/>
                      <w:sz w:val="21"/>
                      <w:szCs w:val="21"/>
                      <w:lang w:val="en-US" w:eastAsia="zh-CN"/>
                    </w:rPr>
                  </w:pPr>
                </w:p>
              </w:tc>
            </w:tr>
          </w:tbl>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项目采用将设备安置于车间内，通过遮挡衰减，距离衰减来降低噪声对周围环境的影响。</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2）噪声叠加结果</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A.预测因子</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预测因子为厂界噪声LAeq。</w:t>
            </w:r>
          </w:p>
          <w:p>
            <w:pPr>
              <w:spacing w:line="360" w:lineRule="auto"/>
              <w:ind w:firstLine="480" w:firstLineChars="200"/>
              <w:rPr>
                <w:rFonts w:hint="default" w:ascii="Times New Roman" w:hAnsi="Times New Roman" w:cs="Times New Roman"/>
                <w:sz w:val="24"/>
                <w:szCs w:val="24"/>
                <w:lang w:val="en-US" w:eastAsia="zh-CN"/>
              </w:rPr>
            </w:pPr>
            <w:bookmarkStart w:id="107" w:name="_Toc23985"/>
            <w:bookmarkStart w:id="108" w:name="_Toc279752064"/>
            <w:bookmarkStart w:id="109" w:name="_Toc266436926"/>
            <w:r>
              <w:rPr>
                <w:rFonts w:hint="default" w:ascii="Times New Roman" w:hAnsi="Times New Roman" w:cs="Times New Roman"/>
                <w:sz w:val="24"/>
                <w:szCs w:val="24"/>
                <w:lang w:val="en-US" w:eastAsia="zh-CN"/>
              </w:rPr>
              <w:t>B.预测模式</w:t>
            </w:r>
            <w:bookmarkEnd w:id="107"/>
            <w:bookmarkEnd w:id="108"/>
            <w:bookmarkEnd w:id="109"/>
          </w:p>
          <w:p>
            <w:pPr>
              <w:spacing w:line="360" w:lineRule="auto"/>
              <w:ind w:firstLine="480" w:firstLineChars="200"/>
              <w:rPr>
                <w:rFonts w:hint="default" w:ascii="Times New Roman" w:hAnsi="Times New Roman" w:cs="Times New Roman"/>
                <w:sz w:val="24"/>
                <w:szCs w:val="24"/>
                <w:lang w:val="en-US" w:eastAsia="zh-CN"/>
              </w:rPr>
            </w:pPr>
            <w:bookmarkStart w:id="110" w:name="_Toc243373957"/>
            <w:bookmarkStart w:id="111" w:name="_Toc227575400"/>
            <w:bookmarkStart w:id="112" w:name="_Toc193167157"/>
            <w:bookmarkStart w:id="113" w:name="_Toc188836952"/>
            <w:bookmarkStart w:id="114" w:name="_Toc191998319"/>
            <w:r>
              <w:rPr>
                <w:rFonts w:hint="default" w:ascii="Times New Roman" w:hAnsi="Times New Roman" w:cs="Times New Roman"/>
                <w:sz w:val="24"/>
                <w:szCs w:val="24"/>
                <w:lang w:val="en-US" w:eastAsia="zh-CN"/>
              </w:rPr>
              <w:t>①噪声衰减公式</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L</w:t>
            </w:r>
            <w:r>
              <w:rPr>
                <w:rFonts w:hint="default" w:ascii="Times New Roman" w:hAnsi="Times New Roman" w:cs="Times New Roman"/>
                <w:sz w:val="24"/>
                <w:szCs w:val="24"/>
                <w:vertAlign w:val="subscript"/>
                <w:lang w:val="en-US" w:eastAsia="zh-CN"/>
              </w:rPr>
              <w:t>2</w:t>
            </w:r>
            <w:r>
              <w:rPr>
                <w:rFonts w:hint="default" w:ascii="Times New Roman" w:hAnsi="Times New Roman" w:cs="Times New Roman"/>
                <w:sz w:val="24"/>
                <w:szCs w:val="24"/>
                <w:lang w:val="en-IE" w:eastAsia="zh-CN"/>
              </w:rPr>
              <w:t>＝</w:t>
            </w:r>
            <w:r>
              <w:rPr>
                <w:rFonts w:hint="default" w:ascii="Times New Roman" w:hAnsi="Times New Roman" w:cs="Times New Roman"/>
                <w:sz w:val="24"/>
                <w:szCs w:val="24"/>
                <w:lang w:val="en-US" w:eastAsia="zh-CN"/>
              </w:rPr>
              <w:t>L</w:t>
            </w:r>
            <w:r>
              <w:rPr>
                <w:rFonts w:hint="default" w:ascii="Times New Roman" w:hAnsi="Times New Roman" w:cs="Times New Roman"/>
                <w:sz w:val="24"/>
                <w:szCs w:val="24"/>
                <w:vertAlign w:val="subscript"/>
                <w:lang w:val="en-US" w:eastAsia="zh-CN"/>
              </w:rPr>
              <w:t>1</w:t>
            </w:r>
            <w:r>
              <w:rPr>
                <w:rFonts w:hint="default" w:ascii="Times New Roman" w:hAnsi="Times New Roman" w:cs="Times New Roman"/>
                <w:sz w:val="24"/>
                <w:szCs w:val="24"/>
                <w:lang w:val="en-IE" w:eastAsia="zh-CN"/>
              </w:rPr>
              <w:t>－</w:t>
            </w:r>
            <w:r>
              <w:rPr>
                <w:rFonts w:hint="default" w:ascii="Times New Roman" w:hAnsi="Times New Roman" w:cs="Times New Roman"/>
                <w:sz w:val="24"/>
                <w:szCs w:val="24"/>
                <w:lang w:val="en-US" w:eastAsia="zh-CN"/>
              </w:rPr>
              <w:t>20lgr</w:t>
            </w:r>
            <w:r>
              <w:rPr>
                <w:rFonts w:hint="default" w:ascii="Times New Roman" w:hAnsi="Times New Roman" w:cs="Times New Roman"/>
                <w:sz w:val="24"/>
                <w:szCs w:val="24"/>
                <w:vertAlign w:val="subscript"/>
                <w:lang w:val="en-US" w:eastAsia="zh-CN"/>
              </w:rPr>
              <w:t>2</w:t>
            </w:r>
            <w:r>
              <w:rPr>
                <w:rFonts w:hint="default" w:ascii="Times New Roman" w:hAnsi="Times New Roman" w:cs="Times New Roman"/>
                <w:sz w:val="24"/>
                <w:szCs w:val="24"/>
                <w:lang w:val="en-US" w:eastAsia="zh-CN"/>
              </w:rPr>
              <w:t>/r</w:t>
            </w:r>
            <w:r>
              <w:rPr>
                <w:rFonts w:hint="default" w:ascii="Times New Roman" w:hAnsi="Times New Roman" w:cs="Times New Roman"/>
                <w:sz w:val="24"/>
                <w:szCs w:val="24"/>
                <w:vertAlign w:val="subscript"/>
                <w:lang w:val="en-US" w:eastAsia="zh-CN"/>
              </w:rPr>
              <w:t>1</w:t>
            </w:r>
            <w:r>
              <w:rPr>
                <w:rFonts w:hint="default" w:ascii="Times New Roman" w:hAnsi="Times New Roman" w:cs="Times New Roman"/>
                <w:sz w:val="24"/>
                <w:szCs w:val="24"/>
                <w:lang w:val="en-US" w:eastAsia="zh-CN"/>
              </w:rPr>
              <w:t>－△L</w:t>
            </w:r>
            <w:bookmarkEnd w:id="110"/>
            <w:bookmarkEnd w:id="111"/>
            <w:bookmarkEnd w:id="112"/>
            <w:bookmarkEnd w:id="113"/>
            <w:bookmarkEnd w:id="114"/>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式中：L</w:t>
            </w:r>
            <w:r>
              <w:rPr>
                <w:rFonts w:hint="default" w:ascii="Times New Roman" w:hAnsi="Times New Roman" w:cs="Times New Roman"/>
                <w:sz w:val="24"/>
                <w:szCs w:val="24"/>
                <w:vertAlign w:val="subscript"/>
                <w:lang w:val="en-US" w:eastAsia="zh-CN"/>
              </w:rPr>
              <w:t>2</w:t>
            </w:r>
            <w:r>
              <w:rPr>
                <w:rFonts w:hint="default" w:ascii="Times New Roman" w:hAnsi="Times New Roman" w:cs="Times New Roman"/>
                <w:sz w:val="24"/>
                <w:szCs w:val="24"/>
                <w:lang w:val="en-US" w:eastAsia="zh-CN"/>
              </w:rPr>
              <w:t>——距声源r</w:t>
            </w:r>
            <w:r>
              <w:rPr>
                <w:rFonts w:hint="default" w:ascii="Times New Roman" w:hAnsi="Times New Roman" w:cs="Times New Roman"/>
                <w:sz w:val="24"/>
                <w:szCs w:val="24"/>
                <w:vertAlign w:val="subscript"/>
                <w:lang w:val="en-US" w:eastAsia="zh-CN"/>
              </w:rPr>
              <w:t>2</w:t>
            </w:r>
            <w:r>
              <w:rPr>
                <w:rFonts w:hint="default" w:ascii="Times New Roman" w:hAnsi="Times New Roman" w:cs="Times New Roman"/>
                <w:sz w:val="24"/>
                <w:szCs w:val="24"/>
                <w:lang w:val="en-US" w:eastAsia="zh-CN"/>
              </w:rPr>
              <w:t>处声源值[dB(A)]；</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      L</w:t>
            </w:r>
            <w:r>
              <w:rPr>
                <w:rFonts w:hint="default" w:ascii="Times New Roman" w:hAnsi="Times New Roman" w:cs="Times New Roman"/>
                <w:sz w:val="24"/>
                <w:szCs w:val="24"/>
                <w:vertAlign w:val="subscript"/>
                <w:lang w:val="en-US" w:eastAsia="zh-CN"/>
              </w:rPr>
              <w:t>1</w:t>
            </w:r>
            <w:r>
              <w:rPr>
                <w:rFonts w:hint="default" w:ascii="Times New Roman" w:hAnsi="Times New Roman" w:cs="Times New Roman"/>
                <w:sz w:val="24"/>
                <w:szCs w:val="24"/>
                <w:lang w:val="en-US" w:eastAsia="zh-CN"/>
              </w:rPr>
              <w:t>——距声源r</w:t>
            </w:r>
            <w:r>
              <w:rPr>
                <w:rFonts w:hint="default" w:ascii="Times New Roman" w:hAnsi="Times New Roman" w:cs="Times New Roman"/>
                <w:sz w:val="24"/>
                <w:szCs w:val="24"/>
                <w:vertAlign w:val="subscript"/>
                <w:lang w:val="en-US" w:eastAsia="zh-CN"/>
              </w:rPr>
              <w:t>1</w:t>
            </w:r>
            <w:r>
              <w:rPr>
                <w:rFonts w:hint="default" w:ascii="Times New Roman" w:hAnsi="Times New Roman" w:cs="Times New Roman"/>
                <w:sz w:val="24"/>
                <w:szCs w:val="24"/>
                <w:lang w:val="en-US" w:eastAsia="zh-CN"/>
              </w:rPr>
              <w:t>处声源值[dB(A)]；</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      r</w:t>
            </w:r>
            <w:r>
              <w:rPr>
                <w:rFonts w:hint="default" w:ascii="Times New Roman" w:hAnsi="Times New Roman" w:cs="Times New Roman"/>
                <w:sz w:val="24"/>
                <w:szCs w:val="24"/>
                <w:vertAlign w:val="subscript"/>
                <w:lang w:val="en-US" w:eastAsia="zh-CN"/>
              </w:rPr>
              <w:t>2</w:t>
            </w:r>
            <w:r>
              <w:rPr>
                <w:rFonts w:hint="default" w:ascii="Times New Roman" w:hAnsi="Times New Roman" w:cs="Times New Roman"/>
                <w:sz w:val="24"/>
                <w:szCs w:val="24"/>
                <w:lang w:val="en-US" w:eastAsia="zh-CN"/>
              </w:rPr>
              <w:t>、r</w:t>
            </w:r>
            <w:r>
              <w:rPr>
                <w:rFonts w:hint="default" w:ascii="Times New Roman" w:hAnsi="Times New Roman" w:cs="Times New Roman"/>
                <w:sz w:val="24"/>
                <w:szCs w:val="24"/>
                <w:vertAlign w:val="subscript"/>
                <w:lang w:val="en-US" w:eastAsia="zh-CN"/>
              </w:rPr>
              <w:t>1</w:t>
            </w:r>
            <w:r>
              <w:rPr>
                <w:rFonts w:hint="default" w:ascii="Times New Roman" w:hAnsi="Times New Roman" w:cs="Times New Roman"/>
                <w:sz w:val="24"/>
                <w:szCs w:val="24"/>
                <w:lang w:val="en-US" w:eastAsia="zh-CN"/>
              </w:rPr>
              <w:t>——与声源的距离(m)；</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      △L——场界围墙引起的衰减量。</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关于</w:t>
            </w:r>
            <w:r>
              <w:rPr>
                <w:rFonts w:hint="default" w:ascii="Times New Roman" w:hAnsi="Times New Roman" w:cs="Times New Roman"/>
                <w:sz w:val="24"/>
                <w:szCs w:val="24"/>
                <w:lang w:val="en-US" w:eastAsia="zh-CN"/>
              </w:rPr>
              <w:sym w:font="Symbol" w:char="F044"/>
            </w:r>
            <w:r>
              <w:rPr>
                <w:rFonts w:hint="default" w:ascii="Times New Roman" w:hAnsi="Times New Roman" w:cs="Times New Roman"/>
                <w:sz w:val="24"/>
                <w:szCs w:val="24"/>
                <w:lang w:val="en-US" w:eastAsia="zh-CN"/>
              </w:rPr>
              <w:t>L的取值，其影响因素很多，据工程特点忽略天气、温度、地面状况等因素，主要考虑建筑反射等，本项目取15dB(A)。</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②噪声叠加公式</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object>
                <v:shape id="_x0000_i1027" o:spt="75" type="#_x0000_t75" style="height:33pt;width:105pt;" o:ole="t" filled="f" o:preferrelative="t" stroked="f" coordsize="21600,21600">
                  <v:path/>
                  <v:fill on="f" focussize="0,0"/>
                  <v:stroke on="f"/>
                  <v:imagedata r:id="rId19" o:title=""/>
                  <o:lock v:ext="edit" aspectratio="t"/>
                  <w10:wrap type="none"/>
                  <w10:anchorlock/>
                </v:shape>
                <o:OLEObject Type="Embed" ProgID="Equation.3" ShapeID="_x0000_i1027" DrawAspect="Content" ObjectID="_1468075727" r:id="rId18">
                  <o:LockedField>false</o:LockedField>
                </o:OLEObject>
              </w:objec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式中：Li——第i个声源的噪声值，dB(A)；</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      L——某点噪声总叠加值，dB(A)；</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      n——声源个数。</w:t>
            </w:r>
          </w:p>
          <w:p>
            <w:pPr>
              <w:spacing w:line="360" w:lineRule="auto"/>
              <w:ind w:firstLine="480" w:firstLineChars="200"/>
              <w:rPr>
                <w:rFonts w:hint="default" w:ascii="Times New Roman" w:hAnsi="Times New Roman" w:cs="Times New Roman"/>
                <w:sz w:val="24"/>
                <w:szCs w:val="24"/>
                <w:lang w:val="en-US" w:eastAsia="zh-CN"/>
              </w:rPr>
            </w:pPr>
            <w:bookmarkStart w:id="115" w:name="_Toc266436927"/>
            <w:bookmarkStart w:id="116" w:name="_Toc279752065"/>
            <w:bookmarkStart w:id="117" w:name="_Toc1724"/>
            <w:r>
              <w:rPr>
                <w:rFonts w:hint="default" w:ascii="Times New Roman" w:hAnsi="Times New Roman" w:cs="Times New Roman"/>
                <w:sz w:val="24"/>
                <w:szCs w:val="24"/>
                <w:lang w:val="en-US" w:eastAsia="zh-CN"/>
              </w:rPr>
              <w:t>C.</w:t>
            </w:r>
            <w:bookmarkEnd w:id="115"/>
            <w:bookmarkEnd w:id="116"/>
            <w:r>
              <w:rPr>
                <w:rFonts w:hint="default" w:ascii="Times New Roman" w:hAnsi="Times New Roman" w:cs="Times New Roman"/>
                <w:sz w:val="24"/>
                <w:szCs w:val="24"/>
                <w:lang w:val="en-US" w:eastAsia="zh-CN"/>
              </w:rPr>
              <w:t>厂界噪声预测结果</w:t>
            </w:r>
            <w:bookmarkEnd w:id="117"/>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根据项目执行标准要求，厂界噪声按《工业企业厂界环境噪声排放标准》（GB12348-2008）</w:t>
            </w:r>
            <w:r>
              <w:rPr>
                <w:rFonts w:hint="eastAsia" w:cs="Times New Roman"/>
                <w:sz w:val="24"/>
                <w:szCs w:val="24"/>
                <w:lang w:val="en-US" w:eastAsia="zh-CN"/>
              </w:rPr>
              <w:t>3</w:t>
            </w:r>
            <w:r>
              <w:rPr>
                <w:rFonts w:hint="default" w:ascii="Times New Roman" w:hAnsi="Times New Roman" w:cs="Times New Roman"/>
                <w:sz w:val="24"/>
                <w:szCs w:val="24"/>
                <w:lang w:val="en-US" w:eastAsia="zh-CN"/>
              </w:rPr>
              <w:t>类标准要求考虑，其标准值如下：昼间：LAeq≤6</w:t>
            </w:r>
            <w:r>
              <w:rPr>
                <w:rFonts w:hint="eastAsia" w:cs="Times New Roman"/>
                <w:sz w:val="24"/>
                <w:szCs w:val="24"/>
                <w:lang w:val="en-US" w:eastAsia="zh-CN"/>
              </w:rPr>
              <w:t>5</w:t>
            </w:r>
            <w:r>
              <w:rPr>
                <w:rFonts w:hint="default" w:ascii="Times New Roman" w:hAnsi="Times New Roman" w:cs="Times New Roman"/>
                <w:sz w:val="24"/>
                <w:szCs w:val="24"/>
                <w:lang w:val="en-US" w:eastAsia="zh-CN"/>
              </w:rPr>
              <w:t>dB(A) 、夜间：LAeq≤5</w:t>
            </w:r>
            <w:r>
              <w:rPr>
                <w:rFonts w:hint="eastAsia" w:cs="Times New Roman"/>
                <w:sz w:val="24"/>
                <w:szCs w:val="24"/>
                <w:lang w:val="en-US" w:eastAsia="zh-CN"/>
              </w:rPr>
              <w:t>5</w:t>
            </w:r>
            <w:r>
              <w:rPr>
                <w:rFonts w:hint="default" w:ascii="Times New Roman" w:hAnsi="Times New Roman" w:cs="Times New Roman"/>
                <w:sz w:val="24"/>
                <w:szCs w:val="24"/>
                <w:lang w:val="en-US" w:eastAsia="zh-CN"/>
              </w:rPr>
              <w:t>dB(A)。</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根据 HJ2.4-2009《环境影响评价技术导则 声环境》9.2条规定，“进行边界噪声评价时，新建建设项目以工程噪声贡献值作为评价量；改扩建建设项目以工程噪声贡献值与受到现有工程影响的边界噪声值叠加后的预测值作为评价量。”本项目以工程噪声贡献值作为评价量。</w:t>
            </w:r>
          </w:p>
          <w:p>
            <w:pPr>
              <w:spacing w:line="360" w:lineRule="auto"/>
              <w:ind w:firstLine="480" w:firstLineChars="200"/>
              <w:rPr>
                <w:rFonts w:hint="default"/>
              </w:rPr>
            </w:pPr>
            <w:r>
              <w:rPr>
                <w:rFonts w:hint="default" w:ascii="Times New Roman" w:hAnsi="Times New Roman" w:cs="Times New Roman"/>
                <w:sz w:val="24"/>
                <w:szCs w:val="24"/>
                <w:lang w:val="en-US" w:eastAsia="zh-CN"/>
              </w:rPr>
              <w:t xml:space="preserve">本次噪声预测根据主要产噪声设备的平面布置进行叠加预测，根据项目总平面图，各预测结果汇总见下表： </w:t>
            </w:r>
          </w:p>
          <w:p>
            <w:pPr>
              <w:spacing w:line="240" w:lineRule="auto"/>
              <w:jc w:val="center"/>
              <w:rPr>
                <w:rFonts w:hint="default"/>
                <w:b/>
                <w:bCs/>
                <w:lang w:val="en-US" w:eastAsia="zh-CN"/>
              </w:rPr>
            </w:pPr>
            <w:r>
              <w:rPr>
                <w:b/>
                <w:bCs/>
              </w:rPr>
              <w:t>表7-</w:t>
            </w:r>
            <w:r>
              <w:rPr>
                <w:rFonts w:hint="eastAsia"/>
                <w:b/>
                <w:bCs/>
                <w:lang w:val="en-US" w:eastAsia="zh-CN"/>
              </w:rPr>
              <w:t>16</w:t>
            </w:r>
            <w:r>
              <w:rPr>
                <w:b/>
                <w:bCs/>
              </w:rPr>
              <w:t xml:space="preserve">  </w:t>
            </w:r>
            <w:r>
              <w:rPr>
                <w:rFonts w:hint="eastAsia"/>
                <w:b/>
                <w:bCs/>
                <w:lang w:val="en-US" w:eastAsia="zh-CN"/>
              </w:rPr>
              <w:t>厂界噪声预测结果</w:t>
            </w:r>
          </w:p>
          <w:tbl>
            <w:tblPr>
              <w:tblStyle w:val="38"/>
              <w:tblW w:w="8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3"/>
              <w:gridCol w:w="1531"/>
              <w:gridCol w:w="1352"/>
              <w:gridCol w:w="1353"/>
              <w:gridCol w:w="1353"/>
              <w:gridCol w:w="1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预测点</w:t>
                  </w:r>
                </w:p>
              </w:tc>
              <w:tc>
                <w:tcPr>
                  <w:tcW w:w="1531"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设备</w:t>
                  </w:r>
                </w:p>
              </w:tc>
              <w:tc>
                <w:tcPr>
                  <w:tcW w:w="1352"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降噪后声源值</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距厂界距离</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噪声贡献值</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厂界噪声叠加值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restart"/>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东厂界</w:t>
                  </w: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液压式折弯机</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en-US" w:eastAsia="zh-CN" w:bidi="ar-SA"/>
                    </w:rPr>
                  </w:pPr>
                  <w:r>
                    <w:rPr>
                      <w:rFonts w:hint="eastAsia"/>
                      <w:b w:val="0"/>
                      <w:bCs w:val="0"/>
                      <w:sz w:val="21"/>
                      <w:szCs w:val="21"/>
                      <w:lang w:val="en-US" w:eastAsia="zh-CN"/>
                    </w:rPr>
                    <w:t>85</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100</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45 </w:t>
                  </w:r>
                </w:p>
              </w:tc>
              <w:tc>
                <w:tcPr>
                  <w:tcW w:w="1353" w:type="dxa"/>
                  <w:vMerge w:val="restart"/>
                  <w:vAlign w:val="center"/>
                </w:tcPr>
                <w:p>
                  <w:pPr>
                    <w:pStyle w:val="18"/>
                    <w:spacing w:line="240" w:lineRule="auto"/>
                    <w:jc w:val="center"/>
                    <w:rPr>
                      <w:rFonts w:hint="default" w:ascii="Times New Roman" w:hAnsi="Times New Roman" w:eastAsia="宋体" w:cs="Times New Roman"/>
                      <w:b w:val="0"/>
                      <w:bCs/>
                      <w:color w:val="auto"/>
                      <w:kern w:val="2"/>
                      <w:sz w:val="21"/>
                      <w:szCs w:val="21"/>
                      <w:vertAlign w:val="baseline"/>
                      <w:lang w:val="en-US" w:eastAsia="zh-CN" w:bidi="ar-SA"/>
                    </w:rPr>
                  </w:pPr>
                  <w:r>
                    <w:rPr>
                      <w:rFonts w:hint="eastAsia" w:cs="Times New Roman"/>
                      <w:b w:val="0"/>
                      <w:bCs/>
                      <w:color w:val="auto"/>
                      <w:kern w:val="2"/>
                      <w:sz w:val="21"/>
                      <w:szCs w:val="21"/>
                      <w:vertAlign w:val="baseline"/>
                      <w:lang w:val="en-US" w:eastAsia="zh-CN" w:bidi="ar-SA"/>
                    </w:rPr>
                    <w:t>59.7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摇臂钻床</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zh-CN" w:eastAsia="zh-CN" w:bidi="ar-SA"/>
                    </w:rPr>
                  </w:pPr>
                  <w:r>
                    <w:rPr>
                      <w:rFonts w:hint="eastAsia"/>
                      <w:b w:val="0"/>
                      <w:bCs w:val="0"/>
                      <w:sz w:val="21"/>
                      <w:szCs w:val="21"/>
                      <w:lang w:val="en-US" w:eastAsia="zh-CN"/>
                    </w:rPr>
                    <w:t>80</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110</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39 </w:t>
                  </w:r>
                </w:p>
              </w:tc>
              <w:tc>
                <w:tcPr>
                  <w:tcW w:w="1353" w:type="dxa"/>
                  <w:vMerge w:val="continue"/>
                  <w:vAlign w:val="center"/>
                </w:tcPr>
                <w:p>
                  <w:pPr>
                    <w:pStyle w:val="18"/>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激光切割机</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en-US" w:eastAsia="zh-CN" w:bidi="ar-SA"/>
                    </w:rPr>
                  </w:pPr>
                  <w:r>
                    <w:rPr>
                      <w:rFonts w:hint="eastAsia"/>
                      <w:b w:val="0"/>
                      <w:bCs w:val="0"/>
                      <w:sz w:val="21"/>
                      <w:szCs w:val="21"/>
                      <w:lang w:val="en-US" w:eastAsia="zh-CN"/>
                    </w:rPr>
                    <w:t>90</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100</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50 </w:t>
                  </w:r>
                </w:p>
              </w:tc>
              <w:tc>
                <w:tcPr>
                  <w:tcW w:w="1353" w:type="dxa"/>
                  <w:vMerge w:val="continue"/>
                  <w:vAlign w:val="center"/>
                </w:tcPr>
                <w:p>
                  <w:pPr>
                    <w:pStyle w:val="18"/>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行吊</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en-US" w:eastAsia="zh-CN" w:bidi="ar-SA"/>
                    </w:rPr>
                  </w:pPr>
                  <w:r>
                    <w:rPr>
                      <w:rFonts w:hint="eastAsia"/>
                      <w:b w:val="0"/>
                      <w:bCs w:val="0"/>
                      <w:sz w:val="21"/>
                      <w:szCs w:val="21"/>
                      <w:lang w:val="en-US" w:eastAsia="zh-CN"/>
                    </w:rPr>
                    <w:t>80</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60</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44 </w:t>
                  </w:r>
                </w:p>
              </w:tc>
              <w:tc>
                <w:tcPr>
                  <w:tcW w:w="1353" w:type="dxa"/>
                  <w:vMerge w:val="continue"/>
                  <w:vAlign w:val="center"/>
                </w:tcPr>
                <w:p>
                  <w:pPr>
                    <w:pStyle w:val="18"/>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空压机</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en-US" w:eastAsia="zh-CN" w:bidi="ar-SA"/>
                    </w:rPr>
                  </w:pPr>
                  <w:r>
                    <w:rPr>
                      <w:rFonts w:hint="eastAsia"/>
                      <w:b w:val="0"/>
                      <w:bCs w:val="0"/>
                      <w:sz w:val="21"/>
                      <w:szCs w:val="21"/>
                      <w:lang w:val="en-US" w:eastAsia="zh-CN"/>
                    </w:rPr>
                    <w:t>90</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40</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58 </w:t>
                  </w:r>
                </w:p>
              </w:tc>
              <w:tc>
                <w:tcPr>
                  <w:tcW w:w="1353" w:type="dxa"/>
                  <w:vMerge w:val="continue"/>
                  <w:vAlign w:val="center"/>
                </w:tcPr>
                <w:p>
                  <w:pPr>
                    <w:pStyle w:val="18"/>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焊机</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zh-CN" w:eastAsia="zh-CN" w:bidi="ar-SA"/>
                    </w:rPr>
                  </w:pPr>
                  <w:r>
                    <w:rPr>
                      <w:rFonts w:hint="eastAsia"/>
                      <w:b w:val="0"/>
                      <w:bCs w:val="0"/>
                      <w:sz w:val="21"/>
                      <w:szCs w:val="21"/>
                      <w:lang w:val="en-US" w:eastAsia="zh-CN"/>
                    </w:rPr>
                    <w:t>75</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20</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49 </w:t>
                  </w:r>
                </w:p>
              </w:tc>
              <w:tc>
                <w:tcPr>
                  <w:tcW w:w="1353" w:type="dxa"/>
                  <w:vMerge w:val="continue"/>
                  <w:vAlign w:val="center"/>
                </w:tcPr>
                <w:p>
                  <w:pPr>
                    <w:pStyle w:val="18"/>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锯床</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en-US" w:eastAsia="zh-CN" w:bidi="ar-SA"/>
                    </w:rPr>
                  </w:pPr>
                  <w:r>
                    <w:rPr>
                      <w:rFonts w:hint="eastAsia"/>
                      <w:b w:val="0"/>
                      <w:bCs w:val="0"/>
                      <w:sz w:val="21"/>
                      <w:szCs w:val="21"/>
                      <w:lang w:val="en-US" w:eastAsia="zh-CN"/>
                    </w:rPr>
                    <w:t>85</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100</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45</w:t>
                  </w:r>
                </w:p>
              </w:tc>
              <w:tc>
                <w:tcPr>
                  <w:tcW w:w="1353" w:type="dxa"/>
                  <w:vMerge w:val="continue"/>
                  <w:vAlign w:val="center"/>
                </w:tcPr>
                <w:p>
                  <w:pPr>
                    <w:pStyle w:val="18"/>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eastAsia" w:ascii="Times New Roman" w:hAnsi="Times New Roman" w:cs="Times New Roman"/>
                      <w:b w:val="0"/>
                      <w:bCs/>
                      <w:color w:val="auto"/>
                      <w:sz w:val="21"/>
                      <w:szCs w:val="21"/>
                      <w:vertAlign w:val="baseline"/>
                      <w:lang w:val="en-US" w:eastAsia="zh-CN"/>
                    </w:rPr>
                  </w:pPr>
                  <w:r>
                    <w:rPr>
                      <w:rFonts w:hint="eastAsia" w:ascii="Times New Roman"/>
                      <w:sz w:val="21"/>
                      <w:szCs w:val="21"/>
                      <w:lang w:eastAsia="zh-CN"/>
                    </w:rPr>
                    <w:t>喷砂机</w:t>
                  </w:r>
                </w:p>
              </w:tc>
              <w:tc>
                <w:tcPr>
                  <w:tcW w:w="1352" w:type="dxa"/>
                  <w:vAlign w:val="center"/>
                </w:tcPr>
                <w:p>
                  <w:pPr>
                    <w:pStyle w:val="53"/>
                    <w:bidi w:val="0"/>
                    <w:spacing w:line="240" w:lineRule="auto"/>
                    <w:ind w:firstLine="0" w:firstLineChars="0"/>
                    <w:rPr>
                      <w:rFonts w:hint="eastAsia" w:ascii="Times New Roman" w:hAnsi="Times New Roman" w:cs="Times New Roman"/>
                      <w:b w:val="0"/>
                      <w:bCs/>
                      <w:color w:val="auto"/>
                      <w:sz w:val="21"/>
                      <w:szCs w:val="21"/>
                      <w:vertAlign w:val="baseline"/>
                      <w:lang w:val="en-US" w:eastAsia="zh-CN"/>
                    </w:rPr>
                  </w:pPr>
                  <w:r>
                    <w:rPr>
                      <w:rFonts w:hint="eastAsia"/>
                      <w:b w:val="0"/>
                      <w:bCs w:val="0"/>
                      <w:sz w:val="21"/>
                      <w:szCs w:val="21"/>
                      <w:lang w:val="en-US" w:eastAsia="zh-CN"/>
                    </w:rPr>
                    <w:t>85</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110</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45</w:t>
                  </w:r>
                </w:p>
              </w:tc>
              <w:tc>
                <w:tcPr>
                  <w:tcW w:w="1353" w:type="dxa"/>
                  <w:vMerge w:val="continue"/>
                  <w:vAlign w:val="center"/>
                </w:tcPr>
                <w:p>
                  <w:pPr>
                    <w:pStyle w:val="18"/>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restart"/>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南厂界</w:t>
                  </w: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液压式折弯机</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zh-CN" w:eastAsia="zh-CN" w:bidi="ar-SA"/>
                    </w:rPr>
                  </w:pPr>
                  <w:r>
                    <w:rPr>
                      <w:rFonts w:hint="eastAsia"/>
                      <w:b w:val="0"/>
                      <w:bCs w:val="0"/>
                      <w:sz w:val="21"/>
                      <w:szCs w:val="21"/>
                      <w:lang w:val="en-US" w:eastAsia="zh-CN"/>
                    </w:rPr>
                    <w:t>85</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20</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59 </w:t>
                  </w:r>
                </w:p>
              </w:tc>
              <w:tc>
                <w:tcPr>
                  <w:tcW w:w="1353" w:type="dxa"/>
                  <w:vMerge w:val="restart"/>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64.1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摇臂钻床</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zh-CN" w:eastAsia="zh-CN" w:bidi="ar-SA"/>
                    </w:rPr>
                  </w:pPr>
                  <w:r>
                    <w:rPr>
                      <w:rFonts w:hint="eastAsia"/>
                      <w:b w:val="0"/>
                      <w:bCs w:val="0"/>
                      <w:sz w:val="21"/>
                      <w:szCs w:val="21"/>
                      <w:lang w:val="en-US" w:eastAsia="zh-CN"/>
                    </w:rPr>
                    <w:t>80</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20</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54 </w:t>
                  </w:r>
                </w:p>
              </w:tc>
              <w:tc>
                <w:tcPr>
                  <w:tcW w:w="135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激光切割机</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en-US" w:eastAsia="zh-CN" w:bidi="ar-SA"/>
                    </w:rPr>
                  </w:pPr>
                  <w:r>
                    <w:rPr>
                      <w:rFonts w:hint="eastAsia"/>
                      <w:b w:val="0"/>
                      <w:bCs w:val="0"/>
                      <w:sz w:val="21"/>
                      <w:szCs w:val="21"/>
                      <w:lang w:val="en-US" w:eastAsia="zh-CN"/>
                    </w:rPr>
                    <w:t>90</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38</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58 </w:t>
                  </w:r>
                </w:p>
              </w:tc>
              <w:tc>
                <w:tcPr>
                  <w:tcW w:w="135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行吊</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en-US" w:eastAsia="zh-CN" w:bidi="ar-SA"/>
                    </w:rPr>
                  </w:pPr>
                  <w:r>
                    <w:rPr>
                      <w:rFonts w:hint="eastAsia"/>
                      <w:b w:val="0"/>
                      <w:bCs w:val="0"/>
                      <w:sz w:val="21"/>
                      <w:szCs w:val="21"/>
                      <w:lang w:val="en-US" w:eastAsia="zh-CN"/>
                    </w:rPr>
                    <w:t>80</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15</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56 </w:t>
                  </w:r>
                </w:p>
              </w:tc>
              <w:tc>
                <w:tcPr>
                  <w:tcW w:w="135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空压机</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zh-CN" w:eastAsia="zh-CN" w:bidi="ar-SA"/>
                    </w:rPr>
                  </w:pPr>
                  <w:r>
                    <w:rPr>
                      <w:rFonts w:hint="eastAsia"/>
                      <w:b w:val="0"/>
                      <w:bCs w:val="0"/>
                      <w:sz w:val="21"/>
                      <w:szCs w:val="21"/>
                      <w:lang w:val="en-US" w:eastAsia="zh-CN"/>
                    </w:rPr>
                    <w:t>90</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35</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59 </w:t>
                  </w:r>
                </w:p>
              </w:tc>
              <w:tc>
                <w:tcPr>
                  <w:tcW w:w="135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焊机</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zh-CN" w:eastAsia="zh-CN" w:bidi="ar-SA"/>
                    </w:rPr>
                  </w:pPr>
                  <w:r>
                    <w:rPr>
                      <w:rFonts w:hint="eastAsia"/>
                      <w:b w:val="0"/>
                      <w:bCs w:val="0"/>
                      <w:sz w:val="21"/>
                      <w:szCs w:val="21"/>
                      <w:lang w:val="en-US" w:eastAsia="zh-CN"/>
                    </w:rPr>
                    <w:t>75</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18</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50 </w:t>
                  </w:r>
                </w:p>
              </w:tc>
              <w:tc>
                <w:tcPr>
                  <w:tcW w:w="135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eastAsia" w:ascii="Times New Roman" w:hAnsi="Times New Roman" w:cs="Times New Roman"/>
                      <w:b w:val="0"/>
                      <w:bCs/>
                      <w:color w:val="auto"/>
                      <w:sz w:val="21"/>
                      <w:szCs w:val="21"/>
                      <w:vertAlign w:val="baseline"/>
                      <w:lang w:val="en-US" w:eastAsia="zh-CN"/>
                    </w:rPr>
                  </w:pPr>
                  <w:r>
                    <w:rPr>
                      <w:rFonts w:hint="eastAsia" w:ascii="Times New Roman"/>
                      <w:sz w:val="21"/>
                      <w:szCs w:val="21"/>
                      <w:lang w:eastAsia="zh-CN"/>
                    </w:rPr>
                    <w:t>锯床</w:t>
                  </w:r>
                </w:p>
              </w:tc>
              <w:tc>
                <w:tcPr>
                  <w:tcW w:w="1352" w:type="dxa"/>
                  <w:vAlign w:val="center"/>
                </w:tcPr>
                <w:p>
                  <w:pPr>
                    <w:pStyle w:val="53"/>
                    <w:bidi w:val="0"/>
                    <w:spacing w:line="240" w:lineRule="auto"/>
                    <w:ind w:firstLine="0" w:firstLineChars="0"/>
                    <w:rPr>
                      <w:rFonts w:hint="eastAsia" w:ascii="Times New Roman" w:hAnsi="Times New Roman" w:cs="Times New Roman"/>
                      <w:b w:val="0"/>
                      <w:bCs/>
                      <w:color w:val="auto"/>
                      <w:sz w:val="21"/>
                      <w:szCs w:val="21"/>
                      <w:vertAlign w:val="baseline"/>
                      <w:lang w:val="en-US" w:eastAsia="zh-CN"/>
                    </w:rPr>
                  </w:pPr>
                  <w:r>
                    <w:rPr>
                      <w:rFonts w:hint="eastAsia"/>
                      <w:b w:val="0"/>
                      <w:bCs w:val="0"/>
                      <w:sz w:val="21"/>
                      <w:szCs w:val="21"/>
                      <w:lang w:val="en-US" w:eastAsia="zh-CN"/>
                    </w:rPr>
                    <w:t>85</w:t>
                  </w:r>
                </w:p>
              </w:tc>
              <w:tc>
                <w:tcPr>
                  <w:tcW w:w="1353" w:type="dxa"/>
                  <w:vAlign w:val="center"/>
                </w:tcPr>
                <w:p>
                  <w:pPr>
                    <w:autoSpaceDE w:val="0"/>
                    <w:autoSpaceDN w:val="0"/>
                    <w:adjustRightInd w:val="0"/>
                    <w:spacing w:line="240" w:lineRule="auto"/>
                    <w:jc w:val="center"/>
                    <w:rPr>
                      <w:rFonts w:hint="default" w:cs="Times New Roman"/>
                      <w:sz w:val="21"/>
                      <w:szCs w:val="21"/>
                      <w:vertAlign w:val="baseline"/>
                      <w:lang w:val="en-US" w:eastAsia="zh-CN"/>
                    </w:rPr>
                  </w:pPr>
                  <w:r>
                    <w:rPr>
                      <w:rFonts w:hint="eastAsia" w:cs="Times New Roman"/>
                      <w:sz w:val="21"/>
                      <w:szCs w:val="21"/>
                      <w:vertAlign w:val="baseline"/>
                      <w:lang w:val="en-US" w:eastAsia="zh-CN"/>
                    </w:rPr>
                    <w:t>33</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55</w:t>
                  </w:r>
                </w:p>
              </w:tc>
              <w:tc>
                <w:tcPr>
                  <w:tcW w:w="135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喷砂机</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en-US" w:eastAsia="zh-CN" w:bidi="ar-SA"/>
                    </w:rPr>
                  </w:pPr>
                  <w:r>
                    <w:rPr>
                      <w:rFonts w:hint="eastAsia"/>
                      <w:b w:val="0"/>
                      <w:bCs w:val="0"/>
                      <w:sz w:val="21"/>
                      <w:szCs w:val="21"/>
                      <w:lang w:val="en-US" w:eastAsia="zh-CN"/>
                    </w:rPr>
                    <w:t>85</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33</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55</w:t>
                  </w:r>
                </w:p>
              </w:tc>
              <w:tc>
                <w:tcPr>
                  <w:tcW w:w="135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restart"/>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西厂界</w:t>
                  </w: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液压式折弯机</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zh-CN" w:eastAsia="zh-CN" w:bidi="ar-SA"/>
                    </w:rPr>
                  </w:pPr>
                  <w:r>
                    <w:rPr>
                      <w:rFonts w:hint="eastAsia"/>
                      <w:b w:val="0"/>
                      <w:bCs w:val="0"/>
                      <w:sz w:val="21"/>
                      <w:szCs w:val="21"/>
                      <w:lang w:val="en-US" w:eastAsia="zh-CN"/>
                    </w:rPr>
                    <w:t>85</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40</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53 </w:t>
                  </w:r>
                </w:p>
              </w:tc>
              <w:tc>
                <w:tcPr>
                  <w:tcW w:w="1353" w:type="dxa"/>
                  <w:vMerge w:val="restart"/>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63.1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摇臂钻床</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zh-CN" w:eastAsia="zh-CN" w:bidi="ar-SA"/>
                    </w:rPr>
                  </w:pPr>
                  <w:r>
                    <w:rPr>
                      <w:rFonts w:hint="eastAsia"/>
                      <w:b w:val="0"/>
                      <w:bCs w:val="0"/>
                      <w:sz w:val="21"/>
                      <w:szCs w:val="21"/>
                      <w:lang w:val="en-US" w:eastAsia="zh-CN"/>
                    </w:rPr>
                    <w:t>80</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30</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50 </w:t>
                  </w:r>
                </w:p>
              </w:tc>
              <w:tc>
                <w:tcPr>
                  <w:tcW w:w="135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激光切割机</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en-US" w:eastAsia="zh-CN" w:bidi="ar-SA"/>
                    </w:rPr>
                  </w:pPr>
                  <w:r>
                    <w:rPr>
                      <w:rFonts w:hint="eastAsia"/>
                      <w:b w:val="0"/>
                      <w:bCs w:val="0"/>
                      <w:sz w:val="21"/>
                      <w:szCs w:val="21"/>
                      <w:lang w:val="en-US" w:eastAsia="zh-CN"/>
                    </w:rPr>
                    <w:t>90</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40</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58 </w:t>
                  </w:r>
                </w:p>
              </w:tc>
              <w:tc>
                <w:tcPr>
                  <w:tcW w:w="135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行吊</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en-US" w:eastAsia="zh-CN" w:bidi="ar-SA"/>
                    </w:rPr>
                  </w:pPr>
                  <w:r>
                    <w:rPr>
                      <w:rFonts w:hint="eastAsia"/>
                      <w:b w:val="0"/>
                      <w:bCs w:val="0"/>
                      <w:sz w:val="21"/>
                      <w:szCs w:val="21"/>
                      <w:lang w:val="en-US" w:eastAsia="zh-CN"/>
                    </w:rPr>
                    <w:t>80</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60</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44 </w:t>
                  </w:r>
                </w:p>
              </w:tc>
              <w:tc>
                <w:tcPr>
                  <w:tcW w:w="135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空压机</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zh-CN" w:eastAsia="zh-CN" w:bidi="ar-SA"/>
                    </w:rPr>
                  </w:pPr>
                  <w:r>
                    <w:rPr>
                      <w:rFonts w:hint="eastAsia"/>
                      <w:b w:val="0"/>
                      <w:bCs w:val="0"/>
                      <w:sz w:val="21"/>
                      <w:szCs w:val="21"/>
                      <w:lang w:val="en-US" w:eastAsia="zh-CN"/>
                    </w:rPr>
                    <w:t>90</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100</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50 </w:t>
                  </w:r>
                </w:p>
              </w:tc>
              <w:tc>
                <w:tcPr>
                  <w:tcW w:w="135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焊机</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zh-CN" w:eastAsia="zh-CN" w:bidi="ar-SA"/>
                    </w:rPr>
                  </w:pPr>
                  <w:r>
                    <w:rPr>
                      <w:rFonts w:hint="eastAsia"/>
                      <w:b w:val="0"/>
                      <w:bCs w:val="0"/>
                      <w:sz w:val="21"/>
                      <w:szCs w:val="21"/>
                      <w:lang w:val="en-US" w:eastAsia="zh-CN"/>
                    </w:rPr>
                    <w:t>75</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120</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33 </w:t>
                  </w:r>
                </w:p>
              </w:tc>
              <w:tc>
                <w:tcPr>
                  <w:tcW w:w="135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eastAsia" w:ascii="Times New Roman" w:hAnsi="Times New Roman" w:cs="Times New Roman"/>
                      <w:b w:val="0"/>
                      <w:bCs/>
                      <w:color w:val="auto"/>
                      <w:sz w:val="21"/>
                      <w:szCs w:val="21"/>
                      <w:vertAlign w:val="baseline"/>
                      <w:lang w:val="en-US" w:eastAsia="zh-CN"/>
                    </w:rPr>
                  </w:pPr>
                  <w:r>
                    <w:rPr>
                      <w:rFonts w:hint="eastAsia" w:ascii="Times New Roman"/>
                      <w:sz w:val="21"/>
                      <w:szCs w:val="21"/>
                      <w:lang w:eastAsia="zh-CN"/>
                    </w:rPr>
                    <w:t>锯床</w:t>
                  </w:r>
                </w:p>
              </w:tc>
              <w:tc>
                <w:tcPr>
                  <w:tcW w:w="1352" w:type="dxa"/>
                  <w:vAlign w:val="center"/>
                </w:tcPr>
                <w:p>
                  <w:pPr>
                    <w:pStyle w:val="53"/>
                    <w:bidi w:val="0"/>
                    <w:spacing w:line="240" w:lineRule="auto"/>
                    <w:ind w:firstLine="0" w:firstLineChars="0"/>
                    <w:rPr>
                      <w:rFonts w:hint="eastAsia" w:ascii="Times New Roman" w:hAnsi="Times New Roman" w:cs="Times New Roman"/>
                      <w:b w:val="0"/>
                      <w:bCs/>
                      <w:color w:val="auto"/>
                      <w:sz w:val="21"/>
                      <w:szCs w:val="21"/>
                      <w:vertAlign w:val="baseline"/>
                      <w:lang w:val="en-US" w:eastAsia="zh-CN"/>
                    </w:rPr>
                  </w:pPr>
                  <w:r>
                    <w:rPr>
                      <w:rFonts w:hint="eastAsia"/>
                      <w:b w:val="0"/>
                      <w:bCs w:val="0"/>
                      <w:sz w:val="21"/>
                      <w:szCs w:val="21"/>
                      <w:lang w:val="en-US" w:eastAsia="zh-CN"/>
                    </w:rPr>
                    <w:t>85</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40</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53</w:t>
                  </w:r>
                </w:p>
              </w:tc>
              <w:tc>
                <w:tcPr>
                  <w:tcW w:w="135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喷砂机</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en-US" w:eastAsia="zh-CN" w:bidi="ar-SA"/>
                    </w:rPr>
                  </w:pPr>
                  <w:r>
                    <w:rPr>
                      <w:rFonts w:hint="eastAsia"/>
                      <w:b w:val="0"/>
                      <w:bCs w:val="0"/>
                      <w:sz w:val="21"/>
                      <w:szCs w:val="21"/>
                      <w:lang w:val="en-US" w:eastAsia="zh-CN"/>
                    </w:rPr>
                    <w:t>85</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20</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59</w:t>
                  </w:r>
                </w:p>
              </w:tc>
              <w:tc>
                <w:tcPr>
                  <w:tcW w:w="135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restart"/>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北厂界</w:t>
                  </w: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液压式折弯机</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zh-CN" w:eastAsia="zh-CN" w:bidi="ar-SA"/>
                    </w:rPr>
                  </w:pPr>
                  <w:r>
                    <w:rPr>
                      <w:rFonts w:hint="eastAsia"/>
                      <w:b w:val="0"/>
                      <w:bCs w:val="0"/>
                      <w:sz w:val="21"/>
                      <w:szCs w:val="21"/>
                      <w:lang w:val="en-US" w:eastAsia="zh-CN"/>
                    </w:rPr>
                    <w:t>85</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68</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48 </w:t>
                  </w:r>
                </w:p>
              </w:tc>
              <w:tc>
                <w:tcPr>
                  <w:tcW w:w="1353" w:type="dxa"/>
                  <w:vMerge w:val="restart"/>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60.5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摇臂钻床</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zh-CN" w:eastAsia="zh-CN" w:bidi="ar-SA"/>
                    </w:rPr>
                  </w:pPr>
                  <w:r>
                    <w:rPr>
                      <w:rFonts w:hint="eastAsia"/>
                      <w:b w:val="0"/>
                      <w:bCs w:val="0"/>
                      <w:sz w:val="21"/>
                      <w:szCs w:val="21"/>
                      <w:lang w:val="en-US" w:eastAsia="zh-CN"/>
                    </w:rPr>
                    <w:t>80</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68</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22 </w:t>
                  </w:r>
                </w:p>
              </w:tc>
              <w:tc>
                <w:tcPr>
                  <w:tcW w:w="135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激光切割机</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en-US" w:eastAsia="zh-CN" w:bidi="ar-SA"/>
                    </w:rPr>
                  </w:pPr>
                  <w:r>
                    <w:rPr>
                      <w:rFonts w:hint="eastAsia"/>
                      <w:b w:val="0"/>
                      <w:bCs w:val="0"/>
                      <w:sz w:val="21"/>
                      <w:szCs w:val="21"/>
                      <w:lang w:val="en-US" w:eastAsia="zh-CN"/>
                    </w:rPr>
                    <w:t>90</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50</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56 </w:t>
                  </w:r>
                </w:p>
              </w:tc>
              <w:tc>
                <w:tcPr>
                  <w:tcW w:w="135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行吊</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en-US" w:eastAsia="zh-CN" w:bidi="ar-SA"/>
                    </w:rPr>
                  </w:pPr>
                  <w:r>
                    <w:rPr>
                      <w:rFonts w:hint="eastAsia"/>
                      <w:b w:val="0"/>
                      <w:bCs w:val="0"/>
                      <w:sz w:val="21"/>
                      <w:szCs w:val="21"/>
                      <w:lang w:val="en-US" w:eastAsia="zh-CN"/>
                    </w:rPr>
                    <w:t>80</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73</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43 </w:t>
                  </w:r>
                </w:p>
              </w:tc>
              <w:tc>
                <w:tcPr>
                  <w:tcW w:w="135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空压机</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zh-CN" w:eastAsia="zh-CN" w:bidi="ar-SA"/>
                    </w:rPr>
                  </w:pPr>
                  <w:r>
                    <w:rPr>
                      <w:rFonts w:hint="eastAsia"/>
                      <w:b w:val="0"/>
                      <w:bCs w:val="0"/>
                      <w:sz w:val="21"/>
                      <w:szCs w:val="21"/>
                      <w:lang w:val="en-US" w:eastAsia="zh-CN"/>
                    </w:rPr>
                    <w:t>90</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53</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 xml:space="preserve">56 </w:t>
                  </w:r>
                </w:p>
              </w:tc>
              <w:tc>
                <w:tcPr>
                  <w:tcW w:w="135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eastAsia" w:ascii="Times New Roman" w:hAnsi="Times New Roman" w:cs="Times New Roman"/>
                      <w:b w:val="0"/>
                      <w:bCs/>
                      <w:color w:val="auto"/>
                      <w:sz w:val="21"/>
                      <w:szCs w:val="21"/>
                      <w:vertAlign w:val="baseline"/>
                      <w:lang w:val="en-US" w:eastAsia="zh-CN"/>
                    </w:rPr>
                  </w:pPr>
                  <w:r>
                    <w:rPr>
                      <w:rFonts w:hint="eastAsia" w:ascii="Times New Roman"/>
                      <w:sz w:val="21"/>
                      <w:szCs w:val="21"/>
                      <w:lang w:eastAsia="zh-CN"/>
                    </w:rPr>
                    <w:t>焊机</w:t>
                  </w:r>
                </w:p>
              </w:tc>
              <w:tc>
                <w:tcPr>
                  <w:tcW w:w="1352" w:type="dxa"/>
                  <w:vAlign w:val="center"/>
                </w:tcPr>
                <w:p>
                  <w:pPr>
                    <w:pStyle w:val="53"/>
                    <w:bidi w:val="0"/>
                    <w:spacing w:line="240" w:lineRule="auto"/>
                    <w:ind w:firstLine="0" w:firstLineChars="0"/>
                    <w:rPr>
                      <w:rFonts w:hint="eastAsia" w:ascii="Times New Roman" w:hAnsi="Times New Roman" w:cs="Times New Roman"/>
                      <w:b w:val="0"/>
                      <w:bCs/>
                      <w:color w:val="auto"/>
                      <w:sz w:val="21"/>
                      <w:szCs w:val="21"/>
                      <w:vertAlign w:val="baseline"/>
                      <w:lang w:val="en-US" w:eastAsia="zh-CN"/>
                    </w:rPr>
                  </w:pPr>
                  <w:r>
                    <w:rPr>
                      <w:rFonts w:hint="eastAsia"/>
                      <w:b w:val="0"/>
                      <w:bCs w:val="0"/>
                      <w:sz w:val="21"/>
                      <w:szCs w:val="21"/>
                      <w:lang w:val="en-US" w:eastAsia="zh-CN"/>
                    </w:rPr>
                    <w:t>75</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70</w:t>
                  </w:r>
                </w:p>
              </w:tc>
              <w:tc>
                <w:tcPr>
                  <w:tcW w:w="1353" w:type="dxa"/>
                  <w:vAlign w:val="center"/>
                </w:tcPr>
                <w:p>
                  <w:pPr>
                    <w:pStyle w:val="53"/>
                    <w:bidi w:val="0"/>
                    <w:spacing w:line="240" w:lineRule="auto"/>
                    <w:ind w:firstLine="0" w:firstLineChars="0"/>
                    <w:rPr>
                      <w:rFonts w:hint="eastAsia"/>
                      <w:b w:val="0"/>
                      <w:bCs w:val="0"/>
                      <w:sz w:val="21"/>
                      <w:szCs w:val="21"/>
                      <w:lang w:val="en-US" w:eastAsia="zh-CN"/>
                    </w:rPr>
                  </w:pPr>
                  <w:r>
                    <w:rPr>
                      <w:rFonts w:hint="eastAsia"/>
                      <w:b w:val="0"/>
                      <w:bCs w:val="0"/>
                      <w:sz w:val="21"/>
                      <w:szCs w:val="21"/>
                      <w:lang w:val="en-US" w:eastAsia="zh-CN"/>
                    </w:rPr>
                    <w:t xml:space="preserve">38 </w:t>
                  </w:r>
                </w:p>
              </w:tc>
              <w:tc>
                <w:tcPr>
                  <w:tcW w:w="135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锯床</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zh-CN" w:eastAsia="zh-CN" w:bidi="ar-SA"/>
                    </w:rPr>
                  </w:pPr>
                  <w:r>
                    <w:rPr>
                      <w:rFonts w:hint="eastAsia"/>
                      <w:b w:val="0"/>
                      <w:bCs w:val="0"/>
                      <w:sz w:val="21"/>
                      <w:szCs w:val="21"/>
                      <w:lang w:val="en-US" w:eastAsia="zh-CN"/>
                    </w:rPr>
                    <w:t>85</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55</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50</w:t>
                  </w:r>
                </w:p>
              </w:tc>
              <w:tc>
                <w:tcPr>
                  <w:tcW w:w="135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c>
                <w:tcPr>
                  <w:tcW w:w="1531" w:type="dxa"/>
                  <w:vAlign w:val="top"/>
                </w:tcPr>
                <w:p>
                  <w:pPr>
                    <w:pStyle w:val="104"/>
                    <w:spacing w:line="240" w:lineRule="auto"/>
                    <w:jc w:val="center"/>
                    <w:rPr>
                      <w:rFonts w:hint="default" w:ascii="Times New Roman" w:hAnsi="Times New Roman" w:eastAsia="宋体" w:cs="Times New Roman"/>
                      <w:b w:val="0"/>
                      <w:bCs/>
                      <w:color w:val="auto"/>
                      <w:kern w:val="2"/>
                      <w:sz w:val="21"/>
                      <w:szCs w:val="21"/>
                      <w:vertAlign w:val="baseline"/>
                      <w:lang w:val="zh-CN" w:eastAsia="zh-CN" w:bidi="ar-SA"/>
                    </w:rPr>
                  </w:pPr>
                  <w:r>
                    <w:rPr>
                      <w:rFonts w:hint="eastAsia" w:ascii="Times New Roman"/>
                      <w:sz w:val="21"/>
                      <w:szCs w:val="21"/>
                      <w:lang w:eastAsia="zh-CN"/>
                    </w:rPr>
                    <w:t>喷砂机</w:t>
                  </w:r>
                </w:p>
              </w:tc>
              <w:tc>
                <w:tcPr>
                  <w:tcW w:w="1352" w:type="dxa"/>
                  <w:vAlign w:val="center"/>
                </w:tcPr>
                <w:p>
                  <w:pPr>
                    <w:pStyle w:val="53"/>
                    <w:bidi w:val="0"/>
                    <w:spacing w:line="240" w:lineRule="auto"/>
                    <w:ind w:firstLine="0" w:firstLineChars="0"/>
                    <w:rPr>
                      <w:rFonts w:hint="default" w:ascii="Times New Roman" w:hAnsi="Times New Roman" w:eastAsia="宋体" w:cs="Times New Roman"/>
                      <w:b w:val="0"/>
                      <w:bCs/>
                      <w:color w:val="auto"/>
                      <w:kern w:val="2"/>
                      <w:sz w:val="21"/>
                      <w:szCs w:val="21"/>
                      <w:vertAlign w:val="baseline"/>
                      <w:lang w:val="en-US" w:eastAsia="zh-CN" w:bidi="ar-SA"/>
                    </w:rPr>
                  </w:pPr>
                  <w:r>
                    <w:rPr>
                      <w:rFonts w:hint="eastAsia"/>
                      <w:b w:val="0"/>
                      <w:bCs w:val="0"/>
                      <w:sz w:val="21"/>
                      <w:szCs w:val="21"/>
                      <w:lang w:val="en-US" w:eastAsia="zh-CN"/>
                    </w:rPr>
                    <w:t>85</w:t>
                  </w:r>
                </w:p>
              </w:tc>
              <w:tc>
                <w:tcPr>
                  <w:tcW w:w="1353" w:type="dxa"/>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55</w:t>
                  </w:r>
                </w:p>
              </w:tc>
              <w:tc>
                <w:tcPr>
                  <w:tcW w:w="1353" w:type="dxa"/>
                  <w:vAlign w:val="center"/>
                </w:tcPr>
                <w:p>
                  <w:pPr>
                    <w:pStyle w:val="53"/>
                    <w:bidi w:val="0"/>
                    <w:spacing w:line="240" w:lineRule="auto"/>
                    <w:ind w:firstLine="0" w:firstLineChars="0"/>
                    <w:rPr>
                      <w:rFonts w:hint="default"/>
                      <w:b w:val="0"/>
                      <w:bCs w:val="0"/>
                      <w:sz w:val="21"/>
                      <w:szCs w:val="21"/>
                      <w:lang w:val="en-US" w:eastAsia="zh-CN"/>
                    </w:rPr>
                  </w:pPr>
                  <w:r>
                    <w:rPr>
                      <w:rFonts w:hint="eastAsia"/>
                      <w:b w:val="0"/>
                      <w:bCs w:val="0"/>
                      <w:sz w:val="21"/>
                      <w:szCs w:val="21"/>
                      <w:lang w:val="en-US" w:eastAsia="zh-CN"/>
                    </w:rPr>
                    <w:t>50</w:t>
                  </w:r>
                </w:p>
              </w:tc>
              <w:tc>
                <w:tcPr>
                  <w:tcW w:w="1353" w:type="dxa"/>
                  <w:vMerge w:val="continue"/>
                  <w:vAlign w:val="center"/>
                </w:tcPr>
                <w:p>
                  <w:pPr>
                    <w:autoSpaceDE w:val="0"/>
                    <w:autoSpaceDN w:val="0"/>
                    <w:adjustRightInd w:val="0"/>
                    <w:spacing w:line="240" w:lineRule="auto"/>
                    <w:jc w:val="center"/>
                    <w:rPr>
                      <w:rFonts w:hint="default" w:ascii="Times New Roman" w:hAnsi="Times New Roman" w:cs="Times New Roman"/>
                      <w:sz w:val="21"/>
                      <w:szCs w:val="21"/>
                      <w:vertAlign w:val="baseline"/>
                      <w:lang w:val="zh-CN" w:eastAsia="zh-CN"/>
                    </w:rPr>
                  </w:pPr>
                </w:p>
              </w:tc>
            </w:tr>
          </w:tbl>
          <w:p>
            <w:pPr>
              <w:spacing w:line="360" w:lineRule="auto"/>
              <w:ind w:left="0" w:leftChars="0" w:firstLine="0" w:firstLineChars="0"/>
              <w:rPr>
                <w:rFonts w:hint="eastAsia"/>
                <w:lang w:eastAsia="zh-CN"/>
              </w:rPr>
            </w:pPr>
            <w:r>
              <w:rPr>
                <w:rFonts w:hint="eastAsia"/>
                <w:lang w:eastAsia="zh-CN"/>
              </w:rPr>
              <w:t>（注：本项目由于租用云南晨鑫机械制造有限公司标准厂房，评价过程中以租用厂房边界为厂界进行预测）</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由上表可知，项目运营期各厂界噪声贡献值范围为 </w:t>
            </w:r>
            <w:r>
              <w:rPr>
                <w:rFonts w:hint="eastAsia" w:cs="Times New Roman"/>
                <w:sz w:val="24"/>
                <w:szCs w:val="24"/>
                <w:lang w:val="en-US" w:eastAsia="zh-CN"/>
              </w:rPr>
              <w:t>35</w:t>
            </w:r>
            <w:r>
              <w:rPr>
                <w:rFonts w:hint="default" w:ascii="Times New Roman" w:hAnsi="Times New Roman" w:cs="Times New Roman"/>
                <w:sz w:val="24"/>
                <w:szCs w:val="24"/>
                <w:lang w:val="en-US" w:eastAsia="zh-CN"/>
              </w:rPr>
              <w:t>dB(A)～</w:t>
            </w:r>
            <w:r>
              <w:rPr>
                <w:rFonts w:hint="eastAsia" w:cs="Times New Roman"/>
                <w:sz w:val="24"/>
                <w:szCs w:val="24"/>
                <w:lang w:val="en-US" w:eastAsia="zh-CN"/>
              </w:rPr>
              <w:t>50</w:t>
            </w:r>
            <w:r>
              <w:rPr>
                <w:rFonts w:hint="default" w:ascii="Times New Roman" w:hAnsi="Times New Roman" w:cs="Times New Roman"/>
                <w:sz w:val="24"/>
                <w:szCs w:val="24"/>
                <w:lang w:val="en-US" w:eastAsia="zh-CN"/>
              </w:rPr>
              <w:t>dB(A)，昼间叠加值为</w:t>
            </w:r>
            <w:r>
              <w:rPr>
                <w:rFonts w:hint="eastAsia" w:cs="Times New Roman"/>
                <w:sz w:val="24"/>
                <w:szCs w:val="24"/>
                <w:lang w:val="en-US" w:eastAsia="zh-CN"/>
              </w:rPr>
              <w:t>55.1</w:t>
            </w:r>
            <w:r>
              <w:rPr>
                <w:rFonts w:hint="default" w:ascii="Times New Roman" w:hAnsi="Times New Roman" w:cs="Times New Roman"/>
                <w:sz w:val="24"/>
                <w:szCs w:val="24"/>
                <w:lang w:val="en-US" w:eastAsia="zh-CN"/>
              </w:rPr>
              <w:t>dB(A)，项目夜间不生产，故厂界噪声贡献值均满足《工业企业厂界环境噪声排放标准》（GB12348-2008）</w:t>
            </w:r>
            <w:r>
              <w:rPr>
                <w:rFonts w:hint="eastAsia" w:cs="Times New Roman"/>
                <w:sz w:val="24"/>
                <w:szCs w:val="24"/>
                <w:lang w:val="en-US" w:eastAsia="zh-CN"/>
              </w:rPr>
              <w:t>3</w:t>
            </w:r>
            <w:r>
              <w:rPr>
                <w:rFonts w:hint="default" w:ascii="Times New Roman" w:hAnsi="Times New Roman" w:cs="Times New Roman"/>
                <w:sz w:val="24"/>
                <w:szCs w:val="24"/>
                <w:lang w:val="en-US" w:eastAsia="zh-CN"/>
              </w:rPr>
              <w:t>类标准要求（昼间 65dB(A)）。</w:t>
            </w:r>
          </w:p>
          <w:p>
            <w:pPr>
              <w:pageBreakBefore w:val="0"/>
              <w:kinsoku/>
              <w:autoSpaceDE w:val="0"/>
              <w:autoSpaceDN w:val="0"/>
              <w:bidi w:val="0"/>
              <w:adjustRightInd w:val="0"/>
              <w:snapToGrid w:val="0"/>
              <w:spacing w:line="360" w:lineRule="auto"/>
              <w:ind w:left="0" w:right="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本项目车间属于厂房，设备布置是分散的，项目生产设备主要为</w:t>
            </w:r>
            <w:r>
              <w:rPr>
                <w:rFonts w:hint="eastAsia" w:ascii="Times New Roman" w:hAnsi="Times New Roman" w:eastAsia="宋体" w:cs="Times New Roman"/>
                <w:color w:val="auto"/>
                <w:sz w:val="24"/>
                <w:szCs w:val="24"/>
                <w:lang w:eastAsia="zh-CN"/>
              </w:rPr>
              <w:t>切割机</w:t>
            </w:r>
            <w:r>
              <w:rPr>
                <w:rFonts w:hint="default"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eastAsia="zh-CN"/>
              </w:rPr>
              <w:t>空压机、焊机</w:t>
            </w:r>
            <w:r>
              <w:rPr>
                <w:rFonts w:hint="default" w:ascii="Times New Roman" w:hAnsi="Times New Roman" w:eastAsia="宋体" w:cs="Times New Roman"/>
                <w:color w:val="auto"/>
                <w:sz w:val="24"/>
                <w:szCs w:val="24"/>
              </w:rPr>
              <w:t>等，且不会全部同时开启，生产加工设备经过厂房隔声后，对外部环境影响较小；项目周边</w:t>
            </w:r>
            <w:r>
              <w:rPr>
                <w:rFonts w:hint="default" w:ascii="Times New Roman" w:hAnsi="Times New Roman" w:eastAsia="宋体" w:cs="Times New Roman"/>
                <w:color w:val="auto"/>
                <w:sz w:val="24"/>
                <w:szCs w:val="24"/>
                <w:lang w:eastAsia="zh-CN"/>
              </w:rPr>
              <w:t>最近的</w:t>
            </w:r>
            <w:r>
              <w:rPr>
                <w:rFonts w:hint="default" w:ascii="Times New Roman" w:hAnsi="Times New Roman" w:eastAsia="宋体" w:cs="Times New Roman"/>
                <w:color w:val="auto"/>
                <w:sz w:val="24"/>
                <w:szCs w:val="24"/>
              </w:rPr>
              <w:t>声环境敏感目标是</w:t>
            </w:r>
            <w:r>
              <w:rPr>
                <w:rFonts w:hint="eastAsia" w:ascii="Times New Roman" w:hAnsi="Times New Roman" w:eastAsia="宋体" w:cs="Times New Roman"/>
                <w:color w:val="auto"/>
                <w:sz w:val="24"/>
                <w:szCs w:val="24"/>
                <w:lang w:eastAsia="zh-CN"/>
              </w:rPr>
              <w:t>东</w:t>
            </w:r>
            <w:r>
              <w:rPr>
                <w:rFonts w:hint="default" w:ascii="Times New Roman" w:hAnsi="Times New Roman" w:eastAsia="宋体" w:cs="Times New Roman"/>
                <w:color w:val="auto"/>
                <w:sz w:val="24"/>
                <w:szCs w:val="24"/>
                <w:lang w:eastAsia="zh-CN"/>
              </w:rPr>
              <w:t>面</w:t>
            </w:r>
            <w:r>
              <w:rPr>
                <w:rFonts w:hint="eastAsia" w:ascii="Times New Roman" w:hAnsi="Times New Roman" w:eastAsia="宋体" w:cs="Times New Roman"/>
                <w:color w:val="auto"/>
                <w:sz w:val="24"/>
                <w:szCs w:val="24"/>
                <w:lang w:val="en-US" w:eastAsia="zh-CN"/>
              </w:rPr>
              <w:t>200</w:t>
            </w:r>
            <w:r>
              <w:rPr>
                <w:rFonts w:hint="default"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lang w:eastAsia="zh-CN"/>
              </w:rPr>
              <w:t>哨</w:t>
            </w:r>
            <w:r>
              <w:rPr>
                <w:rFonts w:hint="eastAsia" w:cs="Times New Roman"/>
                <w:color w:val="auto"/>
                <w:sz w:val="24"/>
                <w:szCs w:val="24"/>
                <w:lang w:eastAsia="zh-CN"/>
              </w:rPr>
              <w:t>箐</w:t>
            </w:r>
            <w:r>
              <w:rPr>
                <w:rFonts w:hint="eastAsia" w:ascii="Times New Roman" w:hAnsi="Times New Roman" w:eastAsia="宋体" w:cs="Times New Roman"/>
                <w:color w:val="auto"/>
                <w:sz w:val="24"/>
                <w:szCs w:val="24"/>
                <w:lang w:eastAsia="zh-CN"/>
              </w:rPr>
              <w:t>散户</w:t>
            </w:r>
            <w:r>
              <w:rPr>
                <w:rFonts w:hint="default" w:ascii="Times New Roman" w:hAnsi="Times New Roman" w:eastAsia="宋体" w:cs="Times New Roman"/>
                <w:color w:val="auto"/>
                <w:sz w:val="24"/>
                <w:szCs w:val="24"/>
              </w:rPr>
              <w:t>，根据现场踏勘，在本项目采取隔声减振措施后，生产过程中噪声对敏感目标的影响是可以接受的。为进一步降低运营期间噪声对周边环境的影响，本环评报告要求建设单位在运营期采取以下措施：</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①选用低噪声设备，且设备应定期维护保养，避免设备噪声增大。</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②进入项目区内的运输车辆应减速并禁止鸣笛。</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lang w:val="en-US" w:eastAsia="zh-CN"/>
              </w:rPr>
            </w:pPr>
            <w:r>
              <w:rPr>
                <w:rFonts w:hint="default" w:ascii="Times New Roman" w:hAnsi="Times New Roman" w:eastAsia="宋体" w:cs="Times New Roman"/>
                <w:color w:val="auto"/>
                <w:sz w:val="24"/>
                <w:szCs w:val="24"/>
              </w:rPr>
              <w:t>③生产设备均设置于生产车间内，</w:t>
            </w:r>
            <w:r>
              <w:rPr>
                <w:rFonts w:hint="default" w:ascii="Times New Roman" w:hAnsi="Times New Roman" w:eastAsia="宋体" w:cs="Times New Roman"/>
                <w:color w:val="auto"/>
                <w:sz w:val="24"/>
                <w:szCs w:val="24"/>
                <w:lang w:eastAsia="zh-CN"/>
              </w:rPr>
              <w:t>高振动</w:t>
            </w:r>
            <w:r>
              <w:rPr>
                <w:rFonts w:hint="default" w:ascii="Times New Roman" w:hAnsi="Times New Roman" w:eastAsia="宋体" w:cs="Times New Roman"/>
                <w:color w:val="auto"/>
                <w:sz w:val="24"/>
                <w:szCs w:val="24"/>
              </w:rPr>
              <w:t>设备安装减震垫</w:t>
            </w:r>
          </w:p>
          <w:p>
            <w:pPr>
              <w:spacing w:line="360" w:lineRule="auto"/>
              <w:ind w:firstLine="482" w:firstLineChars="20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4、固废环境影响分析</w:t>
            </w:r>
          </w:p>
          <w:p>
            <w:pPr>
              <w:spacing w:line="360" w:lineRule="auto"/>
              <w:ind w:firstLine="480" w:firstLineChars="200"/>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lang w:val="en-US" w:eastAsia="zh-CN"/>
              </w:rPr>
              <w:t>）项目固废处置</w:t>
            </w:r>
            <w:r>
              <w:rPr>
                <w:rFonts w:hint="eastAsia" w:ascii="Times New Roman" w:hAnsi="Times New Roman" w:cs="Times New Roman"/>
                <w:sz w:val="24"/>
                <w:szCs w:val="24"/>
                <w:lang w:val="en-US" w:eastAsia="zh-CN"/>
              </w:rPr>
              <w:t>措施</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项目运营期产生的固废主要有边角废料、收集的</w:t>
            </w:r>
            <w:r>
              <w:rPr>
                <w:rFonts w:hint="eastAsia" w:cs="Times New Roman"/>
                <w:sz w:val="24"/>
                <w:szCs w:val="24"/>
                <w:lang w:val="en-US" w:eastAsia="zh-CN"/>
              </w:rPr>
              <w:t>打磨粉尘</w:t>
            </w:r>
            <w:r>
              <w:rPr>
                <w:rFonts w:hint="default" w:ascii="Times New Roman" w:hAnsi="Times New Roman" w:cs="Times New Roman"/>
                <w:sz w:val="24"/>
                <w:szCs w:val="24"/>
                <w:lang w:val="en-US" w:eastAsia="zh-CN"/>
              </w:rPr>
              <w:t>、焊接焊渣、废包装材料、废矿物油、废</w:t>
            </w:r>
            <w:r>
              <w:rPr>
                <w:rFonts w:hint="eastAsia" w:ascii="Times New Roman" w:hAnsi="Times New Roman" w:cs="Times New Roman"/>
                <w:sz w:val="24"/>
                <w:szCs w:val="24"/>
                <w:lang w:val="en-US" w:eastAsia="zh-CN"/>
              </w:rPr>
              <w:t>过滤棉、废活性炭</w:t>
            </w:r>
            <w:r>
              <w:rPr>
                <w:rFonts w:hint="default" w:ascii="Times New Roman" w:hAnsi="Times New Roman" w:cs="Times New Roman"/>
                <w:sz w:val="24"/>
                <w:szCs w:val="24"/>
                <w:lang w:val="en-US" w:eastAsia="zh-CN"/>
              </w:rPr>
              <w:t>、废原料桶、生活垃圾。</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1）一般工业固废</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项目生产过程产生的角废料、焊渣、机加工过程回收的粉尘、</w:t>
            </w:r>
            <w:r>
              <w:rPr>
                <w:rFonts w:hint="eastAsia" w:ascii="Times New Roman" w:hAnsi="Times New Roman" w:cs="Times New Roman"/>
                <w:sz w:val="24"/>
                <w:szCs w:val="24"/>
                <w:lang w:val="en-US" w:eastAsia="zh-CN"/>
              </w:rPr>
              <w:t>废弃包装材料</w:t>
            </w:r>
            <w:r>
              <w:rPr>
                <w:rFonts w:hint="default" w:ascii="Times New Roman" w:hAnsi="Times New Roman" w:cs="Times New Roman"/>
                <w:sz w:val="24"/>
                <w:szCs w:val="24"/>
                <w:lang w:val="en-US" w:eastAsia="zh-CN"/>
              </w:rPr>
              <w:t>等</w:t>
            </w:r>
            <w:r>
              <w:rPr>
                <w:rFonts w:hint="eastAsia" w:ascii="Times New Roman" w:hAnsi="Times New Roman" w:cs="Times New Roman"/>
                <w:sz w:val="24"/>
                <w:szCs w:val="24"/>
                <w:lang w:val="en-US" w:eastAsia="zh-CN"/>
              </w:rPr>
              <w:t>可回收</w:t>
            </w:r>
            <w:r>
              <w:rPr>
                <w:rFonts w:hint="default" w:ascii="Times New Roman" w:hAnsi="Times New Roman" w:cs="Times New Roman"/>
                <w:sz w:val="24"/>
                <w:szCs w:val="24"/>
                <w:lang w:val="en-US" w:eastAsia="zh-CN"/>
              </w:rPr>
              <w:t>固废总量为</w:t>
            </w:r>
            <w:r>
              <w:rPr>
                <w:rFonts w:hint="eastAsia" w:cs="Times New Roman"/>
                <w:sz w:val="24"/>
                <w:szCs w:val="24"/>
                <w:lang w:val="en-US" w:eastAsia="zh-CN"/>
              </w:rPr>
              <w:t>42.252</w:t>
            </w:r>
            <w:r>
              <w:rPr>
                <w:rFonts w:hint="default" w:ascii="Times New Roman" w:hAnsi="Times New Roman" w:cs="Times New Roman"/>
                <w:sz w:val="24"/>
                <w:szCs w:val="24"/>
                <w:lang w:val="en-US" w:eastAsia="zh-CN"/>
              </w:rPr>
              <w:t>t/a，主要成分为金属</w:t>
            </w:r>
            <w:r>
              <w:rPr>
                <w:rFonts w:hint="eastAsia" w:ascii="Times New Roman" w:hAnsi="Times New Roman" w:cs="Times New Roman"/>
                <w:sz w:val="24"/>
                <w:szCs w:val="24"/>
                <w:lang w:val="en-US" w:eastAsia="zh-CN"/>
              </w:rPr>
              <w:t>，收集后外售</w:t>
            </w:r>
            <w:r>
              <w:rPr>
                <w:rFonts w:hint="default" w:ascii="Times New Roman" w:hAnsi="Times New Roman" w:cs="Times New Roman"/>
                <w:sz w:val="24"/>
                <w:szCs w:val="24"/>
                <w:lang w:val="en-US" w:eastAsia="zh-CN"/>
              </w:rPr>
              <w:t>。</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2）生活垃圾：运营期产生的生活垃圾集中收集于垃圾桶内，定期由环卫部门清运处置。</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3）危险废物</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根据工程分析，项目机修过程废</w:t>
            </w:r>
            <w:r>
              <w:rPr>
                <w:rFonts w:hint="eastAsia" w:ascii="Times New Roman" w:hAnsi="Times New Roman" w:cs="Times New Roman"/>
                <w:sz w:val="24"/>
                <w:szCs w:val="24"/>
                <w:lang w:val="en-US" w:eastAsia="zh-CN"/>
              </w:rPr>
              <w:t>机</w:t>
            </w:r>
            <w:r>
              <w:rPr>
                <w:rFonts w:hint="default" w:ascii="Times New Roman" w:hAnsi="Times New Roman" w:cs="Times New Roman"/>
                <w:sz w:val="24"/>
                <w:szCs w:val="24"/>
                <w:lang w:val="en-US" w:eastAsia="zh-CN"/>
              </w:rPr>
              <w:t>油产生量为</w:t>
            </w:r>
            <w:r>
              <w:rPr>
                <w:rFonts w:hint="eastAsia" w:ascii="Times New Roman" w:hAnsi="Times New Roman" w:cs="Times New Roman"/>
                <w:sz w:val="24"/>
                <w:szCs w:val="24"/>
                <w:lang w:val="en-US" w:eastAsia="zh-CN"/>
              </w:rPr>
              <w:t>0.2</w:t>
            </w:r>
            <w:r>
              <w:rPr>
                <w:rFonts w:hint="default" w:ascii="Times New Roman" w:hAnsi="Times New Roman" w:cs="Times New Roman"/>
                <w:sz w:val="24"/>
                <w:szCs w:val="24"/>
                <w:lang w:val="en-US" w:eastAsia="zh-CN"/>
              </w:rPr>
              <w:t>t/a，废漆料桶产生量为</w:t>
            </w:r>
            <w:r>
              <w:rPr>
                <w:rFonts w:hint="eastAsia" w:ascii="Times New Roman" w:hAnsi="Times New Roman" w:cs="Times New Roman"/>
                <w:sz w:val="24"/>
                <w:szCs w:val="24"/>
                <w:lang w:val="en-US" w:eastAsia="zh-CN"/>
              </w:rPr>
              <w:t>0.</w:t>
            </w:r>
            <w:r>
              <w:rPr>
                <w:rFonts w:hint="eastAsia" w:cs="Times New Roman"/>
                <w:sz w:val="24"/>
                <w:szCs w:val="24"/>
                <w:lang w:val="en-US" w:eastAsia="zh-CN"/>
              </w:rPr>
              <w:t>845</w:t>
            </w:r>
            <w:r>
              <w:rPr>
                <w:rFonts w:hint="default" w:ascii="Times New Roman" w:hAnsi="Times New Roman" w:cs="Times New Roman"/>
                <w:sz w:val="24"/>
                <w:szCs w:val="24"/>
                <w:lang w:val="en-US" w:eastAsia="zh-CN"/>
              </w:rPr>
              <w:t>t/a，喷漆废气处理设施废</w:t>
            </w:r>
            <w:r>
              <w:rPr>
                <w:rFonts w:hint="eastAsia" w:ascii="Times New Roman" w:hAnsi="Times New Roman" w:cs="Times New Roman"/>
                <w:sz w:val="24"/>
                <w:szCs w:val="24"/>
                <w:lang w:val="en-US" w:eastAsia="zh-CN"/>
              </w:rPr>
              <w:t>过滤棉</w:t>
            </w:r>
            <w:r>
              <w:rPr>
                <w:rFonts w:hint="default" w:ascii="Times New Roman" w:hAnsi="Times New Roman" w:cs="Times New Roman"/>
                <w:sz w:val="24"/>
                <w:szCs w:val="24"/>
                <w:lang w:val="en-US" w:eastAsia="zh-CN"/>
              </w:rPr>
              <w:t>产生量为</w:t>
            </w:r>
            <w:r>
              <w:rPr>
                <w:rFonts w:hint="eastAsia" w:cs="Times New Roman"/>
                <w:sz w:val="24"/>
                <w:szCs w:val="24"/>
                <w:lang w:val="en-US" w:eastAsia="zh-CN"/>
              </w:rPr>
              <w:t>0.691</w:t>
            </w:r>
            <w:r>
              <w:rPr>
                <w:rFonts w:hint="default" w:ascii="Times New Roman" w:hAnsi="Times New Roman" w:cs="Times New Roman"/>
                <w:sz w:val="24"/>
                <w:szCs w:val="24"/>
                <w:lang w:val="en-US" w:eastAsia="zh-CN"/>
              </w:rPr>
              <w:t>t/a</w:t>
            </w:r>
            <w:r>
              <w:rPr>
                <w:rFonts w:hint="eastAsia" w:ascii="Times New Roman" w:hAnsi="Times New Roman" w:cs="Times New Roman"/>
                <w:sz w:val="24"/>
                <w:szCs w:val="24"/>
                <w:lang w:val="en-US" w:eastAsia="zh-CN"/>
              </w:rPr>
              <w:t>、废活性炭产生量为</w:t>
            </w:r>
            <w:r>
              <w:rPr>
                <w:rFonts w:hint="eastAsia" w:cs="Times New Roman"/>
                <w:sz w:val="24"/>
                <w:szCs w:val="24"/>
                <w:lang w:val="en-US" w:eastAsia="zh-CN"/>
              </w:rPr>
              <w:t>5.92</w:t>
            </w:r>
            <w:r>
              <w:rPr>
                <w:rFonts w:hint="eastAsia" w:ascii="Times New Roman" w:hAnsi="Times New Roman" w:cs="Times New Roman"/>
                <w:sz w:val="24"/>
                <w:szCs w:val="24"/>
                <w:lang w:val="en-US" w:eastAsia="zh-CN"/>
              </w:rPr>
              <w:t>t/a</w:t>
            </w:r>
            <w:r>
              <w:rPr>
                <w:rFonts w:hint="default" w:ascii="Times New Roman" w:hAnsi="Times New Roman" w:cs="Times New Roman"/>
                <w:sz w:val="24"/>
                <w:szCs w:val="24"/>
                <w:lang w:val="en-US" w:eastAsia="zh-CN"/>
              </w:rPr>
              <w:t>。废</w:t>
            </w:r>
            <w:r>
              <w:rPr>
                <w:rFonts w:hint="eastAsia" w:ascii="Times New Roman" w:hAnsi="Times New Roman" w:cs="Times New Roman"/>
                <w:sz w:val="24"/>
                <w:szCs w:val="24"/>
                <w:lang w:val="en-US" w:eastAsia="zh-CN"/>
              </w:rPr>
              <w:t>机</w:t>
            </w:r>
            <w:r>
              <w:rPr>
                <w:rFonts w:hint="default" w:ascii="Times New Roman" w:hAnsi="Times New Roman" w:cs="Times New Roman"/>
                <w:sz w:val="24"/>
                <w:szCs w:val="24"/>
                <w:lang w:val="en-US" w:eastAsia="zh-CN"/>
              </w:rPr>
              <w:t>油、废漆料桶、喷漆废气处理设施产生的废</w:t>
            </w:r>
            <w:r>
              <w:rPr>
                <w:rFonts w:hint="eastAsia" w:ascii="Times New Roman" w:hAnsi="Times New Roman" w:cs="Times New Roman"/>
                <w:sz w:val="24"/>
                <w:szCs w:val="24"/>
                <w:lang w:val="en-US" w:eastAsia="zh-CN"/>
              </w:rPr>
              <w:t>过滤棉、废活性炭</w:t>
            </w:r>
            <w:r>
              <w:rPr>
                <w:rFonts w:hint="default" w:ascii="Times New Roman" w:hAnsi="Times New Roman" w:cs="Times New Roman"/>
                <w:sz w:val="24"/>
                <w:szCs w:val="24"/>
                <w:lang w:val="en-US" w:eastAsia="zh-CN"/>
              </w:rPr>
              <w:t>均属于危险废物，拟分类、分区收集暂存于危险废物暂存间，</w:t>
            </w:r>
            <w:r>
              <w:rPr>
                <w:rFonts w:hint="eastAsia" w:ascii="Times New Roman" w:hAnsi="Times New Roman" w:cs="Times New Roman"/>
                <w:sz w:val="24"/>
                <w:szCs w:val="24"/>
                <w:lang w:val="en-US" w:eastAsia="zh-CN"/>
              </w:rPr>
              <w:t>其中废过滤棉、废活性炭交由有资质的单位进行处理；废机油收集后作为设备润滑使用；废原料桶交由有资质的单位进行处理</w:t>
            </w:r>
            <w:r>
              <w:rPr>
                <w:rFonts w:hint="default" w:ascii="Times New Roman" w:hAnsi="Times New Roman" w:cs="Times New Roman"/>
                <w:sz w:val="24"/>
                <w:szCs w:val="24"/>
                <w:lang w:val="en-US" w:eastAsia="zh-CN"/>
              </w:rPr>
              <w:t>。</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（2）危险废物暂存间选址及设计要求</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本项目拟在</w:t>
            </w:r>
            <w:r>
              <w:rPr>
                <w:rFonts w:hint="eastAsia" w:ascii="Times New Roman" w:hAnsi="Times New Roman" w:cs="Times New Roman"/>
                <w:sz w:val="24"/>
                <w:szCs w:val="24"/>
                <w:lang w:val="en-US" w:eastAsia="zh-CN"/>
              </w:rPr>
              <w:t>喷漆车间北</w:t>
            </w:r>
            <w:r>
              <w:rPr>
                <w:rFonts w:hint="default" w:ascii="Times New Roman" w:hAnsi="Times New Roman" w:cs="Times New Roman"/>
                <w:sz w:val="24"/>
                <w:szCs w:val="24"/>
                <w:lang w:val="en-US" w:eastAsia="zh-CN"/>
              </w:rPr>
              <w:t>侧建设</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lang w:val="en-US" w:eastAsia="zh-CN"/>
              </w:rPr>
              <w:t>间</w:t>
            </w:r>
            <w:r>
              <w:rPr>
                <w:rFonts w:hint="eastAsia" w:ascii="Times New Roman" w:hAnsi="Times New Roman" w:cs="Times New Roman"/>
                <w:sz w:val="24"/>
                <w:szCs w:val="24"/>
                <w:lang w:val="en-US" w:eastAsia="zh-CN"/>
              </w:rPr>
              <w:t>8m</w:t>
            </w:r>
            <w:r>
              <w:rPr>
                <w:rFonts w:hint="eastAsia" w:ascii="Times New Roman" w:hAnsi="Times New Roman" w:cs="Times New Roman"/>
                <w:sz w:val="24"/>
                <w:szCs w:val="24"/>
                <w:vertAlign w:val="superscript"/>
                <w:lang w:val="en-US" w:eastAsia="zh-CN"/>
              </w:rPr>
              <w:t>2</w:t>
            </w:r>
            <w:r>
              <w:rPr>
                <w:rFonts w:hint="default" w:ascii="Times New Roman" w:hAnsi="Times New Roman" w:cs="Times New Roman"/>
                <w:sz w:val="24"/>
                <w:szCs w:val="24"/>
                <w:lang w:val="en-US" w:eastAsia="zh-CN"/>
              </w:rPr>
              <w:t>的危险废物暂存间，危险废物暂存间建设需严格按照《危险废物贮存污染控制标准》（GB 18597-2001）进行，具体如下：</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1）危险废物集中贮存设施的选址。</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①地质结构稳定，地震烈度不超过</w:t>
            </w:r>
            <w:r>
              <w:rPr>
                <w:rFonts w:hint="eastAsia" w:ascii="Times New Roman" w:hAnsi="Times New Roman" w:cs="Times New Roman"/>
                <w:sz w:val="24"/>
                <w:szCs w:val="24"/>
                <w:lang w:val="en-US" w:eastAsia="zh-CN"/>
              </w:rPr>
              <w:t>7</w:t>
            </w:r>
            <w:r>
              <w:rPr>
                <w:rFonts w:hint="default" w:ascii="Times New Roman" w:hAnsi="Times New Roman" w:cs="Times New Roman"/>
                <w:sz w:val="24"/>
                <w:szCs w:val="24"/>
                <w:lang w:val="en-US" w:eastAsia="zh-CN"/>
              </w:rPr>
              <w:t>度的区域内。</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②设施底部必须高于地下水最高水位。</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③应避免建在溶洞区或易遭受严重自然灾害如洪水、滑坡，泥石流、潮汐等影响的地区。</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④应建在易燃、易爆等危险品仓库、高压输电线路防护区域以外。</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2）危险废物贮存设施（仓库式）的设计原则</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①地面与裙脚要用坚固、防渗的材料建造，建筑材料必须与危险废物相容。</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②必须有泄漏液体收集装置、气体导出口及气体净化装置。</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③设施内要有安全照明设施和观察窗口。</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④用以存放装载液体、半固体危险废物容器的地方，必须有耐腐蚀的硬化地面，且表面无裂隙。</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⑤应设计堵截泄漏的裙脚，地面与裙脚所围建的容积不低于堵截最大容器的最大储量或总储量的五分之一。</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⑥不相容的危险废物必须分开存放，并设有隔离间隔断。</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3）危险废物的堆放</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①基础必须防渗，防渗层为至少1m厚粘土层（渗透系数≤10</w:t>
            </w:r>
            <w:r>
              <w:rPr>
                <w:rFonts w:hint="default" w:ascii="Times New Roman" w:hAnsi="Times New Roman" w:cs="Times New Roman"/>
                <w:sz w:val="24"/>
                <w:szCs w:val="24"/>
                <w:vertAlign w:val="superscript"/>
                <w:lang w:val="en-US" w:eastAsia="zh-CN"/>
              </w:rPr>
              <w:t>-7</w:t>
            </w:r>
            <w:r>
              <w:rPr>
                <w:rFonts w:hint="default" w:ascii="Times New Roman" w:hAnsi="Times New Roman" w:cs="Times New Roman"/>
                <w:sz w:val="24"/>
                <w:szCs w:val="24"/>
                <w:lang w:val="en-US" w:eastAsia="zh-CN"/>
              </w:rPr>
              <w:t>cm/s），或2mm厚高密度聚乙烯，或至少2mm厚的其他人工材料，渗透系数≤10</w:t>
            </w:r>
            <w:r>
              <w:rPr>
                <w:rFonts w:hint="default" w:ascii="Times New Roman" w:hAnsi="Times New Roman" w:cs="Times New Roman"/>
                <w:sz w:val="24"/>
                <w:szCs w:val="24"/>
                <w:vertAlign w:val="superscript"/>
                <w:lang w:val="en-US" w:eastAsia="zh-CN"/>
              </w:rPr>
              <w:t>-10</w:t>
            </w:r>
            <w:r>
              <w:rPr>
                <w:rFonts w:hint="default" w:ascii="Times New Roman" w:hAnsi="Times New Roman" w:cs="Times New Roman"/>
                <w:sz w:val="24"/>
                <w:szCs w:val="24"/>
                <w:lang w:val="en-US" w:eastAsia="zh-CN"/>
              </w:rPr>
              <w:t>cm/s。</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②堆放危险废物的高度应根据地面承载能力确定。</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③衬里放在一个基础或底座上。</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④衬里要能够覆盖危险废物或其溶出物可能涉及到的范围。</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⑤衬里材料与堆放危险废物相容。</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⑥在衬里上设计、建造浸出液收集清除系统。</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⑦不相容的危险废物不能堆放在一起。</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⑧总贮存量不超过300kg（L）的危险废物要放入符合标准的容器内，加上标签，容器放入坚固的柜或箱中，柜或箱应设多个直径不少于30mm的排气孔。不相容危险废物要分别存放或存放在不渗透间隔分开的区域内，每个部分都应有防漏裙脚或储漏盘，防漏裙脚或储漏盘的材料要与危险废物相容。</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（3）危险废物贮存容器</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危险废物贮存容器需满足《危险废物贮存污染控制标准》（GB 18597-2001）要求，具体如下：</w:t>
            </w:r>
          </w:p>
          <w:p>
            <w:pPr>
              <w:spacing w:line="360" w:lineRule="auto"/>
              <w:ind w:firstLine="480" w:firstLineChars="200"/>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1）应当使用符合标准的容器盛装危险废物</w:t>
            </w:r>
            <w:r>
              <w:rPr>
                <w:rFonts w:hint="eastAsia" w:ascii="Times New Roman" w:hAnsi="Times New Roman" w:cs="Times New Roman"/>
                <w:sz w:val="24"/>
                <w:szCs w:val="24"/>
                <w:lang w:val="en-US" w:eastAsia="zh-CN"/>
              </w:rPr>
              <w:t>；</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2）装载危险废物的容器及材质要满足相应的强度要求。</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3）装载危险废物的容器必须完好无损。</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4）盛装危险废物的容器材质和衬里要与危险废物相容（不相互反应）。</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5）液体危险废物可注入开孔直径不超过70mm并有放气孔的桶中。</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（4）危险废物贮存设施的运行与管理</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危险废物贮存设施的运行与管理需满足《危险废物贮存污染控制标准》（GB18597-2001）要求，具体如下：</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1）从事危险废物贮存的单位，必须得到有资质单位出具的该危险废物样品物理和化学性质的分析报告，认定可以贮存后，方可接收。</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2）不得接收未粘贴标签或标签没按规定填写的危险废物，</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3）盛装在容器内的同类危险废物可以堆叠存放。</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4）每个堆间应留有搬运通道。</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5）不得将不相容的废物混合或合并存放。禁止将不相容（相互反应）的危险废物在同一容器内混装。无法装入常用容器的危险废物可用防漏胶袋等盛装。</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6</w:t>
            </w:r>
            <w:r>
              <w:rPr>
                <w:rFonts w:hint="default" w:ascii="Times New Roman" w:hAnsi="Times New Roman" w:cs="Times New Roman"/>
                <w:sz w:val="24"/>
                <w:szCs w:val="24"/>
                <w:lang w:val="en-US" w:eastAsia="zh-CN"/>
              </w:rPr>
              <w:t>）危险废物产生者和危险废物贮存设施经营者均须作好危险废物情况的记录，记录上须注明危险废物的名称、来源、数量、特性和包装容器的类别、入库日期、存放库位、废物出库日期及接收单位名称。危险废物的记录和货单在危险废物回取后应继续保留</w:t>
            </w:r>
            <w:r>
              <w:rPr>
                <w:rFonts w:hint="eastAsia" w:ascii="Times New Roman" w:hAnsi="Times New Roman" w:cs="Times New Roman"/>
                <w:sz w:val="24"/>
                <w:szCs w:val="24"/>
                <w:lang w:val="en-US" w:eastAsia="zh-CN"/>
              </w:rPr>
              <w:t>3</w:t>
            </w:r>
            <w:r>
              <w:rPr>
                <w:rFonts w:hint="default" w:ascii="Times New Roman" w:hAnsi="Times New Roman" w:cs="Times New Roman"/>
                <w:sz w:val="24"/>
                <w:szCs w:val="24"/>
                <w:lang w:val="en-US" w:eastAsia="zh-CN"/>
              </w:rPr>
              <w:t>a。</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7</w:t>
            </w:r>
            <w:r>
              <w:rPr>
                <w:rFonts w:hint="default" w:ascii="Times New Roman" w:hAnsi="Times New Roman" w:cs="Times New Roman"/>
                <w:sz w:val="24"/>
                <w:szCs w:val="24"/>
                <w:lang w:val="en-US" w:eastAsia="zh-CN"/>
              </w:rPr>
              <w:t>）必须定期对所贮存的危险废物包装容器及贮存设施进行检查，发现破损，应及时采取措施清理更换。</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8</w:t>
            </w:r>
            <w:r>
              <w:rPr>
                <w:rFonts w:hint="default" w:ascii="Times New Roman" w:hAnsi="Times New Roman" w:cs="Times New Roman"/>
                <w:sz w:val="24"/>
                <w:szCs w:val="24"/>
                <w:lang w:val="en-US" w:eastAsia="zh-CN"/>
              </w:rPr>
              <w:t>）危险废物贮存设施都必须按 GB15562.2 的规定设置警示标志。</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9</w:t>
            </w:r>
            <w:r>
              <w:rPr>
                <w:rFonts w:hint="default" w:ascii="Times New Roman" w:hAnsi="Times New Roman" w:cs="Times New Roman"/>
                <w:sz w:val="24"/>
                <w:szCs w:val="24"/>
                <w:lang w:val="en-US" w:eastAsia="zh-CN"/>
              </w:rPr>
              <w:t>）危险废物贮存设施周围应设置围墙或其他防护栅栏。</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环评要求建设单位必须按照危险废物暂存间选址及设计要求、危险废物贮存容器的相关要求和危险废物贮存设施的运行及管理要求来进行危险废物暂存间的设计、建设以及管理，以满足《危险废物贮存污染控制标准》（GB 18597-2001）中的相关规定。</w:t>
            </w:r>
          </w:p>
          <w:p>
            <w:pPr>
              <w:spacing w:line="360" w:lineRule="auto"/>
              <w:ind w:firstLine="480" w:firstLineChars="200"/>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综上分析，项目运营期固体废弃物能做到 100%合理处置，对环境的影响较</w:t>
            </w:r>
            <w:r>
              <w:rPr>
                <w:rFonts w:hint="eastAsia" w:ascii="Times New Roman" w:hAnsi="Times New Roman" w:cs="Times New Roman"/>
                <w:sz w:val="24"/>
                <w:szCs w:val="24"/>
                <w:lang w:val="en-US" w:eastAsia="zh-CN"/>
              </w:rPr>
              <w:t>小。</w:t>
            </w:r>
          </w:p>
          <w:p>
            <w:pPr>
              <w:spacing w:line="360" w:lineRule="auto"/>
              <w:ind w:firstLine="482" w:firstLineChars="20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三 、环境风险分析</w:t>
            </w:r>
          </w:p>
          <w:p>
            <w:pPr>
              <w:spacing w:line="360" w:lineRule="auto"/>
              <w:ind w:firstLine="482" w:firstLineChars="200"/>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1、物质识别</w:t>
            </w:r>
          </w:p>
          <w:p>
            <w:pPr>
              <w:spacing w:line="360" w:lineRule="auto"/>
              <w:ind w:firstLine="480"/>
              <w:jc w:val="both"/>
              <w:rPr>
                <w:rFonts w:hint="default" w:ascii="Times New Roman" w:hAnsi="Times New Roman" w:cs="Times New Roman" w:eastAsiaTheme="minorEastAsia"/>
                <w:sz w:val="24"/>
                <w:szCs w:val="22"/>
              </w:rPr>
            </w:pPr>
            <w:r>
              <w:rPr>
                <w:rFonts w:hint="default" w:ascii="Times New Roman" w:hAnsi="Times New Roman" w:cs="Times New Roman" w:eastAsiaTheme="minorEastAsia"/>
                <w:sz w:val="24"/>
                <w:szCs w:val="22"/>
              </w:rPr>
              <w:t>对照《建设项目环境风险评价技术导则》（HJ169-2018）附录B中，项目涉及的风险物质为乙炔、废机油，最大使用量及储存方式见下表7-</w:t>
            </w:r>
            <w:r>
              <w:rPr>
                <w:rFonts w:hint="eastAsia" w:ascii="Times New Roman" w:hAnsi="Times New Roman" w:cs="Times New Roman" w:eastAsiaTheme="minorEastAsia"/>
                <w:sz w:val="24"/>
                <w:szCs w:val="22"/>
                <w:lang w:val="en-US" w:eastAsia="zh-CN"/>
              </w:rPr>
              <w:t>17</w:t>
            </w:r>
            <w:r>
              <w:rPr>
                <w:rFonts w:hint="default" w:ascii="Times New Roman" w:hAnsi="Times New Roman" w:cs="Times New Roman" w:eastAsiaTheme="minorEastAsia"/>
                <w:sz w:val="24"/>
                <w:szCs w:val="22"/>
              </w:rPr>
              <w:t>。</w:t>
            </w:r>
          </w:p>
          <w:p>
            <w:pPr>
              <w:spacing w:line="240" w:lineRule="auto"/>
              <w:ind w:firstLine="422"/>
              <w:jc w:val="center"/>
              <w:rPr>
                <w:b/>
                <w:sz w:val="21"/>
                <w:szCs w:val="21"/>
              </w:rPr>
            </w:pPr>
            <w:r>
              <w:rPr>
                <w:rFonts w:hint="eastAsia"/>
                <w:b/>
                <w:sz w:val="21"/>
                <w:szCs w:val="21"/>
              </w:rPr>
              <w:t>表7-1</w:t>
            </w:r>
            <w:r>
              <w:rPr>
                <w:rFonts w:hint="eastAsia"/>
                <w:b/>
                <w:sz w:val="21"/>
                <w:szCs w:val="21"/>
                <w:lang w:val="en-US" w:eastAsia="zh-CN"/>
              </w:rPr>
              <w:t>7</w:t>
            </w:r>
            <w:r>
              <w:rPr>
                <w:rFonts w:hint="eastAsia"/>
                <w:b/>
                <w:sz w:val="21"/>
                <w:szCs w:val="21"/>
              </w:rPr>
              <w:t xml:space="preserve"> 项目涉及的风险物质最大使用量及储存方式</w:t>
            </w:r>
          </w:p>
          <w:tbl>
            <w:tblPr>
              <w:tblStyle w:val="37"/>
              <w:tblW w:w="5000" w:type="pct"/>
              <w:tblInd w:w="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1592"/>
              <w:gridCol w:w="1465"/>
              <w:gridCol w:w="1555"/>
              <w:gridCol w:w="1794"/>
              <w:gridCol w:w="179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5" w:hRule="exact"/>
              </w:trPr>
              <w:tc>
                <w:tcPr>
                  <w:tcW w:w="971" w:type="pct"/>
                  <w:tcBorders>
                    <w:tl2br w:val="nil"/>
                    <w:tr2bl w:val="nil"/>
                  </w:tcBorders>
                  <w:vAlign w:val="center"/>
                </w:tcPr>
                <w:p>
                  <w:pPr>
                    <w:pStyle w:val="104"/>
                    <w:jc w:val="center"/>
                    <w:rPr>
                      <w:rFonts w:ascii="Times New Roman" w:hAnsi="Times New Roman" w:eastAsiaTheme="minorEastAsia"/>
                      <w:b/>
                      <w:sz w:val="21"/>
                      <w:szCs w:val="21"/>
                      <w:lang w:eastAsia="zh-CN"/>
                    </w:rPr>
                  </w:pPr>
                  <w:r>
                    <w:rPr>
                      <w:rFonts w:ascii="Times New Roman" w:hAnsi="Times New Roman" w:eastAsiaTheme="minorEastAsia"/>
                      <w:b/>
                      <w:sz w:val="21"/>
                      <w:szCs w:val="21"/>
                      <w:lang w:eastAsia="zh-CN"/>
                    </w:rPr>
                    <w:t>物质名称</w:t>
                  </w:r>
                </w:p>
              </w:tc>
              <w:tc>
                <w:tcPr>
                  <w:tcW w:w="893" w:type="pct"/>
                  <w:tcBorders>
                    <w:tl2br w:val="nil"/>
                    <w:tr2bl w:val="nil"/>
                  </w:tcBorders>
                  <w:vAlign w:val="center"/>
                </w:tcPr>
                <w:p>
                  <w:pPr>
                    <w:pStyle w:val="104"/>
                    <w:ind w:right="1"/>
                    <w:jc w:val="center"/>
                    <w:rPr>
                      <w:rFonts w:ascii="Times New Roman" w:hAnsi="Times New Roman" w:eastAsiaTheme="minorEastAsia"/>
                      <w:b/>
                      <w:sz w:val="21"/>
                      <w:szCs w:val="21"/>
                      <w:lang w:eastAsia="zh-CN"/>
                    </w:rPr>
                  </w:pPr>
                  <w:r>
                    <w:rPr>
                      <w:rFonts w:hint="eastAsia" w:ascii="Times New Roman" w:hAnsi="Times New Roman" w:eastAsiaTheme="minorEastAsia"/>
                      <w:b/>
                      <w:sz w:val="21"/>
                      <w:szCs w:val="21"/>
                      <w:lang w:eastAsia="zh-CN"/>
                    </w:rPr>
                    <w:t>最大储存量</w:t>
                  </w:r>
                </w:p>
              </w:tc>
              <w:tc>
                <w:tcPr>
                  <w:tcW w:w="948" w:type="pct"/>
                  <w:tcBorders>
                    <w:tl2br w:val="nil"/>
                    <w:tr2bl w:val="nil"/>
                  </w:tcBorders>
                  <w:vAlign w:val="center"/>
                </w:tcPr>
                <w:p>
                  <w:pPr>
                    <w:pStyle w:val="104"/>
                    <w:ind w:right="2"/>
                    <w:jc w:val="center"/>
                    <w:rPr>
                      <w:rFonts w:ascii="Times New Roman" w:hAnsi="Times New Roman" w:eastAsiaTheme="minorEastAsia"/>
                      <w:b/>
                      <w:sz w:val="21"/>
                      <w:szCs w:val="21"/>
                      <w:lang w:eastAsia="zh-CN"/>
                    </w:rPr>
                  </w:pPr>
                  <w:r>
                    <w:rPr>
                      <w:rFonts w:hint="eastAsia" w:ascii="Times New Roman" w:hAnsi="Times New Roman" w:eastAsiaTheme="minorEastAsia"/>
                      <w:b/>
                      <w:sz w:val="21"/>
                      <w:szCs w:val="21"/>
                      <w:lang w:eastAsia="zh-CN"/>
                    </w:rPr>
                    <w:t>储存方式</w:t>
                  </w:r>
                </w:p>
              </w:tc>
              <w:tc>
                <w:tcPr>
                  <w:tcW w:w="1094" w:type="pct"/>
                  <w:tcBorders>
                    <w:tl2br w:val="nil"/>
                    <w:tr2bl w:val="nil"/>
                  </w:tcBorders>
                  <w:vAlign w:val="center"/>
                </w:tcPr>
                <w:p>
                  <w:pPr>
                    <w:pStyle w:val="104"/>
                    <w:jc w:val="center"/>
                    <w:rPr>
                      <w:rFonts w:ascii="Times New Roman" w:hAnsi="Times New Roman" w:eastAsiaTheme="minorEastAsia"/>
                      <w:b/>
                      <w:sz w:val="21"/>
                      <w:szCs w:val="21"/>
                      <w:lang w:eastAsia="zh-CN"/>
                    </w:rPr>
                  </w:pPr>
                  <w:r>
                    <w:rPr>
                      <w:rFonts w:hint="eastAsia" w:ascii="Times New Roman" w:hAnsi="Times New Roman" w:eastAsiaTheme="minorEastAsia"/>
                      <w:b/>
                      <w:sz w:val="21"/>
                      <w:szCs w:val="21"/>
                      <w:lang w:eastAsia="zh-CN"/>
                    </w:rPr>
                    <w:t>储存位置</w:t>
                  </w:r>
                </w:p>
              </w:tc>
              <w:tc>
                <w:tcPr>
                  <w:tcW w:w="1094" w:type="pct"/>
                  <w:tcBorders>
                    <w:tl2br w:val="nil"/>
                    <w:tr2bl w:val="nil"/>
                  </w:tcBorders>
                  <w:vAlign w:val="center"/>
                </w:tcPr>
                <w:p>
                  <w:pPr>
                    <w:pStyle w:val="104"/>
                    <w:jc w:val="center"/>
                    <w:rPr>
                      <w:rFonts w:ascii="Times New Roman" w:hAnsi="Times New Roman" w:eastAsiaTheme="minorEastAsia"/>
                      <w:b/>
                      <w:sz w:val="21"/>
                      <w:szCs w:val="21"/>
                      <w:lang w:eastAsia="zh-CN"/>
                    </w:rPr>
                  </w:pPr>
                  <w:r>
                    <w:rPr>
                      <w:rFonts w:hint="eastAsia" w:ascii="Times New Roman" w:hAnsi="Times New Roman" w:eastAsiaTheme="minorEastAsia"/>
                      <w:b/>
                      <w:sz w:val="21"/>
                      <w:szCs w:val="21"/>
                      <w:lang w:eastAsia="zh-CN"/>
                    </w:rPr>
                    <w:t>临界存在量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0" w:hRule="exact"/>
              </w:trPr>
              <w:tc>
                <w:tcPr>
                  <w:tcW w:w="971" w:type="pct"/>
                  <w:tcBorders>
                    <w:tl2br w:val="nil"/>
                    <w:tr2bl w:val="nil"/>
                  </w:tcBorders>
                  <w:vAlign w:val="center"/>
                </w:tcPr>
                <w:p>
                  <w:pPr>
                    <w:pStyle w:val="104"/>
                    <w:ind w:right="1"/>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乙炔</w:t>
                  </w:r>
                </w:p>
              </w:tc>
              <w:tc>
                <w:tcPr>
                  <w:tcW w:w="893" w:type="pct"/>
                  <w:tcBorders>
                    <w:tl2br w:val="nil"/>
                    <w:tr2bl w:val="nil"/>
                  </w:tcBorders>
                  <w:vAlign w:val="center"/>
                </w:tcPr>
                <w:p>
                  <w:pPr>
                    <w:pStyle w:val="104"/>
                    <w:ind w:right="1"/>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0.</w:t>
                  </w:r>
                  <w:r>
                    <w:rPr>
                      <w:rFonts w:hint="eastAsia" w:ascii="Times New Roman" w:hAnsi="Times New Roman" w:eastAsiaTheme="minorEastAsia"/>
                      <w:sz w:val="21"/>
                      <w:szCs w:val="21"/>
                      <w:lang w:val="en-US" w:eastAsia="zh-CN"/>
                    </w:rPr>
                    <w:t>3</w:t>
                  </w:r>
                  <w:r>
                    <w:rPr>
                      <w:rFonts w:hint="eastAsia" w:ascii="Times New Roman" w:hAnsi="Times New Roman" w:eastAsiaTheme="minorEastAsia"/>
                      <w:sz w:val="21"/>
                      <w:szCs w:val="21"/>
                      <w:lang w:eastAsia="zh-CN"/>
                    </w:rPr>
                    <w:t>t</w:t>
                  </w:r>
                </w:p>
              </w:tc>
              <w:tc>
                <w:tcPr>
                  <w:tcW w:w="948" w:type="pct"/>
                  <w:tcBorders>
                    <w:tl2br w:val="nil"/>
                    <w:tr2bl w:val="nil"/>
                  </w:tcBorders>
                  <w:vAlign w:val="center"/>
                </w:tcPr>
                <w:p>
                  <w:pPr>
                    <w:pStyle w:val="104"/>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瓶装</w:t>
                  </w:r>
                </w:p>
              </w:tc>
              <w:tc>
                <w:tcPr>
                  <w:tcW w:w="1094" w:type="pct"/>
                  <w:tcBorders>
                    <w:tl2br w:val="nil"/>
                    <w:tr2bl w:val="nil"/>
                  </w:tcBorders>
                  <w:vAlign w:val="center"/>
                </w:tcPr>
                <w:p>
                  <w:pPr>
                    <w:pStyle w:val="104"/>
                    <w:ind w:right="1"/>
                    <w:jc w:val="center"/>
                    <w:rPr>
                      <w:rFonts w:ascii="Times New Roman" w:hAnsi="Times New Roman" w:eastAsiaTheme="minorEastAsia"/>
                      <w:sz w:val="21"/>
                      <w:szCs w:val="21"/>
                      <w:lang w:eastAsia="zh-CN"/>
                    </w:rPr>
                  </w:pPr>
                  <w:r>
                    <w:rPr>
                      <w:rFonts w:hint="eastAsia" w:ascii="Times New Roman" w:hAnsi="Times New Roman" w:eastAsiaTheme="minorEastAsia"/>
                      <w:sz w:val="21"/>
                      <w:lang w:eastAsia="zh-CN"/>
                    </w:rPr>
                    <w:t>生产车间</w:t>
                  </w:r>
                </w:p>
              </w:tc>
              <w:tc>
                <w:tcPr>
                  <w:tcW w:w="1094" w:type="pct"/>
                  <w:tcBorders>
                    <w:tl2br w:val="nil"/>
                    <w:tr2bl w:val="nil"/>
                  </w:tcBorders>
                  <w:vAlign w:val="center"/>
                </w:tcPr>
                <w:p>
                  <w:pPr>
                    <w:pStyle w:val="104"/>
                    <w:ind w:right="1"/>
                    <w:jc w:val="center"/>
                    <w:rPr>
                      <w:rFonts w:ascii="Times New Roman" w:hAnsi="Times New Roman" w:eastAsiaTheme="minorEastAsia"/>
                      <w:sz w:val="21"/>
                      <w:lang w:eastAsia="zh-CN"/>
                    </w:rPr>
                  </w:pPr>
                  <w:r>
                    <w:rPr>
                      <w:rFonts w:hint="eastAsia" w:ascii="Times New Roman" w:hAnsi="Times New Roman" w:eastAsiaTheme="minorEastAsia"/>
                      <w:sz w:val="21"/>
                      <w:lang w:eastAsia="zh-CN"/>
                    </w:rPr>
                    <w:t>10</w:t>
                  </w:r>
                  <w:r>
                    <w:rPr>
                      <w:rFonts w:hint="eastAsia" w:ascii="Times New Roman" w:hAnsi="Times New Roman" w:eastAsiaTheme="minorEastAsia"/>
                      <w:sz w:val="21"/>
                      <w:szCs w:val="21"/>
                      <w:lang w:eastAsia="zh-CN"/>
                    </w:rPr>
                    <w:t xml:space="preserve"> 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0" w:hRule="exact"/>
              </w:trPr>
              <w:tc>
                <w:tcPr>
                  <w:tcW w:w="971" w:type="pct"/>
                  <w:tcBorders>
                    <w:tl2br w:val="nil"/>
                    <w:tr2bl w:val="nil"/>
                  </w:tcBorders>
                  <w:vAlign w:val="center"/>
                </w:tcPr>
                <w:p>
                  <w:pPr>
                    <w:pStyle w:val="104"/>
                    <w:ind w:right="1"/>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废机油</w:t>
                  </w:r>
                </w:p>
              </w:tc>
              <w:tc>
                <w:tcPr>
                  <w:tcW w:w="893" w:type="pct"/>
                  <w:tcBorders>
                    <w:tl2br w:val="nil"/>
                    <w:tr2bl w:val="nil"/>
                  </w:tcBorders>
                  <w:vAlign w:val="center"/>
                </w:tcPr>
                <w:p>
                  <w:pPr>
                    <w:pStyle w:val="104"/>
                    <w:ind w:right="1"/>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0.</w:t>
                  </w:r>
                  <w:r>
                    <w:rPr>
                      <w:rFonts w:hint="eastAsia" w:ascii="Times New Roman" w:hAnsi="Times New Roman" w:eastAsiaTheme="minorEastAsia"/>
                      <w:sz w:val="21"/>
                      <w:szCs w:val="21"/>
                      <w:lang w:val="en-US" w:eastAsia="zh-CN"/>
                    </w:rPr>
                    <w:t>2</w:t>
                  </w:r>
                  <w:r>
                    <w:rPr>
                      <w:rFonts w:hint="eastAsia" w:ascii="Times New Roman" w:hAnsi="Times New Roman" w:eastAsiaTheme="minorEastAsia"/>
                      <w:sz w:val="21"/>
                      <w:szCs w:val="21"/>
                      <w:lang w:eastAsia="zh-CN"/>
                    </w:rPr>
                    <w:t>t</w:t>
                  </w:r>
                </w:p>
              </w:tc>
              <w:tc>
                <w:tcPr>
                  <w:tcW w:w="948" w:type="pct"/>
                  <w:tcBorders>
                    <w:tl2br w:val="nil"/>
                    <w:tr2bl w:val="nil"/>
                  </w:tcBorders>
                  <w:vAlign w:val="center"/>
                </w:tcPr>
                <w:p>
                  <w:pPr>
                    <w:pStyle w:val="104"/>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桶装</w:t>
                  </w:r>
                </w:p>
              </w:tc>
              <w:tc>
                <w:tcPr>
                  <w:tcW w:w="1094" w:type="pct"/>
                  <w:tcBorders>
                    <w:tl2br w:val="nil"/>
                    <w:tr2bl w:val="nil"/>
                  </w:tcBorders>
                  <w:vAlign w:val="center"/>
                </w:tcPr>
                <w:p>
                  <w:pPr>
                    <w:pStyle w:val="104"/>
                    <w:ind w:right="1"/>
                    <w:jc w:val="center"/>
                    <w:rPr>
                      <w:rFonts w:ascii="Times New Roman" w:hAnsi="Times New Roman" w:eastAsiaTheme="minorEastAsia"/>
                      <w:sz w:val="21"/>
                      <w:lang w:eastAsia="zh-CN"/>
                    </w:rPr>
                  </w:pPr>
                  <w:r>
                    <w:rPr>
                      <w:rFonts w:hint="eastAsia" w:ascii="Times New Roman" w:hAnsi="Times New Roman" w:eastAsiaTheme="minorEastAsia"/>
                      <w:sz w:val="21"/>
                      <w:szCs w:val="21"/>
                      <w:lang w:eastAsia="zh-CN"/>
                    </w:rPr>
                    <w:t>危废暂存间</w:t>
                  </w:r>
                </w:p>
              </w:tc>
              <w:tc>
                <w:tcPr>
                  <w:tcW w:w="1094" w:type="pct"/>
                  <w:tcBorders>
                    <w:tl2br w:val="nil"/>
                    <w:tr2bl w:val="nil"/>
                  </w:tcBorders>
                  <w:vAlign w:val="center"/>
                </w:tcPr>
                <w:p>
                  <w:pPr>
                    <w:pStyle w:val="104"/>
                    <w:ind w:right="1"/>
                    <w:jc w:val="center"/>
                    <w:rPr>
                      <w:rFonts w:ascii="Times New Roman" w:hAnsi="Times New Roman" w:eastAsiaTheme="minorEastAsia"/>
                      <w:sz w:val="21"/>
                      <w:lang w:eastAsia="zh-CN"/>
                    </w:rPr>
                  </w:pPr>
                  <w:r>
                    <w:rPr>
                      <w:rFonts w:hint="eastAsia" w:ascii="Times New Roman" w:hAnsi="Times New Roman" w:eastAsiaTheme="minorEastAsia"/>
                      <w:sz w:val="21"/>
                      <w:lang w:eastAsia="zh-CN"/>
                    </w:rPr>
                    <w:t>2500t</w:t>
                  </w:r>
                </w:p>
              </w:tc>
            </w:tr>
          </w:tbl>
          <w:p>
            <w:pPr>
              <w:spacing w:line="360" w:lineRule="auto"/>
              <w:ind w:firstLine="482" w:firstLineChars="200"/>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2、风险潜势初判</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根据《建设项目环境风险评价技术导则》（HJ/T169 一 2018）</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危险物质及工艺系统危害性（P）应根据危险物质数量与临界量的比值（Q）和行业及生产工艺（M）确定。根据《建设项目环境风险评价技术导则》（HJ/T169-2018）附录 C，Q按下式进行计算：</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object>
                <v:shape id="_x0000_i1028" o:spt="75" type="#_x0000_t75" style="height:35pt;width:116pt;" o:ole="t" filled="f" o:preferrelative="t" stroked="f" coordsize="21600,21600">
                  <v:path/>
                  <v:fill on="f" focussize="0,0"/>
                  <v:stroke on="f"/>
                  <v:imagedata r:id="rId21" o:title=""/>
                  <o:lock v:ext="edit" aspectratio="t"/>
                  <w10:wrap type="none"/>
                  <w10:anchorlock/>
                </v:shape>
                <o:OLEObject Type="Embed" ProgID="Equation.KSEE3" ShapeID="_x0000_i1028" DrawAspect="Content" ObjectID="_1468075728" r:id="rId20">
                  <o:LockedField>false</o:LockedField>
                </o:OLEObject>
              </w:objec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式中：</w:t>
            </w:r>
            <w:r>
              <w:rPr>
                <w:rFonts w:hint="eastAsia" w:ascii="Times New Roman" w:hAnsi="Times New Roman" w:cs="Times New Roman"/>
                <w:sz w:val="24"/>
                <w:szCs w:val="24"/>
                <w:lang w:val="en-US" w:eastAsia="zh-CN"/>
              </w:rPr>
              <w:t>q1</w:t>
            </w:r>
            <w:r>
              <w:rPr>
                <w:rFonts w:hint="default" w:ascii="Times New Roman" w:hAnsi="Times New Roman" w:cs="Times New Roman"/>
                <w:sz w:val="24"/>
                <w:szCs w:val="24"/>
                <w:lang w:val="en-US" w:eastAsia="zh-CN"/>
              </w:rPr>
              <w:t>，q</w:t>
            </w:r>
            <w:r>
              <w:rPr>
                <w:rFonts w:hint="eastAsia" w:ascii="Times New Roman" w:hAnsi="Times New Roman" w:cs="Times New Roman"/>
                <w:sz w:val="24"/>
                <w:szCs w:val="24"/>
                <w:lang w:val="en-US" w:eastAsia="zh-CN"/>
              </w:rPr>
              <w:t>2</w:t>
            </w:r>
            <w:r>
              <w:rPr>
                <w:rFonts w:hint="default" w:ascii="Times New Roman" w:hAnsi="Times New Roman" w:cs="Times New Roman"/>
                <w:sz w:val="24"/>
                <w:szCs w:val="24"/>
                <w:lang w:val="en-US" w:eastAsia="zh-CN"/>
              </w:rPr>
              <w:t xml:space="preserve"> ，.......，q</w:t>
            </w:r>
            <w:r>
              <w:rPr>
                <w:rFonts w:hint="eastAsia" w:ascii="Times New Roman" w:hAnsi="Times New Roman" w:cs="Times New Roman"/>
                <w:sz w:val="24"/>
                <w:szCs w:val="24"/>
                <w:lang w:val="en-US" w:eastAsia="zh-CN"/>
              </w:rPr>
              <w:t>n</w:t>
            </w:r>
            <w:r>
              <w:rPr>
                <w:rFonts w:hint="default" w:ascii="Times New Roman" w:hAnsi="Times New Roman" w:cs="Times New Roman"/>
                <w:sz w:val="24"/>
                <w:szCs w:val="24"/>
                <w:lang w:val="en-US" w:eastAsia="zh-CN"/>
              </w:rPr>
              <w:t xml:space="preserve"> —每种危险物质的最大存在总量，t；</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Q </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lang w:val="en-US" w:eastAsia="zh-CN"/>
              </w:rPr>
              <w:t xml:space="preserve">，Q </w:t>
            </w:r>
            <w:r>
              <w:rPr>
                <w:rFonts w:hint="eastAsia" w:ascii="Times New Roman" w:hAnsi="Times New Roman" w:cs="Times New Roman"/>
                <w:sz w:val="24"/>
                <w:szCs w:val="24"/>
                <w:lang w:val="en-US" w:eastAsia="zh-CN"/>
              </w:rPr>
              <w:t>2</w:t>
            </w:r>
            <w:r>
              <w:rPr>
                <w:rFonts w:hint="default" w:ascii="Times New Roman" w:hAnsi="Times New Roman" w:cs="Times New Roman"/>
                <w:sz w:val="24"/>
                <w:szCs w:val="24"/>
                <w:lang w:val="en-US" w:eastAsia="zh-CN"/>
              </w:rPr>
              <w:t>，.......，Q n —每种危险物质的临界量，t；</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当Q＜1时，该项目环境风险潜势为Ⅰ。</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当Q≥1时，将Q值划分为：（1）1≤Q＜10；（2）10≤Q＜100；（3）Q≥100。</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本项目</w:t>
            </w:r>
            <w:r>
              <w:rPr>
                <w:rFonts w:hint="eastAsia" w:ascii="Times New Roman" w:hAnsi="Times New Roman" w:cs="Times New Roman"/>
                <w:sz w:val="24"/>
                <w:szCs w:val="24"/>
                <w:lang w:val="en-US" w:eastAsia="zh-CN"/>
              </w:rPr>
              <w:t>Q</w:t>
            </w:r>
            <w:r>
              <w:rPr>
                <w:rFonts w:hint="default" w:ascii="Times New Roman" w:hAnsi="Times New Roman" w:cs="Times New Roman"/>
                <w:sz w:val="24"/>
                <w:szCs w:val="24"/>
                <w:lang w:val="en-US" w:eastAsia="zh-CN"/>
              </w:rPr>
              <w:t>值确定情况如下表所示。</w:t>
            </w:r>
          </w:p>
          <w:p>
            <w:pPr>
              <w:pStyle w:val="52"/>
              <w:bidi w:val="0"/>
              <w:spacing w:line="240" w:lineRule="auto"/>
              <w:rPr>
                <w:rFonts w:hint="eastAsia"/>
                <w:lang w:val="en-US" w:eastAsia="zh-CN"/>
              </w:rPr>
            </w:pPr>
            <w:r>
              <w:rPr>
                <w:rFonts w:hint="eastAsia"/>
                <w:lang w:val="en-US" w:eastAsia="zh-CN"/>
              </w:rPr>
              <w:t>表7-18项目Q值确定</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0"/>
              <w:gridCol w:w="1366"/>
              <w:gridCol w:w="1636"/>
              <w:gridCol w:w="1638"/>
              <w:gridCol w:w="1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0"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物质名称</w:t>
                  </w:r>
                </w:p>
              </w:tc>
              <w:tc>
                <w:tcPr>
                  <w:tcW w:w="1366"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CAS号</w:t>
                  </w:r>
                </w:p>
              </w:tc>
              <w:tc>
                <w:tcPr>
                  <w:tcW w:w="1636"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最大储量qn/t</w:t>
                  </w:r>
                </w:p>
              </w:tc>
              <w:tc>
                <w:tcPr>
                  <w:tcW w:w="1638"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临界量Qn/t</w:t>
                  </w:r>
                </w:p>
              </w:tc>
              <w:tc>
                <w:tcPr>
                  <w:tcW w:w="1645"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q/Q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0" w:type="dxa"/>
                  <w:noWrap w:val="0"/>
                  <w:vAlign w:val="top"/>
                </w:tcPr>
                <w:p>
                  <w:pPr>
                    <w:pStyle w:val="53"/>
                    <w:bidi w:val="0"/>
                    <w:rPr>
                      <w:rFonts w:hint="eastAsia"/>
                      <w:b w:val="0"/>
                      <w:bCs w:val="0"/>
                      <w:sz w:val="21"/>
                      <w:szCs w:val="21"/>
                      <w:lang w:val="en-US" w:eastAsia="zh-CN"/>
                    </w:rPr>
                  </w:pPr>
                  <w:r>
                    <w:rPr>
                      <w:rFonts w:hint="eastAsia"/>
                      <w:b w:val="0"/>
                      <w:bCs w:val="0"/>
                      <w:sz w:val="21"/>
                      <w:szCs w:val="21"/>
                      <w:lang w:val="en-US" w:eastAsia="zh-CN"/>
                    </w:rPr>
                    <w:t>乙炔</w:t>
                  </w:r>
                </w:p>
              </w:tc>
              <w:tc>
                <w:tcPr>
                  <w:tcW w:w="1366"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w:t>
                  </w:r>
                </w:p>
              </w:tc>
              <w:tc>
                <w:tcPr>
                  <w:tcW w:w="1636"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0.3</w:t>
                  </w:r>
                </w:p>
              </w:tc>
              <w:tc>
                <w:tcPr>
                  <w:tcW w:w="1638"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10</w:t>
                  </w:r>
                </w:p>
              </w:tc>
              <w:tc>
                <w:tcPr>
                  <w:tcW w:w="1645"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0"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废机油（油类物质）</w:t>
                  </w:r>
                </w:p>
              </w:tc>
              <w:tc>
                <w:tcPr>
                  <w:tcW w:w="1366"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w:t>
                  </w:r>
                </w:p>
              </w:tc>
              <w:tc>
                <w:tcPr>
                  <w:tcW w:w="1636"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0.2</w:t>
                  </w:r>
                </w:p>
              </w:tc>
              <w:tc>
                <w:tcPr>
                  <w:tcW w:w="1638"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2500</w:t>
                  </w:r>
                </w:p>
              </w:tc>
              <w:tc>
                <w:tcPr>
                  <w:tcW w:w="1645"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8×10</w:t>
                  </w:r>
                  <w:r>
                    <w:rPr>
                      <w:rFonts w:hint="eastAsia"/>
                      <w:b w:val="0"/>
                      <w:bCs w:val="0"/>
                      <w:sz w:val="21"/>
                      <w:szCs w:val="21"/>
                      <w:vertAlign w:val="superscript"/>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0" w:type="dxa"/>
                  <w:gridSpan w:val="4"/>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Q值</w:t>
                  </w:r>
                </w:p>
              </w:tc>
              <w:tc>
                <w:tcPr>
                  <w:tcW w:w="1645"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0.03008</w:t>
                  </w:r>
                </w:p>
              </w:tc>
            </w:tr>
          </w:tbl>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经计算，项目Q值为</w:t>
            </w:r>
            <w:r>
              <w:rPr>
                <w:rFonts w:hint="eastAsia"/>
                <w:b w:val="0"/>
                <w:bCs w:val="0"/>
                <w:sz w:val="21"/>
                <w:szCs w:val="21"/>
                <w:lang w:val="en-US" w:eastAsia="zh-CN"/>
              </w:rPr>
              <w:t>0.03008</w:t>
            </w:r>
            <w:r>
              <w:rPr>
                <w:rFonts w:hint="default" w:ascii="Times New Roman" w:hAnsi="Times New Roman" w:cs="Times New Roman"/>
                <w:sz w:val="24"/>
                <w:szCs w:val="24"/>
                <w:lang w:val="en-US" w:eastAsia="zh-CN"/>
              </w:rPr>
              <w:t>＜1。</w:t>
            </w:r>
          </w:p>
          <w:p>
            <w:pPr>
              <w:spacing w:line="360" w:lineRule="auto"/>
              <w:ind w:firstLine="482" w:firstLineChars="20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3 、评价等级确定</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根据《建设项目环境风险评价技术导则》（HJ/T169-2018）表1划分标准，本项目环境风险潜势为I，因此，环境风险评价工作等级为简单分析。</w:t>
            </w:r>
          </w:p>
          <w:p>
            <w:pPr>
              <w:pStyle w:val="52"/>
              <w:bidi w:val="0"/>
              <w:spacing w:line="240" w:lineRule="auto"/>
              <w:rPr>
                <w:rFonts w:hint="eastAsia"/>
                <w:lang w:val="en-US" w:eastAsia="zh-CN"/>
              </w:rPr>
            </w:pPr>
            <w:r>
              <w:rPr>
                <w:rFonts w:hint="eastAsia"/>
                <w:lang w:eastAsia="zh-CN"/>
              </w:rPr>
              <w:t>表</w:t>
            </w:r>
            <w:r>
              <w:rPr>
                <w:rFonts w:hint="eastAsia"/>
                <w:lang w:val="en-US" w:eastAsia="zh-CN"/>
              </w:rPr>
              <w:t>7-19 评价工作等级划分</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0"/>
              <w:gridCol w:w="1643"/>
              <w:gridCol w:w="1640"/>
              <w:gridCol w:w="1640"/>
              <w:gridCol w:w="1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环境风险潜势</w:t>
                  </w:r>
                </w:p>
              </w:tc>
              <w:tc>
                <w:tcPr>
                  <w:tcW w:w="1659"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Ⅳ、Ⅳ+</w:t>
                  </w:r>
                </w:p>
              </w:tc>
              <w:tc>
                <w:tcPr>
                  <w:tcW w:w="1659"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Ⅲ</w:t>
                  </w:r>
                </w:p>
              </w:tc>
              <w:tc>
                <w:tcPr>
                  <w:tcW w:w="1659"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Ⅱ</w:t>
                  </w:r>
                </w:p>
              </w:tc>
              <w:tc>
                <w:tcPr>
                  <w:tcW w:w="1660"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评价工作等级</w:t>
                  </w:r>
                </w:p>
              </w:tc>
              <w:tc>
                <w:tcPr>
                  <w:tcW w:w="1659"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一</w:t>
                  </w:r>
                </w:p>
              </w:tc>
              <w:tc>
                <w:tcPr>
                  <w:tcW w:w="1659"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二</w:t>
                  </w:r>
                </w:p>
              </w:tc>
              <w:tc>
                <w:tcPr>
                  <w:tcW w:w="1659"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三</w:t>
                  </w:r>
                </w:p>
              </w:tc>
              <w:tc>
                <w:tcPr>
                  <w:tcW w:w="1660" w:type="dxa"/>
                  <w:noWrap w:val="0"/>
                  <w:vAlign w:val="top"/>
                </w:tcPr>
                <w:p>
                  <w:pPr>
                    <w:pStyle w:val="53"/>
                    <w:bidi w:val="0"/>
                    <w:rPr>
                      <w:rFonts w:hint="default"/>
                      <w:b w:val="0"/>
                      <w:bCs w:val="0"/>
                      <w:sz w:val="21"/>
                      <w:szCs w:val="21"/>
                      <w:lang w:val="en-US" w:eastAsia="zh-CN"/>
                    </w:rPr>
                  </w:pPr>
                  <w:r>
                    <w:rPr>
                      <w:rFonts w:hint="eastAsia"/>
                      <w:b w:val="0"/>
                      <w:bCs w:val="0"/>
                      <w:sz w:val="21"/>
                      <w:szCs w:val="21"/>
                      <w:lang w:val="en-US" w:eastAsia="zh-CN"/>
                    </w:rPr>
                    <w:t>简单分析a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5"/>
                  <w:noWrap w:val="0"/>
                  <w:vAlign w:val="top"/>
                </w:tcPr>
                <w:p>
                  <w:pPr>
                    <w:pStyle w:val="53"/>
                    <w:bidi w:val="0"/>
                    <w:jc w:val="left"/>
                    <w:rPr>
                      <w:rFonts w:hint="default"/>
                      <w:b w:val="0"/>
                      <w:bCs w:val="0"/>
                      <w:sz w:val="21"/>
                      <w:szCs w:val="21"/>
                      <w:lang w:val="en-US" w:eastAsia="zh-CN"/>
                    </w:rPr>
                  </w:pPr>
                  <w:r>
                    <w:rPr>
                      <w:rFonts w:hint="default"/>
                      <w:b w:val="0"/>
                      <w:bCs w:val="0"/>
                      <w:sz w:val="21"/>
                      <w:szCs w:val="21"/>
                      <w:lang w:val="en-US" w:eastAsia="zh-CN"/>
                    </w:rPr>
                    <w:t>a 是相对于详细评价工作内容而言，在描述危险物质、环境影响途径、环境危害后果、风险防范措施等方面给出定性的说明。见附录A</w:t>
                  </w:r>
                </w:p>
              </w:tc>
            </w:tr>
          </w:tbl>
          <w:p>
            <w:pPr>
              <w:spacing w:line="360" w:lineRule="auto"/>
              <w:ind w:firstLine="482" w:firstLineChars="200"/>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4 、环境风险事故类型及环境影响</w:t>
            </w:r>
          </w:p>
          <w:p>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矿物油在储存及使用过程中，由于操作不当、管理不善等原因造成泄漏，危险化学品泄漏，造成土壤、地下水污染。若泄露矿物油在遇到明火的情况下继而发生火灾事故，产生废气等二次污染物，对区域大气环境造成污染；危险化学品氧气、天然气因明火或发生碰撞、使用不当等原因造成爆炸事故。</w:t>
            </w:r>
          </w:p>
          <w:p>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氧气瓶、乙炔瓶、二氧化碳气瓶附件损坏、丢失。氧气瓶的附件中有瓶阀、手轮、瓶帽和防震胶圈。瓶帽是为了防止气瓶瓶阀在搬运过程中被撞击而损坏，甚至被撞断使气体高速喷出，推动瓶阀和手轮向前高速飞动造成伤亡事故。氧气瓶和乙炔瓶如果一旦附件损坏，又遇到明火时就存在安全事故隐患。</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3）储气瓶太阳暴晒。储气瓶的容积是有限的，曝晒会使瓶内介质温度升高，导致瓶内压力骤增，使气瓶处于危险状态。若在运输中没有采取遮阳措施，</w:t>
            </w:r>
            <w:r>
              <w:rPr>
                <w:rFonts w:hint="default" w:ascii="Times New Roman" w:hAnsi="Times New Roman" w:cs="Times New Roman"/>
                <w:sz w:val="24"/>
                <w:szCs w:val="24"/>
                <w:lang w:val="en-US" w:eastAsia="zh-CN"/>
              </w:rPr>
              <w:t>夏天使用时将气瓶置于太阳下暴晒。尤其是夏季公路温度经常达到30多度，倘若气瓶本身存在缺陷，充装过量或者相互撞击，就有可能发生爆炸事故。</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4</w:t>
            </w:r>
            <w:r>
              <w:rPr>
                <w:rFonts w:hint="default" w:ascii="Times New Roman" w:hAnsi="Times New Roman" w:cs="Times New Roman"/>
                <w:sz w:val="24"/>
                <w:szCs w:val="24"/>
                <w:lang w:val="en-US" w:eastAsia="zh-CN"/>
              </w:rPr>
              <w:t>）安全距离不够。《气瓶安全监察规程》规定，氧气瓶使用时必须距明火10米以外，贮存时严禁和乙炔瓶同室存放。若焊接作业时氧气瓶距焊接点的距离不够10米，氧气瓶、乙炔瓶同室存放的现象，一旦气瓶漏气，遇上明火发生爆炸，将造成严重后果。</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5</w:t>
            </w:r>
            <w:r>
              <w:rPr>
                <w:rFonts w:hint="default" w:ascii="Times New Roman" w:hAnsi="Times New Roman" w:cs="Times New Roman"/>
                <w:sz w:val="24"/>
                <w:szCs w:val="24"/>
                <w:lang w:val="en-US" w:eastAsia="zh-CN"/>
              </w:rPr>
              <w:t>）野蛮装卸。在运输和使用中，野蛮装卸的现象很普遍，如短距离运输时，将氧气瓶用力推倒，然后顺地面滚动；车辆运输时固定不牢，气瓶相互碰撞，从车辆上直接向下推等等。这样容易引起同时爆炸的危险，一个爆炸引起另一个或是一堆氧气瓶的爆炸。</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本项目所使用的气体为外购的储气罐，在项目内的日常储存量很小，且使用量很小，因此，发生爆炸的概率也很小。</w:t>
            </w:r>
          </w:p>
          <w:p>
            <w:pPr>
              <w:spacing w:line="360" w:lineRule="auto"/>
              <w:ind w:firstLine="482" w:firstLineChars="200"/>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5、</w:t>
            </w:r>
            <w:r>
              <w:rPr>
                <w:rFonts w:hint="default" w:ascii="Times New Roman" w:hAnsi="Times New Roman" w:cs="Times New Roman"/>
                <w:b/>
                <w:bCs/>
                <w:sz w:val="24"/>
                <w:szCs w:val="24"/>
                <w:lang w:val="en-US" w:eastAsia="zh-CN"/>
              </w:rPr>
              <w:t>风险管理及防范措施</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根据以上风险分析，必须严格按照氧气瓶、</w:t>
            </w:r>
            <w:r>
              <w:rPr>
                <w:rFonts w:hint="eastAsia" w:ascii="Times New Roman" w:hAnsi="Times New Roman" w:cs="Times New Roman"/>
                <w:sz w:val="24"/>
                <w:szCs w:val="24"/>
                <w:lang w:val="en-US" w:eastAsia="zh-CN"/>
              </w:rPr>
              <w:t>天然气</w:t>
            </w:r>
            <w:r>
              <w:rPr>
                <w:rFonts w:hint="default" w:ascii="Times New Roman" w:hAnsi="Times New Roman" w:cs="Times New Roman"/>
                <w:sz w:val="24"/>
                <w:szCs w:val="24"/>
                <w:lang w:val="en-US" w:eastAsia="zh-CN"/>
              </w:rPr>
              <w:t>瓶、二氧化碳气瓶的运输、存放规程进行，否则风险事故的发生将给企业和周边环境带来损失。本环评针对其存在的风险提出以下防范措施及应急措施：</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1） 二氧化碳气瓶使用方法 </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①使用前检查连接部位是否漏气，可涂上肥皂液进行检查，调整至确实不漏气后才进行使用。 </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②使用时先逆时针打开钢瓶总开关，观察高压表读数，记录高压瓶内总的二氧化碳压力，然后顺时针转动低压表压力调节螺杆，使其压缩主弹簧将活门打开。这样进口的高压气体由高压室经节流减压后进入低压室，并经出口通往工作系统。 </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③使用后，先顺时针关闭钢瓶总开关，再逆时针旋松减压阀。</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2）氧气瓶的安全使用：</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为保障氧气瓶的使用安全，国家先后颁布了《气瓶安全监察规程》《溶解乙炔气瓶安全监察规程》《永久气体气瓶充装规定》等法规和标准，对氧气瓶的设计、制造、检验、充装和使用等都做了科学和明确的规定。</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①使用的氧气瓶必须是国家定点厂家生产的。新瓶必须有合格证和锅炉压力容器安全监察部门出具的检验证书。</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②氧气瓶必须按规定定期检验。超期的气瓶严禁充装。</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③氧气瓶禁止与油脂接触。操作者不能穿有油污过多的工作服，不能用手、油手套和油工具接触氧气瓶及其附件。</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④氧气瓶应远离易燃易爆物品，远离明火与热源，其使用安全距离应在10米以上，与乙炔瓶的距离应不少于3米，并不能同室存放。</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⑤冬季使用氧气瓶，如遇瓶阀或减压器冻结，可用开水或蒸气解冻，禁止明火烘烤。</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⑥氧气瓶内的氧气不应用尽，要求保留0.1MPa以上的余压以防止其它气体倒流进入瓶内。</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⑦与电焊工同在一处作业时，为防止气瓶带电，应在瓶底加绝缘垫。与气瓶接触的管道设备应设接地装置，防止因产生静电而引起火灾和爆炸。在同一场地进行焊接作业时，氧气瓶要保证绝缘，气瓶不可导电。</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⑧安装减压器前，应先开启瓶阀吹掉瓶嘴处污物，开启瓶阀动作要轻缓，人要站在侧后面。</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⑨夏季露天作业和运输时，氧气瓶要遮阳防止曝晒，避免气体膨胀造成超压。</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⑩应随时检查氧气瓶的状态，防震胶圈要完好无损。为保护瓶阀，运输和储存时必须装配瓶帽。</w:t>
            </w:r>
          </w:p>
          <w:p>
            <w:pPr>
              <w:spacing w:line="360" w:lineRule="auto"/>
              <w:ind w:firstLine="480" w:firstLineChars="200"/>
              <w:rPr>
                <w:rFonts w:hint="default" w:ascii="Times New Roman" w:hAnsi="Times New Roman" w:cs="Times New Roman"/>
                <w:sz w:val="24"/>
                <w:szCs w:val="24"/>
                <w:lang w:val="en-US" w:eastAsia="zh-CN"/>
              </w:rPr>
            </w:pPr>
            <w:r>
              <w:rPr>
                <w:rFonts w:hint="eastAsia" w:cs="Times New Roman"/>
                <w:sz w:val="24"/>
                <w:szCs w:val="24"/>
                <w:lang w:val="en-US" w:eastAsia="zh-CN"/>
              </w:rPr>
              <w:t>3</w:t>
            </w:r>
            <w:r>
              <w:rPr>
                <w:rFonts w:hint="default" w:ascii="Times New Roman" w:hAnsi="Times New Roman" w:cs="Times New Roman"/>
                <w:sz w:val="24"/>
                <w:szCs w:val="24"/>
                <w:lang w:val="en-US" w:eastAsia="zh-CN"/>
              </w:rPr>
              <w:t>）预防火灾爆炸事故的基本措施</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预防火灾爆炸事故，必须坚持“预防为主，防消结合”方针，严格控制和管理各种危险物及点火源，消除危险因素。</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①消除导致火灾爆炸事故的物质条件</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a.尽量不使用或少使用可燃物。通过改进生产工艺或者改进技术，以不燃物或者难燃物代替可燃物或者易燃物，以燃爆危险性小的物质代替危险性大的物质，这是防火防爆的一条基本性措施。</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b.生产设备及系统尽量密闭化。已密闭的正压设备或系统要防止泄漏，负压设备及系统要防止空气渗入。</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c.采取通风除尘措施。对于因某些生产系统或设备无法密闭或者无法完全密闭，可能存在可燃气体、蒸气、粉尘的生产场所，要设置通风除尘装置以降低空气中可燃物浓度。</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d.合理选择生产工艺。根据产品原材料火灾危险性质，安排、选用符合安全要求的设备和工艺流程。性质不同但能相互作用的物品应分开存放。</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e.惰性气体保护。在存有可燃物料的系统中加入惰性气体，使可燃物及氧气浓度下降，可以降低或消除燃爆危险性。</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②消除或者控制点火源</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a.防止撞击、摩擦产生火花。在爆炸危险场所应采取相应措施，如严禁穿带钉鞋进入；严禁使用能产生冲击火花的工、器具，而应使用防爆工、器具或者铜制、木制工、器具；机械设备中凡会发生撞击、磨擦的两部分都应采用不同的金属；火炸药工房应铺设不发火地面等。</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b.防止高温表面引起着火。对一些自燃点较低的物质尤其需要注意。为此，高温表面应当有保温或隔热措施；可燃气体排放口应远离高温表面；禁止在高温表面烘烤衣物；注意清除高温表面的油污，以防其受热分解、自燃。</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消除静电。消除静电有两条途径：其一是控制工艺过程，抑制静电产生。应当尽量选用在起电序列中位置相近的物质，但要完全抑制静电的产生是很难的；其二是加速所产生静电的泄放或者中和，限制静电的积累，使之不超过安全限度。为此，在爆炸场所，所有可能发生静电的设备、管道、装置、系统都应当接地。此外，在绝缘材料中添加导电填料；在容易产生静电的物质中加入抗静电剂；增加工作场所空气的湿度；使用静电中和器等，都是防静电的基本措施。</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d.预防雷电火花引发火灾事故。设置避雷装置是防止或减少雷击事故的最基本措施。</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e.防止明火。生产过程中的明火主要是指加热用火、维修用火以及其他火源。加热可燃物时，应避免采用明火，宜使用水蒸汽、热水等间接加热。如果必须使用明火加热，加热设备应当严格密闭。对于维修用火，应当制定严格的管理规定，并严格遵守。此外，要特别注意，在生产场所因烟头、火柴引起的火灾也时有发生，应提起人们的警惕。</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③存储气罐的地方应设有配套的消防设施，醒目地方设置相关警示牌，定期巡检，并且设置巡检记录。</w:t>
            </w:r>
          </w:p>
          <w:p>
            <w:pPr>
              <w:spacing w:line="360" w:lineRule="auto"/>
              <w:ind w:firstLine="482" w:firstLineChars="20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6 、应急事故处理</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根据本项目危险源辨别、项目生产工艺及原辅材料分析，本环境事故包括泄露、火灾爆炸。发生事故时，应立即向发生事故的单位、生产处报警，说明事故发生地点及部位。积极采取一切有效措施，尽量将事故控制在最小程度及范围。</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为应对突发事故，建设单位要配置富有经验的安全工作人员，建立规范的生产安全体制；制定有效处理事故的行动方案或应急预案，建立与消防队、医院充分配合、协调行动机制，并建立应急预案演习制度。</w:t>
            </w:r>
          </w:p>
          <w:p>
            <w:pPr>
              <w:spacing w:line="360" w:lineRule="auto"/>
              <w:ind w:firstLine="482" w:firstLineChars="20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7 、环境风险评价结论</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本项目运营期涉及氧气、</w:t>
            </w:r>
            <w:r>
              <w:rPr>
                <w:rFonts w:hint="eastAsia" w:cs="Times New Roman"/>
                <w:sz w:val="24"/>
                <w:szCs w:val="24"/>
                <w:lang w:val="en-US" w:eastAsia="zh-CN"/>
              </w:rPr>
              <w:t>乙炔</w:t>
            </w:r>
            <w:r>
              <w:rPr>
                <w:rFonts w:hint="default" w:ascii="Times New Roman" w:hAnsi="Times New Roman" w:cs="Times New Roman"/>
                <w:sz w:val="24"/>
                <w:szCs w:val="24"/>
                <w:lang w:val="en-US" w:eastAsia="zh-CN"/>
              </w:rPr>
              <w:t>、矿物油等危险化学品物质，生产过程可能发生泄露、火灾、爆炸等环境风险事故。通过采用较为严格的设计标准，行业设计规范等，同时制定风险应急预案，一旦发生事故将可迅速响应，采取措施将损失降到最小。在认真落实工程拟采取的安全措施及评价所提出的安全设施和安全对策后，工程的风险事故对周围影响是可以接受的。</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本项目环境风险简单分析内容见表7-</w:t>
            </w:r>
            <w:r>
              <w:rPr>
                <w:rFonts w:hint="eastAsia" w:cs="Times New Roman"/>
                <w:sz w:val="24"/>
                <w:szCs w:val="24"/>
                <w:lang w:val="en-US" w:eastAsia="zh-CN"/>
              </w:rPr>
              <w:t>20</w:t>
            </w:r>
            <w:r>
              <w:rPr>
                <w:rFonts w:hint="default" w:ascii="Times New Roman" w:hAnsi="Times New Roman" w:cs="Times New Roman"/>
                <w:sz w:val="24"/>
                <w:szCs w:val="24"/>
                <w:lang w:val="en-US" w:eastAsia="zh-CN"/>
              </w:rPr>
              <w:t>。</w:t>
            </w:r>
          </w:p>
          <w:p>
            <w:pPr>
              <w:pStyle w:val="119"/>
              <w:spacing w:after="0" w:line="240" w:lineRule="auto"/>
              <w:ind w:firstLine="422"/>
              <w:jc w:val="center"/>
              <w:rPr>
                <w:rFonts w:ascii="Times New Roman" w:hAnsi="Times New Roman"/>
                <w:b/>
                <w:kern w:val="0"/>
                <w:sz w:val="21"/>
                <w:szCs w:val="21"/>
              </w:rPr>
            </w:pPr>
            <w:r>
              <w:rPr>
                <w:rFonts w:ascii="Times New Roman" w:hAnsi="Times New Roman"/>
                <w:b/>
                <w:kern w:val="0"/>
                <w:sz w:val="21"/>
                <w:szCs w:val="21"/>
              </w:rPr>
              <w:t>表7-</w:t>
            </w:r>
            <w:r>
              <w:rPr>
                <w:rFonts w:hint="eastAsia" w:ascii="Times New Roman" w:hAnsi="Times New Roman"/>
                <w:b/>
                <w:kern w:val="0"/>
                <w:sz w:val="21"/>
                <w:szCs w:val="21"/>
                <w:lang w:val="en-US" w:eastAsia="zh-CN"/>
              </w:rPr>
              <w:t>20</w:t>
            </w:r>
            <w:r>
              <w:rPr>
                <w:rFonts w:ascii="Times New Roman" w:hAnsi="Times New Roman"/>
                <w:b/>
                <w:kern w:val="0"/>
                <w:sz w:val="21"/>
                <w:szCs w:val="21"/>
              </w:rPr>
              <w:t>建设项目环境风险简单分析内容表</w:t>
            </w:r>
          </w:p>
          <w:tbl>
            <w:tblPr>
              <w:tblStyle w:val="38"/>
              <w:tblW w:w="0" w:type="auto"/>
              <w:tblInd w:w="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303"/>
              <w:gridCol w:w="1642"/>
              <w:gridCol w:w="2191"/>
              <w:gridCol w:w="1311"/>
              <w:gridCol w:w="174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04" w:type="dxa"/>
                  <w:tcBorders>
                    <w:tl2br w:val="nil"/>
                    <w:tr2bl w:val="nil"/>
                  </w:tcBorders>
                  <w:vAlign w:val="center"/>
                </w:tcPr>
                <w:p>
                  <w:pPr>
                    <w:pStyle w:val="119"/>
                    <w:spacing w:after="0" w:line="240" w:lineRule="auto"/>
                    <w:ind w:firstLine="0" w:firstLineChars="0"/>
                    <w:jc w:val="center"/>
                    <w:rPr>
                      <w:rFonts w:ascii="Times New Roman" w:hAnsi="Times New Roman"/>
                      <w:kern w:val="0"/>
                      <w:sz w:val="21"/>
                      <w:szCs w:val="21"/>
                    </w:rPr>
                  </w:pPr>
                  <w:r>
                    <w:rPr>
                      <w:rFonts w:ascii="Times New Roman" w:hAnsi="Times New Roman"/>
                      <w:kern w:val="0"/>
                      <w:sz w:val="21"/>
                      <w:szCs w:val="21"/>
                    </w:rPr>
                    <w:t>建设项目名称</w:t>
                  </w:r>
                </w:p>
              </w:tc>
              <w:tc>
                <w:tcPr>
                  <w:tcW w:w="7321" w:type="dxa"/>
                  <w:gridSpan w:val="4"/>
                  <w:tcBorders>
                    <w:tl2br w:val="nil"/>
                    <w:tr2bl w:val="nil"/>
                  </w:tcBorders>
                  <w:vAlign w:val="center"/>
                </w:tcPr>
                <w:p>
                  <w:pPr>
                    <w:pStyle w:val="119"/>
                    <w:tabs>
                      <w:tab w:val="left" w:pos="1182"/>
                    </w:tabs>
                    <w:spacing w:line="240" w:lineRule="auto"/>
                    <w:ind w:firstLine="0" w:firstLineChars="0"/>
                    <w:rPr>
                      <w:rFonts w:ascii="Times New Roman" w:hAnsi="Times New Roman"/>
                      <w:kern w:val="0"/>
                      <w:sz w:val="21"/>
                      <w:szCs w:val="21"/>
                    </w:rPr>
                  </w:pPr>
                  <w:r>
                    <w:rPr>
                      <w:rFonts w:hint="eastAsia"/>
                      <w:color w:val="auto"/>
                      <w:sz w:val="24"/>
                      <w:szCs w:val="24"/>
                      <w:lang w:val="en-US" w:eastAsia="zh-CN"/>
                    </w:rPr>
                    <w:t>昆明银华工贸有限公司路桥分公司装配式钢结构项目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04" w:type="dxa"/>
                  <w:tcBorders>
                    <w:tl2br w:val="nil"/>
                    <w:tr2bl w:val="nil"/>
                  </w:tcBorders>
                  <w:vAlign w:val="center"/>
                </w:tcPr>
                <w:p>
                  <w:pPr>
                    <w:pStyle w:val="119"/>
                    <w:spacing w:line="240" w:lineRule="auto"/>
                    <w:ind w:firstLine="0" w:firstLineChars="0"/>
                    <w:jc w:val="center"/>
                    <w:rPr>
                      <w:rFonts w:ascii="Times New Roman" w:hAnsi="Times New Roman"/>
                      <w:kern w:val="0"/>
                      <w:sz w:val="21"/>
                      <w:szCs w:val="21"/>
                    </w:rPr>
                  </w:pPr>
                  <w:r>
                    <w:rPr>
                      <w:rFonts w:ascii="Times New Roman" w:hAnsi="Times New Roman"/>
                      <w:kern w:val="0"/>
                      <w:sz w:val="21"/>
                      <w:szCs w:val="21"/>
                    </w:rPr>
                    <w:t>建设地点</w:t>
                  </w:r>
                </w:p>
              </w:tc>
              <w:tc>
                <w:tcPr>
                  <w:tcW w:w="7321" w:type="dxa"/>
                  <w:gridSpan w:val="4"/>
                  <w:tcBorders>
                    <w:tl2br w:val="nil"/>
                    <w:tr2bl w:val="nil"/>
                  </w:tcBorders>
                  <w:vAlign w:val="center"/>
                </w:tcPr>
                <w:p>
                  <w:pPr>
                    <w:pStyle w:val="119"/>
                    <w:spacing w:line="240" w:lineRule="auto"/>
                    <w:ind w:firstLine="0" w:firstLineChars="0"/>
                    <w:rPr>
                      <w:rFonts w:hint="eastAsia" w:ascii="Times New Roman" w:hAnsi="Times New Roman" w:eastAsia="宋体"/>
                      <w:kern w:val="0"/>
                      <w:sz w:val="21"/>
                      <w:szCs w:val="21"/>
                      <w:lang w:eastAsia="zh-CN"/>
                    </w:rPr>
                  </w:pPr>
                  <w:r>
                    <w:rPr>
                      <w:sz w:val="21"/>
                      <w:szCs w:val="21"/>
                    </w:rPr>
                    <w:t>富民县工业园</w:t>
                  </w:r>
                  <w:r>
                    <w:rPr>
                      <w:rFonts w:hint="eastAsia"/>
                      <w:sz w:val="21"/>
                      <w:szCs w:val="21"/>
                    </w:rPr>
                    <w:t>区</w:t>
                  </w:r>
                  <w:r>
                    <w:rPr>
                      <w:sz w:val="21"/>
                      <w:szCs w:val="21"/>
                    </w:rPr>
                    <w:t>哨菁</w:t>
                  </w:r>
                  <w:r>
                    <w:rPr>
                      <w:rFonts w:hint="eastAsia"/>
                      <w:sz w:val="21"/>
                      <w:szCs w:val="21"/>
                      <w:lang w:eastAsia="zh-CN"/>
                    </w:rPr>
                    <w:t>片区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04" w:type="dxa"/>
                  <w:tcBorders>
                    <w:tl2br w:val="nil"/>
                    <w:tr2bl w:val="nil"/>
                  </w:tcBorders>
                  <w:vAlign w:val="center"/>
                </w:tcPr>
                <w:p>
                  <w:pPr>
                    <w:pStyle w:val="119"/>
                    <w:spacing w:line="240" w:lineRule="auto"/>
                    <w:ind w:firstLine="0" w:firstLineChars="0"/>
                    <w:jc w:val="center"/>
                    <w:rPr>
                      <w:rFonts w:ascii="Times New Roman" w:hAnsi="Times New Roman"/>
                      <w:kern w:val="0"/>
                      <w:sz w:val="21"/>
                      <w:szCs w:val="21"/>
                    </w:rPr>
                  </w:pPr>
                  <w:r>
                    <w:rPr>
                      <w:rFonts w:ascii="Times New Roman" w:hAnsi="Times New Roman"/>
                      <w:kern w:val="0"/>
                      <w:sz w:val="21"/>
                      <w:szCs w:val="21"/>
                    </w:rPr>
                    <w:t>地理坐标</w:t>
                  </w:r>
                </w:p>
              </w:tc>
              <w:tc>
                <w:tcPr>
                  <w:tcW w:w="1919" w:type="dxa"/>
                  <w:tcBorders>
                    <w:tl2br w:val="nil"/>
                    <w:tr2bl w:val="nil"/>
                  </w:tcBorders>
                  <w:vAlign w:val="center"/>
                </w:tcPr>
                <w:p>
                  <w:pPr>
                    <w:pStyle w:val="119"/>
                    <w:spacing w:line="240" w:lineRule="auto"/>
                    <w:ind w:firstLine="0" w:firstLineChars="0"/>
                    <w:rPr>
                      <w:rFonts w:ascii="Times New Roman" w:hAnsi="Times New Roman"/>
                      <w:kern w:val="0"/>
                      <w:sz w:val="21"/>
                      <w:szCs w:val="21"/>
                    </w:rPr>
                  </w:pPr>
                  <w:r>
                    <w:rPr>
                      <w:rFonts w:ascii="Times New Roman" w:hAnsi="Times New Roman"/>
                      <w:kern w:val="0"/>
                      <w:sz w:val="21"/>
                      <w:szCs w:val="21"/>
                    </w:rPr>
                    <w:t>经度</w:t>
                  </w:r>
                </w:p>
              </w:tc>
              <w:tc>
                <w:tcPr>
                  <w:tcW w:w="2268" w:type="dxa"/>
                  <w:tcBorders>
                    <w:tl2br w:val="nil"/>
                    <w:tr2bl w:val="nil"/>
                  </w:tcBorders>
                  <w:vAlign w:val="center"/>
                </w:tcPr>
                <w:p>
                  <w:pPr>
                    <w:pStyle w:val="119"/>
                    <w:spacing w:line="240" w:lineRule="auto"/>
                    <w:ind w:firstLine="420"/>
                    <w:rPr>
                      <w:rFonts w:ascii="Times New Roman" w:hAnsi="Times New Roman"/>
                      <w:kern w:val="0"/>
                      <w:sz w:val="21"/>
                      <w:szCs w:val="21"/>
                    </w:rPr>
                  </w:pPr>
                  <w:r>
                    <w:rPr>
                      <w:rFonts w:ascii="Times New Roman" w:hAnsi="Times New Roman"/>
                      <w:kern w:val="0"/>
                      <w:sz w:val="21"/>
                      <w:szCs w:val="21"/>
                    </w:rPr>
                    <w:t>10</w:t>
                  </w:r>
                  <w:r>
                    <w:rPr>
                      <w:rFonts w:hint="eastAsia" w:ascii="Times New Roman" w:hAnsi="Times New Roman"/>
                      <w:kern w:val="0"/>
                      <w:sz w:val="21"/>
                      <w:szCs w:val="21"/>
                      <w:lang w:val="en-US" w:eastAsia="zh-CN"/>
                    </w:rPr>
                    <w:t>2</w:t>
                  </w:r>
                  <w:r>
                    <w:rPr>
                      <w:rFonts w:ascii="Times New Roman" w:hAnsi="Times New Roman"/>
                      <w:kern w:val="0"/>
                      <w:sz w:val="21"/>
                      <w:szCs w:val="21"/>
                    </w:rPr>
                    <w:t>°</w:t>
                  </w:r>
                  <w:r>
                    <w:rPr>
                      <w:rFonts w:hint="eastAsia" w:ascii="Times New Roman" w:hAnsi="Times New Roman"/>
                      <w:kern w:val="0"/>
                      <w:sz w:val="21"/>
                      <w:szCs w:val="21"/>
                      <w:lang w:val="en-US" w:eastAsia="zh-CN"/>
                    </w:rPr>
                    <w:t>27</w:t>
                  </w:r>
                  <w:r>
                    <w:rPr>
                      <w:rFonts w:ascii="Times New Roman" w:hAnsi="Times New Roman"/>
                      <w:kern w:val="0"/>
                      <w:sz w:val="21"/>
                      <w:szCs w:val="21"/>
                    </w:rPr>
                    <w:t>′</w:t>
                  </w:r>
                  <w:r>
                    <w:rPr>
                      <w:rFonts w:hint="eastAsia" w:ascii="Times New Roman" w:hAnsi="Times New Roman"/>
                      <w:kern w:val="0"/>
                      <w:sz w:val="21"/>
                      <w:szCs w:val="21"/>
                      <w:lang w:val="en-US" w:eastAsia="zh-CN"/>
                    </w:rPr>
                    <w:t>53.11</w:t>
                  </w:r>
                  <w:r>
                    <w:rPr>
                      <w:rFonts w:ascii="Times New Roman" w:hAnsi="Times New Roman"/>
                      <w:kern w:val="0"/>
                      <w:sz w:val="21"/>
                      <w:szCs w:val="21"/>
                    </w:rPr>
                    <w:t>″</w:t>
                  </w:r>
                </w:p>
              </w:tc>
              <w:tc>
                <w:tcPr>
                  <w:tcW w:w="1417" w:type="dxa"/>
                  <w:tcBorders>
                    <w:tl2br w:val="nil"/>
                    <w:tr2bl w:val="nil"/>
                  </w:tcBorders>
                  <w:vAlign w:val="center"/>
                </w:tcPr>
                <w:p>
                  <w:pPr>
                    <w:pStyle w:val="119"/>
                    <w:spacing w:line="240" w:lineRule="auto"/>
                    <w:ind w:firstLine="420"/>
                    <w:rPr>
                      <w:rFonts w:ascii="Times New Roman" w:hAnsi="Times New Roman"/>
                      <w:kern w:val="0"/>
                      <w:sz w:val="21"/>
                      <w:szCs w:val="21"/>
                    </w:rPr>
                  </w:pPr>
                  <w:r>
                    <w:rPr>
                      <w:rFonts w:ascii="Times New Roman" w:hAnsi="Times New Roman"/>
                      <w:kern w:val="0"/>
                      <w:sz w:val="21"/>
                      <w:szCs w:val="21"/>
                    </w:rPr>
                    <w:t>纬度</w:t>
                  </w:r>
                </w:p>
              </w:tc>
              <w:tc>
                <w:tcPr>
                  <w:tcW w:w="1717" w:type="dxa"/>
                  <w:tcBorders>
                    <w:tl2br w:val="nil"/>
                    <w:tr2bl w:val="nil"/>
                  </w:tcBorders>
                  <w:vAlign w:val="center"/>
                </w:tcPr>
                <w:p>
                  <w:pPr>
                    <w:pStyle w:val="119"/>
                    <w:spacing w:line="240" w:lineRule="auto"/>
                    <w:ind w:firstLine="420"/>
                    <w:rPr>
                      <w:rFonts w:ascii="Times New Roman" w:hAnsi="Times New Roman"/>
                      <w:kern w:val="0"/>
                      <w:sz w:val="21"/>
                      <w:szCs w:val="21"/>
                    </w:rPr>
                  </w:pPr>
                  <w:r>
                    <w:rPr>
                      <w:rFonts w:ascii="Times New Roman" w:hAnsi="Times New Roman"/>
                      <w:kern w:val="0"/>
                      <w:sz w:val="21"/>
                      <w:szCs w:val="21"/>
                    </w:rPr>
                    <w:t>2</w:t>
                  </w:r>
                  <w:r>
                    <w:rPr>
                      <w:rFonts w:hint="eastAsia" w:ascii="Times New Roman" w:hAnsi="Times New Roman"/>
                      <w:kern w:val="0"/>
                      <w:sz w:val="21"/>
                      <w:szCs w:val="21"/>
                      <w:lang w:val="en-US" w:eastAsia="zh-CN"/>
                    </w:rPr>
                    <w:t>5</w:t>
                  </w:r>
                  <w:r>
                    <w:rPr>
                      <w:rFonts w:ascii="Times New Roman" w:hAnsi="Times New Roman"/>
                      <w:kern w:val="0"/>
                      <w:sz w:val="21"/>
                      <w:szCs w:val="21"/>
                    </w:rPr>
                    <w:t>°</w:t>
                  </w:r>
                  <w:r>
                    <w:rPr>
                      <w:rFonts w:hint="eastAsia" w:ascii="Times New Roman" w:hAnsi="Times New Roman"/>
                      <w:kern w:val="0"/>
                      <w:sz w:val="21"/>
                      <w:szCs w:val="21"/>
                      <w:lang w:val="en-US" w:eastAsia="zh-CN"/>
                    </w:rPr>
                    <w:t>15</w:t>
                  </w:r>
                  <w:r>
                    <w:rPr>
                      <w:rFonts w:ascii="Times New Roman" w:hAnsi="Times New Roman"/>
                      <w:kern w:val="0"/>
                      <w:sz w:val="21"/>
                      <w:szCs w:val="21"/>
                    </w:rPr>
                    <w:t>′</w:t>
                  </w:r>
                  <w:r>
                    <w:rPr>
                      <w:rFonts w:hint="eastAsia" w:ascii="Times New Roman" w:hAnsi="Times New Roman"/>
                      <w:kern w:val="0"/>
                      <w:sz w:val="21"/>
                      <w:szCs w:val="21"/>
                      <w:lang w:val="en-US" w:eastAsia="zh-CN"/>
                    </w:rPr>
                    <w:t>53.82</w:t>
                  </w:r>
                  <w:r>
                    <w:rPr>
                      <w:rFonts w:ascii="Times New Roman" w:hAnsi="Times New Roman"/>
                      <w:kern w:val="0"/>
                      <w:sz w:val="21"/>
                      <w:szCs w:val="2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04" w:type="dxa"/>
                  <w:tcBorders>
                    <w:tl2br w:val="nil"/>
                    <w:tr2bl w:val="nil"/>
                  </w:tcBorders>
                  <w:vAlign w:val="center"/>
                </w:tcPr>
                <w:p>
                  <w:pPr>
                    <w:pStyle w:val="119"/>
                    <w:spacing w:line="240" w:lineRule="auto"/>
                    <w:ind w:firstLine="0" w:firstLineChars="0"/>
                    <w:jc w:val="center"/>
                    <w:rPr>
                      <w:rFonts w:ascii="Times New Roman" w:hAnsi="Times New Roman"/>
                      <w:kern w:val="0"/>
                      <w:sz w:val="21"/>
                      <w:szCs w:val="21"/>
                    </w:rPr>
                  </w:pPr>
                  <w:r>
                    <w:rPr>
                      <w:rFonts w:ascii="Times New Roman" w:hAnsi="Times New Roman"/>
                      <w:kern w:val="0"/>
                      <w:sz w:val="21"/>
                      <w:szCs w:val="21"/>
                    </w:rPr>
                    <w:t>主要危险物质及分布</w:t>
                  </w:r>
                </w:p>
              </w:tc>
              <w:tc>
                <w:tcPr>
                  <w:tcW w:w="7321" w:type="dxa"/>
                  <w:gridSpan w:val="4"/>
                  <w:tcBorders>
                    <w:tl2br w:val="nil"/>
                    <w:tr2bl w:val="nil"/>
                  </w:tcBorders>
                  <w:vAlign w:val="center"/>
                </w:tcPr>
                <w:p>
                  <w:pPr>
                    <w:pStyle w:val="119"/>
                    <w:spacing w:line="240" w:lineRule="auto"/>
                    <w:ind w:firstLine="0" w:firstLineChars="0"/>
                    <w:rPr>
                      <w:rFonts w:ascii="Times New Roman" w:hAnsi="Times New Roman"/>
                      <w:kern w:val="0"/>
                      <w:sz w:val="21"/>
                      <w:szCs w:val="21"/>
                    </w:rPr>
                  </w:pPr>
                  <w:r>
                    <w:rPr>
                      <w:rFonts w:ascii="Times New Roman" w:hAnsi="Times New Roman"/>
                      <w:kern w:val="0"/>
                      <w:sz w:val="21"/>
                      <w:szCs w:val="21"/>
                    </w:rPr>
                    <w:t>本项目主要危险物质为</w:t>
                  </w:r>
                  <w:r>
                    <w:rPr>
                      <w:rFonts w:hint="eastAsia" w:ascii="Times New Roman" w:hAnsi="Times New Roman"/>
                      <w:kern w:val="0"/>
                      <w:sz w:val="21"/>
                      <w:szCs w:val="21"/>
                    </w:rPr>
                    <w:t>乙炔及废机油</w:t>
                  </w:r>
                  <w:r>
                    <w:rPr>
                      <w:rFonts w:ascii="Times New Roman" w:hAnsi="Times New Roman"/>
                      <w:kern w:val="0"/>
                      <w:sz w:val="21"/>
                      <w:szCs w:val="21"/>
                    </w:rPr>
                    <w:t>，</w:t>
                  </w:r>
                  <w:r>
                    <w:rPr>
                      <w:rFonts w:hint="eastAsia" w:ascii="Times New Roman" w:hAnsi="Times New Roman"/>
                      <w:kern w:val="0"/>
                      <w:sz w:val="21"/>
                      <w:szCs w:val="21"/>
                    </w:rPr>
                    <w:t>乙炔储存</w:t>
                  </w:r>
                  <w:r>
                    <w:rPr>
                      <w:rFonts w:ascii="Times New Roman" w:hAnsi="Times New Roman"/>
                      <w:kern w:val="0"/>
                      <w:sz w:val="21"/>
                      <w:szCs w:val="21"/>
                    </w:rPr>
                    <w:t>量约为</w:t>
                  </w:r>
                  <w:r>
                    <w:rPr>
                      <w:rFonts w:hint="eastAsia" w:ascii="Times New Roman" w:hAnsi="Times New Roman"/>
                      <w:kern w:val="0"/>
                      <w:sz w:val="21"/>
                      <w:szCs w:val="21"/>
                    </w:rPr>
                    <w:t>0.</w:t>
                  </w:r>
                  <w:r>
                    <w:rPr>
                      <w:rFonts w:hint="eastAsia" w:ascii="Times New Roman" w:hAnsi="Times New Roman"/>
                      <w:kern w:val="0"/>
                      <w:sz w:val="21"/>
                      <w:szCs w:val="21"/>
                      <w:lang w:val="en-US" w:eastAsia="zh-CN"/>
                    </w:rPr>
                    <w:t>3</w:t>
                  </w:r>
                  <w:r>
                    <w:rPr>
                      <w:rFonts w:hint="eastAsia" w:ascii="Times New Roman" w:hAnsi="Times New Roman"/>
                      <w:kern w:val="0"/>
                      <w:sz w:val="21"/>
                      <w:szCs w:val="21"/>
                    </w:rPr>
                    <w:t>t</w:t>
                  </w:r>
                  <w:r>
                    <w:rPr>
                      <w:rFonts w:ascii="Times New Roman" w:hAnsi="Times New Roman"/>
                      <w:kern w:val="0"/>
                      <w:sz w:val="21"/>
                      <w:szCs w:val="21"/>
                    </w:rPr>
                    <w:t>，存放于厂区的</w:t>
                  </w:r>
                  <w:r>
                    <w:rPr>
                      <w:rFonts w:hint="eastAsia" w:ascii="Times New Roman" w:hAnsi="Times New Roman"/>
                      <w:kern w:val="0"/>
                      <w:sz w:val="21"/>
                      <w:szCs w:val="21"/>
                    </w:rPr>
                    <w:t>生产车间内，储存方式为瓶装，废机油储存</w:t>
                  </w:r>
                  <w:r>
                    <w:rPr>
                      <w:rFonts w:ascii="Times New Roman" w:hAnsi="Times New Roman"/>
                      <w:kern w:val="0"/>
                      <w:sz w:val="21"/>
                      <w:szCs w:val="21"/>
                    </w:rPr>
                    <w:t>量约为</w:t>
                  </w:r>
                  <w:r>
                    <w:rPr>
                      <w:rFonts w:hint="eastAsia" w:ascii="Times New Roman" w:hAnsi="Times New Roman"/>
                      <w:kern w:val="0"/>
                      <w:sz w:val="21"/>
                      <w:szCs w:val="21"/>
                    </w:rPr>
                    <w:t>0.</w:t>
                  </w:r>
                  <w:r>
                    <w:rPr>
                      <w:rFonts w:hint="eastAsia" w:ascii="Times New Roman" w:hAnsi="Times New Roman"/>
                      <w:kern w:val="0"/>
                      <w:sz w:val="21"/>
                      <w:szCs w:val="21"/>
                      <w:lang w:val="en-US" w:eastAsia="zh-CN"/>
                    </w:rPr>
                    <w:t>2</w:t>
                  </w:r>
                  <w:r>
                    <w:rPr>
                      <w:rFonts w:hint="eastAsia" w:ascii="Times New Roman" w:hAnsi="Times New Roman"/>
                      <w:kern w:val="0"/>
                      <w:sz w:val="21"/>
                      <w:szCs w:val="21"/>
                    </w:rPr>
                    <w:t>t</w:t>
                  </w:r>
                  <w:r>
                    <w:rPr>
                      <w:rFonts w:ascii="Times New Roman" w:hAnsi="Times New Roman"/>
                      <w:kern w:val="0"/>
                      <w:sz w:val="21"/>
                      <w:szCs w:val="21"/>
                    </w:rPr>
                    <w:t>，存放于厂区的</w:t>
                  </w:r>
                  <w:r>
                    <w:rPr>
                      <w:rFonts w:hint="eastAsia" w:ascii="Times New Roman" w:hAnsi="Times New Roman"/>
                      <w:kern w:val="0"/>
                      <w:sz w:val="21"/>
                      <w:szCs w:val="21"/>
                    </w:rPr>
                    <w:t>危废暂存间内，储存方式为桶装。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04" w:type="dxa"/>
                  <w:tcBorders>
                    <w:tl2br w:val="nil"/>
                    <w:tr2bl w:val="nil"/>
                  </w:tcBorders>
                  <w:vAlign w:val="center"/>
                </w:tcPr>
                <w:p>
                  <w:pPr>
                    <w:pStyle w:val="119"/>
                    <w:spacing w:line="240" w:lineRule="auto"/>
                    <w:ind w:firstLine="0" w:firstLineChars="0"/>
                    <w:rPr>
                      <w:rFonts w:ascii="Times New Roman" w:hAnsi="Times New Roman"/>
                      <w:kern w:val="0"/>
                      <w:sz w:val="21"/>
                      <w:szCs w:val="21"/>
                    </w:rPr>
                  </w:pPr>
                  <w:r>
                    <w:rPr>
                      <w:rFonts w:ascii="Times New Roman" w:hAnsi="Times New Roman"/>
                      <w:kern w:val="0"/>
                      <w:sz w:val="21"/>
                      <w:szCs w:val="21"/>
                    </w:rPr>
                    <w:t>环境影响途径及危害后果</w:t>
                  </w:r>
                </w:p>
              </w:tc>
              <w:tc>
                <w:tcPr>
                  <w:tcW w:w="7321" w:type="dxa"/>
                  <w:gridSpan w:val="4"/>
                  <w:tcBorders>
                    <w:tl2br w:val="nil"/>
                    <w:tr2bl w:val="nil"/>
                  </w:tcBorders>
                  <w:vAlign w:val="center"/>
                </w:tcPr>
                <w:p>
                  <w:pPr>
                    <w:pStyle w:val="119"/>
                    <w:spacing w:line="240" w:lineRule="auto"/>
                    <w:ind w:firstLine="0" w:firstLineChars="0"/>
                    <w:rPr>
                      <w:rFonts w:ascii="Times New Roman" w:hAnsi="Times New Roman"/>
                      <w:kern w:val="0"/>
                      <w:sz w:val="21"/>
                      <w:szCs w:val="21"/>
                    </w:rPr>
                  </w:pPr>
                  <w:r>
                    <w:rPr>
                      <w:rFonts w:ascii="Times New Roman" w:hAnsi="Times New Roman"/>
                      <w:kern w:val="0"/>
                      <w:sz w:val="21"/>
                      <w:szCs w:val="21"/>
                    </w:rPr>
                    <w:t>对建设项目来说，若发生泄露事故，易造成生命财产损失，同时</w:t>
                  </w:r>
                  <w:r>
                    <w:rPr>
                      <w:rFonts w:hint="eastAsia" w:ascii="Times New Roman" w:hAnsi="Times New Roman"/>
                      <w:kern w:val="0"/>
                      <w:sz w:val="21"/>
                      <w:szCs w:val="21"/>
                    </w:rPr>
                    <w:t>风险</w:t>
                  </w:r>
                  <w:r>
                    <w:rPr>
                      <w:rFonts w:ascii="Times New Roman" w:hAnsi="Times New Roman"/>
                      <w:kern w:val="0"/>
                      <w:sz w:val="21"/>
                      <w:szCs w:val="21"/>
                    </w:rPr>
                    <w:t>物质经过泄露后将对环境空气</w:t>
                  </w:r>
                  <w:r>
                    <w:rPr>
                      <w:rFonts w:hint="eastAsia" w:ascii="Times New Roman" w:hAnsi="Times New Roman"/>
                      <w:kern w:val="0"/>
                      <w:sz w:val="21"/>
                      <w:szCs w:val="21"/>
                    </w:rPr>
                    <w:t>人群</w:t>
                  </w:r>
                  <w:r>
                    <w:rPr>
                      <w:rFonts w:ascii="Times New Roman" w:hAnsi="Times New Roman"/>
                      <w:kern w:val="0"/>
                      <w:sz w:val="21"/>
                      <w:szCs w:val="21"/>
                    </w:rPr>
                    <w:t>造成</w:t>
                  </w:r>
                  <w:r>
                    <w:rPr>
                      <w:rFonts w:hint="eastAsia" w:ascii="Times New Roman" w:hAnsi="Times New Roman"/>
                      <w:kern w:val="0"/>
                      <w:sz w:val="21"/>
                      <w:szCs w:val="21"/>
                    </w:rPr>
                    <w:t>影响</w:t>
                  </w:r>
                  <w:r>
                    <w:rPr>
                      <w:rFonts w:ascii="Times New Roman" w:hAnsi="Times New Roman"/>
                      <w:kern w:val="0"/>
                      <w:sz w:val="21"/>
                      <w:szCs w:val="21"/>
                    </w:rPr>
                    <w:t>，</w:t>
                  </w:r>
                  <w:r>
                    <w:rPr>
                      <w:rFonts w:hint="eastAsia" w:ascii="Times New Roman" w:hAnsi="Times New Roman"/>
                      <w:kern w:val="0"/>
                      <w:sz w:val="21"/>
                      <w:szCs w:val="21"/>
                    </w:rPr>
                    <w:t>泄露的乙炔遇明火会造成火灾事故。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04" w:type="dxa"/>
                  <w:tcBorders>
                    <w:tl2br w:val="nil"/>
                    <w:tr2bl w:val="nil"/>
                  </w:tcBorders>
                  <w:vAlign w:val="center"/>
                </w:tcPr>
                <w:p>
                  <w:pPr>
                    <w:pStyle w:val="119"/>
                    <w:spacing w:line="240" w:lineRule="auto"/>
                    <w:ind w:firstLine="0" w:firstLineChars="0"/>
                    <w:rPr>
                      <w:rFonts w:ascii="Times New Roman" w:hAnsi="Times New Roman"/>
                      <w:kern w:val="0"/>
                      <w:sz w:val="21"/>
                      <w:szCs w:val="21"/>
                    </w:rPr>
                  </w:pPr>
                  <w:r>
                    <w:rPr>
                      <w:rFonts w:ascii="Times New Roman" w:hAnsi="Times New Roman"/>
                      <w:kern w:val="0"/>
                      <w:sz w:val="21"/>
                      <w:szCs w:val="21"/>
                    </w:rPr>
                    <w:t>风险防范措施及要求</w:t>
                  </w:r>
                </w:p>
              </w:tc>
              <w:tc>
                <w:tcPr>
                  <w:tcW w:w="7321" w:type="dxa"/>
                  <w:gridSpan w:val="4"/>
                  <w:tcBorders>
                    <w:tl2br w:val="nil"/>
                    <w:tr2bl w:val="nil"/>
                  </w:tcBorders>
                  <w:vAlign w:val="center"/>
                </w:tcPr>
                <w:p>
                  <w:pPr>
                    <w:pStyle w:val="119"/>
                    <w:spacing w:line="240" w:lineRule="auto"/>
                    <w:ind w:firstLine="420"/>
                    <w:rPr>
                      <w:rFonts w:ascii="Times New Roman" w:hAnsi="Times New Roman"/>
                      <w:kern w:val="0"/>
                      <w:sz w:val="21"/>
                      <w:szCs w:val="21"/>
                    </w:rPr>
                  </w:pPr>
                  <w:r>
                    <w:rPr>
                      <w:rFonts w:ascii="Times New Roman" w:hAnsi="Times New Roman"/>
                      <w:kern w:val="0"/>
                      <w:sz w:val="21"/>
                      <w:szCs w:val="21"/>
                    </w:rPr>
                    <w:fldChar w:fldCharType="begin"/>
                  </w:r>
                  <w:r>
                    <w:rPr>
                      <w:rFonts w:ascii="Times New Roman" w:hAnsi="Times New Roman"/>
                      <w:kern w:val="0"/>
                      <w:sz w:val="21"/>
                      <w:szCs w:val="21"/>
                    </w:rPr>
                    <w:instrText xml:space="preserve"> = 1 \* GB3 </w:instrText>
                  </w:r>
                  <w:r>
                    <w:rPr>
                      <w:rFonts w:ascii="Times New Roman" w:hAnsi="Times New Roman"/>
                      <w:kern w:val="0"/>
                      <w:sz w:val="21"/>
                      <w:szCs w:val="21"/>
                    </w:rPr>
                    <w:fldChar w:fldCharType="separate"/>
                  </w:r>
                  <w:r>
                    <w:rPr>
                      <w:rFonts w:hint="eastAsia" w:ascii="宋体" w:hAnsi="宋体" w:cs="宋体"/>
                      <w:kern w:val="0"/>
                      <w:sz w:val="21"/>
                      <w:szCs w:val="21"/>
                    </w:rPr>
                    <w:t>①</w:t>
                  </w:r>
                  <w:r>
                    <w:rPr>
                      <w:rFonts w:ascii="Times New Roman" w:hAnsi="Times New Roman"/>
                      <w:kern w:val="0"/>
                      <w:sz w:val="21"/>
                      <w:szCs w:val="21"/>
                    </w:rPr>
                    <w:fldChar w:fldCharType="end"/>
                  </w:r>
                  <w:r>
                    <w:rPr>
                      <w:rFonts w:hint="eastAsia" w:ascii="Times New Roman" w:hAnsi="Times New Roman"/>
                      <w:kern w:val="0"/>
                      <w:sz w:val="21"/>
                      <w:szCs w:val="21"/>
                    </w:rPr>
                    <w:t>定期对厂区内的气瓶储存区进行检查并做好记录。</w:t>
                  </w:r>
                </w:p>
                <w:p>
                  <w:pPr>
                    <w:pStyle w:val="119"/>
                    <w:spacing w:line="240" w:lineRule="auto"/>
                    <w:ind w:firstLine="420"/>
                    <w:rPr>
                      <w:rFonts w:ascii="Times New Roman" w:hAnsi="Times New Roman"/>
                      <w:kern w:val="0"/>
                      <w:sz w:val="21"/>
                      <w:szCs w:val="21"/>
                    </w:rPr>
                  </w:pPr>
                  <w:r>
                    <w:rPr>
                      <w:rFonts w:ascii="Times New Roman" w:hAnsi="Times New Roman"/>
                      <w:kern w:val="0"/>
                      <w:sz w:val="21"/>
                      <w:szCs w:val="21"/>
                    </w:rPr>
                    <w:fldChar w:fldCharType="begin"/>
                  </w:r>
                  <w:r>
                    <w:rPr>
                      <w:rFonts w:ascii="Times New Roman" w:hAnsi="Times New Roman"/>
                      <w:kern w:val="0"/>
                      <w:sz w:val="21"/>
                      <w:szCs w:val="21"/>
                    </w:rPr>
                    <w:instrText xml:space="preserve"> = 2 \* GB3 </w:instrText>
                  </w:r>
                  <w:r>
                    <w:rPr>
                      <w:rFonts w:ascii="Times New Roman" w:hAnsi="Times New Roman"/>
                      <w:kern w:val="0"/>
                      <w:sz w:val="21"/>
                      <w:szCs w:val="21"/>
                    </w:rPr>
                    <w:fldChar w:fldCharType="separate"/>
                  </w:r>
                  <w:r>
                    <w:rPr>
                      <w:rFonts w:hint="eastAsia" w:ascii="宋体" w:hAnsi="宋体" w:cs="宋体"/>
                      <w:kern w:val="0"/>
                      <w:sz w:val="21"/>
                      <w:szCs w:val="21"/>
                    </w:rPr>
                    <w:t>②</w:t>
                  </w:r>
                  <w:r>
                    <w:rPr>
                      <w:rFonts w:ascii="Times New Roman" w:hAnsi="Times New Roman"/>
                      <w:kern w:val="0"/>
                      <w:sz w:val="21"/>
                      <w:szCs w:val="21"/>
                    </w:rPr>
                    <w:fldChar w:fldCharType="end"/>
                  </w:r>
                  <w:r>
                    <w:rPr>
                      <w:rFonts w:hint="eastAsia" w:ascii="Times New Roman" w:hAnsi="Times New Roman"/>
                      <w:kern w:val="0"/>
                      <w:sz w:val="21"/>
                      <w:szCs w:val="21"/>
                    </w:rPr>
                    <w:t>厂</w:t>
                  </w:r>
                  <w:r>
                    <w:rPr>
                      <w:rFonts w:ascii="Times New Roman" w:hAnsi="Times New Roman"/>
                      <w:kern w:val="0"/>
                      <w:sz w:val="21"/>
                      <w:szCs w:val="21"/>
                    </w:rPr>
                    <w:t>内</w:t>
                  </w:r>
                  <w:r>
                    <w:rPr>
                      <w:rFonts w:hint="eastAsia" w:ascii="Times New Roman" w:hAnsi="Times New Roman"/>
                      <w:kern w:val="0"/>
                      <w:sz w:val="21"/>
                      <w:szCs w:val="21"/>
                    </w:rPr>
                    <w:t>生产车间</w:t>
                  </w:r>
                  <w:r>
                    <w:rPr>
                      <w:rFonts w:ascii="Times New Roman" w:hAnsi="Times New Roman"/>
                      <w:kern w:val="0"/>
                      <w:sz w:val="21"/>
                      <w:szCs w:val="21"/>
                    </w:rPr>
                    <w:t>设防雷保护，</w:t>
                  </w:r>
                  <w:r>
                    <w:rPr>
                      <w:rFonts w:hint="eastAsia" w:ascii="Times New Roman" w:hAnsi="Times New Roman"/>
                      <w:kern w:val="0"/>
                      <w:sz w:val="21"/>
                      <w:szCs w:val="21"/>
                    </w:rPr>
                    <w:t>厂</w:t>
                  </w:r>
                  <w:r>
                    <w:rPr>
                      <w:rFonts w:ascii="Times New Roman" w:hAnsi="Times New Roman"/>
                      <w:kern w:val="0"/>
                      <w:sz w:val="21"/>
                      <w:szCs w:val="21"/>
                    </w:rPr>
                    <w:t>内所有工艺设备和管道均设防静电和感应雷保护。</w:t>
                  </w:r>
                </w:p>
                <w:p>
                  <w:pPr>
                    <w:pStyle w:val="119"/>
                    <w:spacing w:line="240" w:lineRule="auto"/>
                    <w:ind w:firstLine="420"/>
                    <w:rPr>
                      <w:rFonts w:ascii="Times New Roman" w:hAnsi="Times New Roman"/>
                      <w:kern w:val="0"/>
                      <w:sz w:val="21"/>
                      <w:szCs w:val="21"/>
                    </w:rPr>
                  </w:pPr>
                  <w:r>
                    <w:rPr>
                      <w:rFonts w:ascii="Times New Roman" w:hAnsi="Times New Roman"/>
                      <w:kern w:val="0"/>
                      <w:sz w:val="21"/>
                      <w:szCs w:val="21"/>
                    </w:rPr>
                    <w:fldChar w:fldCharType="begin"/>
                  </w:r>
                  <w:r>
                    <w:rPr>
                      <w:rFonts w:ascii="Times New Roman" w:hAnsi="Times New Roman"/>
                      <w:kern w:val="0"/>
                      <w:sz w:val="21"/>
                      <w:szCs w:val="21"/>
                    </w:rPr>
                    <w:instrText xml:space="preserve"> = 3 \* GB3 </w:instrText>
                  </w:r>
                  <w:r>
                    <w:rPr>
                      <w:rFonts w:ascii="Times New Roman" w:hAnsi="Times New Roman"/>
                      <w:kern w:val="0"/>
                      <w:sz w:val="21"/>
                      <w:szCs w:val="21"/>
                    </w:rPr>
                    <w:fldChar w:fldCharType="separate"/>
                  </w:r>
                  <w:r>
                    <w:rPr>
                      <w:rFonts w:hint="eastAsia" w:ascii="宋体" w:hAnsi="宋体" w:cs="宋体"/>
                      <w:kern w:val="0"/>
                      <w:sz w:val="21"/>
                      <w:szCs w:val="21"/>
                    </w:rPr>
                    <w:t>③</w:t>
                  </w:r>
                  <w:r>
                    <w:rPr>
                      <w:rFonts w:ascii="Times New Roman" w:hAnsi="Times New Roman"/>
                      <w:kern w:val="0"/>
                      <w:sz w:val="21"/>
                      <w:szCs w:val="21"/>
                    </w:rPr>
                    <w:fldChar w:fldCharType="end"/>
                  </w:r>
                  <w:r>
                    <w:rPr>
                      <w:rFonts w:ascii="Times New Roman" w:hAnsi="Times New Roman"/>
                      <w:kern w:val="0"/>
                      <w:sz w:val="21"/>
                      <w:szCs w:val="21"/>
                    </w:rPr>
                    <w:t>建立安全生产岗位责任制，制定安全生产规章制度、安全操作规程，加强生产工人安全环境意识教育，树立安全生产意识，防止人为事故发生。</w:t>
                  </w:r>
                </w:p>
                <w:p>
                  <w:pPr>
                    <w:pStyle w:val="119"/>
                    <w:spacing w:line="240" w:lineRule="auto"/>
                    <w:ind w:firstLine="420"/>
                    <w:rPr>
                      <w:rFonts w:ascii="Times New Roman" w:hAnsi="Times New Roman"/>
                      <w:kern w:val="0"/>
                      <w:sz w:val="21"/>
                      <w:szCs w:val="21"/>
                    </w:rPr>
                  </w:pPr>
                  <w:r>
                    <w:rPr>
                      <w:rFonts w:ascii="Times New Roman" w:hAnsi="Times New Roman"/>
                      <w:kern w:val="0"/>
                      <w:sz w:val="21"/>
                      <w:szCs w:val="21"/>
                    </w:rPr>
                    <w:fldChar w:fldCharType="begin"/>
                  </w:r>
                  <w:r>
                    <w:rPr>
                      <w:rFonts w:ascii="Times New Roman" w:hAnsi="Times New Roman"/>
                      <w:kern w:val="0"/>
                      <w:sz w:val="21"/>
                      <w:szCs w:val="21"/>
                    </w:rPr>
                    <w:instrText xml:space="preserve"> = 4 \* GB3 </w:instrText>
                  </w:r>
                  <w:r>
                    <w:rPr>
                      <w:rFonts w:ascii="Times New Roman" w:hAnsi="Times New Roman"/>
                      <w:kern w:val="0"/>
                      <w:sz w:val="21"/>
                      <w:szCs w:val="21"/>
                    </w:rPr>
                    <w:fldChar w:fldCharType="separate"/>
                  </w:r>
                  <w:r>
                    <w:rPr>
                      <w:rFonts w:hint="eastAsia" w:ascii="宋体" w:hAnsi="宋体" w:cs="宋体"/>
                      <w:kern w:val="0"/>
                      <w:sz w:val="21"/>
                      <w:szCs w:val="21"/>
                    </w:rPr>
                    <w:t>④</w:t>
                  </w:r>
                  <w:r>
                    <w:rPr>
                      <w:rFonts w:ascii="Times New Roman" w:hAnsi="Times New Roman"/>
                      <w:kern w:val="0"/>
                      <w:sz w:val="21"/>
                      <w:szCs w:val="21"/>
                    </w:rPr>
                    <w:fldChar w:fldCharType="end"/>
                  </w:r>
                  <w:r>
                    <w:rPr>
                      <w:rFonts w:ascii="Times New Roman" w:hAnsi="Times New Roman"/>
                      <w:kern w:val="0"/>
                      <w:sz w:val="21"/>
                      <w:szCs w:val="21"/>
                    </w:rPr>
                    <w:t>严格按照相关规定、规程和标准进行设备安装、设施检测及维护维修，使之保持完好状态。在生产中加强对设备的安全管理和定期检测，设备、配件不带</w:t>
                  </w:r>
                  <w:r>
                    <w:rPr>
                      <w:rFonts w:ascii="Times New Roman" w:hAnsi="Times New Roman" w:eastAsia="TimesNewRomanPSMT"/>
                      <w:kern w:val="0"/>
                      <w:sz w:val="21"/>
                      <w:szCs w:val="21"/>
                    </w:rPr>
                    <w:t>“</w:t>
                  </w:r>
                  <w:r>
                    <w:rPr>
                      <w:rFonts w:ascii="Times New Roman" w:hAnsi="Times New Roman"/>
                      <w:kern w:val="0"/>
                      <w:sz w:val="21"/>
                      <w:szCs w:val="21"/>
                    </w:rPr>
                    <w:t>病</w:t>
                  </w:r>
                  <w:r>
                    <w:rPr>
                      <w:rFonts w:ascii="Times New Roman" w:hAnsi="Times New Roman" w:eastAsia="TimesNewRomanPSMT"/>
                      <w:kern w:val="0"/>
                      <w:sz w:val="21"/>
                      <w:szCs w:val="21"/>
                    </w:rPr>
                    <w:t>”</w:t>
                  </w:r>
                  <w:r>
                    <w:rPr>
                      <w:rFonts w:ascii="Times New Roman" w:hAnsi="Times New Roman"/>
                      <w:kern w:val="0"/>
                      <w:sz w:val="21"/>
                      <w:szCs w:val="21"/>
                    </w:rPr>
                    <w:t>上岗。</w:t>
                  </w:r>
                </w:p>
                <w:p>
                  <w:pPr>
                    <w:pStyle w:val="119"/>
                    <w:spacing w:line="240" w:lineRule="auto"/>
                    <w:ind w:firstLine="420"/>
                    <w:rPr>
                      <w:rFonts w:ascii="Times New Roman" w:hAnsi="Times New Roman"/>
                      <w:kern w:val="0"/>
                      <w:sz w:val="21"/>
                      <w:szCs w:val="21"/>
                    </w:rPr>
                  </w:pPr>
                  <w:r>
                    <w:rPr>
                      <w:rFonts w:ascii="Times New Roman" w:hAnsi="Times New Roman"/>
                      <w:kern w:val="0"/>
                      <w:sz w:val="21"/>
                      <w:szCs w:val="21"/>
                    </w:rPr>
                    <w:fldChar w:fldCharType="begin"/>
                  </w:r>
                  <w:r>
                    <w:rPr>
                      <w:rFonts w:ascii="Times New Roman" w:hAnsi="Times New Roman"/>
                      <w:kern w:val="0"/>
                      <w:sz w:val="21"/>
                      <w:szCs w:val="21"/>
                    </w:rPr>
                    <w:instrText xml:space="preserve"> = 5 \* GB3 </w:instrText>
                  </w:r>
                  <w:r>
                    <w:rPr>
                      <w:rFonts w:ascii="Times New Roman" w:hAnsi="Times New Roman"/>
                      <w:kern w:val="0"/>
                      <w:sz w:val="21"/>
                      <w:szCs w:val="21"/>
                    </w:rPr>
                    <w:fldChar w:fldCharType="separate"/>
                  </w:r>
                  <w:r>
                    <w:rPr>
                      <w:rFonts w:hint="eastAsia" w:ascii="宋体" w:hAnsi="宋体" w:cs="宋体"/>
                      <w:kern w:val="0"/>
                      <w:sz w:val="21"/>
                      <w:szCs w:val="21"/>
                    </w:rPr>
                    <w:t>⑤</w:t>
                  </w:r>
                  <w:r>
                    <w:rPr>
                      <w:rFonts w:ascii="Times New Roman" w:hAnsi="Times New Roman"/>
                      <w:kern w:val="0"/>
                      <w:sz w:val="21"/>
                      <w:szCs w:val="21"/>
                    </w:rPr>
                    <w:fldChar w:fldCharType="end"/>
                  </w:r>
                  <w:r>
                    <w:rPr>
                      <w:rFonts w:ascii="Times New Roman" w:hAnsi="Times New Roman"/>
                      <w:kern w:val="0"/>
                      <w:sz w:val="21"/>
                      <w:szCs w:val="21"/>
                    </w:rPr>
                    <w:t>建立完善的紧急事故应急措施计划，以防泄漏物质影响</w:t>
                  </w:r>
                  <w:r>
                    <w:rPr>
                      <w:rFonts w:hint="eastAsia" w:ascii="Times New Roman" w:hAnsi="Times New Roman"/>
                      <w:kern w:val="0"/>
                      <w:sz w:val="21"/>
                      <w:szCs w:val="21"/>
                    </w:rPr>
                    <w:t>周围大气环境及动植物、人群</w:t>
                  </w:r>
                  <w:r>
                    <w:rPr>
                      <w:rFonts w:ascii="Times New Roman" w:hAnsi="Times New Roman"/>
                      <w:kern w:val="0"/>
                      <w:sz w:val="21"/>
                      <w:szCs w:val="21"/>
                    </w:rPr>
                    <w:t>。</w:t>
                  </w:r>
                </w:p>
                <w:p>
                  <w:pPr>
                    <w:pStyle w:val="119"/>
                    <w:spacing w:line="240" w:lineRule="auto"/>
                    <w:ind w:firstLine="420"/>
                    <w:rPr>
                      <w:rFonts w:ascii="Times New Roman" w:hAnsi="Times New Roman"/>
                      <w:kern w:val="0"/>
                      <w:sz w:val="21"/>
                      <w:szCs w:val="21"/>
                    </w:rPr>
                  </w:pPr>
                  <w:r>
                    <w:rPr>
                      <w:rFonts w:ascii="Times New Roman" w:hAnsi="Times New Roman"/>
                      <w:kern w:val="0"/>
                      <w:sz w:val="21"/>
                      <w:szCs w:val="21"/>
                    </w:rPr>
                    <w:fldChar w:fldCharType="begin"/>
                  </w:r>
                  <w:r>
                    <w:rPr>
                      <w:rFonts w:hint="eastAsia" w:ascii="Times New Roman" w:hAnsi="Times New Roman"/>
                      <w:kern w:val="0"/>
                      <w:sz w:val="21"/>
                      <w:szCs w:val="21"/>
                    </w:rPr>
                    <w:instrText xml:space="preserve">= 6 \* GB3</w:instrText>
                  </w:r>
                  <w:r>
                    <w:rPr>
                      <w:rFonts w:ascii="Times New Roman" w:hAnsi="Times New Roman"/>
                      <w:kern w:val="0"/>
                      <w:sz w:val="21"/>
                      <w:szCs w:val="21"/>
                    </w:rPr>
                    <w:fldChar w:fldCharType="separate"/>
                  </w:r>
                  <w:r>
                    <w:rPr>
                      <w:rFonts w:hint="eastAsia" w:ascii="Times New Roman" w:hAnsi="Times New Roman"/>
                      <w:kern w:val="0"/>
                      <w:sz w:val="21"/>
                      <w:szCs w:val="21"/>
                    </w:rPr>
                    <w:t>⑥</w:t>
                  </w:r>
                  <w:r>
                    <w:rPr>
                      <w:rFonts w:ascii="Times New Roman" w:hAnsi="Times New Roman"/>
                      <w:kern w:val="0"/>
                      <w:sz w:val="21"/>
                      <w:szCs w:val="21"/>
                    </w:rPr>
                    <w:fldChar w:fldCharType="end"/>
                  </w:r>
                  <w:r>
                    <w:rPr>
                      <w:rFonts w:hint="eastAsia" w:ascii="Times New Roman" w:hAnsi="Times New Roman"/>
                      <w:kern w:val="0"/>
                      <w:sz w:val="21"/>
                      <w:szCs w:val="21"/>
                    </w:rPr>
                    <w:t>生产使用的乙炔、氧气等应规范使用方法；</w:t>
                  </w:r>
                </w:p>
                <w:p>
                  <w:pPr>
                    <w:pStyle w:val="119"/>
                    <w:spacing w:line="240" w:lineRule="auto"/>
                    <w:ind w:firstLine="420"/>
                    <w:rPr>
                      <w:rFonts w:ascii="Times New Roman" w:hAnsi="Times New Roman"/>
                      <w:kern w:val="0"/>
                      <w:sz w:val="21"/>
                      <w:szCs w:val="21"/>
                    </w:rPr>
                  </w:pPr>
                  <w:r>
                    <w:rPr>
                      <w:rFonts w:ascii="Times New Roman" w:hAnsi="Times New Roman"/>
                      <w:kern w:val="0"/>
                      <w:sz w:val="21"/>
                      <w:szCs w:val="21"/>
                    </w:rPr>
                    <w:fldChar w:fldCharType="begin"/>
                  </w:r>
                  <w:r>
                    <w:rPr>
                      <w:rFonts w:hint="eastAsia" w:ascii="Times New Roman" w:hAnsi="Times New Roman"/>
                      <w:kern w:val="0"/>
                      <w:sz w:val="21"/>
                      <w:szCs w:val="21"/>
                    </w:rPr>
                    <w:instrText xml:space="preserve">= 7 \* GB3</w:instrText>
                  </w:r>
                  <w:r>
                    <w:rPr>
                      <w:rFonts w:ascii="Times New Roman" w:hAnsi="Times New Roman"/>
                      <w:kern w:val="0"/>
                      <w:sz w:val="21"/>
                      <w:szCs w:val="21"/>
                    </w:rPr>
                    <w:fldChar w:fldCharType="separate"/>
                  </w:r>
                  <w:r>
                    <w:rPr>
                      <w:rFonts w:hint="eastAsia" w:ascii="Times New Roman" w:hAnsi="Times New Roman"/>
                      <w:kern w:val="0"/>
                      <w:sz w:val="21"/>
                      <w:szCs w:val="21"/>
                    </w:rPr>
                    <w:t>⑦</w:t>
                  </w:r>
                  <w:r>
                    <w:rPr>
                      <w:rFonts w:ascii="Times New Roman" w:hAnsi="Times New Roman"/>
                      <w:kern w:val="0"/>
                      <w:sz w:val="21"/>
                      <w:szCs w:val="21"/>
                    </w:rPr>
                    <w:fldChar w:fldCharType="end"/>
                  </w:r>
                  <w:r>
                    <w:rPr>
                      <w:rFonts w:hint="eastAsia" w:ascii="Times New Roman" w:hAnsi="Times New Roman"/>
                      <w:kern w:val="0"/>
                      <w:sz w:val="21"/>
                      <w:szCs w:val="21"/>
                    </w:rPr>
                    <w:t>产生的废机油应及时收集按照相关标准进行暂存和处置。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04" w:type="dxa"/>
                  <w:tcBorders>
                    <w:tl2br w:val="nil"/>
                    <w:tr2bl w:val="nil"/>
                  </w:tcBorders>
                  <w:vAlign w:val="center"/>
                </w:tcPr>
                <w:p>
                  <w:pPr>
                    <w:pStyle w:val="119"/>
                    <w:spacing w:line="240" w:lineRule="auto"/>
                    <w:ind w:firstLine="0" w:firstLineChars="0"/>
                    <w:rPr>
                      <w:rFonts w:ascii="Times New Roman" w:hAnsi="Times New Roman"/>
                      <w:kern w:val="0"/>
                      <w:sz w:val="21"/>
                      <w:szCs w:val="21"/>
                    </w:rPr>
                  </w:pPr>
                  <w:r>
                    <w:rPr>
                      <w:rFonts w:hint="eastAsia" w:ascii="Times New Roman" w:hAnsi="Times New Roman"/>
                      <w:kern w:val="0"/>
                      <w:sz w:val="21"/>
                      <w:szCs w:val="21"/>
                    </w:rPr>
                    <w:t>填表说明</w:t>
                  </w:r>
                </w:p>
              </w:tc>
              <w:tc>
                <w:tcPr>
                  <w:tcW w:w="7321" w:type="dxa"/>
                  <w:gridSpan w:val="4"/>
                  <w:tcBorders>
                    <w:tl2br w:val="nil"/>
                    <w:tr2bl w:val="nil"/>
                  </w:tcBorders>
                  <w:vAlign w:val="center"/>
                </w:tcPr>
                <w:p>
                  <w:pPr>
                    <w:pStyle w:val="119"/>
                    <w:ind w:firstLine="0" w:firstLineChars="0"/>
                    <w:rPr>
                      <w:rFonts w:ascii="Times New Roman" w:hAnsi="Times New Roman" w:eastAsiaTheme="minorEastAsia"/>
                      <w:kern w:val="0"/>
                      <w:sz w:val="21"/>
                      <w:szCs w:val="21"/>
                    </w:rPr>
                  </w:pPr>
                  <w:r>
                    <w:rPr>
                      <w:rFonts w:hint="eastAsia" w:ascii="Times New Roman" w:hAnsi="Times New Roman" w:eastAsiaTheme="minorEastAsia"/>
                      <w:kern w:val="0"/>
                      <w:sz w:val="21"/>
                      <w:szCs w:val="21"/>
                    </w:rPr>
                    <w:t>根据《建设项目环境风险评价技术导则》（HJ169-2018）附录B中本项目涉及的的风险物质为氯气，根据风险潜势Q&lt;1，本项目评价等级为导则中要求的简单分析。</w:t>
                  </w:r>
                </w:p>
              </w:tc>
            </w:tr>
          </w:tbl>
          <w:p>
            <w:pPr>
              <w:pStyle w:val="2"/>
              <w:rPr>
                <w:rFonts w:hint="default"/>
                <w:lang w:val="en-US" w:eastAsia="zh-CN"/>
              </w:rPr>
            </w:pPr>
          </w:p>
          <w:p>
            <w:pPr>
              <w:spacing w:line="360" w:lineRule="auto"/>
              <w:ind w:firstLine="482" w:firstLineChars="20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五、环境管理</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遵循国家及当地政府关于环境保护的方针、政策、法令、法规，应将项目的环境管理纳入项目日常管理之中。本项目制定了环境管理计划如表</w:t>
            </w:r>
            <w:r>
              <w:rPr>
                <w:rFonts w:hint="eastAsia" w:ascii="Times New Roman" w:hAnsi="Times New Roman" w:cs="Times New Roman"/>
                <w:sz w:val="24"/>
                <w:szCs w:val="24"/>
                <w:lang w:val="en-US" w:eastAsia="zh-CN"/>
              </w:rPr>
              <w:t>7-</w:t>
            </w:r>
            <w:r>
              <w:rPr>
                <w:rFonts w:hint="eastAsia" w:cs="Times New Roman"/>
                <w:sz w:val="24"/>
                <w:szCs w:val="24"/>
                <w:lang w:val="en-US" w:eastAsia="zh-CN"/>
              </w:rPr>
              <w:t>21</w:t>
            </w:r>
            <w:r>
              <w:rPr>
                <w:rFonts w:hint="default" w:ascii="Times New Roman" w:hAnsi="Times New Roman" w:cs="Times New Roman"/>
                <w:sz w:val="24"/>
                <w:szCs w:val="24"/>
                <w:lang w:val="en-US" w:eastAsia="zh-CN"/>
              </w:rPr>
              <w:t>。</w:t>
            </w:r>
          </w:p>
          <w:p>
            <w:pPr>
              <w:pStyle w:val="52"/>
              <w:bidi w:val="0"/>
              <w:spacing w:line="240" w:lineRule="auto"/>
              <w:rPr>
                <w:rFonts w:hint="default"/>
              </w:rPr>
            </w:pPr>
            <w:r>
              <w:rPr>
                <w:rFonts w:hint="default"/>
              </w:rPr>
              <w:t>表</w:t>
            </w:r>
            <w:r>
              <w:rPr>
                <w:rFonts w:hint="eastAsia"/>
                <w:lang w:val="en-US" w:eastAsia="zh-CN"/>
              </w:rPr>
              <w:t>7-21</w:t>
            </w:r>
            <w:r>
              <w:rPr>
                <w:rFonts w:hint="default"/>
              </w:rPr>
              <w:t xml:space="preserve">  环境管理计划</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8"/>
              <w:gridCol w:w="6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75" w:type="dxa"/>
                  <w:tcBorders>
                    <w:tl2br w:val="nil"/>
                    <w:tr2bl w:val="nil"/>
                  </w:tcBorders>
                  <w:noWrap w:val="0"/>
                  <w:vAlign w:val="center"/>
                </w:tcPr>
                <w:p>
                  <w:pPr>
                    <w:pStyle w:val="53"/>
                    <w:bidi w:val="0"/>
                    <w:spacing w:line="240" w:lineRule="auto"/>
                    <w:rPr>
                      <w:rFonts w:hint="default"/>
                      <w:b w:val="0"/>
                      <w:bCs w:val="0"/>
                      <w:sz w:val="21"/>
                      <w:szCs w:val="21"/>
                    </w:rPr>
                  </w:pPr>
                  <w:bookmarkStart w:id="118" w:name="_Toc14238"/>
                  <w:r>
                    <w:rPr>
                      <w:rFonts w:hint="default"/>
                      <w:b w:val="0"/>
                      <w:bCs w:val="0"/>
                      <w:sz w:val="21"/>
                      <w:szCs w:val="21"/>
                    </w:rPr>
                    <w:t>阶段</w:t>
                  </w:r>
                  <w:bookmarkEnd w:id="118"/>
                </w:p>
              </w:tc>
              <w:tc>
                <w:tcPr>
                  <w:tcW w:w="6929" w:type="dxa"/>
                  <w:tcBorders>
                    <w:tl2br w:val="nil"/>
                    <w:tr2bl w:val="nil"/>
                  </w:tcBorders>
                  <w:noWrap w:val="0"/>
                  <w:vAlign w:val="center"/>
                </w:tcPr>
                <w:p>
                  <w:pPr>
                    <w:pStyle w:val="53"/>
                    <w:bidi w:val="0"/>
                    <w:spacing w:line="240" w:lineRule="auto"/>
                    <w:rPr>
                      <w:rFonts w:hint="default"/>
                      <w:b w:val="0"/>
                      <w:bCs w:val="0"/>
                      <w:sz w:val="21"/>
                      <w:szCs w:val="21"/>
                    </w:rPr>
                  </w:pPr>
                  <w:bookmarkStart w:id="119" w:name="_Toc17216"/>
                  <w:r>
                    <w:rPr>
                      <w:rFonts w:hint="default"/>
                      <w:b w:val="0"/>
                      <w:bCs w:val="0"/>
                      <w:sz w:val="21"/>
                      <w:szCs w:val="21"/>
                    </w:rPr>
                    <w:t>环境管理工作主要内容</w:t>
                  </w:r>
                  <w:bookmarkEnd w:id="1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75" w:type="dxa"/>
                  <w:tcBorders>
                    <w:tl2br w:val="nil"/>
                    <w:tr2bl w:val="nil"/>
                  </w:tcBorders>
                  <w:noWrap w:val="0"/>
                  <w:vAlign w:val="center"/>
                </w:tcPr>
                <w:p>
                  <w:pPr>
                    <w:pStyle w:val="53"/>
                    <w:bidi w:val="0"/>
                    <w:spacing w:line="240" w:lineRule="auto"/>
                    <w:rPr>
                      <w:rFonts w:hint="default"/>
                      <w:b w:val="0"/>
                      <w:bCs w:val="0"/>
                      <w:sz w:val="21"/>
                      <w:szCs w:val="21"/>
                    </w:rPr>
                  </w:pPr>
                  <w:bookmarkStart w:id="120" w:name="_Toc28421"/>
                  <w:r>
                    <w:rPr>
                      <w:rFonts w:hint="default"/>
                      <w:b w:val="0"/>
                      <w:bCs w:val="0"/>
                      <w:sz w:val="21"/>
                      <w:szCs w:val="21"/>
                    </w:rPr>
                    <w:t>管理机构职能</w:t>
                  </w:r>
                  <w:bookmarkEnd w:id="120"/>
                </w:p>
              </w:tc>
              <w:tc>
                <w:tcPr>
                  <w:tcW w:w="6929" w:type="dxa"/>
                  <w:tcBorders>
                    <w:tl2br w:val="nil"/>
                    <w:tr2bl w:val="nil"/>
                  </w:tcBorders>
                  <w:noWrap w:val="0"/>
                  <w:vAlign w:val="center"/>
                </w:tcPr>
                <w:p>
                  <w:pPr>
                    <w:pStyle w:val="53"/>
                    <w:bidi w:val="0"/>
                    <w:spacing w:line="240" w:lineRule="auto"/>
                    <w:jc w:val="left"/>
                    <w:rPr>
                      <w:rFonts w:hint="default"/>
                      <w:b w:val="0"/>
                      <w:bCs w:val="0"/>
                      <w:sz w:val="21"/>
                      <w:szCs w:val="21"/>
                    </w:rPr>
                  </w:pPr>
                  <w:bookmarkStart w:id="121" w:name="_Toc18858"/>
                  <w:r>
                    <w:rPr>
                      <w:rFonts w:hint="default"/>
                      <w:b w:val="0"/>
                      <w:bCs w:val="0"/>
                      <w:sz w:val="21"/>
                      <w:szCs w:val="21"/>
                    </w:rPr>
                    <w:t>根据国家建设项目环境管理规定，认真落实各项环保手续，完成各级主管部门对本企业提出的环境管理要求，对本企业内部各项管理计划的执行及完成情况进行监督、控制，确保环境管理工作真正发挥作用。</w:t>
                  </w:r>
                  <w:bookmarkEnd w:id="1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75" w:type="dxa"/>
                  <w:tcBorders>
                    <w:tl2br w:val="nil"/>
                    <w:tr2bl w:val="nil"/>
                  </w:tcBorders>
                  <w:noWrap w:val="0"/>
                  <w:vAlign w:val="center"/>
                </w:tcPr>
                <w:p>
                  <w:pPr>
                    <w:pStyle w:val="53"/>
                    <w:bidi w:val="0"/>
                    <w:spacing w:line="240" w:lineRule="auto"/>
                    <w:rPr>
                      <w:rFonts w:hint="default"/>
                      <w:b w:val="0"/>
                      <w:bCs w:val="0"/>
                      <w:sz w:val="21"/>
                      <w:szCs w:val="21"/>
                    </w:rPr>
                  </w:pPr>
                  <w:bookmarkStart w:id="122" w:name="_Toc529"/>
                  <w:r>
                    <w:rPr>
                      <w:rFonts w:hint="default"/>
                      <w:b w:val="0"/>
                      <w:bCs w:val="0"/>
                      <w:sz w:val="21"/>
                      <w:szCs w:val="21"/>
                    </w:rPr>
                    <w:t>生产运行期</w:t>
                  </w:r>
                  <w:bookmarkEnd w:id="122"/>
                </w:p>
              </w:tc>
              <w:tc>
                <w:tcPr>
                  <w:tcW w:w="6929" w:type="dxa"/>
                  <w:tcBorders>
                    <w:tl2br w:val="nil"/>
                    <w:tr2bl w:val="nil"/>
                  </w:tcBorders>
                  <w:noWrap w:val="0"/>
                  <w:vAlign w:val="center"/>
                </w:tcPr>
                <w:p>
                  <w:pPr>
                    <w:pStyle w:val="53"/>
                    <w:bidi w:val="0"/>
                    <w:spacing w:line="240" w:lineRule="auto"/>
                    <w:jc w:val="left"/>
                    <w:rPr>
                      <w:rFonts w:hint="default"/>
                      <w:b w:val="0"/>
                      <w:bCs w:val="0"/>
                      <w:sz w:val="21"/>
                      <w:szCs w:val="21"/>
                    </w:rPr>
                  </w:pPr>
                  <w:bookmarkStart w:id="123" w:name="_Toc6470"/>
                  <w:r>
                    <w:rPr>
                      <w:rFonts w:hint="default"/>
                      <w:b w:val="0"/>
                      <w:bCs w:val="0"/>
                      <w:sz w:val="21"/>
                      <w:szCs w:val="21"/>
                    </w:rPr>
                    <w:t>（1）严格执行各项生产及环境管理制度，保证生产的正常运行；</w:t>
                  </w:r>
                  <w:bookmarkEnd w:id="123"/>
                </w:p>
                <w:p>
                  <w:pPr>
                    <w:pStyle w:val="53"/>
                    <w:bidi w:val="0"/>
                    <w:spacing w:line="240" w:lineRule="auto"/>
                    <w:jc w:val="left"/>
                    <w:rPr>
                      <w:rFonts w:hint="default"/>
                      <w:b w:val="0"/>
                      <w:bCs w:val="0"/>
                      <w:sz w:val="21"/>
                      <w:szCs w:val="21"/>
                    </w:rPr>
                  </w:pPr>
                  <w:bookmarkStart w:id="124" w:name="_Toc1564"/>
                  <w:r>
                    <w:rPr>
                      <w:rFonts w:hint="default"/>
                      <w:b w:val="0"/>
                      <w:bCs w:val="0"/>
                      <w:sz w:val="21"/>
                      <w:szCs w:val="21"/>
                    </w:rPr>
                    <w:t>（2）设立环保设施运行卡，对环保设施定期进行检查、维护，做到勤查、勤记、勤养护，按照监测计划定期组织进行项目区内的污染源监测，对不达标的环保设施应立即进行查找原因，及时处理；</w:t>
                  </w:r>
                  <w:bookmarkEnd w:id="124"/>
                </w:p>
                <w:p>
                  <w:pPr>
                    <w:pStyle w:val="53"/>
                    <w:bidi w:val="0"/>
                    <w:spacing w:line="240" w:lineRule="auto"/>
                    <w:jc w:val="left"/>
                    <w:rPr>
                      <w:rFonts w:hint="default"/>
                      <w:b w:val="0"/>
                      <w:bCs w:val="0"/>
                      <w:sz w:val="21"/>
                      <w:szCs w:val="21"/>
                    </w:rPr>
                  </w:pPr>
                  <w:bookmarkStart w:id="125" w:name="_Toc3372"/>
                  <w:r>
                    <w:rPr>
                      <w:rFonts w:hint="default"/>
                      <w:b w:val="0"/>
                      <w:bCs w:val="0"/>
                      <w:sz w:val="21"/>
                      <w:szCs w:val="21"/>
                    </w:rPr>
                    <w:t>（3）不断加强技术培训，组织企业内部之间进行技术交流，提高业务水平，保持企业内部职工素质稳定；</w:t>
                  </w:r>
                  <w:bookmarkEnd w:id="125"/>
                </w:p>
                <w:p>
                  <w:pPr>
                    <w:pStyle w:val="53"/>
                    <w:bidi w:val="0"/>
                    <w:spacing w:line="240" w:lineRule="auto"/>
                    <w:jc w:val="left"/>
                    <w:rPr>
                      <w:rFonts w:hint="default"/>
                      <w:b w:val="0"/>
                      <w:bCs w:val="0"/>
                      <w:sz w:val="21"/>
                      <w:szCs w:val="21"/>
                    </w:rPr>
                  </w:pPr>
                  <w:bookmarkStart w:id="126" w:name="_Toc8309"/>
                  <w:r>
                    <w:rPr>
                      <w:rFonts w:hint="default"/>
                      <w:b w:val="0"/>
                      <w:bCs w:val="0"/>
                      <w:sz w:val="21"/>
                      <w:szCs w:val="21"/>
                    </w:rPr>
                    <w:t>（4）重视群众监督作用，提高企业职工环保意识，鼓励职工及外部人员对生产状况提出意见，并通过积极吸收宝贵意见来提高企业环境管理水平；</w:t>
                  </w:r>
                  <w:bookmarkEnd w:id="126"/>
                </w:p>
                <w:p>
                  <w:pPr>
                    <w:pStyle w:val="53"/>
                    <w:bidi w:val="0"/>
                    <w:spacing w:line="240" w:lineRule="auto"/>
                    <w:jc w:val="left"/>
                    <w:rPr>
                      <w:rFonts w:hint="eastAsia"/>
                      <w:b w:val="0"/>
                      <w:bCs w:val="0"/>
                      <w:sz w:val="21"/>
                      <w:szCs w:val="21"/>
                      <w:lang w:eastAsia="zh-CN"/>
                    </w:rPr>
                  </w:pPr>
                  <w:bookmarkStart w:id="127" w:name="_Toc31136"/>
                  <w:r>
                    <w:rPr>
                      <w:rFonts w:hint="default"/>
                      <w:b w:val="0"/>
                      <w:bCs w:val="0"/>
                      <w:sz w:val="21"/>
                      <w:szCs w:val="21"/>
                    </w:rPr>
                    <w:t>（5）积极配合环保部门的检查</w:t>
                  </w:r>
                  <w:bookmarkEnd w:id="127"/>
                  <w:r>
                    <w:rPr>
                      <w:rFonts w:hint="eastAsia"/>
                      <w:b w:val="0"/>
                      <w:bCs w:val="0"/>
                      <w:sz w:val="21"/>
                      <w:szCs w:val="21"/>
                      <w:lang w:eastAsia="zh-CN"/>
                    </w:rPr>
                    <w:t>；</w:t>
                  </w:r>
                </w:p>
                <w:p>
                  <w:pPr>
                    <w:pStyle w:val="53"/>
                    <w:bidi w:val="0"/>
                    <w:spacing w:line="240" w:lineRule="auto"/>
                    <w:jc w:val="left"/>
                    <w:rPr>
                      <w:rFonts w:hint="eastAsia"/>
                      <w:b w:val="0"/>
                      <w:bCs w:val="0"/>
                      <w:sz w:val="21"/>
                      <w:szCs w:val="21"/>
                      <w:lang w:eastAsia="zh-CN"/>
                    </w:rPr>
                  </w:pPr>
                  <w:r>
                    <w:rPr>
                      <w:rFonts w:hint="eastAsia"/>
                      <w:b w:val="0"/>
                      <w:bCs w:val="0"/>
                      <w:sz w:val="21"/>
                      <w:szCs w:val="21"/>
                      <w:lang w:eastAsia="zh-CN"/>
                    </w:rPr>
                    <w:t>（6）设置本项目台账记录</w:t>
                  </w:r>
                </w:p>
                <w:p>
                  <w:pPr>
                    <w:pStyle w:val="53"/>
                    <w:bidi w:val="0"/>
                    <w:spacing w:line="240" w:lineRule="auto"/>
                    <w:jc w:val="left"/>
                    <w:rPr>
                      <w:rFonts w:hint="eastAsia"/>
                      <w:b w:val="0"/>
                      <w:bCs w:val="0"/>
                      <w:sz w:val="21"/>
                      <w:szCs w:val="21"/>
                      <w:lang w:eastAsia="zh-CN"/>
                    </w:rPr>
                  </w:pPr>
                  <w:r>
                    <w:rPr>
                      <w:rFonts w:hint="eastAsia"/>
                      <w:b w:val="0"/>
                      <w:bCs w:val="0"/>
                      <w:sz w:val="21"/>
                      <w:szCs w:val="21"/>
                      <w:lang w:eastAsia="zh-CN"/>
                    </w:rPr>
                    <w:t>原辅材料信息：主要记录本项目涂料的名称、成分检测报告、使用量、库存量、回收方式及回收量等。按照批次记录，每批次记录1次。</w:t>
                  </w:r>
                </w:p>
                <w:p>
                  <w:pPr>
                    <w:pStyle w:val="53"/>
                    <w:bidi w:val="0"/>
                    <w:spacing w:line="240" w:lineRule="auto"/>
                    <w:jc w:val="left"/>
                    <w:rPr>
                      <w:rFonts w:hint="eastAsia" w:eastAsia="宋体"/>
                      <w:b w:val="0"/>
                      <w:bCs w:val="0"/>
                      <w:sz w:val="21"/>
                      <w:szCs w:val="21"/>
                      <w:lang w:eastAsia="zh-CN"/>
                    </w:rPr>
                  </w:pPr>
                  <w:r>
                    <w:rPr>
                      <w:rFonts w:hint="eastAsia"/>
                      <w:b w:val="0"/>
                      <w:bCs w:val="0"/>
                      <w:sz w:val="21"/>
                      <w:szCs w:val="21"/>
                      <w:lang w:eastAsia="zh-CN"/>
                    </w:rPr>
                    <w:t>产品产量信息：主要产品名称及其产量、涂装总面积等。连续性生产按照批次记录，每批次记录一次。</w:t>
                  </w:r>
                </w:p>
              </w:tc>
            </w:tr>
          </w:tbl>
          <w:p>
            <w:pPr>
              <w:spacing w:line="360" w:lineRule="auto"/>
              <w:ind w:firstLine="482" w:firstLineChars="200"/>
              <w:rPr>
                <w:rFonts w:hint="default" w:ascii="Times New Roman" w:hAnsi="Times New Roman" w:cs="Times New Roman"/>
                <w:b/>
                <w:bCs/>
                <w:sz w:val="24"/>
                <w:szCs w:val="24"/>
                <w:lang w:val="en-US" w:eastAsia="zh-CN"/>
              </w:rPr>
            </w:pPr>
          </w:p>
          <w:p>
            <w:pPr>
              <w:spacing w:line="360" w:lineRule="auto"/>
              <w:ind w:firstLine="482" w:firstLineChars="20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六、环境监测计划</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项目运营期环境监测计划见表</w:t>
            </w:r>
            <w:r>
              <w:rPr>
                <w:rFonts w:hint="eastAsia" w:ascii="Times New Roman" w:hAnsi="Times New Roman" w:cs="Times New Roman"/>
                <w:sz w:val="24"/>
                <w:szCs w:val="24"/>
                <w:lang w:val="en-US" w:eastAsia="zh-CN"/>
              </w:rPr>
              <w:t>7-</w:t>
            </w:r>
            <w:r>
              <w:rPr>
                <w:rFonts w:hint="eastAsia" w:cs="Times New Roman"/>
                <w:sz w:val="24"/>
                <w:szCs w:val="24"/>
                <w:lang w:val="en-US" w:eastAsia="zh-CN"/>
              </w:rPr>
              <w:t>22</w:t>
            </w:r>
            <w:r>
              <w:rPr>
                <w:rFonts w:hint="default" w:ascii="Times New Roman" w:hAnsi="Times New Roman" w:cs="Times New Roman"/>
                <w:sz w:val="24"/>
                <w:szCs w:val="24"/>
                <w:lang w:val="en-US" w:eastAsia="zh-CN"/>
              </w:rPr>
              <w:t>。</w:t>
            </w:r>
          </w:p>
          <w:p>
            <w:pPr>
              <w:pStyle w:val="52"/>
              <w:bidi w:val="0"/>
              <w:spacing w:line="240" w:lineRule="auto"/>
              <w:rPr>
                <w:rFonts w:hint="default"/>
              </w:rPr>
            </w:pPr>
            <w:r>
              <w:rPr>
                <w:rFonts w:hint="default"/>
              </w:rPr>
              <w:t>表</w:t>
            </w:r>
            <w:r>
              <w:rPr>
                <w:rFonts w:hint="eastAsia"/>
                <w:lang w:val="en-US" w:eastAsia="zh-CN"/>
              </w:rPr>
              <w:t xml:space="preserve">7-22 </w:t>
            </w:r>
            <w:r>
              <w:rPr>
                <w:rFonts w:hint="default"/>
              </w:rPr>
              <w:t>运营期环境监测计划表</w:t>
            </w:r>
          </w:p>
          <w:tbl>
            <w:tblPr>
              <w:tblStyle w:val="3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39"/>
              <w:gridCol w:w="1843"/>
              <w:gridCol w:w="741"/>
              <w:gridCol w:w="2120"/>
              <w:gridCol w:w="1585"/>
              <w:gridCol w:w="107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4" w:hRule="atLeast"/>
                <w:jc w:val="center"/>
              </w:trPr>
              <w:tc>
                <w:tcPr>
                  <w:tcW w:w="867" w:type="dxa"/>
                  <w:tcBorders>
                    <w:top w:val="single" w:color="auto" w:sz="6" w:space="0"/>
                    <w:left w:val="single" w:color="auto" w:sz="6" w:space="0"/>
                    <w:bottom w:val="single" w:color="auto" w:sz="6" w:space="0"/>
                    <w:right w:val="single" w:color="auto" w:sz="6" w:space="0"/>
                  </w:tcBorders>
                  <w:noWrap w:val="0"/>
                  <w:vAlign w:val="center"/>
                </w:tcPr>
                <w:p>
                  <w:pPr>
                    <w:pStyle w:val="53"/>
                    <w:bidi w:val="0"/>
                    <w:spacing w:line="240" w:lineRule="auto"/>
                    <w:rPr>
                      <w:rFonts w:hint="default"/>
                      <w:b w:val="0"/>
                      <w:bCs w:val="0"/>
                      <w:sz w:val="21"/>
                      <w:szCs w:val="21"/>
                    </w:rPr>
                  </w:pPr>
                  <w:r>
                    <w:rPr>
                      <w:rFonts w:hint="default"/>
                      <w:b w:val="0"/>
                      <w:bCs w:val="0"/>
                      <w:sz w:val="21"/>
                      <w:szCs w:val="21"/>
                    </w:rPr>
                    <w:t>类别</w:t>
                  </w:r>
                </w:p>
              </w:tc>
              <w:tc>
                <w:tcPr>
                  <w:tcW w:w="1925" w:type="dxa"/>
                  <w:tcBorders>
                    <w:top w:val="single" w:color="auto" w:sz="6" w:space="0"/>
                    <w:left w:val="single" w:color="auto" w:sz="6" w:space="0"/>
                    <w:bottom w:val="single" w:color="auto" w:sz="6" w:space="0"/>
                    <w:right w:val="single" w:color="auto" w:sz="6" w:space="0"/>
                  </w:tcBorders>
                  <w:noWrap w:val="0"/>
                  <w:vAlign w:val="center"/>
                </w:tcPr>
                <w:p>
                  <w:pPr>
                    <w:pStyle w:val="53"/>
                    <w:bidi w:val="0"/>
                    <w:spacing w:line="240" w:lineRule="auto"/>
                    <w:rPr>
                      <w:rFonts w:hint="default"/>
                      <w:b w:val="0"/>
                      <w:bCs w:val="0"/>
                      <w:sz w:val="21"/>
                      <w:szCs w:val="21"/>
                    </w:rPr>
                  </w:pPr>
                  <w:r>
                    <w:rPr>
                      <w:rFonts w:hint="default"/>
                      <w:b w:val="0"/>
                      <w:bCs w:val="0"/>
                      <w:sz w:val="21"/>
                      <w:szCs w:val="21"/>
                    </w:rPr>
                    <w:t>监测点位</w:t>
                  </w:r>
                </w:p>
              </w:tc>
              <w:tc>
                <w:tcPr>
                  <w:tcW w:w="763" w:type="dxa"/>
                  <w:tcBorders>
                    <w:top w:val="single" w:color="auto" w:sz="6" w:space="0"/>
                    <w:left w:val="single" w:color="auto" w:sz="6" w:space="0"/>
                    <w:bottom w:val="single" w:color="auto" w:sz="6" w:space="0"/>
                    <w:right w:val="single" w:color="auto" w:sz="6" w:space="0"/>
                  </w:tcBorders>
                  <w:noWrap w:val="0"/>
                  <w:vAlign w:val="center"/>
                </w:tcPr>
                <w:p>
                  <w:pPr>
                    <w:pStyle w:val="53"/>
                    <w:bidi w:val="0"/>
                    <w:spacing w:line="240" w:lineRule="auto"/>
                    <w:rPr>
                      <w:rFonts w:hint="default"/>
                      <w:b w:val="0"/>
                      <w:bCs w:val="0"/>
                      <w:sz w:val="21"/>
                      <w:szCs w:val="21"/>
                    </w:rPr>
                  </w:pPr>
                  <w:r>
                    <w:rPr>
                      <w:rFonts w:hint="default"/>
                      <w:b w:val="0"/>
                      <w:bCs w:val="0"/>
                      <w:sz w:val="21"/>
                      <w:szCs w:val="21"/>
                    </w:rPr>
                    <w:t>点数</w:t>
                  </w:r>
                </w:p>
              </w:tc>
              <w:tc>
                <w:tcPr>
                  <w:tcW w:w="2200" w:type="dxa"/>
                  <w:tcBorders>
                    <w:top w:val="single" w:color="auto" w:sz="6" w:space="0"/>
                    <w:left w:val="single" w:color="auto" w:sz="6" w:space="0"/>
                    <w:bottom w:val="single" w:color="auto" w:sz="6" w:space="0"/>
                    <w:right w:val="single" w:color="auto" w:sz="6" w:space="0"/>
                  </w:tcBorders>
                  <w:noWrap w:val="0"/>
                  <w:vAlign w:val="center"/>
                </w:tcPr>
                <w:p>
                  <w:pPr>
                    <w:pStyle w:val="53"/>
                    <w:bidi w:val="0"/>
                    <w:spacing w:line="240" w:lineRule="auto"/>
                    <w:rPr>
                      <w:rFonts w:hint="default"/>
                      <w:b w:val="0"/>
                      <w:bCs w:val="0"/>
                      <w:sz w:val="21"/>
                      <w:szCs w:val="21"/>
                    </w:rPr>
                  </w:pPr>
                  <w:r>
                    <w:rPr>
                      <w:rFonts w:hint="default"/>
                      <w:b w:val="0"/>
                      <w:bCs w:val="0"/>
                      <w:sz w:val="21"/>
                      <w:szCs w:val="21"/>
                    </w:rPr>
                    <w:t>监测项目</w:t>
                  </w:r>
                </w:p>
              </w:tc>
              <w:tc>
                <w:tcPr>
                  <w:tcW w:w="1650" w:type="dxa"/>
                  <w:tcBorders>
                    <w:top w:val="single" w:color="auto" w:sz="6" w:space="0"/>
                    <w:left w:val="single" w:color="auto" w:sz="6" w:space="0"/>
                    <w:bottom w:val="single" w:color="auto" w:sz="6" w:space="0"/>
                    <w:right w:val="single" w:color="auto" w:sz="6" w:space="0"/>
                  </w:tcBorders>
                  <w:noWrap w:val="0"/>
                  <w:vAlign w:val="center"/>
                </w:tcPr>
                <w:p>
                  <w:pPr>
                    <w:pStyle w:val="53"/>
                    <w:bidi w:val="0"/>
                    <w:spacing w:line="240" w:lineRule="auto"/>
                    <w:rPr>
                      <w:rFonts w:hint="default"/>
                      <w:b w:val="0"/>
                      <w:bCs w:val="0"/>
                      <w:sz w:val="21"/>
                      <w:szCs w:val="21"/>
                    </w:rPr>
                  </w:pPr>
                  <w:r>
                    <w:rPr>
                      <w:rFonts w:hint="default"/>
                      <w:b w:val="0"/>
                      <w:bCs w:val="0"/>
                      <w:sz w:val="21"/>
                      <w:szCs w:val="21"/>
                    </w:rPr>
                    <w:t>监测频率</w:t>
                  </w:r>
                </w:p>
              </w:tc>
              <w:tc>
                <w:tcPr>
                  <w:tcW w:w="1116" w:type="dxa"/>
                  <w:tcBorders>
                    <w:top w:val="single" w:color="auto" w:sz="6" w:space="0"/>
                    <w:left w:val="single" w:color="auto" w:sz="6" w:space="0"/>
                    <w:bottom w:val="single" w:color="auto" w:sz="6" w:space="0"/>
                    <w:right w:val="single" w:color="auto" w:sz="6" w:space="0"/>
                  </w:tcBorders>
                  <w:noWrap w:val="0"/>
                  <w:vAlign w:val="center"/>
                </w:tcPr>
                <w:p>
                  <w:pPr>
                    <w:pStyle w:val="53"/>
                    <w:bidi w:val="0"/>
                    <w:spacing w:line="240" w:lineRule="auto"/>
                    <w:rPr>
                      <w:rFonts w:hint="default"/>
                      <w:b w:val="0"/>
                      <w:bCs w:val="0"/>
                      <w:sz w:val="21"/>
                      <w:szCs w:val="21"/>
                    </w:rPr>
                  </w:pPr>
                  <w:r>
                    <w:rPr>
                      <w:rFonts w:hint="default"/>
                      <w:b w:val="0"/>
                      <w:bCs w:val="0"/>
                      <w:sz w:val="21"/>
                      <w:szCs w:val="21"/>
                    </w:rPr>
                    <w:t>监测方法</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2" w:hRule="atLeast"/>
                <w:jc w:val="center"/>
              </w:trPr>
              <w:tc>
                <w:tcPr>
                  <w:tcW w:w="867" w:type="dxa"/>
                  <w:tcBorders>
                    <w:top w:val="single" w:color="auto" w:sz="6" w:space="0"/>
                    <w:left w:val="single" w:color="auto" w:sz="6" w:space="0"/>
                    <w:bottom w:val="single" w:color="auto" w:sz="6" w:space="0"/>
                    <w:right w:val="single" w:color="auto" w:sz="6" w:space="0"/>
                  </w:tcBorders>
                  <w:noWrap w:val="0"/>
                  <w:vAlign w:val="center"/>
                </w:tcPr>
                <w:p>
                  <w:pPr>
                    <w:pStyle w:val="53"/>
                    <w:bidi w:val="0"/>
                    <w:spacing w:line="240" w:lineRule="auto"/>
                    <w:rPr>
                      <w:rFonts w:hint="default"/>
                      <w:b w:val="0"/>
                      <w:bCs w:val="0"/>
                      <w:sz w:val="21"/>
                      <w:szCs w:val="21"/>
                    </w:rPr>
                  </w:pPr>
                  <w:r>
                    <w:rPr>
                      <w:rFonts w:hint="default"/>
                      <w:b w:val="0"/>
                      <w:bCs w:val="0"/>
                      <w:sz w:val="21"/>
                      <w:szCs w:val="21"/>
                    </w:rPr>
                    <w:t>噪声</w:t>
                  </w:r>
                </w:p>
              </w:tc>
              <w:tc>
                <w:tcPr>
                  <w:tcW w:w="1925" w:type="dxa"/>
                  <w:tcBorders>
                    <w:top w:val="single" w:color="auto" w:sz="6" w:space="0"/>
                    <w:left w:val="single" w:color="auto" w:sz="6" w:space="0"/>
                    <w:bottom w:val="single" w:color="auto" w:sz="6" w:space="0"/>
                    <w:right w:val="single" w:color="auto" w:sz="6" w:space="0"/>
                  </w:tcBorders>
                  <w:noWrap w:val="0"/>
                  <w:vAlign w:val="center"/>
                </w:tcPr>
                <w:p>
                  <w:pPr>
                    <w:pStyle w:val="53"/>
                    <w:bidi w:val="0"/>
                    <w:spacing w:line="240" w:lineRule="auto"/>
                    <w:rPr>
                      <w:rFonts w:hint="default"/>
                      <w:b w:val="0"/>
                      <w:bCs w:val="0"/>
                      <w:sz w:val="21"/>
                      <w:szCs w:val="21"/>
                    </w:rPr>
                  </w:pPr>
                  <w:r>
                    <w:rPr>
                      <w:rFonts w:hint="default"/>
                      <w:b w:val="0"/>
                      <w:bCs w:val="0"/>
                      <w:sz w:val="21"/>
                      <w:szCs w:val="21"/>
                    </w:rPr>
                    <w:t>厂界四周</w:t>
                  </w:r>
                </w:p>
              </w:tc>
              <w:tc>
                <w:tcPr>
                  <w:tcW w:w="763" w:type="dxa"/>
                  <w:tcBorders>
                    <w:top w:val="single" w:color="auto" w:sz="6" w:space="0"/>
                    <w:left w:val="single" w:color="auto" w:sz="6" w:space="0"/>
                    <w:bottom w:val="single" w:color="auto" w:sz="6" w:space="0"/>
                    <w:right w:val="single" w:color="auto" w:sz="6" w:space="0"/>
                  </w:tcBorders>
                  <w:noWrap w:val="0"/>
                  <w:vAlign w:val="center"/>
                </w:tcPr>
                <w:p>
                  <w:pPr>
                    <w:pStyle w:val="53"/>
                    <w:bidi w:val="0"/>
                    <w:spacing w:line="240" w:lineRule="auto"/>
                    <w:rPr>
                      <w:rFonts w:hint="default"/>
                      <w:b w:val="0"/>
                      <w:bCs w:val="0"/>
                      <w:sz w:val="21"/>
                      <w:szCs w:val="21"/>
                    </w:rPr>
                  </w:pPr>
                  <w:r>
                    <w:rPr>
                      <w:rFonts w:hint="default"/>
                      <w:b w:val="0"/>
                      <w:bCs w:val="0"/>
                      <w:sz w:val="21"/>
                      <w:szCs w:val="21"/>
                    </w:rPr>
                    <w:t>4个</w:t>
                  </w:r>
                </w:p>
              </w:tc>
              <w:tc>
                <w:tcPr>
                  <w:tcW w:w="2200" w:type="dxa"/>
                  <w:tcBorders>
                    <w:top w:val="single" w:color="auto" w:sz="6" w:space="0"/>
                    <w:left w:val="single" w:color="auto" w:sz="6" w:space="0"/>
                    <w:bottom w:val="single" w:color="auto" w:sz="6" w:space="0"/>
                    <w:right w:val="single" w:color="auto" w:sz="6" w:space="0"/>
                  </w:tcBorders>
                  <w:noWrap w:val="0"/>
                  <w:vAlign w:val="center"/>
                </w:tcPr>
                <w:p>
                  <w:pPr>
                    <w:pStyle w:val="53"/>
                    <w:bidi w:val="0"/>
                    <w:spacing w:line="240" w:lineRule="auto"/>
                    <w:rPr>
                      <w:rFonts w:hint="default"/>
                      <w:b w:val="0"/>
                      <w:bCs w:val="0"/>
                      <w:sz w:val="21"/>
                      <w:szCs w:val="21"/>
                    </w:rPr>
                  </w:pPr>
                  <w:r>
                    <w:rPr>
                      <w:rFonts w:hint="default"/>
                      <w:b w:val="0"/>
                      <w:bCs w:val="0"/>
                      <w:sz w:val="21"/>
                      <w:szCs w:val="21"/>
                    </w:rPr>
                    <w:t>等效声级</w:t>
                  </w:r>
                </w:p>
              </w:tc>
              <w:tc>
                <w:tcPr>
                  <w:tcW w:w="1650" w:type="dxa"/>
                  <w:vMerge w:val="restart"/>
                  <w:tcBorders>
                    <w:top w:val="single" w:color="auto" w:sz="6" w:space="0"/>
                    <w:left w:val="single" w:color="auto" w:sz="6" w:space="0"/>
                    <w:right w:val="single" w:color="auto" w:sz="6" w:space="0"/>
                  </w:tcBorders>
                  <w:noWrap w:val="0"/>
                  <w:vAlign w:val="center"/>
                </w:tcPr>
                <w:p>
                  <w:pPr>
                    <w:pStyle w:val="53"/>
                    <w:bidi w:val="0"/>
                    <w:spacing w:line="240" w:lineRule="auto"/>
                    <w:rPr>
                      <w:rFonts w:hint="default"/>
                      <w:b w:val="0"/>
                      <w:bCs w:val="0"/>
                      <w:sz w:val="21"/>
                      <w:szCs w:val="21"/>
                    </w:rPr>
                  </w:pPr>
                  <w:r>
                    <w:rPr>
                      <w:rFonts w:hint="default"/>
                      <w:b w:val="0"/>
                      <w:bCs w:val="0"/>
                      <w:sz w:val="21"/>
                      <w:szCs w:val="21"/>
                    </w:rPr>
                    <w:t>竣工验收时监测1次，验收后纳入当地环境保护局的正常监测管理</w:t>
                  </w:r>
                </w:p>
              </w:tc>
              <w:tc>
                <w:tcPr>
                  <w:tcW w:w="1116" w:type="dxa"/>
                  <w:vMerge w:val="restart"/>
                  <w:tcBorders>
                    <w:top w:val="single" w:color="auto" w:sz="6" w:space="0"/>
                    <w:left w:val="single" w:color="auto" w:sz="6" w:space="0"/>
                    <w:right w:val="single" w:color="auto" w:sz="6" w:space="0"/>
                  </w:tcBorders>
                  <w:noWrap w:val="0"/>
                  <w:vAlign w:val="center"/>
                </w:tcPr>
                <w:p>
                  <w:pPr>
                    <w:pStyle w:val="53"/>
                    <w:bidi w:val="0"/>
                    <w:spacing w:line="240" w:lineRule="auto"/>
                    <w:rPr>
                      <w:rFonts w:hint="default"/>
                      <w:b w:val="0"/>
                      <w:bCs w:val="0"/>
                      <w:sz w:val="21"/>
                      <w:szCs w:val="21"/>
                    </w:rPr>
                  </w:pPr>
                  <w:r>
                    <w:rPr>
                      <w:rFonts w:hint="default"/>
                      <w:b w:val="0"/>
                      <w:bCs w:val="0"/>
                      <w:sz w:val="21"/>
                      <w:szCs w:val="21"/>
                    </w:rPr>
                    <w:t>按国家标准方法进行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6" w:hRule="atLeast"/>
                <w:jc w:val="center"/>
              </w:trPr>
              <w:tc>
                <w:tcPr>
                  <w:tcW w:w="867" w:type="dxa"/>
                  <w:tcBorders>
                    <w:left w:val="single" w:color="auto" w:sz="6" w:space="0"/>
                    <w:right w:val="single" w:color="auto" w:sz="6" w:space="0"/>
                  </w:tcBorders>
                  <w:noWrap w:val="0"/>
                  <w:vAlign w:val="center"/>
                </w:tcPr>
                <w:p>
                  <w:pPr>
                    <w:pStyle w:val="53"/>
                    <w:bidi w:val="0"/>
                    <w:spacing w:line="240" w:lineRule="auto"/>
                    <w:rPr>
                      <w:rFonts w:hint="default"/>
                      <w:b w:val="0"/>
                      <w:bCs w:val="0"/>
                      <w:sz w:val="21"/>
                      <w:szCs w:val="21"/>
                    </w:rPr>
                  </w:pPr>
                  <w:bookmarkStart w:id="128" w:name="OLE_LINK74" w:colFirst="3" w:colLast="4"/>
                  <w:r>
                    <w:rPr>
                      <w:rFonts w:hint="default"/>
                      <w:b w:val="0"/>
                      <w:bCs w:val="0"/>
                      <w:sz w:val="21"/>
                      <w:szCs w:val="21"/>
                    </w:rPr>
                    <w:t>无组织</w:t>
                  </w:r>
                  <w:r>
                    <w:rPr>
                      <w:rFonts w:hint="default"/>
                      <w:b w:val="0"/>
                      <w:bCs w:val="0"/>
                      <w:sz w:val="21"/>
                      <w:szCs w:val="21"/>
                      <w:lang w:eastAsia="zh-CN"/>
                    </w:rPr>
                    <w:t>排放</w:t>
                  </w:r>
                  <w:r>
                    <w:rPr>
                      <w:rFonts w:hint="default"/>
                      <w:b w:val="0"/>
                      <w:bCs w:val="0"/>
                      <w:sz w:val="21"/>
                      <w:szCs w:val="21"/>
                    </w:rPr>
                    <w:t>废气</w:t>
                  </w:r>
                </w:p>
              </w:tc>
              <w:tc>
                <w:tcPr>
                  <w:tcW w:w="1925" w:type="dxa"/>
                  <w:tcBorders>
                    <w:top w:val="single" w:color="auto" w:sz="6" w:space="0"/>
                    <w:left w:val="single" w:color="auto" w:sz="6" w:space="0"/>
                    <w:right w:val="single" w:color="auto" w:sz="6" w:space="0"/>
                  </w:tcBorders>
                  <w:noWrap w:val="0"/>
                  <w:vAlign w:val="center"/>
                </w:tcPr>
                <w:p>
                  <w:pPr>
                    <w:pStyle w:val="53"/>
                    <w:bidi w:val="0"/>
                    <w:spacing w:line="240" w:lineRule="auto"/>
                    <w:rPr>
                      <w:rFonts w:hint="default"/>
                      <w:b w:val="0"/>
                      <w:bCs w:val="0"/>
                      <w:sz w:val="21"/>
                      <w:szCs w:val="21"/>
                    </w:rPr>
                  </w:pPr>
                  <w:r>
                    <w:rPr>
                      <w:rFonts w:hint="default"/>
                      <w:b w:val="0"/>
                      <w:bCs w:val="0"/>
                      <w:sz w:val="21"/>
                      <w:szCs w:val="21"/>
                    </w:rPr>
                    <w:t>厂界上风向1个，下风向2个点</w:t>
                  </w:r>
                </w:p>
              </w:tc>
              <w:tc>
                <w:tcPr>
                  <w:tcW w:w="763" w:type="dxa"/>
                  <w:tcBorders>
                    <w:top w:val="single" w:color="auto" w:sz="6" w:space="0"/>
                    <w:left w:val="single" w:color="auto" w:sz="6" w:space="0"/>
                    <w:right w:val="single" w:color="auto" w:sz="6" w:space="0"/>
                  </w:tcBorders>
                  <w:noWrap w:val="0"/>
                  <w:vAlign w:val="center"/>
                </w:tcPr>
                <w:p>
                  <w:pPr>
                    <w:pStyle w:val="53"/>
                    <w:bidi w:val="0"/>
                    <w:spacing w:line="240" w:lineRule="auto"/>
                    <w:rPr>
                      <w:rFonts w:hint="default"/>
                      <w:b w:val="0"/>
                      <w:bCs w:val="0"/>
                      <w:sz w:val="21"/>
                      <w:szCs w:val="21"/>
                    </w:rPr>
                  </w:pPr>
                  <w:r>
                    <w:rPr>
                      <w:rFonts w:hint="default"/>
                      <w:b w:val="0"/>
                      <w:bCs w:val="0"/>
                      <w:sz w:val="21"/>
                      <w:szCs w:val="21"/>
                    </w:rPr>
                    <w:t>3个</w:t>
                  </w:r>
                </w:p>
              </w:tc>
              <w:tc>
                <w:tcPr>
                  <w:tcW w:w="2200" w:type="dxa"/>
                  <w:tcBorders>
                    <w:top w:val="single" w:color="auto" w:sz="6" w:space="0"/>
                    <w:left w:val="single" w:color="auto" w:sz="6" w:space="0"/>
                    <w:bottom w:val="single" w:color="auto" w:sz="6" w:space="0"/>
                    <w:right w:val="single" w:color="auto" w:sz="6" w:space="0"/>
                  </w:tcBorders>
                  <w:noWrap w:val="0"/>
                  <w:vAlign w:val="center"/>
                </w:tcPr>
                <w:p>
                  <w:pPr>
                    <w:pStyle w:val="53"/>
                    <w:bidi w:val="0"/>
                    <w:spacing w:line="240" w:lineRule="auto"/>
                    <w:rPr>
                      <w:rFonts w:hint="default"/>
                      <w:b w:val="0"/>
                      <w:bCs w:val="0"/>
                      <w:sz w:val="21"/>
                      <w:szCs w:val="21"/>
                      <w:lang w:val="en-US"/>
                    </w:rPr>
                  </w:pPr>
                  <w:r>
                    <w:rPr>
                      <w:rFonts w:hint="eastAsia"/>
                      <w:b w:val="0"/>
                      <w:bCs w:val="0"/>
                      <w:sz w:val="21"/>
                      <w:szCs w:val="21"/>
                      <w:lang w:val="en-US" w:eastAsia="zh-CN"/>
                    </w:rPr>
                    <w:t>TSP</w:t>
                  </w:r>
                  <w:r>
                    <w:rPr>
                      <w:rFonts w:hint="default"/>
                      <w:b w:val="0"/>
                      <w:bCs w:val="0"/>
                      <w:sz w:val="21"/>
                      <w:szCs w:val="21"/>
                    </w:rPr>
                    <w:t>、</w:t>
                  </w:r>
                  <w:r>
                    <w:rPr>
                      <w:rFonts w:hint="eastAsia"/>
                      <w:b w:val="0"/>
                      <w:bCs w:val="0"/>
                      <w:sz w:val="21"/>
                      <w:szCs w:val="21"/>
                      <w:lang w:eastAsia="zh-CN"/>
                    </w:rPr>
                    <w:t>VOC</w:t>
                  </w:r>
                  <w:r>
                    <w:rPr>
                      <w:rFonts w:hint="eastAsia"/>
                      <w:b w:val="0"/>
                      <w:bCs w:val="0"/>
                      <w:sz w:val="21"/>
                      <w:szCs w:val="21"/>
                      <w:lang w:val="en-US" w:eastAsia="zh-CN"/>
                    </w:rPr>
                    <w:t>s</w:t>
                  </w:r>
                </w:p>
              </w:tc>
              <w:tc>
                <w:tcPr>
                  <w:tcW w:w="1650" w:type="dxa"/>
                  <w:vMerge w:val="continue"/>
                  <w:tcBorders>
                    <w:left w:val="single" w:color="auto" w:sz="6" w:space="0"/>
                    <w:right w:val="single" w:color="auto" w:sz="6" w:space="0"/>
                  </w:tcBorders>
                  <w:noWrap w:val="0"/>
                  <w:vAlign w:val="center"/>
                </w:tcPr>
                <w:p>
                  <w:pPr>
                    <w:pStyle w:val="53"/>
                    <w:bidi w:val="0"/>
                    <w:spacing w:line="240" w:lineRule="auto"/>
                    <w:rPr>
                      <w:rFonts w:hint="default"/>
                      <w:b w:val="0"/>
                      <w:bCs w:val="0"/>
                      <w:sz w:val="21"/>
                      <w:szCs w:val="21"/>
                    </w:rPr>
                  </w:pPr>
                </w:p>
              </w:tc>
              <w:tc>
                <w:tcPr>
                  <w:tcW w:w="1116" w:type="dxa"/>
                  <w:vMerge w:val="continue"/>
                  <w:tcBorders>
                    <w:left w:val="single" w:color="auto" w:sz="6" w:space="0"/>
                    <w:right w:val="single" w:color="auto" w:sz="6" w:space="0"/>
                  </w:tcBorders>
                  <w:noWrap w:val="0"/>
                  <w:vAlign w:val="center"/>
                </w:tcPr>
                <w:p>
                  <w:pPr>
                    <w:pStyle w:val="53"/>
                    <w:bidi w:val="0"/>
                    <w:spacing w:line="240" w:lineRule="auto"/>
                    <w:rPr>
                      <w:rFonts w:hint="default"/>
                      <w:b w:val="0"/>
                      <w:bCs w:val="0"/>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2" w:hRule="atLeast"/>
                <w:jc w:val="center"/>
              </w:trPr>
              <w:tc>
                <w:tcPr>
                  <w:tcW w:w="867" w:type="dxa"/>
                  <w:tcBorders>
                    <w:left w:val="single" w:color="auto" w:sz="6" w:space="0"/>
                    <w:right w:val="single" w:color="auto" w:sz="6" w:space="0"/>
                  </w:tcBorders>
                  <w:noWrap w:val="0"/>
                  <w:vAlign w:val="center"/>
                </w:tcPr>
                <w:p>
                  <w:pPr>
                    <w:pStyle w:val="53"/>
                    <w:bidi w:val="0"/>
                    <w:spacing w:line="240" w:lineRule="auto"/>
                    <w:rPr>
                      <w:rFonts w:hint="default"/>
                      <w:b w:val="0"/>
                      <w:bCs w:val="0"/>
                      <w:sz w:val="21"/>
                      <w:szCs w:val="21"/>
                    </w:rPr>
                  </w:pPr>
                  <w:r>
                    <w:rPr>
                      <w:rFonts w:hint="default"/>
                      <w:b w:val="0"/>
                      <w:bCs w:val="0"/>
                      <w:sz w:val="21"/>
                      <w:szCs w:val="21"/>
                      <w:lang w:eastAsia="zh-CN"/>
                    </w:rPr>
                    <w:t>有组织排放</w:t>
                  </w:r>
                  <w:r>
                    <w:rPr>
                      <w:rFonts w:hint="default"/>
                      <w:b w:val="0"/>
                      <w:bCs w:val="0"/>
                      <w:sz w:val="21"/>
                      <w:szCs w:val="21"/>
                    </w:rPr>
                    <w:t>废气</w:t>
                  </w:r>
                </w:p>
              </w:tc>
              <w:tc>
                <w:tcPr>
                  <w:tcW w:w="1925" w:type="dxa"/>
                  <w:tcBorders>
                    <w:top w:val="single" w:color="auto" w:sz="6" w:space="0"/>
                    <w:left w:val="single" w:color="auto" w:sz="6" w:space="0"/>
                    <w:right w:val="single" w:color="auto" w:sz="6" w:space="0"/>
                  </w:tcBorders>
                  <w:noWrap w:val="0"/>
                  <w:vAlign w:val="center"/>
                </w:tcPr>
                <w:p>
                  <w:pPr>
                    <w:pStyle w:val="53"/>
                    <w:bidi w:val="0"/>
                    <w:spacing w:line="240" w:lineRule="auto"/>
                    <w:rPr>
                      <w:rFonts w:hint="default"/>
                      <w:b w:val="0"/>
                      <w:bCs w:val="0"/>
                      <w:sz w:val="21"/>
                      <w:szCs w:val="21"/>
                      <w:lang w:val="en-US" w:eastAsia="zh-CN"/>
                    </w:rPr>
                  </w:pPr>
                  <w:r>
                    <w:rPr>
                      <w:rFonts w:hint="default"/>
                      <w:b w:val="0"/>
                      <w:bCs w:val="0"/>
                      <w:sz w:val="21"/>
                      <w:szCs w:val="21"/>
                      <w:lang w:val="en-US" w:eastAsia="zh-CN"/>
                    </w:rPr>
                    <w:t>喷漆房排气筒出口</w:t>
                  </w:r>
                </w:p>
              </w:tc>
              <w:tc>
                <w:tcPr>
                  <w:tcW w:w="763" w:type="dxa"/>
                  <w:tcBorders>
                    <w:top w:val="single" w:color="auto" w:sz="6" w:space="0"/>
                    <w:left w:val="single" w:color="auto" w:sz="6" w:space="0"/>
                    <w:right w:val="single" w:color="auto" w:sz="6" w:space="0"/>
                  </w:tcBorders>
                  <w:noWrap w:val="0"/>
                  <w:vAlign w:val="center"/>
                </w:tcPr>
                <w:p>
                  <w:pPr>
                    <w:pStyle w:val="53"/>
                    <w:bidi w:val="0"/>
                    <w:spacing w:line="240" w:lineRule="auto"/>
                    <w:rPr>
                      <w:rFonts w:hint="default"/>
                      <w:b w:val="0"/>
                      <w:bCs w:val="0"/>
                      <w:sz w:val="21"/>
                      <w:szCs w:val="21"/>
                      <w:lang w:eastAsia="zh-CN"/>
                    </w:rPr>
                  </w:pPr>
                  <w:r>
                    <w:rPr>
                      <w:rFonts w:hint="default"/>
                      <w:b w:val="0"/>
                      <w:bCs w:val="0"/>
                      <w:sz w:val="21"/>
                      <w:szCs w:val="21"/>
                      <w:lang w:val="en-US" w:eastAsia="zh-CN"/>
                    </w:rPr>
                    <w:t>1</w:t>
                  </w:r>
                </w:p>
              </w:tc>
              <w:tc>
                <w:tcPr>
                  <w:tcW w:w="2200" w:type="dxa"/>
                  <w:tcBorders>
                    <w:top w:val="single" w:color="auto" w:sz="6" w:space="0"/>
                    <w:left w:val="single" w:color="auto" w:sz="6" w:space="0"/>
                    <w:right w:val="single" w:color="auto" w:sz="6" w:space="0"/>
                  </w:tcBorders>
                  <w:noWrap w:val="0"/>
                  <w:vAlign w:val="center"/>
                </w:tcPr>
                <w:p>
                  <w:pPr>
                    <w:pStyle w:val="53"/>
                    <w:bidi w:val="0"/>
                    <w:spacing w:line="240" w:lineRule="auto"/>
                    <w:rPr>
                      <w:rFonts w:hint="default"/>
                      <w:b w:val="0"/>
                      <w:bCs w:val="0"/>
                      <w:sz w:val="21"/>
                      <w:szCs w:val="21"/>
                      <w:lang w:eastAsia="zh-CN"/>
                    </w:rPr>
                  </w:pPr>
                  <w:r>
                    <w:rPr>
                      <w:rFonts w:hint="eastAsia"/>
                      <w:b w:val="0"/>
                      <w:bCs w:val="0"/>
                      <w:sz w:val="21"/>
                      <w:szCs w:val="21"/>
                      <w:lang w:eastAsia="zh-CN"/>
                    </w:rPr>
                    <w:t>VOC</w:t>
                  </w:r>
                  <w:r>
                    <w:rPr>
                      <w:rFonts w:hint="eastAsia"/>
                      <w:b w:val="0"/>
                      <w:bCs w:val="0"/>
                      <w:sz w:val="21"/>
                      <w:szCs w:val="21"/>
                      <w:lang w:val="en-US" w:eastAsia="zh-CN"/>
                    </w:rPr>
                    <w:t>s</w:t>
                  </w:r>
                  <w:r>
                    <w:rPr>
                      <w:rFonts w:hint="default"/>
                      <w:b w:val="0"/>
                      <w:bCs w:val="0"/>
                      <w:sz w:val="21"/>
                      <w:szCs w:val="21"/>
                      <w:lang w:eastAsia="zh-CN"/>
                    </w:rPr>
                    <w:t>、</w:t>
                  </w:r>
                  <w:r>
                    <w:rPr>
                      <w:rFonts w:hint="eastAsia"/>
                      <w:b w:val="0"/>
                      <w:bCs w:val="0"/>
                      <w:sz w:val="21"/>
                      <w:szCs w:val="21"/>
                      <w:lang w:val="en-US" w:eastAsia="zh-CN"/>
                    </w:rPr>
                    <w:t>TSP、</w:t>
                  </w:r>
                  <w:r>
                    <w:rPr>
                      <w:rFonts w:hint="default"/>
                      <w:b w:val="0"/>
                      <w:bCs w:val="0"/>
                      <w:sz w:val="21"/>
                      <w:szCs w:val="21"/>
                      <w:lang w:eastAsia="zh-CN"/>
                    </w:rPr>
                    <w:t>废气量</w:t>
                  </w:r>
                </w:p>
              </w:tc>
              <w:tc>
                <w:tcPr>
                  <w:tcW w:w="1650" w:type="dxa"/>
                  <w:vMerge w:val="continue"/>
                  <w:tcBorders>
                    <w:left w:val="single" w:color="auto" w:sz="6" w:space="0"/>
                    <w:right w:val="single" w:color="auto" w:sz="6" w:space="0"/>
                  </w:tcBorders>
                  <w:noWrap w:val="0"/>
                  <w:vAlign w:val="center"/>
                </w:tcPr>
                <w:p>
                  <w:pPr>
                    <w:pStyle w:val="53"/>
                    <w:bidi w:val="0"/>
                    <w:spacing w:line="240" w:lineRule="auto"/>
                    <w:rPr>
                      <w:rFonts w:hint="default"/>
                      <w:b w:val="0"/>
                      <w:bCs w:val="0"/>
                      <w:sz w:val="21"/>
                      <w:szCs w:val="21"/>
                    </w:rPr>
                  </w:pPr>
                </w:p>
              </w:tc>
              <w:tc>
                <w:tcPr>
                  <w:tcW w:w="1116" w:type="dxa"/>
                  <w:vMerge w:val="continue"/>
                  <w:tcBorders>
                    <w:left w:val="single" w:color="auto" w:sz="6" w:space="0"/>
                    <w:right w:val="single" w:color="auto" w:sz="6" w:space="0"/>
                  </w:tcBorders>
                  <w:noWrap w:val="0"/>
                  <w:vAlign w:val="center"/>
                </w:tcPr>
                <w:p>
                  <w:pPr>
                    <w:pStyle w:val="53"/>
                    <w:bidi w:val="0"/>
                    <w:spacing w:line="240" w:lineRule="auto"/>
                    <w:rPr>
                      <w:rFonts w:hint="default"/>
                      <w:b w:val="0"/>
                      <w:bCs w:val="0"/>
                      <w:sz w:val="21"/>
                      <w:szCs w:val="21"/>
                    </w:rPr>
                  </w:pPr>
                </w:p>
              </w:tc>
            </w:tr>
            <w:bookmarkEnd w:id="128"/>
          </w:tbl>
          <w:p>
            <w:pPr>
              <w:spacing w:line="360" w:lineRule="auto"/>
              <w:ind w:firstLine="482" w:firstLineChars="20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七、“三同时”验收一览表</w:t>
            </w:r>
          </w:p>
          <w:p>
            <w:pPr>
              <w:spacing w:line="360" w:lineRule="auto"/>
              <w:ind w:firstLine="480" w:firstLineChars="200"/>
              <w:rPr>
                <w:rFonts w:hint="default"/>
              </w:rPr>
            </w:pPr>
            <w:r>
              <w:rPr>
                <w:rFonts w:hint="default" w:ascii="Times New Roman" w:hAnsi="Times New Roman" w:cs="Times New Roman"/>
                <w:sz w:val="24"/>
                <w:szCs w:val="24"/>
                <w:lang w:val="en-US" w:eastAsia="zh-CN"/>
              </w:rPr>
              <w:t>本项目竣工环保验收内容详见表</w:t>
            </w:r>
            <w:r>
              <w:rPr>
                <w:rFonts w:hint="eastAsia" w:ascii="Times New Roman" w:hAnsi="Times New Roman" w:cs="Times New Roman"/>
                <w:sz w:val="24"/>
                <w:szCs w:val="24"/>
                <w:lang w:val="en-US" w:eastAsia="zh-CN"/>
              </w:rPr>
              <w:t>7-</w:t>
            </w:r>
            <w:r>
              <w:rPr>
                <w:rFonts w:hint="eastAsia" w:cs="Times New Roman"/>
                <w:sz w:val="24"/>
                <w:szCs w:val="24"/>
                <w:lang w:val="en-US" w:eastAsia="zh-CN"/>
              </w:rPr>
              <w:t>23</w:t>
            </w:r>
            <w:r>
              <w:rPr>
                <w:rFonts w:hint="default" w:ascii="Times New Roman" w:hAnsi="Times New Roman" w:cs="Times New Roman"/>
                <w:sz w:val="24"/>
                <w:szCs w:val="24"/>
                <w:lang w:val="en-US" w:eastAsia="zh-CN"/>
              </w:rPr>
              <w:t>。</w:t>
            </w:r>
          </w:p>
          <w:p>
            <w:pPr>
              <w:pStyle w:val="52"/>
              <w:bidi w:val="0"/>
              <w:spacing w:line="240" w:lineRule="auto"/>
              <w:rPr>
                <w:rFonts w:hint="default"/>
              </w:rPr>
            </w:pPr>
            <w:r>
              <w:rPr>
                <w:rFonts w:hint="default"/>
              </w:rPr>
              <w:t>表</w:t>
            </w:r>
            <w:r>
              <w:rPr>
                <w:rFonts w:hint="eastAsia"/>
                <w:lang w:val="en-US" w:eastAsia="zh-CN"/>
              </w:rPr>
              <w:t xml:space="preserve">7-23 </w:t>
            </w:r>
            <w:r>
              <w:rPr>
                <w:rFonts w:hint="default"/>
              </w:rPr>
              <w:t xml:space="preserve"> 项目“三同时”验收一览表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1"/>
              <w:gridCol w:w="715"/>
              <w:gridCol w:w="1145"/>
              <w:gridCol w:w="2605"/>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53" w:type="dxa"/>
                  <w:gridSpan w:val="2"/>
                  <w:noWrap w:val="0"/>
                  <w:vAlign w:val="center"/>
                </w:tcPr>
                <w:p>
                  <w:pPr>
                    <w:pStyle w:val="53"/>
                    <w:bidi w:val="0"/>
                    <w:spacing w:line="240" w:lineRule="auto"/>
                    <w:rPr>
                      <w:rFonts w:hint="default"/>
                      <w:b w:val="0"/>
                      <w:bCs w:val="0"/>
                      <w:sz w:val="21"/>
                      <w:szCs w:val="18"/>
                    </w:rPr>
                  </w:pPr>
                  <w:r>
                    <w:rPr>
                      <w:rFonts w:hint="default"/>
                      <w:b w:val="0"/>
                      <w:bCs w:val="0"/>
                      <w:sz w:val="21"/>
                      <w:szCs w:val="18"/>
                    </w:rPr>
                    <w:t>污染源</w:t>
                  </w:r>
                </w:p>
              </w:tc>
              <w:tc>
                <w:tcPr>
                  <w:tcW w:w="1159" w:type="dxa"/>
                  <w:noWrap w:val="0"/>
                  <w:vAlign w:val="center"/>
                </w:tcPr>
                <w:p>
                  <w:pPr>
                    <w:pStyle w:val="53"/>
                    <w:bidi w:val="0"/>
                    <w:spacing w:line="240" w:lineRule="auto"/>
                    <w:rPr>
                      <w:rFonts w:hint="default"/>
                      <w:b w:val="0"/>
                      <w:bCs w:val="0"/>
                      <w:sz w:val="21"/>
                      <w:szCs w:val="18"/>
                    </w:rPr>
                  </w:pPr>
                  <w:r>
                    <w:rPr>
                      <w:rFonts w:hint="default"/>
                      <w:b w:val="0"/>
                      <w:bCs w:val="0"/>
                      <w:sz w:val="21"/>
                      <w:szCs w:val="18"/>
                    </w:rPr>
                    <w:t>污染物</w:t>
                  </w:r>
                </w:p>
              </w:tc>
              <w:tc>
                <w:tcPr>
                  <w:tcW w:w="2633" w:type="dxa"/>
                  <w:noWrap w:val="0"/>
                  <w:vAlign w:val="center"/>
                </w:tcPr>
                <w:p>
                  <w:pPr>
                    <w:pStyle w:val="53"/>
                    <w:bidi w:val="0"/>
                    <w:spacing w:line="240" w:lineRule="auto"/>
                    <w:rPr>
                      <w:rFonts w:hint="default"/>
                      <w:b w:val="0"/>
                      <w:bCs w:val="0"/>
                      <w:sz w:val="21"/>
                      <w:szCs w:val="18"/>
                    </w:rPr>
                  </w:pPr>
                  <w:r>
                    <w:rPr>
                      <w:rFonts w:hint="default"/>
                      <w:b w:val="0"/>
                      <w:bCs w:val="0"/>
                      <w:sz w:val="21"/>
                      <w:szCs w:val="18"/>
                    </w:rPr>
                    <w:t>环保措施项目</w:t>
                  </w:r>
                </w:p>
              </w:tc>
              <w:tc>
                <w:tcPr>
                  <w:tcW w:w="3151" w:type="dxa"/>
                  <w:noWrap w:val="0"/>
                  <w:vAlign w:val="center"/>
                </w:tcPr>
                <w:p>
                  <w:pPr>
                    <w:pStyle w:val="53"/>
                    <w:bidi w:val="0"/>
                    <w:spacing w:line="240" w:lineRule="auto"/>
                    <w:rPr>
                      <w:rFonts w:hint="default"/>
                      <w:b w:val="0"/>
                      <w:bCs w:val="0"/>
                      <w:sz w:val="21"/>
                      <w:szCs w:val="18"/>
                    </w:rPr>
                  </w:pPr>
                  <w:r>
                    <w:rPr>
                      <w:rFonts w:hint="default"/>
                      <w:b w:val="0"/>
                      <w:bCs w:val="0"/>
                      <w:sz w:val="21"/>
                      <w:szCs w:val="18"/>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8" w:type="dxa"/>
                  <w:vMerge w:val="restart"/>
                  <w:noWrap w:val="0"/>
                  <w:vAlign w:val="center"/>
                </w:tcPr>
                <w:p>
                  <w:pPr>
                    <w:pStyle w:val="53"/>
                    <w:bidi w:val="0"/>
                    <w:spacing w:line="240" w:lineRule="auto"/>
                    <w:rPr>
                      <w:rFonts w:hint="default"/>
                      <w:b w:val="0"/>
                      <w:bCs w:val="0"/>
                      <w:sz w:val="21"/>
                      <w:szCs w:val="18"/>
                    </w:rPr>
                  </w:pPr>
                  <w:r>
                    <w:rPr>
                      <w:rFonts w:hint="default"/>
                      <w:b w:val="0"/>
                      <w:bCs w:val="0"/>
                      <w:sz w:val="21"/>
                      <w:szCs w:val="18"/>
                    </w:rPr>
                    <w:t>大气污染源</w:t>
                  </w:r>
                </w:p>
              </w:tc>
              <w:tc>
                <w:tcPr>
                  <w:tcW w:w="725" w:type="dxa"/>
                  <w:noWrap w:val="0"/>
                  <w:vAlign w:val="center"/>
                </w:tcPr>
                <w:p>
                  <w:pPr>
                    <w:pStyle w:val="53"/>
                    <w:bidi w:val="0"/>
                    <w:spacing w:line="240" w:lineRule="auto"/>
                    <w:rPr>
                      <w:rFonts w:hint="default"/>
                      <w:b w:val="0"/>
                      <w:bCs w:val="0"/>
                      <w:sz w:val="21"/>
                      <w:szCs w:val="18"/>
                      <w:lang w:eastAsia="zh-CN"/>
                    </w:rPr>
                  </w:pPr>
                  <w:r>
                    <w:rPr>
                      <w:rFonts w:hint="eastAsia"/>
                      <w:b w:val="0"/>
                      <w:bCs w:val="0"/>
                      <w:sz w:val="21"/>
                      <w:szCs w:val="18"/>
                      <w:lang w:eastAsia="zh-CN"/>
                    </w:rPr>
                    <w:t>生产车间</w:t>
                  </w:r>
                </w:p>
              </w:tc>
              <w:tc>
                <w:tcPr>
                  <w:tcW w:w="1159" w:type="dxa"/>
                  <w:noWrap w:val="0"/>
                  <w:vAlign w:val="center"/>
                </w:tcPr>
                <w:p>
                  <w:pPr>
                    <w:pStyle w:val="53"/>
                    <w:bidi w:val="0"/>
                    <w:spacing w:line="240" w:lineRule="auto"/>
                    <w:rPr>
                      <w:rFonts w:hint="default"/>
                      <w:b w:val="0"/>
                      <w:bCs w:val="0"/>
                      <w:sz w:val="21"/>
                      <w:szCs w:val="18"/>
                      <w:lang w:eastAsia="zh-CN"/>
                    </w:rPr>
                  </w:pPr>
                  <w:r>
                    <w:rPr>
                      <w:rFonts w:hint="default"/>
                      <w:b w:val="0"/>
                      <w:bCs w:val="0"/>
                      <w:sz w:val="21"/>
                      <w:szCs w:val="18"/>
                      <w:lang w:eastAsia="zh-CN"/>
                    </w:rPr>
                    <w:t>烟尘</w:t>
                  </w:r>
                  <w:r>
                    <w:rPr>
                      <w:rFonts w:hint="eastAsia"/>
                      <w:b w:val="0"/>
                      <w:bCs w:val="0"/>
                      <w:sz w:val="21"/>
                      <w:szCs w:val="18"/>
                      <w:lang w:eastAsia="zh-CN"/>
                    </w:rPr>
                    <w:t>、粉尘</w:t>
                  </w:r>
                </w:p>
              </w:tc>
              <w:tc>
                <w:tcPr>
                  <w:tcW w:w="2633" w:type="dxa"/>
                  <w:noWrap w:val="0"/>
                  <w:vAlign w:val="center"/>
                </w:tcPr>
                <w:p>
                  <w:pPr>
                    <w:pStyle w:val="53"/>
                    <w:bidi w:val="0"/>
                    <w:spacing w:line="240" w:lineRule="auto"/>
                    <w:rPr>
                      <w:rFonts w:hint="eastAsia"/>
                      <w:b w:val="0"/>
                      <w:bCs w:val="0"/>
                      <w:sz w:val="21"/>
                      <w:szCs w:val="18"/>
                      <w:lang w:eastAsia="zh-CN"/>
                    </w:rPr>
                  </w:pPr>
                  <w:r>
                    <w:rPr>
                      <w:rFonts w:hint="eastAsia"/>
                      <w:b w:val="0"/>
                      <w:bCs w:val="0"/>
                      <w:sz w:val="21"/>
                      <w:szCs w:val="18"/>
                      <w:lang w:eastAsia="zh-CN"/>
                    </w:rPr>
                    <w:t>移动式烟尘净化器、布袋除尘器</w:t>
                  </w:r>
                </w:p>
              </w:tc>
              <w:tc>
                <w:tcPr>
                  <w:tcW w:w="3151" w:type="dxa"/>
                  <w:noWrap w:val="0"/>
                  <w:vAlign w:val="center"/>
                </w:tcPr>
                <w:p>
                  <w:pPr>
                    <w:pStyle w:val="53"/>
                    <w:bidi w:val="0"/>
                    <w:spacing w:line="240" w:lineRule="auto"/>
                    <w:rPr>
                      <w:rFonts w:hint="default"/>
                      <w:b w:val="0"/>
                      <w:bCs w:val="0"/>
                      <w:sz w:val="21"/>
                      <w:szCs w:val="18"/>
                    </w:rPr>
                  </w:pPr>
                  <w:r>
                    <w:rPr>
                      <w:rFonts w:hint="default"/>
                      <w:b w:val="0"/>
                      <w:bCs w:val="0"/>
                      <w:sz w:val="21"/>
                      <w:szCs w:val="18"/>
                    </w:rPr>
                    <w:t>《大气污染物综合排放标准》</w:t>
                  </w:r>
                  <w:r>
                    <w:rPr>
                      <w:rFonts w:hint="default"/>
                      <w:b w:val="0"/>
                      <w:bCs w:val="0"/>
                      <w:sz w:val="21"/>
                      <w:szCs w:val="18"/>
                      <w:lang w:eastAsia="zh-CN"/>
                    </w:rPr>
                    <w:t>（</w:t>
                  </w:r>
                  <w:r>
                    <w:rPr>
                      <w:rFonts w:hint="default"/>
                      <w:b w:val="0"/>
                      <w:bCs w:val="0"/>
                      <w:sz w:val="21"/>
                      <w:szCs w:val="18"/>
                    </w:rPr>
                    <w:t>GB16297-1996</w:t>
                  </w:r>
                  <w:r>
                    <w:rPr>
                      <w:rFonts w:hint="default"/>
                      <w:b w:val="0"/>
                      <w:bCs w:val="0"/>
                      <w:sz w:val="21"/>
                      <w:szCs w:val="18"/>
                      <w:lang w:eastAsia="zh-CN"/>
                    </w:rPr>
                    <w:t>）</w:t>
                  </w:r>
                  <w:r>
                    <w:rPr>
                      <w:rFonts w:hint="default"/>
                      <w:b w:val="0"/>
                      <w:bCs w:val="0"/>
                      <w:sz w:val="21"/>
                      <w:szCs w:val="18"/>
                    </w:rPr>
                    <w:t>表2无组织排放浓度限值≤1.0mg/</w:t>
                  </w:r>
                  <w:r>
                    <w:rPr>
                      <w:rFonts w:hint="eastAsia"/>
                      <w:b w:val="0"/>
                      <w:bCs w:val="0"/>
                      <w:sz w:val="21"/>
                      <w:szCs w:val="18"/>
                      <w:lang w:val="en-US" w:eastAsia="zh-CN"/>
                    </w:rPr>
                    <w:t>m</w:t>
                  </w:r>
                  <w:r>
                    <w:rPr>
                      <w:rFonts w:hint="eastAsia"/>
                      <w:b w:val="0"/>
                      <w:bCs w:val="0"/>
                      <w:sz w:val="21"/>
                      <w:szCs w:val="18"/>
                      <w:vertAlign w:val="superscript"/>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28" w:type="dxa"/>
                  <w:vMerge w:val="continue"/>
                  <w:noWrap w:val="0"/>
                  <w:vAlign w:val="center"/>
                </w:tcPr>
                <w:p>
                  <w:pPr>
                    <w:pStyle w:val="53"/>
                    <w:bidi w:val="0"/>
                    <w:spacing w:line="240" w:lineRule="auto"/>
                    <w:rPr>
                      <w:rFonts w:hint="default"/>
                      <w:b w:val="0"/>
                      <w:bCs w:val="0"/>
                      <w:sz w:val="21"/>
                      <w:szCs w:val="18"/>
                    </w:rPr>
                  </w:pPr>
                </w:p>
              </w:tc>
              <w:tc>
                <w:tcPr>
                  <w:tcW w:w="725" w:type="dxa"/>
                  <w:noWrap w:val="0"/>
                  <w:vAlign w:val="center"/>
                </w:tcPr>
                <w:p>
                  <w:pPr>
                    <w:pStyle w:val="53"/>
                    <w:bidi w:val="0"/>
                    <w:spacing w:line="240" w:lineRule="auto"/>
                    <w:rPr>
                      <w:rFonts w:hint="default"/>
                      <w:b w:val="0"/>
                      <w:bCs w:val="0"/>
                      <w:sz w:val="21"/>
                      <w:szCs w:val="18"/>
                    </w:rPr>
                  </w:pPr>
                  <w:r>
                    <w:rPr>
                      <w:rFonts w:hint="default"/>
                      <w:b w:val="0"/>
                      <w:bCs w:val="0"/>
                      <w:sz w:val="21"/>
                      <w:szCs w:val="18"/>
                    </w:rPr>
                    <w:t>喷漆房</w:t>
                  </w:r>
                </w:p>
              </w:tc>
              <w:tc>
                <w:tcPr>
                  <w:tcW w:w="1159" w:type="dxa"/>
                  <w:noWrap w:val="0"/>
                  <w:vAlign w:val="center"/>
                </w:tcPr>
                <w:p>
                  <w:pPr>
                    <w:pStyle w:val="53"/>
                    <w:bidi w:val="0"/>
                    <w:spacing w:line="240" w:lineRule="auto"/>
                    <w:rPr>
                      <w:rFonts w:hint="default"/>
                      <w:b w:val="0"/>
                      <w:bCs w:val="0"/>
                      <w:sz w:val="21"/>
                      <w:szCs w:val="18"/>
                      <w:lang w:eastAsia="zh-CN"/>
                    </w:rPr>
                  </w:pPr>
                  <w:r>
                    <w:rPr>
                      <w:rFonts w:hint="eastAsia"/>
                      <w:b w:val="0"/>
                      <w:bCs w:val="0"/>
                      <w:sz w:val="21"/>
                      <w:szCs w:val="18"/>
                      <w:lang w:eastAsia="zh-CN"/>
                    </w:rPr>
                    <w:t>漆雾、VOC</w:t>
                  </w:r>
                  <w:r>
                    <w:rPr>
                      <w:rFonts w:hint="eastAsia"/>
                      <w:b w:val="0"/>
                      <w:bCs w:val="0"/>
                      <w:sz w:val="21"/>
                      <w:szCs w:val="18"/>
                      <w:lang w:val="en-US" w:eastAsia="zh-CN"/>
                    </w:rPr>
                    <w:t>s</w:t>
                  </w:r>
                </w:p>
                <w:p>
                  <w:pPr>
                    <w:pStyle w:val="53"/>
                    <w:bidi w:val="0"/>
                    <w:spacing w:line="240" w:lineRule="auto"/>
                    <w:rPr>
                      <w:rFonts w:hint="default"/>
                      <w:b w:val="0"/>
                      <w:bCs w:val="0"/>
                      <w:sz w:val="21"/>
                      <w:szCs w:val="18"/>
                    </w:rPr>
                  </w:pPr>
                </w:p>
              </w:tc>
              <w:tc>
                <w:tcPr>
                  <w:tcW w:w="2633" w:type="dxa"/>
                  <w:noWrap w:val="0"/>
                  <w:vAlign w:val="center"/>
                </w:tcPr>
                <w:p>
                  <w:pPr>
                    <w:pStyle w:val="53"/>
                    <w:bidi w:val="0"/>
                    <w:spacing w:line="240" w:lineRule="auto"/>
                    <w:rPr>
                      <w:rFonts w:hint="default"/>
                      <w:b w:val="0"/>
                      <w:bCs w:val="0"/>
                      <w:sz w:val="21"/>
                      <w:szCs w:val="18"/>
                      <w:lang w:val="en-US" w:eastAsia="zh-CN"/>
                    </w:rPr>
                  </w:pPr>
                  <w:r>
                    <w:rPr>
                      <w:rFonts w:hint="eastAsia"/>
                      <w:b w:val="0"/>
                      <w:bCs w:val="0"/>
                      <w:sz w:val="21"/>
                      <w:szCs w:val="18"/>
                      <w:lang w:eastAsia="zh-CN"/>
                    </w:rPr>
                    <w:t>喷漆车间设置“负压风机（风机风量</w:t>
                  </w:r>
                  <w:r>
                    <w:rPr>
                      <w:rFonts w:hint="eastAsia"/>
                      <w:b w:val="0"/>
                      <w:bCs w:val="0"/>
                      <w:sz w:val="21"/>
                      <w:szCs w:val="18"/>
                      <w:lang w:val="en-US" w:eastAsia="zh-CN"/>
                    </w:rPr>
                    <w:t>6000m</w:t>
                  </w:r>
                  <w:r>
                    <w:rPr>
                      <w:rFonts w:hint="eastAsia"/>
                      <w:b w:val="0"/>
                      <w:bCs w:val="0"/>
                      <w:sz w:val="21"/>
                      <w:szCs w:val="18"/>
                      <w:vertAlign w:val="superscript"/>
                      <w:lang w:val="en-US" w:eastAsia="zh-CN"/>
                    </w:rPr>
                    <w:t>3</w:t>
                  </w:r>
                  <w:r>
                    <w:rPr>
                      <w:rFonts w:hint="eastAsia"/>
                      <w:b w:val="0"/>
                      <w:bCs w:val="0"/>
                      <w:sz w:val="21"/>
                      <w:szCs w:val="18"/>
                      <w:lang w:val="en-US" w:eastAsia="zh-CN"/>
                    </w:rPr>
                    <w:t>/h</w:t>
                  </w:r>
                  <w:r>
                    <w:rPr>
                      <w:rFonts w:hint="eastAsia"/>
                      <w:b w:val="0"/>
                      <w:bCs w:val="0"/>
                      <w:sz w:val="21"/>
                      <w:szCs w:val="18"/>
                      <w:lang w:eastAsia="zh-CN"/>
                    </w:rPr>
                    <w:t>）</w:t>
                  </w:r>
                  <w:r>
                    <w:rPr>
                      <w:rFonts w:hint="eastAsia"/>
                      <w:b w:val="0"/>
                      <w:bCs w:val="0"/>
                      <w:sz w:val="21"/>
                      <w:szCs w:val="18"/>
                      <w:lang w:val="en-US" w:eastAsia="zh-CN"/>
                    </w:rPr>
                    <w:t>+过滤棉+活性炭吸附理装置（挥发性有机物去除率85%）+15m高排气筒”并设标识标牌</w:t>
                  </w:r>
                </w:p>
              </w:tc>
              <w:tc>
                <w:tcPr>
                  <w:tcW w:w="3151" w:type="dxa"/>
                  <w:noWrap w:val="0"/>
                  <w:vAlign w:val="center"/>
                </w:tcPr>
                <w:p>
                  <w:pPr>
                    <w:pStyle w:val="53"/>
                    <w:bidi w:val="0"/>
                    <w:spacing w:line="240" w:lineRule="auto"/>
                    <w:rPr>
                      <w:rFonts w:hint="eastAsia"/>
                      <w:b w:val="0"/>
                      <w:bCs w:val="0"/>
                      <w:sz w:val="21"/>
                      <w:szCs w:val="18"/>
                      <w:lang w:val="en-US" w:eastAsia="zh-CN"/>
                    </w:rPr>
                  </w:pPr>
                  <w:r>
                    <w:rPr>
                      <w:rFonts w:hint="eastAsia"/>
                      <w:b w:val="0"/>
                      <w:bCs w:val="0"/>
                      <w:sz w:val="21"/>
                      <w:szCs w:val="18"/>
                      <w:lang w:eastAsia="zh-CN"/>
                    </w:rPr>
                    <w:t>有组织排放达到</w:t>
                  </w:r>
                  <w:r>
                    <w:rPr>
                      <w:rFonts w:hint="default"/>
                      <w:b w:val="0"/>
                      <w:bCs w:val="0"/>
                      <w:sz w:val="21"/>
                      <w:szCs w:val="18"/>
                    </w:rPr>
                    <w:t>《大气污染物综合排放标准》（GB16297-1996）二级标准限值要求</w:t>
                  </w:r>
                  <w:r>
                    <w:rPr>
                      <w:rFonts w:hint="eastAsia"/>
                      <w:b w:val="0"/>
                      <w:bCs w:val="0"/>
                      <w:sz w:val="21"/>
                      <w:szCs w:val="18"/>
                      <w:lang w:eastAsia="zh-CN"/>
                    </w:rPr>
                    <w:t>；无组织排放颗粒物达到</w:t>
                  </w:r>
                  <w:r>
                    <w:rPr>
                      <w:b w:val="0"/>
                      <w:bCs w:val="0"/>
                      <w:sz w:val="21"/>
                      <w:szCs w:val="18"/>
                    </w:rPr>
                    <w:t>（GB16297-1996）</w:t>
                  </w:r>
                  <w:r>
                    <w:rPr>
                      <w:rFonts w:hint="eastAsia"/>
                      <w:b w:val="0"/>
                      <w:bCs w:val="0"/>
                      <w:sz w:val="21"/>
                      <w:szCs w:val="18"/>
                      <w:lang w:eastAsia="zh-CN"/>
                    </w:rPr>
                    <w:t>《大气污染物综合排放标准》</w:t>
                  </w:r>
                  <w:r>
                    <w:rPr>
                      <w:b w:val="0"/>
                      <w:bCs w:val="0"/>
                      <w:sz w:val="21"/>
                      <w:szCs w:val="18"/>
                    </w:rPr>
                    <w:t>表2</w:t>
                  </w:r>
                  <w:r>
                    <w:rPr>
                      <w:rFonts w:hint="eastAsia"/>
                      <w:b w:val="0"/>
                      <w:bCs w:val="0"/>
                      <w:sz w:val="21"/>
                      <w:szCs w:val="18"/>
                      <w:lang w:eastAsia="zh-CN"/>
                    </w:rPr>
                    <w:t>中无组织排放监控浓度限值要求（周界外浓度最高点：</w:t>
                  </w:r>
                  <w:r>
                    <w:rPr>
                      <w:rFonts w:hint="eastAsia"/>
                      <w:b w:val="0"/>
                      <w:bCs w:val="0"/>
                      <w:sz w:val="21"/>
                      <w:szCs w:val="18"/>
                      <w:lang w:val="en-US" w:eastAsia="zh-CN"/>
                    </w:rPr>
                    <w:t>1.0mg/m</w:t>
                  </w:r>
                  <w:r>
                    <w:rPr>
                      <w:rFonts w:hint="eastAsia"/>
                      <w:b w:val="0"/>
                      <w:bCs w:val="0"/>
                      <w:sz w:val="21"/>
                      <w:szCs w:val="18"/>
                      <w:vertAlign w:val="superscript"/>
                      <w:lang w:val="en-US" w:eastAsia="zh-CN"/>
                    </w:rPr>
                    <w:t>3</w:t>
                  </w:r>
                  <w:r>
                    <w:rPr>
                      <w:rFonts w:hint="eastAsia"/>
                      <w:b w:val="0"/>
                      <w:bCs w:val="0"/>
                      <w:sz w:val="21"/>
                      <w:szCs w:val="18"/>
                      <w:lang w:eastAsia="zh-CN"/>
                    </w:rPr>
                    <w:t>），无组织排放</w:t>
                  </w:r>
                  <w:r>
                    <w:rPr>
                      <w:rFonts w:hint="eastAsia"/>
                      <w:b w:val="0"/>
                      <w:bCs w:val="0"/>
                      <w:sz w:val="21"/>
                      <w:szCs w:val="18"/>
                      <w:lang w:val="en-US" w:eastAsia="zh-CN"/>
                    </w:rPr>
                    <w:t>VOCs执行</w:t>
                  </w:r>
                  <w:r>
                    <w:rPr>
                      <w:rFonts w:hint="eastAsia"/>
                      <w:b w:val="0"/>
                      <w:bCs w:val="0"/>
                      <w:color w:val="auto"/>
                      <w:sz w:val="21"/>
                      <w:szCs w:val="18"/>
                      <w:lang w:val="en-US" w:eastAsia="zh-CN"/>
                    </w:rPr>
                    <w:t>《挥发性有机物无组织排放控制标准》（GB37822-2019）附录A表A.1中规定的排放限值要求</w:t>
                  </w:r>
                  <w:r>
                    <w:rPr>
                      <w:rFonts w:hint="eastAsia"/>
                      <w:b w:val="0"/>
                      <w:bCs w:val="0"/>
                      <w:sz w:val="21"/>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628" w:type="dxa"/>
                  <w:noWrap w:val="0"/>
                  <w:vAlign w:val="center"/>
                </w:tcPr>
                <w:p>
                  <w:pPr>
                    <w:pStyle w:val="53"/>
                    <w:bidi w:val="0"/>
                    <w:spacing w:line="240" w:lineRule="auto"/>
                    <w:rPr>
                      <w:rFonts w:hint="default"/>
                      <w:b w:val="0"/>
                      <w:bCs w:val="0"/>
                      <w:sz w:val="21"/>
                      <w:szCs w:val="18"/>
                    </w:rPr>
                  </w:pPr>
                  <w:r>
                    <w:rPr>
                      <w:rFonts w:hint="default"/>
                      <w:b w:val="0"/>
                      <w:bCs w:val="0"/>
                      <w:sz w:val="21"/>
                      <w:szCs w:val="18"/>
                    </w:rPr>
                    <w:t>噪声</w:t>
                  </w:r>
                </w:p>
              </w:tc>
              <w:tc>
                <w:tcPr>
                  <w:tcW w:w="725" w:type="dxa"/>
                  <w:noWrap w:val="0"/>
                  <w:vAlign w:val="center"/>
                </w:tcPr>
                <w:p>
                  <w:pPr>
                    <w:pStyle w:val="53"/>
                    <w:bidi w:val="0"/>
                    <w:spacing w:line="240" w:lineRule="auto"/>
                    <w:rPr>
                      <w:rFonts w:hint="default"/>
                      <w:b w:val="0"/>
                      <w:bCs w:val="0"/>
                      <w:sz w:val="21"/>
                      <w:szCs w:val="18"/>
                    </w:rPr>
                  </w:pPr>
                  <w:r>
                    <w:rPr>
                      <w:rFonts w:hint="default"/>
                      <w:b w:val="0"/>
                      <w:bCs w:val="0"/>
                      <w:sz w:val="21"/>
                      <w:szCs w:val="18"/>
                    </w:rPr>
                    <w:t>各车间</w:t>
                  </w:r>
                </w:p>
              </w:tc>
              <w:tc>
                <w:tcPr>
                  <w:tcW w:w="1159" w:type="dxa"/>
                  <w:noWrap w:val="0"/>
                  <w:vAlign w:val="center"/>
                </w:tcPr>
                <w:p>
                  <w:pPr>
                    <w:pStyle w:val="53"/>
                    <w:bidi w:val="0"/>
                    <w:spacing w:line="240" w:lineRule="auto"/>
                    <w:rPr>
                      <w:rFonts w:hint="default"/>
                      <w:b w:val="0"/>
                      <w:bCs w:val="0"/>
                      <w:sz w:val="21"/>
                      <w:szCs w:val="18"/>
                    </w:rPr>
                  </w:pPr>
                  <w:r>
                    <w:rPr>
                      <w:rFonts w:hint="default"/>
                      <w:b w:val="0"/>
                      <w:bCs w:val="0"/>
                      <w:sz w:val="21"/>
                      <w:szCs w:val="18"/>
                    </w:rPr>
                    <w:t>设备噪声</w:t>
                  </w:r>
                </w:p>
              </w:tc>
              <w:tc>
                <w:tcPr>
                  <w:tcW w:w="2633" w:type="dxa"/>
                  <w:noWrap w:val="0"/>
                  <w:vAlign w:val="center"/>
                </w:tcPr>
                <w:p>
                  <w:pPr>
                    <w:pStyle w:val="53"/>
                    <w:bidi w:val="0"/>
                    <w:spacing w:line="240" w:lineRule="auto"/>
                    <w:rPr>
                      <w:rFonts w:hint="default"/>
                      <w:b w:val="0"/>
                      <w:bCs w:val="0"/>
                      <w:sz w:val="21"/>
                      <w:szCs w:val="18"/>
                    </w:rPr>
                  </w:pPr>
                  <w:r>
                    <w:rPr>
                      <w:rFonts w:hint="default"/>
                      <w:b w:val="0"/>
                      <w:bCs w:val="0"/>
                      <w:sz w:val="21"/>
                      <w:szCs w:val="18"/>
                    </w:rPr>
                    <w:t>产噪设备合理布局，设备基础减震、距离衰减。定期检查，维修设备，使设备处于良好的运行状态</w:t>
                  </w:r>
                </w:p>
              </w:tc>
              <w:tc>
                <w:tcPr>
                  <w:tcW w:w="3151" w:type="dxa"/>
                  <w:noWrap w:val="0"/>
                  <w:vAlign w:val="center"/>
                </w:tcPr>
                <w:p>
                  <w:pPr>
                    <w:pStyle w:val="53"/>
                    <w:bidi w:val="0"/>
                    <w:spacing w:line="240" w:lineRule="auto"/>
                    <w:rPr>
                      <w:rFonts w:hint="default"/>
                      <w:b w:val="0"/>
                      <w:bCs w:val="0"/>
                      <w:sz w:val="21"/>
                      <w:szCs w:val="18"/>
                    </w:rPr>
                  </w:pPr>
                  <w:r>
                    <w:rPr>
                      <w:rFonts w:hint="default"/>
                      <w:b w:val="0"/>
                      <w:bCs w:val="0"/>
                      <w:sz w:val="21"/>
                      <w:szCs w:val="18"/>
                    </w:rPr>
                    <w:t>经车间围墙的阻隔和距离衰减后，</w:t>
                  </w:r>
                  <w:r>
                    <w:rPr>
                      <w:rFonts w:hint="eastAsia"/>
                      <w:b w:val="0"/>
                      <w:bCs w:val="0"/>
                      <w:sz w:val="21"/>
                      <w:szCs w:val="18"/>
                      <w:lang w:eastAsia="zh-CN"/>
                    </w:rPr>
                    <w:t>达到</w:t>
                  </w:r>
                  <w:r>
                    <w:rPr>
                      <w:rFonts w:hint="default"/>
                      <w:b w:val="0"/>
                      <w:bCs w:val="0"/>
                      <w:sz w:val="21"/>
                      <w:szCs w:val="18"/>
                    </w:rPr>
                    <w:t>《工业企业厂界环境噪声排放标准》（GB12348-2008）</w:t>
                  </w:r>
                  <w:r>
                    <w:rPr>
                      <w:rFonts w:hint="default"/>
                      <w:b w:val="0"/>
                      <w:bCs w:val="0"/>
                      <w:sz w:val="21"/>
                      <w:szCs w:val="18"/>
                      <w:lang w:val="en-US" w:eastAsia="zh-CN"/>
                    </w:rPr>
                    <w:t>3</w:t>
                  </w:r>
                  <w:r>
                    <w:rPr>
                      <w:rFonts w:hint="default"/>
                      <w:b w:val="0"/>
                      <w:bCs w:val="0"/>
                      <w:sz w:val="21"/>
                      <w:szCs w:val="18"/>
                    </w:rPr>
                    <w:t>类标准：昼间≤6</w:t>
                  </w:r>
                  <w:r>
                    <w:rPr>
                      <w:rFonts w:hint="default"/>
                      <w:b w:val="0"/>
                      <w:bCs w:val="0"/>
                      <w:sz w:val="21"/>
                      <w:szCs w:val="18"/>
                      <w:lang w:val="en-US" w:eastAsia="zh-CN"/>
                    </w:rPr>
                    <w:t>5</w:t>
                  </w:r>
                  <w:r>
                    <w:rPr>
                      <w:rFonts w:hint="default"/>
                      <w:b w:val="0"/>
                      <w:bCs w:val="0"/>
                      <w:sz w:val="21"/>
                      <w:szCs w:val="18"/>
                    </w:rPr>
                    <w:t>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628" w:type="dxa"/>
                  <w:noWrap w:val="0"/>
                  <w:vAlign w:val="center"/>
                </w:tcPr>
                <w:p>
                  <w:pPr>
                    <w:pStyle w:val="53"/>
                    <w:bidi w:val="0"/>
                    <w:spacing w:line="240" w:lineRule="auto"/>
                    <w:rPr>
                      <w:rFonts w:hint="eastAsia" w:eastAsia="宋体"/>
                      <w:b w:val="0"/>
                      <w:bCs w:val="0"/>
                      <w:sz w:val="21"/>
                      <w:szCs w:val="18"/>
                      <w:lang w:eastAsia="zh-CN"/>
                    </w:rPr>
                  </w:pPr>
                  <w:r>
                    <w:rPr>
                      <w:rFonts w:hint="eastAsia"/>
                      <w:b w:val="0"/>
                      <w:bCs w:val="0"/>
                      <w:sz w:val="21"/>
                      <w:szCs w:val="18"/>
                      <w:lang w:eastAsia="zh-CN"/>
                    </w:rPr>
                    <w:t>废水</w:t>
                  </w:r>
                </w:p>
              </w:tc>
              <w:tc>
                <w:tcPr>
                  <w:tcW w:w="725" w:type="dxa"/>
                  <w:noWrap w:val="0"/>
                  <w:vAlign w:val="center"/>
                </w:tcPr>
                <w:p>
                  <w:pPr>
                    <w:pStyle w:val="53"/>
                    <w:bidi w:val="0"/>
                    <w:spacing w:line="240" w:lineRule="auto"/>
                    <w:jc w:val="both"/>
                    <w:rPr>
                      <w:rFonts w:hint="eastAsia" w:eastAsia="宋体"/>
                      <w:b w:val="0"/>
                      <w:bCs w:val="0"/>
                      <w:sz w:val="21"/>
                      <w:szCs w:val="18"/>
                      <w:lang w:eastAsia="zh-CN"/>
                    </w:rPr>
                  </w:pPr>
                  <w:r>
                    <w:rPr>
                      <w:rFonts w:hint="eastAsia"/>
                      <w:b w:val="0"/>
                      <w:bCs w:val="0"/>
                      <w:sz w:val="21"/>
                      <w:szCs w:val="18"/>
                      <w:lang w:eastAsia="zh-CN"/>
                    </w:rPr>
                    <w:t>办公生活</w:t>
                  </w:r>
                </w:p>
              </w:tc>
              <w:tc>
                <w:tcPr>
                  <w:tcW w:w="1159" w:type="dxa"/>
                  <w:noWrap w:val="0"/>
                  <w:vAlign w:val="center"/>
                </w:tcPr>
                <w:p>
                  <w:pPr>
                    <w:pStyle w:val="53"/>
                    <w:bidi w:val="0"/>
                    <w:spacing w:line="240" w:lineRule="auto"/>
                    <w:rPr>
                      <w:rFonts w:hint="eastAsia" w:eastAsia="宋体"/>
                      <w:b w:val="0"/>
                      <w:bCs w:val="0"/>
                      <w:sz w:val="21"/>
                      <w:szCs w:val="18"/>
                      <w:lang w:eastAsia="zh-CN"/>
                    </w:rPr>
                  </w:pPr>
                  <w:r>
                    <w:rPr>
                      <w:rFonts w:hint="eastAsia"/>
                      <w:b w:val="0"/>
                      <w:bCs w:val="0"/>
                      <w:sz w:val="21"/>
                      <w:szCs w:val="18"/>
                      <w:lang w:eastAsia="zh-CN"/>
                    </w:rPr>
                    <w:t>生活污水</w:t>
                  </w:r>
                </w:p>
              </w:tc>
              <w:tc>
                <w:tcPr>
                  <w:tcW w:w="2633" w:type="dxa"/>
                  <w:noWrap w:val="0"/>
                  <w:vAlign w:val="center"/>
                </w:tcPr>
                <w:p>
                  <w:pPr>
                    <w:pStyle w:val="53"/>
                    <w:bidi w:val="0"/>
                    <w:spacing w:line="240" w:lineRule="auto"/>
                    <w:rPr>
                      <w:rFonts w:hint="eastAsia"/>
                      <w:b w:val="0"/>
                      <w:bCs w:val="0"/>
                      <w:sz w:val="21"/>
                      <w:szCs w:val="18"/>
                      <w:vertAlign w:val="baseline"/>
                      <w:lang w:val="en-US" w:eastAsia="zh-CN"/>
                    </w:rPr>
                  </w:pPr>
                  <w:r>
                    <w:rPr>
                      <w:rFonts w:hint="eastAsia"/>
                      <w:b w:val="0"/>
                      <w:bCs w:val="0"/>
                      <w:sz w:val="21"/>
                      <w:szCs w:val="18"/>
                      <w:lang w:eastAsia="zh-CN"/>
                    </w:rPr>
                    <w:t>厂区东侧设置有一个</w:t>
                  </w:r>
                  <w:r>
                    <w:rPr>
                      <w:rFonts w:hint="eastAsia"/>
                      <w:b w:val="0"/>
                      <w:bCs w:val="0"/>
                      <w:sz w:val="21"/>
                      <w:szCs w:val="18"/>
                      <w:lang w:val="en-US" w:eastAsia="zh-CN"/>
                    </w:rPr>
                    <w:t>6m</w:t>
                  </w:r>
                  <w:r>
                    <w:rPr>
                      <w:rFonts w:hint="eastAsia"/>
                      <w:b w:val="0"/>
                      <w:bCs w:val="0"/>
                      <w:sz w:val="21"/>
                      <w:szCs w:val="18"/>
                      <w:vertAlign w:val="superscript"/>
                      <w:lang w:val="en-US" w:eastAsia="zh-CN"/>
                    </w:rPr>
                    <w:t>3</w:t>
                  </w:r>
                  <w:r>
                    <w:rPr>
                      <w:rFonts w:hint="eastAsia"/>
                      <w:b w:val="0"/>
                      <w:bCs w:val="0"/>
                      <w:sz w:val="21"/>
                      <w:szCs w:val="18"/>
                      <w:vertAlign w:val="baseline"/>
                      <w:lang w:val="en-US" w:eastAsia="zh-CN"/>
                    </w:rPr>
                    <w:t>的化粪池</w:t>
                  </w:r>
                </w:p>
                <w:p>
                  <w:pPr>
                    <w:pStyle w:val="53"/>
                    <w:bidi w:val="0"/>
                    <w:spacing w:line="240" w:lineRule="auto"/>
                    <w:rPr>
                      <w:rFonts w:hint="default" w:eastAsia="宋体"/>
                      <w:b w:val="0"/>
                      <w:bCs w:val="0"/>
                      <w:sz w:val="21"/>
                      <w:szCs w:val="18"/>
                      <w:vertAlign w:val="baseline"/>
                      <w:lang w:val="en-US" w:eastAsia="zh-CN"/>
                    </w:rPr>
                  </w:pPr>
                </w:p>
              </w:tc>
              <w:tc>
                <w:tcPr>
                  <w:tcW w:w="3151" w:type="dxa"/>
                  <w:noWrap w:val="0"/>
                  <w:vAlign w:val="center"/>
                </w:tcPr>
                <w:p>
                  <w:pPr>
                    <w:pStyle w:val="53"/>
                    <w:bidi w:val="0"/>
                    <w:spacing w:line="240" w:lineRule="auto"/>
                    <w:rPr>
                      <w:rFonts w:hint="default"/>
                      <w:b w:val="0"/>
                      <w:bCs w:val="0"/>
                      <w:sz w:val="21"/>
                      <w:szCs w:val="18"/>
                    </w:rPr>
                  </w:pPr>
                  <w:r>
                    <w:rPr>
                      <w:rFonts w:hint="eastAsia"/>
                      <w:b w:val="0"/>
                      <w:bCs w:val="0"/>
                      <w:sz w:val="21"/>
                      <w:szCs w:val="18"/>
                      <w:vertAlign w:val="baseline"/>
                      <w:lang w:val="en-US" w:eastAsia="zh-CN"/>
                    </w:rPr>
                    <w:t>生活污水经过化粪池处理达到《污水排入城镇下水道水质标准》（GB/T31962-2015）表1中A级标准后排入园区污水管网，最终进入工业园区污水处理厂处理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28" w:type="dxa"/>
                  <w:vMerge w:val="restart"/>
                  <w:noWrap w:val="0"/>
                  <w:vAlign w:val="center"/>
                </w:tcPr>
                <w:p>
                  <w:pPr>
                    <w:pStyle w:val="53"/>
                    <w:bidi w:val="0"/>
                    <w:spacing w:line="240" w:lineRule="auto"/>
                    <w:rPr>
                      <w:rFonts w:hint="default"/>
                      <w:b w:val="0"/>
                      <w:bCs w:val="0"/>
                      <w:sz w:val="21"/>
                      <w:szCs w:val="18"/>
                    </w:rPr>
                  </w:pPr>
                </w:p>
                <w:p>
                  <w:pPr>
                    <w:pStyle w:val="53"/>
                    <w:bidi w:val="0"/>
                    <w:spacing w:line="240" w:lineRule="auto"/>
                    <w:rPr>
                      <w:rFonts w:hint="default"/>
                      <w:b w:val="0"/>
                      <w:bCs w:val="0"/>
                      <w:sz w:val="21"/>
                      <w:szCs w:val="18"/>
                    </w:rPr>
                  </w:pPr>
                  <w:r>
                    <w:rPr>
                      <w:rFonts w:hint="default"/>
                      <w:b w:val="0"/>
                      <w:bCs w:val="0"/>
                      <w:sz w:val="21"/>
                      <w:szCs w:val="18"/>
                    </w:rPr>
                    <w:t>固废</w:t>
                  </w:r>
                </w:p>
              </w:tc>
              <w:tc>
                <w:tcPr>
                  <w:tcW w:w="725" w:type="dxa"/>
                  <w:vMerge w:val="restart"/>
                  <w:noWrap w:val="0"/>
                  <w:vAlign w:val="center"/>
                </w:tcPr>
                <w:p>
                  <w:pPr>
                    <w:pStyle w:val="53"/>
                    <w:bidi w:val="0"/>
                    <w:spacing w:line="240" w:lineRule="auto"/>
                    <w:rPr>
                      <w:rFonts w:hint="default"/>
                      <w:b w:val="0"/>
                      <w:bCs w:val="0"/>
                      <w:sz w:val="21"/>
                      <w:szCs w:val="18"/>
                    </w:rPr>
                  </w:pPr>
                  <w:r>
                    <w:rPr>
                      <w:rFonts w:hint="default"/>
                      <w:b w:val="0"/>
                      <w:bCs w:val="0"/>
                      <w:sz w:val="21"/>
                      <w:szCs w:val="18"/>
                    </w:rPr>
                    <w:t>生产</w:t>
                  </w:r>
                </w:p>
                <w:p>
                  <w:pPr>
                    <w:pStyle w:val="53"/>
                    <w:bidi w:val="0"/>
                    <w:spacing w:line="240" w:lineRule="auto"/>
                    <w:rPr>
                      <w:rFonts w:hint="default"/>
                      <w:b w:val="0"/>
                      <w:bCs w:val="0"/>
                      <w:sz w:val="21"/>
                      <w:szCs w:val="18"/>
                    </w:rPr>
                  </w:pPr>
                  <w:r>
                    <w:rPr>
                      <w:rFonts w:hint="default"/>
                      <w:b w:val="0"/>
                      <w:bCs w:val="0"/>
                      <w:sz w:val="21"/>
                      <w:szCs w:val="18"/>
                    </w:rPr>
                    <w:t>生活</w:t>
                  </w:r>
                </w:p>
              </w:tc>
              <w:tc>
                <w:tcPr>
                  <w:tcW w:w="1159" w:type="dxa"/>
                  <w:noWrap w:val="0"/>
                  <w:vAlign w:val="center"/>
                </w:tcPr>
                <w:p>
                  <w:pPr>
                    <w:pStyle w:val="53"/>
                    <w:bidi w:val="0"/>
                    <w:spacing w:line="240" w:lineRule="auto"/>
                    <w:rPr>
                      <w:rFonts w:hint="eastAsia"/>
                      <w:b w:val="0"/>
                      <w:bCs w:val="0"/>
                      <w:sz w:val="21"/>
                      <w:szCs w:val="18"/>
                      <w:lang w:eastAsia="zh-CN"/>
                    </w:rPr>
                  </w:pPr>
                  <w:r>
                    <w:rPr>
                      <w:rFonts w:hint="eastAsia"/>
                      <w:b w:val="0"/>
                      <w:bCs w:val="0"/>
                      <w:sz w:val="21"/>
                      <w:szCs w:val="18"/>
                      <w:lang w:eastAsia="zh-CN"/>
                    </w:rPr>
                    <w:t>一般工业固废</w:t>
                  </w:r>
                </w:p>
              </w:tc>
              <w:tc>
                <w:tcPr>
                  <w:tcW w:w="2633" w:type="dxa"/>
                  <w:noWrap w:val="0"/>
                  <w:vAlign w:val="center"/>
                </w:tcPr>
                <w:p>
                  <w:pPr>
                    <w:pStyle w:val="53"/>
                    <w:bidi w:val="0"/>
                    <w:spacing w:line="240" w:lineRule="auto"/>
                    <w:rPr>
                      <w:rFonts w:hint="default"/>
                      <w:b w:val="0"/>
                      <w:bCs w:val="0"/>
                      <w:sz w:val="21"/>
                      <w:szCs w:val="18"/>
                      <w:lang w:val="en-US" w:eastAsia="zh-CN"/>
                    </w:rPr>
                  </w:pPr>
                  <w:r>
                    <w:rPr>
                      <w:rFonts w:hint="eastAsia"/>
                      <w:b w:val="0"/>
                      <w:bCs w:val="0"/>
                      <w:sz w:val="21"/>
                      <w:szCs w:val="18"/>
                      <w:lang w:val="en-US" w:eastAsia="zh-CN"/>
                    </w:rPr>
                    <w:t>30m</w:t>
                  </w:r>
                  <w:r>
                    <w:rPr>
                      <w:rFonts w:hint="eastAsia"/>
                      <w:b w:val="0"/>
                      <w:bCs w:val="0"/>
                      <w:sz w:val="21"/>
                      <w:szCs w:val="18"/>
                      <w:vertAlign w:val="superscript"/>
                      <w:lang w:val="en-US" w:eastAsia="zh-CN"/>
                    </w:rPr>
                    <w:t>3</w:t>
                  </w:r>
                  <w:r>
                    <w:rPr>
                      <w:rFonts w:hint="eastAsia"/>
                      <w:b w:val="0"/>
                      <w:bCs w:val="0"/>
                      <w:sz w:val="21"/>
                      <w:szCs w:val="18"/>
                      <w:lang w:val="en-US" w:eastAsia="zh-CN"/>
                    </w:rPr>
                    <w:t>的一般固废暂存间，收集储存一般固体废物，然后外售</w:t>
                  </w:r>
                </w:p>
              </w:tc>
              <w:tc>
                <w:tcPr>
                  <w:tcW w:w="3151" w:type="dxa"/>
                  <w:vMerge w:val="restart"/>
                  <w:noWrap w:val="0"/>
                  <w:vAlign w:val="center"/>
                </w:tcPr>
                <w:p>
                  <w:pPr>
                    <w:pStyle w:val="53"/>
                    <w:bidi w:val="0"/>
                    <w:spacing w:line="240" w:lineRule="auto"/>
                    <w:rPr>
                      <w:rFonts w:hint="default"/>
                      <w:b w:val="0"/>
                      <w:bCs w:val="0"/>
                      <w:sz w:val="21"/>
                      <w:szCs w:val="18"/>
                    </w:rPr>
                  </w:pPr>
                  <w:r>
                    <w:rPr>
                      <w:rFonts w:hint="default"/>
                      <w:b w:val="0"/>
                      <w:bCs w:val="0"/>
                      <w:sz w:val="21"/>
                      <w:szCs w:val="18"/>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28" w:type="dxa"/>
                  <w:vMerge w:val="continue"/>
                  <w:noWrap w:val="0"/>
                  <w:vAlign w:val="center"/>
                </w:tcPr>
                <w:p>
                  <w:pPr>
                    <w:pStyle w:val="53"/>
                    <w:bidi w:val="0"/>
                    <w:spacing w:line="240" w:lineRule="auto"/>
                    <w:rPr>
                      <w:rFonts w:hint="default"/>
                      <w:b w:val="0"/>
                      <w:bCs w:val="0"/>
                      <w:sz w:val="21"/>
                      <w:szCs w:val="18"/>
                    </w:rPr>
                  </w:pPr>
                </w:p>
              </w:tc>
              <w:tc>
                <w:tcPr>
                  <w:tcW w:w="725" w:type="dxa"/>
                  <w:vMerge w:val="continue"/>
                  <w:noWrap w:val="0"/>
                  <w:vAlign w:val="center"/>
                </w:tcPr>
                <w:p>
                  <w:pPr>
                    <w:pStyle w:val="53"/>
                    <w:bidi w:val="0"/>
                    <w:spacing w:line="240" w:lineRule="auto"/>
                    <w:rPr>
                      <w:rFonts w:hint="default"/>
                      <w:b w:val="0"/>
                      <w:bCs w:val="0"/>
                      <w:sz w:val="21"/>
                      <w:szCs w:val="18"/>
                    </w:rPr>
                  </w:pPr>
                </w:p>
              </w:tc>
              <w:tc>
                <w:tcPr>
                  <w:tcW w:w="1159" w:type="dxa"/>
                  <w:noWrap w:val="0"/>
                  <w:vAlign w:val="center"/>
                </w:tcPr>
                <w:p>
                  <w:pPr>
                    <w:pStyle w:val="53"/>
                    <w:bidi w:val="0"/>
                    <w:spacing w:line="240" w:lineRule="auto"/>
                    <w:rPr>
                      <w:rFonts w:hint="eastAsia"/>
                      <w:b w:val="0"/>
                      <w:bCs w:val="0"/>
                      <w:sz w:val="21"/>
                      <w:szCs w:val="18"/>
                      <w:lang w:eastAsia="zh-CN"/>
                    </w:rPr>
                  </w:pPr>
                  <w:r>
                    <w:rPr>
                      <w:rFonts w:hint="eastAsia"/>
                      <w:b w:val="0"/>
                      <w:bCs w:val="0"/>
                      <w:sz w:val="21"/>
                      <w:szCs w:val="18"/>
                      <w:lang w:eastAsia="zh-CN"/>
                    </w:rPr>
                    <w:t>生活垃圾</w:t>
                  </w:r>
                </w:p>
              </w:tc>
              <w:tc>
                <w:tcPr>
                  <w:tcW w:w="2633" w:type="dxa"/>
                  <w:noWrap w:val="0"/>
                  <w:vAlign w:val="center"/>
                </w:tcPr>
                <w:p>
                  <w:pPr>
                    <w:pStyle w:val="53"/>
                    <w:bidi w:val="0"/>
                    <w:spacing w:line="240" w:lineRule="auto"/>
                    <w:rPr>
                      <w:rFonts w:hint="eastAsia"/>
                      <w:b w:val="0"/>
                      <w:bCs w:val="0"/>
                      <w:sz w:val="21"/>
                      <w:szCs w:val="18"/>
                      <w:lang w:eastAsia="zh-CN"/>
                    </w:rPr>
                  </w:pPr>
                  <w:r>
                    <w:rPr>
                      <w:rFonts w:hint="eastAsia"/>
                      <w:b w:val="0"/>
                      <w:bCs w:val="0"/>
                      <w:sz w:val="21"/>
                      <w:szCs w:val="18"/>
                      <w:lang w:eastAsia="zh-CN"/>
                    </w:rPr>
                    <w:t>生活垃圾收集桶收集后交环卫部门进行处理</w:t>
                  </w:r>
                </w:p>
              </w:tc>
              <w:tc>
                <w:tcPr>
                  <w:tcW w:w="3151" w:type="dxa"/>
                  <w:vMerge w:val="continue"/>
                  <w:noWrap w:val="0"/>
                  <w:vAlign w:val="center"/>
                </w:tcPr>
                <w:p>
                  <w:pPr>
                    <w:pStyle w:val="53"/>
                    <w:bidi w:val="0"/>
                    <w:spacing w:line="240" w:lineRule="auto"/>
                    <w:rPr>
                      <w:rFonts w:hint="default"/>
                      <w:b w:val="0"/>
                      <w:bCs w:val="0"/>
                      <w:sz w:val="21"/>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3" w:hRule="atLeast"/>
                <w:jc w:val="center"/>
              </w:trPr>
              <w:tc>
                <w:tcPr>
                  <w:tcW w:w="628" w:type="dxa"/>
                  <w:vMerge w:val="continue"/>
                  <w:noWrap w:val="0"/>
                  <w:vAlign w:val="center"/>
                </w:tcPr>
                <w:p>
                  <w:pPr>
                    <w:pStyle w:val="53"/>
                    <w:bidi w:val="0"/>
                    <w:spacing w:line="240" w:lineRule="auto"/>
                    <w:rPr>
                      <w:rFonts w:hint="default"/>
                      <w:b w:val="0"/>
                      <w:bCs w:val="0"/>
                      <w:sz w:val="21"/>
                      <w:szCs w:val="18"/>
                    </w:rPr>
                  </w:pPr>
                </w:p>
              </w:tc>
              <w:tc>
                <w:tcPr>
                  <w:tcW w:w="725" w:type="dxa"/>
                  <w:vMerge w:val="continue"/>
                  <w:noWrap w:val="0"/>
                  <w:vAlign w:val="center"/>
                </w:tcPr>
                <w:p>
                  <w:pPr>
                    <w:pStyle w:val="53"/>
                    <w:bidi w:val="0"/>
                    <w:spacing w:line="240" w:lineRule="auto"/>
                    <w:rPr>
                      <w:rFonts w:hint="default"/>
                      <w:b w:val="0"/>
                      <w:bCs w:val="0"/>
                      <w:sz w:val="21"/>
                      <w:szCs w:val="18"/>
                    </w:rPr>
                  </w:pPr>
                </w:p>
              </w:tc>
              <w:tc>
                <w:tcPr>
                  <w:tcW w:w="1159" w:type="dxa"/>
                  <w:noWrap w:val="0"/>
                  <w:vAlign w:val="center"/>
                </w:tcPr>
                <w:p>
                  <w:pPr>
                    <w:pStyle w:val="53"/>
                    <w:bidi w:val="0"/>
                    <w:spacing w:line="240" w:lineRule="auto"/>
                    <w:rPr>
                      <w:rFonts w:hint="default"/>
                      <w:b w:val="0"/>
                      <w:bCs w:val="0"/>
                      <w:sz w:val="21"/>
                      <w:szCs w:val="18"/>
                      <w:lang w:eastAsia="zh-CN"/>
                    </w:rPr>
                  </w:pPr>
                  <w:r>
                    <w:rPr>
                      <w:rFonts w:hint="eastAsia"/>
                      <w:b w:val="0"/>
                      <w:bCs w:val="0"/>
                      <w:sz w:val="21"/>
                      <w:szCs w:val="18"/>
                      <w:lang w:eastAsia="zh-CN"/>
                    </w:rPr>
                    <w:t>危废</w:t>
                  </w:r>
                </w:p>
              </w:tc>
              <w:tc>
                <w:tcPr>
                  <w:tcW w:w="2633" w:type="dxa"/>
                  <w:noWrap w:val="0"/>
                  <w:vAlign w:val="center"/>
                </w:tcPr>
                <w:p>
                  <w:pPr>
                    <w:pStyle w:val="53"/>
                    <w:bidi w:val="0"/>
                    <w:spacing w:line="240" w:lineRule="auto"/>
                    <w:rPr>
                      <w:rFonts w:hint="default"/>
                      <w:b w:val="0"/>
                      <w:bCs w:val="0"/>
                      <w:sz w:val="21"/>
                      <w:szCs w:val="18"/>
                    </w:rPr>
                  </w:pPr>
                  <w:r>
                    <w:rPr>
                      <w:rFonts w:hint="default"/>
                      <w:b w:val="0"/>
                      <w:bCs w:val="0"/>
                      <w:sz w:val="21"/>
                      <w:szCs w:val="18"/>
                    </w:rPr>
                    <w:t>设危废暂存间</w:t>
                  </w:r>
                  <w:r>
                    <w:rPr>
                      <w:rFonts w:hint="eastAsia"/>
                      <w:b w:val="0"/>
                      <w:bCs w:val="0"/>
                      <w:sz w:val="21"/>
                      <w:szCs w:val="18"/>
                      <w:lang w:val="en-US" w:eastAsia="zh-CN"/>
                    </w:rPr>
                    <w:t>8m</w:t>
                  </w:r>
                  <w:r>
                    <w:rPr>
                      <w:rFonts w:hint="eastAsia"/>
                      <w:b w:val="0"/>
                      <w:bCs w:val="0"/>
                      <w:sz w:val="21"/>
                      <w:szCs w:val="18"/>
                      <w:vertAlign w:val="superscript"/>
                      <w:lang w:val="en-US" w:eastAsia="zh-CN"/>
                    </w:rPr>
                    <w:t>2</w:t>
                  </w:r>
                  <w:r>
                    <w:rPr>
                      <w:rFonts w:hint="default"/>
                      <w:b w:val="0"/>
                      <w:bCs w:val="0"/>
                      <w:sz w:val="21"/>
                      <w:szCs w:val="18"/>
                    </w:rPr>
                    <w:t>，进行防渗处理</w:t>
                  </w:r>
                  <w:r>
                    <w:rPr>
                      <w:rFonts w:hint="eastAsia"/>
                      <w:b w:val="0"/>
                      <w:bCs w:val="0"/>
                      <w:sz w:val="21"/>
                      <w:szCs w:val="18"/>
                      <w:lang w:eastAsia="zh-CN"/>
                    </w:rPr>
                    <w:t>（防渗系数</w:t>
                  </w:r>
                  <w:r>
                    <w:rPr>
                      <w:rFonts w:hint="eastAsia"/>
                      <w:b w:val="0"/>
                      <w:bCs w:val="0"/>
                      <w:sz w:val="21"/>
                      <w:szCs w:val="18"/>
                      <w:lang w:val="en-US" w:eastAsia="zh-CN"/>
                    </w:rPr>
                    <w:t>10×10</w:t>
                  </w:r>
                  <w:r>
                    <w:rPr>
                      <w:rFonts w:hint="eastAsia"/>
                      <w:b w:val="0"/>
                      <w:bCs w:val="0"/>
                      <w:sz w:val="21"/>
                      <w:szCs w:val="18"/>
                      <w:vertAlign w:val="superscript"/>
                      <w:lang w:val="en-US" w:eastAsia="zh-CN"/>
                    </w:rPr>
                    <w:t>-7</w:t>
                  </w:r>
                  <w:r>
                    <w:rPr>
                      <w:rFonts w:hint="eastAsia"/>
                      <w:b w:val="0"/>
                      <w:bCs w:val="0"/>
                      <w:sz w:val="21"/>
                      <w:szCs w:val="18"/>
                      <w:lang w:val="en-US" w:eastAsia="zh-CN"/>
                    </w:rPr>
                    <w:t>cm/s</w:t>
                  </w:r>
                  <w:r>
                    <w:rPr>
                      <w:rFonts w:hint="eastAsia"/>
                      <w:b w:val="0"/>
                      <w:bCs w:val="0"/>
                      <w:sz w:val="21"/>
                      <w:szCs w:val="18"/>
                      <w:lang w:eastAsia="zh-CN"/>
                    </w:rPr>
                    <w:t>）</w:t>
                  </w:r>
                  <w:r>
                    <w:rPr>
                      <w:rFonts w:hint="default"/>
                      <w:b w:val="0"/>
                      <w:bCs w:val="0"/>
                      <w:sz w:val="21"/>
                      <w:szCs w:val="18"/>
                    </w:rPr>
                    <w:t>，暂存间内分区，不相容的危险废物必须分开存放，暂存间设标识标牌</w:t>
                  </w:r>
                  <w:r>
                    <w:rPr>
                      <w:rFonts w:hint="eastAsia"/>
                      <w:b w:val="0"/>
                      <w:bCs w:val="0"/>
                      <w:sz w:val="21"/>
                      <w:szCs w:val="18"/>
                      <w:lang w:eastAsia="zh-CN"/>
                    </w:rPr>
                    <w:t>，设置台账</w:t>
                  </w:r>
                  <w:r>
                    <w:rPr>
                      <w:rFonts w:hint="default"/>
                      <w:b w:val="0"/>
                      <w:bCs w:val="0"/>
                      <w:sz w:val="21"/>
                      <w:szCs w:val="18"/>
                    </w:rPr>
                    <w:t>；废</w:t>
                  </w:r>
                  <w:r>
                    <w:rPr>
                      <w:rFonts w:hint="eastAsia"/>
                      <w:b w:val="0"/>
                      <w:bCs w:val="0"/>
                      <w:sz w:val="21"/>
                      <w:szCs w:val="18"/>
                      <w:lang w:eastAsia="zh-CN"/>
                    </w:rPr>
                    <w:t>机</w:t>
                  </w:r>
                  <w:r>
                    <w:rPr>
                      <w:rFonts w:hint="default"/>
                      <w:b w:val="0"/>
                      <w:bCs w:val="0"/>
                      <w:sz w:val="21"/>
                      <w:szCs w:val="18"/>
                    </w:rPr>
                    <w:t>油、废</w:t>
                  </w:r>
                  <w:r>
                    <w:rPr>
                      <w:rFonts w:hint="eastAsia"/>
                      <w:b w:val="0"/>
                      <w:bCs w:val="0"/>
                      <w:sz w:val="21"/>
                      <w:szCs w:val="18"/>
                      <w:lang w:eastAsia="zh-CN"/>
                    </w:rPr>
                    <w:t>过滤棉+活性炭</w:t>
                  </w:r>
                  <w:r>
                    <w:rPr>
                      <w:rFonts w:hint="default"/>
                      <w:b w:val="0"/>
                      <w:bCs w:val="0"/>
                      <w:sz w:val="21"/>
                      <w:szCs w:val="18"/>
                    </w:rPr>
                    <w:t>需分别收集盛装于危险废物收集容器内，废原料桶无法装入常用容器，可用防胶袋盛装，容器设标识标签</w:t>
                  </w:r>
                </w:p>
              </w:tc>
              <w:tc>
                <w:tcPr>
                  <w:tcW w:w="3151" w:type="dxa"/>
                  <w:vMerge w:val="continue"/>
                  <w:noWrap w:val="0"/>
                  <w:vAlign w:val="center"/>
                </w:tcPr>
                <w:p>
                  <w:pPr>
                    <w:pStyle w:val="53"/>
                    <w:bidi w:val="0"/>
                    <w:spacing w:line="240" w:lineRule="auto"/>
                    <w:rPr>
                      <w:rFonts w:hint="default"/>
                      <w:b w:val="0"/>
                      <w:bCs w:val="0"/>
                      <w:sz w:val="21"/>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628" w:type="dxa"/>
                  <w:noWrap w:val="0"/>
                  <w:vAlign w:val="center"/>
                </w:tcPr>
                <w:p>
                  <w:pPr>
                    <w:pStyle w:val="53"/>
                    <w:bidi w:val="0"/>
                    <w:spacing w:line="240" w:lineRule="auto"/>
                    <w:rPr>
                      <w:rFonts w:hint="default"/>
                      <w:b w:val="0"/>
                      <w:bCs w:val="0"/>
                      <w:sz w:val="21"/>
                      <w:szCs w:val="18"/>
                    </w:rPr>
                  </w:pPr>
                  <w:r>
                    <w:rPr>
                      <w:rFonts w:hint="default"/>
                      <w:b w:val="0"/>
                      <w:bCs w:val="0"/>
                      <w:sz w:val="21"/>
                      <w:szCs w:val="18"/>
                    </w:rPr>
                    <w:t>环境管理</w:t>
                  </w:r>
                </w:p>
              </w:tc>
              <w:tc>
                <w:tcPr>
                  <w:tcW w:w="7668" w:type="dxa"/>
                  <w:gridSpan w:val="4"/>
                  <w:noWrap w:val="0"/>
                  <w:vAlign w:val="center"/>
                </w:tcPr>
                <w:p>
                  <w:pPr>
                    <w:pStyle w:val="53"/>
                    <w:bidi w:val="0"/>
                    <w:spacing w:line="240" w:lineRule="auto"/>
                    <w:jc w:val="left"/>
                    <w:rPr>
                      <w:rFonts w:hint="default"/>
                      <w:b w:val="0"/>
                      <w:bCs w:val="0"/>
                      <w:sz w:val="21"/>
                      <w:szCs w:val="18"/>
                    </w:rPr>
                  </w:pPr>
                  <w:r>
                    <w:rPr>
                      <w:rFonts w:hint="default"/>
                      <w:b w:val="0"/>
                      <w:bCs w:val="0"/>
                      <w:sz w:val="21"/>
                      <w:szCs w:val="18"/>
                    </w:rPr>
                    <w:t>1、加强生产管理和设备设施的日常维护及监控工作，保证污水处理设施正常运行。</w:t>
                  </w:r>
                </w:p>
                <w:p>
                  <w:pPr>
                    <w:pStyle w:val="53"/>
                    <w:bidi w:val="0"/>
                    <w:spacing w:line="240" w:lineRule="auto"/>
                    <w:jc w:val="left"/>
                    <w:rPr>
                      <w:rFonts w:hint="default"/>
                      <w:b w:val="0"/>
                      <w:bCs w:val="0"/>
                      <w:sz w:val="21"/>
                      <w:szCs w:val="18"/>
                    </w:rPr>
                  </w:pPr>
                  <w:r>
                    <w:rPr>
                      <w:rFonts w:hint="default"/>
                      <w:b w:val="0"/>
                      <w:bCs w:val="0"/>
                      <w:sz w:val="21"/>
                      <w:szCs w:val="18"/>
                    </w:rPr>
                    <w:t>2、加强环保设施的维护检修，保障环保设施的处理效率。</w:t>
                  </w:r>
                </w:p>
                <w:p>
                  <w:pPr>
                    <w:pStyle w:val="53"/>
                    <w:bidi w:val="0"/>
                    <w:spacing w:line="240" w:lineRule="auto"/>
                    <w:jc w:val="left"/>
                    <w:rPr>
                      <w:rFonts w:hint="default"/>
                      <w:b w:val="0"/>
                      <w:bCs w:val="0"/>
                      <w:sz w:val="21"/>
                      <w:szCs w:val="18"/>
                    </w:rPr>
                  </w:pPr>
                  <w:r>
                    <w:rPr>
                      <w:rFonts w:hint="default"/>
                      <w:b w:val="0"/>
                      <w:bCs w:val="0"/>
                      <w:sz w:val="21"/>
                      <w:szCs w:val="18"/>
                    </w:rPr>
                    <w:t>3、建立、健全生产环保规章制度。</w:t>
                  </w:r>
                </w:p>
                <w:p>
                  <w:pPr>
                    <w:pStyle w:val="53"/>
                    <w:bidi w:val="0"/>
                    <w:spacing w:line="240" w:lineRule="auto"/>
                    <w:jc w:val="left"/>
                    <w:rPr>
                      <w:rFonts w:hint="default"/>
                      <w:b w:val="0"/>
                      <w:bCs w:val="0"/>
                      <w:sz w:val="21"/>
                      <w:szCs w:val="18"/>
                    </w:rPr>
                  </w:pPr>
                  <w:r>
                    <w:rPr>
                      <w:rFonts w:hint="default"/>
                      <w:b w:val="0"/>
                      <w:bCs w:val="0"/>
                      <w:sz w:val="21"/>
                      <w:szCs w:val="18"/>
                    </w:rPr>
                    <w:t>4、严格在岗人员操作管理。</w:t>
                  </w:r>
                </w:p>
              </w:tc>
            </w:tr>
          </w:tbl>
          <w:p>
            <w:pPr>
              <w:pStyle w:val="18"/>
              <w:jc w:val="both"/>
            </w:pPr>
          </w:p>
          <w:p>
            <w:pPr>
              <w:adjustRightInd w:val="0"/>
              <w:snapToGrid w:val="0"/>
              <w:spacing w:before="240"/>
              <w:ind w:firstLine="475" w:firstLineChars="197"/>
              <w:jc w:val="both"/>
              <w:rPr>
                <w:b/>
                <w:sz w:val="24"/>
                <w:szCs w:val="22"/>
              </w:rPr>
            </w:pPr>
            <w:r>
              <w:rPr>
                <w:rFonts w:hint="eastAsia"/>
                <w:b/>
                <w:sz w:val="24"/>
                <w:szCs w:val="22"/>
                <w:lang w:eastAsia="zh-CN"/>
              </w:rPr>
              <w:t>八</w:t>
            </w:r>
            <w:r>
              <w:rPr>
                <w:b/>
                <w:sz w:val="24"/>
                <w:szCs w:val="22"/>
              </w:rPr>
              <w:t>、</w:t>
            </w:r>
            <w:r>
              <w:rPr>
                <w:rFonts w:hint="eastAsia"/>
                <w:b/>
                <w:sz w:val="24"/>
                <w:szCs w:val="22"/>
              </w:rPr>
              <w:t>项目排污许可</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1、排污许可相关要求</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根据《排污许可管理办法（试行）》（环境保护部令第48号令，2019年8月22日生态环境部令第7号令修改），本项目应在投入生产并产生实际排污行为之前申请领取排污许可证。建设单位应按照环境保护部制定的排污许可证申请与核发技术规范，包括《排污许可证申请与核发技术规范 总则》</w:t>
            </w:r>
            <w:r>
              <w:rPr>
                <w:rFonts w:hint="default" w:ascii="Times New Roman" w:hAnsi="Times New Roman" w:cs="Times New Roman"/>
                <w:sz w:val="24"/>
                <w:szCs w:val="24"/>
                <w:lang w:val="en-US" w:eastAsia="zh-CN"/>
              </w:rPr>
              <w:t>(HJ942-2018)</w:t>
            </w:r>
            <w:r>
              <w:rPr>
                <w:rFonts w:hint="eastAsia" w:ascii="Times New Roman" w:hAnsi="Times New Roman" w:cs="Times New Roman"/>
                <w:sz w:val="24"/>
                <w:szCs w:val="24"/>
                <w:lang w:val="en-US" w:eastAsia="zh-CN"/>
              </w:rPr>
              <w:t>、《在全国排污许可证管理信息平台申报系统填报《排污许可证申请表》中的相关信息表，提交排污许可申请。</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建设单位应当严格执行排污许可证的规定：</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基本信息填报应包括：单位名称、是否需要整改、排污许可证管理类别、邮政编码、是否投产、投产日期、生产经营场所中心经纬度、所在地是否属于环境敏感区（如大气重点控制区域、总磷总氮控制区等）、所属工业园区名称、环境影响评价审批意见文号（备案编号）、地方政府对违规项目的认定或备案文件文号、主要污染物总量分配计划文件文号、颗粒物总量指标（t/a）、二氧化硫总量指标（t/a）、氮氧化物总量指标（t/a）、化学需氧量总量指标（t/a）、氨氮总量指标（t/a）、其他污染物总量指标（如有）等。</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落实重污染天气应急管控措施、遵守法律规定的最新环境保护要求等；按排污许可证规定的监测点位、监测因子、监测频次和相关监测技术规范开展自行监测并公开；按规范进行台账记录，主要内容包括生产信息、燃料、原辅材料使用情况、污染防治设施运行记录、监测数据等；</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按排污许可证规定，定期在全国排污许可证管理信息平台填报信息，编制排污许可证执行报告，及时报送有核发权的环境保护主管部门并公开，执行报告主要内容包括生产信息、污染防治设施运行情况、污染物按证排放情况等。</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2、排污口规范化设置</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废气排放口、噪声源必须按照国家有关规定进行建设，应符合“一明显、二合理、三便 于”的要求，即环保标志明显，排污口（接管口）设置合理，便于采集样品、便于监测计量、 便于监督管理。同时要求按照国家环保总局制定的《环境保护图形标志实施细则（试行）》 的规定，设置与排污口相应的图形标志牌。</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1</w:t>
            </w:r>
            <w:r>
              <w:rPr>
                <w:rFonts w:hint="eastAsia" w:ascii="Times New Roman" w:hAnsi="Times New Roman" w:cs="Times New Roman"/>
                <w:sz w:val="24"/>
                <w:szCs w:val="24"/>
                <w:lang w:val="en-US" w:eastAsia="zh-CN"/>
              </w:rPr>
              <w:t xml:space="preserve">）排污口管理 </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建设单位应在各个排污口处树立标志牌，并如实填写《中华人民共和国规范化排污口标 记登记证》，由环保部门签发。环保主管部门和建设单位可分别按以下内容建立排污口管理 的专门档案：排污口性质和编号；位置；排放主要污染物种类、数量、浓度；排放去向；达 标情况；治理设施运行情况及整改意见。</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2</w:t>
            </w:r>
            <w:r>
              <w:rPr>
                <w:rFonts w:hint="eastAsia" w:ascii="Times New Roman" w:hAnsi="Times New Roman" w:cs="Times New Roman"/>
                <w:sz w:val="24"/>
                <w:szCs w:val="24"/>
                <w:lang w:val="en-US" w:eastAsia="zh-CN"/>
              </w:rPr>
              <w:t xml:space="preserve">）环境保护图形标志 </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在项目区的废气排放口应设置环境保护图形标志，图形符号分为提示图形和警告图形符 号两种，分别按 </w:t>
            </w:r>
            <w:r>
              <w:rPr>
                <w:rFonts w:hint="default" w:ascii="Times New Roman" w:hAnsi="Times New Roman" w:cs="Times New Roman"/>
                <w:sz w:val="24"/>
                <w:szCs w:val="24"/>
                <w:lang w:val="en-US" w:eastAsia="zh-CN"/>
              </w:rPr>
              <w:t>GB15562.1-1995</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GB15562.2-1995 </w:t>
            </w:r>
            <w:r>
              <w:rPr>
                <w:rFonts w:hint="eastAsia" w:ascii="Times New Roman" w:hAnsi="Times New Roman" w:cs="Times New Roman"/>
                <w:sz w:val="24"/>
                <w:szCs w:val="24"/>
                <w:lang w:val="en-US" w:eastAsia="zh-CN"/>
              </w:rPr>
              <w:t>执行。</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3、污染物排放清单</w:t>
            </w:r>
          </w:p>
          <w:p>
            <w:pPr>
              <w:spacing w:line="240" w:lineRule="auto"/>
              <w:ind w:firstLine="0" w:firstLineChars="0"/>
              <w:jc w:val="center"/>
              <w:rPr>
                <w:b/>
                <w:szCs w:val="21"/>
              </w:rPr>
            </w:pPr>
            <w:r>
              <w:rPr>
                <w:rFonts w:hint="eastAsia"/>
                <w:b/>
                <w:szCs w:val="21"/>
              </w:rPr>
              <w:t>表7-2</w:t>
            </w:r>
            <w:r>
              <w:rPr>
                <w:rFonts w:hint="eastAsia"/>
                <w:b/>
                <w:szCs w:val="21"/>
                <w:lang w:val="en-US" w:eastAsia="zh-CN"/>
              </w:rPr>
              <w:t>4</w:t>
            </w:r>
            <w:r>
              <w:rPr>
                <w:rFonts w:hint="eastAsia"/>
                <w:b/>
                <w:szCs w:val="21"/>
              </w:rPr>
              <w:t xml:space="preserve"> 项目污染物排放清单</w:t>
            </w:r>
          </w:p>
          <w:tbl>
            <w:tblPr>
              <w:tblStyle w:val="37"/>
              <w:tblW w:w="4990" w:type="pct"/>
              <w:tblInd w:w="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266"/>
              <w:gridCol w:w="760"/>
              <w:gridCol w:w="859"/>
              <w:gridCol w:w="949"/>
              <w:gridCol w:w="1592"/>
              <w:gridCol w:w="1970"/>
              <w:gridCol w:w="533"/>
              <w:gridCol w:w="708"/>
              <w:gridCol w:w="54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650" w:type="pct"/>
                  <w:gridSpan w:val="2"/>
                  <w:tcBorders>
                    <w:tl2br w:val="nil"/>
                    <w:tr2bl w:val="nil"/>
                  </w:tcBorders>
                  <w:vAlign w:val="center"/>
                </w:tcPr>
                <w:p>
                  <w:pPr>
                    <w:pStyle w:val="53"/>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污染源</w:t>
                  </w:r>
                </w:p>
              </w:tc>
              <w:tc>
                <w:tcPr>
                  <w:tcW w:w="525" w:type="pct"/>
                  <w:tcBorders>
                    <w:tl2br w:val="nil"/>
                    <w:tr2bl w:val="nil"/>
                  </w:tcBorders>
                  <w:vAlign w:val="center"/>
                </w:tcPr>
                <w:p>
                  <w:pPr>
                    <w:pStyle w:val="53"/>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污染物</w:t>
                  </w:r>
                </w:p>
                <w:p>
                  <w:pPr>
                    <w:pStyle w:val="53"/>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w:t>
                  </w:r>
                </w:p>
              </w:tc>
              <w:tc>
                <w:tcPr>
                  <w:tcW w:w="579" w:type="pct"/>
                  <w:tcBorders>
                    <w:tl2br w:val="nil"/>
                    <w:tr2bl w:val="nil"/>
                  </w:tcBorders>
                  <w:vAlign w:val="center"/>
                </w:tcPr>
                <w:p>
                  <w:pPr>
                    <w:pStyle w:val="53"/>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排放量</w:t>
                  </w:r>
                </w:p>
              </w:tc>
              <w:tc>
                <w:tcPr>
                  <w:tcW w:w="1014" w:type="pct"/>
                  <w:tcBorders>
                    <w:tl2br w:val="nil"/>
                    <w:tr2bl w:val="nil"/>
                  </w:tcBorders>
                  <w:vAlign w:val="center"/>
                </w:tcPr>
                <w:p>
                  <w:pPr>
                    <w:pStyle w:val="53"/>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处置措施</w:t>
                  </w:r>
                </w:p>
              </w:tc>
              <w:tc>
                <w:tcPr>
                  <w:tcW w:w="1089" w:type="pct"/>
                  <w:tcBorders>
                    <w:tl2br w:val="nil"/>
                    <w:tr2bl w:val="nil"/>
                  </w:tcBorders>
                  <w:vAlign w:val="center"/>
                </w:tcPr>
                <w:p>
                  <w:pPr>
                    <w:pStyle w:val="53"/>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执行标准</w:t>
                  </w:r>
                </w:p>
              </w:tc>
              <w:tc>
                <w:tcPr>
                  <w:tcW w:w="349" w:type="pct"/>
                  <w:tcBorders>
                    <w:tl2br w:val="nil"/>
                    <w:tr2bl w:val="nil"/>
                  </w:tcBorders>
                  <w:vAlign w:val="center"/>
                </w:tcPr>
                <w:p>
                  <w:pPr>
                    <w:pStyle w:val="53"/>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达标情况</w:t>
                  </w:r>
                </w:p>
              </w:tc>
              <w:tc>
                <w:tcPr>
                  <w:tcW w:w="456" w:type="pct"/>
                  <w:tcBorders>
                    <w:tl2br w:val="nil"/>
                    <w:tr2bl w:val="nil"/>
                  </w:tcBorders>
                  <w:vAlign w:val="center"/>
                </w:tcPr>
                <w:p>
                  <w:pPr>
                    <w:pStyle w:val="53"/>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排污口设置</w:t>
                  </w:r>
                </w:p>
              </w:tc>
              <w:tc>
                <w:tcPr>
                  <w:tcW w:w="334" w:type="pct"/>
                  <w:tcBorders>
                    <w:tl2br w:val="nil"/>
                    <w:tr2bl w:val="nil"/>
                  </w:tcBorders>
                  <w:vAlign w:val="center"/>
                </w:tcPr>
                <w:p>
                  <w:pPr>
                    <w:pStyle w:val="53"/>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887" w:hRule="atLeast"/>
              </w:trPr>
              <w:tc>
                <w:tcPr>
                  <w:tcW w:w="162" w:type="pct"/>
                  <w:vMerge w:val="restar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废气</w:t>
                  </w:r>
                </w:p>
              </w:tc>
              <w:tc>
                <w:tcPr>
                  <w:tcW w:w="487"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喷漆</w:t>
                  </w:r>
                </w:p>
              </w:tc>
              <w:tc>
                <w:tcPr>
                  <w:tcW w:w="525" w:type="pct"/>
                  <w:tcBorders>
                    <w:tl2br w:val="nil"/>
                    <w:tr2bl w:val="nil"/>
                  </w:tcBorders>
                  <w:vAlign w:val="center"/>
                </w:tcPr>
                <w:p>
                  <w:pPr>
                    <w:spacing w:line="240" w:lineRule="auto"/>
                    <w:ind w:firstLine="0" w:firstLineChars="0"/>
                    <w:jc w:val="center"/>
                    <w:rPr>
                      <w:rFonts w:hint="default" w:ascii="Times New Roman" w:hAnsi="Times New Roman" w:eastAsia="宋体" w:cs="Times New Roman"/>
                      <w:sz w:val="21"/>
                      <w:szCs w:val="21"/>
                      <w:vertAlign w:val="subscript"/>
                    </w:rPr>
                  </w:pPr>
                  <w:r>
                    <w:rPr>
                      <w:rFonts w:hint="default" w:ascii="Times New Roman" w:hAnsi="Times New Roman" w:eastAsia="宋体" w:cs="Times New Roman"/>
                      <w:sz w:val="21"/>
                      <w:szCs w:val="21"/>
                    </w:rPr>
                    <w:t>VOC</w:t>
                  </w:r>
                  <w:r>
                    <w:rPr>
                      <w:rFonts w:hint="default" w:ascii="Times New Roman" w:hAnsi="Times New Roman" w:eastAsia="宋体" w:cs="Times New Roman"/>
                      <w:sz w:val="21"/>
                      <w:szCs w:val="21"/>
                      <w:vertAlign w:val="subscript"/>
                    </w:rPr>
                    <w:t>S</w:t>
                  </w:r>
                </w:p>
                <w:p>
                  <w:pPr>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（有组织）</w:t>
                  </w:r>
                </w:p>
              </w:tc>
              <w:tc>
                <w:tcPr>
                  <w:tcW w:w="57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eastAsia" w:ascii="Times New Roman" w:hAnsi="Times New Roman" w:eastAsia="宋体" w:cs="Times New Roman"/>
                      <w:b w:val="0"/>
                      <w:sz w:val="21"/>
                      <w:szCs w:val="21"/>
                      <w:lang w:val="en-US" w:eastAsia="zh-CN"/>
                    </w:rPr>
                    <w:t>0.235</w:t>
                  </w:r>
                  <w:r>
                    <w:rPr>
                      <w:rFonts w:hint="default" w:ascii="Times New Roman" w:hAnsi="Times New Roman" w:eastAsia="宋体" w:cs="Times New Roman"/>
                      <w:b w:val="0"/>
                      <w:sz w:val="21"/>
                      <w:szCs w:val="21"/>
                    </w:rPr>
                    <w:t>t/a</w:t>
                  </w:r>
                </w:p>
              </w:tc>
              <w:tc>
                <w:tcPr>
                  <w:tcW w:w="1014"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bCs w:val="0"/>
                      <w:sz w:val="21"/>
                      <w:szCs w:val="21"/>
                    </w:rPr>
                    <w:t>各喷漆房分别经管道收集，最终设置1套“负压风机+过滤棉+活性炭吸附理装置+15m高排气筒”并设标识标牌</w:t>
                  </w:r>
                </w:p>
              </w:tc>
              <w:tc>
                <w:tcPr>
                  <w:tcW w:w="108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《大气污染物综合排放标准》（GB16297-1996）</w:t>
                  </w:r>
                </w:p>
              </w:tc>
              <w:tc>
                <w:tcPr>
                  <w:tcW w:w="34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达标</w:t>
                  </w:r>
                </w:p>
                <w:p>
                  <w:pPr>
                    <w:pStyle w:val="53"/>
                    <w:ind w:firstLine="480"/>
                    <w:rPr>
                      <w:rFonts w:hint="default" w:ascii="Times New Roman" w:hAnsi="Times New Roman" w:eastAsia="宋体" w:cs="Times New Roman"/>
                      <w:b w:val="0"/>
                      <w:sz w:val="21"/>
                      <w:szCs w:val="21"/>
                    </w:rPr>
                  </w:pPr>
                </w:p>
              </w:tc>
              <w:tc>
                <w:tcPr>
                  <w:tcW w:w="456"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15m高排气筒</w:t>
                  </w:r>
                </w:p>
              </w:tc>
              <w:tc>
                <w:tcPr>
                  <w:tcW w:w="334"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有组织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887" w:hRule="atLeast"/>
              </w:trPr>
              <w:tc>
                <w:tcPr>
                  <w:tcW w:w="162" w:type="pct"/>
                  <w:vMerge w:val="continue"/>
                  <w:tcBorders>
                    <w:tl2br w:val="nil"/>
                    <w:tr2bl w:val="nil"/>
                  </w:tcBorders>
                  <w:vAlign w:val="center"/>
                </w:tcPr>
                <w:p>
                  <w:pPr>
                    <w:pStyle w:val="53"/>
                    <w:rPr>
                      <w:rFonts w:hint="default" w:ascii="Times New Roman" w:hAnsi="Times New Roman" w:eastAsia="宋体" w:cs="Times New Roman"/>
                      <w:b w:val="0"/>
                      <w:sz w:val="21"/>
                      <w:szCs w:val="21"/>
                    </w:rPr>
                  </w:pPr>
                </w:p>
              </w:tc>
              <w:tc>
                <w:tcPr>
                  <w:tcW w:w="487"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喷漆</w:t>
                  </w:r>
                </w:p>
              </w:tc>
              <w:tc>
                <w:tcPr>
                  <w:tcW w:w="525" w:type="pct"/>
                  <w:tcBorders>
                    <w:tl2br w:val="nil"/>
                    <w:tr2bl w:val="nil"/>
                  </w:tcBorders>
                  <w:vAlign w:val="center"/>
                </w:tcPr>
                <w:p>
                  <w:pPr>
                    <w:spacing w:line="240" w:lineRule="auto"/>
                    <w:ind w:firstLine="0" w:firstLineChars="0"/>
                    <w:jc w:val="center"/>
                    <w:rPr>
                      <w:rFonts w:hint="default" w:ascii="Times New Roman" w:hAnsi="Times New Roman" w:eastAsia="宋体" w:cs="Times New Roman"/>
                      <w:sz w:val="21"/>
                      <w:szCs w:val="21"/>
                      <w:vertAlign w:val="subscript"/>
                    </w:rPr>
                  </w:pPr>
                  <w:r>
                    <w:rPr>
                      <w:rFonts w:hint="default" w:ascii="Times New Roman" w:hAnsi="Times New Roman" w:eastAsia="宋体" w:cs="Times New Roman"/>
                      <w:sz w:val="21"/>
                      <w:szCs w:val="21"/>
                    </w:rPr>
                    <w:t>VOC</w:t>
                  </w:r>
                  <w:r>
                    <w:rPr>
                      <w:rFonts w:hint="default" w:ascii="Times New Roman" w:hAnsi="Times New Roman" w:eastAsia="宋体" w:cs="Times New Roman"/>
                      <w:sz w:val="21"/>
                      <w:szCs w:val="21"/>
                      <w:vertAlign w:val="subscript"/>
                    </w:rPr>
                    <w:t>S</w:t>
                  </w:r>
                </w:p>
                <w:p>
                  <w:pPr>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（无组织）</w:t>
                  </w:r>
                </w:p>
              </w:tc>
              <w:tc>
                <w:tcPr>
                  <w:tcW w:w="579" w:type="pct"/>
                  <w:tcBorders>
                    <w:tl2br w:val="nil"/>
                    <w:tr2bl w:val="nil"/>
                  </w:tcBorders>
                  <w:vAlign w:val="center"/>
                </w:tcPr>
                <w:p>
                  <w:pPr>
                    <w:pStyle w:val="53"/>
                    <w:rPr>
                      <w:rFonts w:hint="default" w:ascii="Times New Roman" w:hAnsi="Times New Roman" w:eastAsia="宋体" w:cs="Times New Roman"/>
                      <w:b w:val="0"/>
                      <w:sz w:val="21"/>
                      <w:szCs w:val="21"/>
                      <w:lang w:val="en-US" w:eastAsia="zh-CN"/>
                    </w:rPr>
                  </w:pPr>
                  <w:r>
                    <w:rPr>
                      <w:rFonts w:hint="eastAsia" w:ascii="Times New Roman" w:hAnsi="Times New Roman" w:eastAsia="宋体" w:cs="Times New Roman"/>
                      <w:b w:val="0"/>
                      <w:sz w:val="21"/>
                      <w:szCs w:val="21"/>
                      <w:lang w:val="en-US" w:eastAsia="zh-CN"/>
                    </w:rPr>
                    <w:t>0.1393</w:t>
                  </w:r>
                </w:p>
              </w:tc>
              <w:tc>
                <w:tcPr>
                  <w:tcW w:w="1014" w:type="pct"/>
                  <w:tcBorders>
                    <w:tl2br w:val="nil"/>
                    <w:tr2bl w:val="nil"/>
                  </w:tcBorders>
                  <w:vAlign w:val="center"/>
                </w:tcPr>
                <w:p>
                  <w:pPr>
                    <w:pStyle w:val="53"/>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车间通风</w:t>
                  </w:r>
                </w:p>
              </w:tc>
              <w:tc>
                <w:tcPr>
                  <w:tcW w:w="108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达到挥发性有机物无组织排放控制标准》（GB37822-2019）“厂区内监控点任意一次NMHC值”的要求</w:t>
                  </w:r>
                  <w:r>
                    <w:rPr>
                      <w:rFonts w:hint="default" w:ascii="Times New Roman" w:hAnsi="Times New Roman" w:eastAsia="宋体" w:cs="Times New Roman"/>
                      <w:b w:val="0"/>
                      <w:kern w:val="0"/>
                      <w:sz w:val="21"/>
                      <w:szCs w:val="21"/>
                      <w:lang w:val="zh-CN"/>
                    </w:rPr>
                    <w:t>浓度限30mg/m</w:t>
                  </w:r>
                  <w:r>
                    <w:rPr>
                      <w:rFonts w:hint="default" w:ascii="Times New Roman" w:hAnsi="Times New Roman" w:eastAsia="宋体" w:cs="Times New Roman"/>
                      <w:b w:val="0"/>
                      <w:kern w:val="0"/>
                      <w:sz w:val="21"/>
                      <w:szCs w:val="21"/>
                      <w:vertAlign w:val="superscript"/>
                      <w:lang w:val="zh-CN"/>
                    </w:rPr>
                    <w:t>3</w:t>
                  </w:r>
                  <w:r>
                    <w:rPr>
                      <w:rFonts w:hint="default" w:ascii="Times New Roman" w:hAnsi="Times New Roman" w:eastAsia="宋体" w:cs="Times New Roman"/>
                      <w:b w:val="0"/>
                      <w:kern w:val="0"/>
                      <w:sz w:val="21"/>
                      <w:szCs w:val="21"/>
                      <w:lang w:val="zh-CN"/>
                    </w:rPr>
                    <w:t>。</w:t>
                  </w:r>
                </w:p>
              </w:tc>
              <w:tc>
                <w:tcPr>
                  <w:tcW w:w="34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达标</w:t>
                  </w:r>
                </w:p>
              </w:tc>
              <w:tc>
                <w:tcPr>
                  <w:tcW w:w="456"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w:t>
                  </w:r>
                </w:p>
              </w:tc>
              <w:tc>
                <w:tcPr>
                  <w:tcW w:w="334"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无组织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3" w:hRule="atLeast"/>
              </w:trPr>
              <w:tc>
                <w:tcPr>
                  <w:tcW w:w="162"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487" w:type="pct"/>
                  <w:vMerge w:val="restar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喷漆</w:t>
                  </w:r>
                </w:p>
              </w:tc>
              <w:tc>
                <w:tcPr>
                  <w:tcW w:w="525" w:type="pct"/>
                  <w:vMerge w:val="restart"/>
                  <w:tcBorders>
                    <w:tl2br w:val="nil"/>
                    <w:tr2bl w:val="nil"/>
                  </w:tcBorders>
                  <w:vAlign w:val="center"/>
                </w:tcPr>
                <w:p>
                  <w:pPr>
                    <w:spacing w:line="240" w:lineRule="auto"/>
                    <w:ind w:firstLine="0" w:firstLineChars="0"/>
                    <w:jc w:val="center"/>
                    <w:rPr>
                      <w:rFonts w:hint="default" w:ascii="Times New Roman" w:hAnsi="Times New Roman" w:eastAsia="宋体" w:cs="Times New Roman"/>
                      <w:sz w:val="21"/>
                      <w:szCs w:val="21"/>
                      <w:vertAlign w:val="subscript"/>
                    </w:rPr>
                  </w:pPr>
                  <w:r>
                    <w:rPr>
                      <w:rFonts w:hint="default" w:ascii="Times New Roman" w:hAnsi="Times New Roman" w:eastAsia="宋体" w:cs="Times New Roman"/>
                      <w:sz w:val="21"/>
                      <w:szCs w:val="21"/>
                    </w:rPr>
                    <w:t>漆雾</w:t>
                  </w:r>
                </w:p>
              </w:tc>
              <w:tc>
                <w:tcPr>
                  <w:tcW w:w="57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0.</w:t>
                  </w:r>
                  <w:r>
                    <w:rPr>
                      <w:rFonts w:hint="eastAsia" w:ascii="Times New Roman" w:hAnsi="Times New Roman" w:eastAsia="宋体" w:cs="Times New Roman"/>
                      <w:b w:val="0"/>
                      <w:sz w:val="21"/>
                      <w:szCs w:val="21"/>
                      <w:lang w:val="en-US" w:eastAsia="zh-CN"/>
                    </w:rPr>
                    <w:t>1686</w:t>
                  </w:r>
                  <w:r>
                    <w:rPr>
                      <w:rFonts w:hint="default" w:ascii="Times New Roman" w:hAnsi="Times New Roman" w:eastAsia="宋体" w:cs="Times New Roman"/>
                      <w:b w:val="0"/>
                      <w:sz w:val="21"/>
                      <w:szCs w:val="21"/>
                    </w:rPr>
                    <w:t>t/a</w:t>
                  </w:r>
                </w:p>
              </w:tc>
              <w:tc>
                <w:tcPr>
                  <w:tcW w:w="1014"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车间通风</w:t>
                  </w:r>
                </w:p>
              </w:tc>
              <w:tc>
                <w:tcPr>
                  <w:tcW w:w="1089" w:type="pct"/>
                  <w:vMerge w:val="restar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w:t>
                  </w:r>
                </w:p>
              </w:tc>
              <w:tc>
                <w:tcPr>
                  <w:tcW w:w="349" w:type="pct"/>
                  <w:vMerge w:val="restar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w:t>
                  </w:r>
                </w:p>
              </w:tc>
              <w:tc>
                <w:tcPr>
                  <w:tcW w:w="456"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w:t>
                  </w:r>
                </w:p>
              </w:tc>
              <w:tc>
                <w:tcPr>
                  <w:tcW w:w="334"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无组织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26" w:hRule="atLeast"/>
              </w:trPr>
              <w:tc>
                <w:tcPr>
                  <w:tcW w:w="162"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487"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525"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57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0.</w:t>
                  </w:r>
                  <w:r>
                    <w:rPr>
                      <w:rFonts w:hint="eastAsia" w:ascii="Times New Roman" w:hAnsi="Times New Roman" w:eastAsia="宋体" w:cs="Times New Roman"/>
                      <w:b w:val="0"/>
                      <w:sz w:val="21"/>
                      <w:szCs w:val="21"/>
                      <w:lang w:val="en-US" w:eastAsia="zh-CN"/>
                    </w:rPr>
                    <w:t>102</w:t>
                  </w:r>
                  <w:r>
                    <w:rPr>
                      <w:rFonts w:hint="default" w:ascii="Times New Roman" w:hAnsi="Times New Roman" w:eastAsia="宋体" w:cs="Times New Roman"/>
                      <w:b w:val="0"/>
                      <w:sz w:val="21"/>
                      <w:szCs w:val="21"/>
                    </w:rPr>
                    <w:t>t/a</w:t>
                  </w:r>
                </w:p>
              </w:tc>
              <w:tc>
                <w:tcPr>
                  <w:tcW w:w="1014"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bCs w:val="0"/>
                      <w:sz w:val="21"/>
                      <w:szCs w:val="21"/>
                    </w:rPr>
                    <w:t>各喷漆房分别经管道收集，最终设置1套“负压风机+过滤棉+活性炭吸附理装置+15m高排气筒”并设标识标牌</w:t>
                  </w:r>
                </w:p>
              </w:tc>
              <w:tc>
                <w:tcPr>
                  <w:tcW w:w="1089"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349"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456"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15m高排气筒</w:t>
                  </w:r>
                </w:p>
              </w:tc>
              <w:tc>
                <w:tcPr>
                  <w:tcW w:w="334"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有组织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94" w:hRule="atLeast"/>
              </w:trPr>
              <w:tc>
                <w:tcPr>
                  <w:tcW w:w="162"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487" w:type="pct"/>
                  <w:tcBorders>
                    <w:tl2br w:val="nil"/>
                    <w:tr2bl w:val="nil"/>
                  </w:tcBorders>
                  <w:vAlign w:val="center"/>
                </w:tcPr>
                <w:p>
                  <w:pPr>
                    <w:pStyle w:val="53"/>
                    <w:rPr>
                      <w:rFonts w:hint="eastAsia" w:ascii="Times New Roman" w:hAnsi="Times New Roman" w:eastAsia="宋体" w:cs="Times New Roman"/>
                      <w:b w:val="0"/>
                      <w:sz w:val="21"/>
                      <w:szCs w:val="21"/>
                      <w:lang w:eastAsia="zh-CN"/>
                    </w:rPr>
                  </w:pPr>
                  <w:r>
                    <w:rPr>
                      <w:rFonts w:hint="eastAsia" w:ascii="Times New Roman" w:hAnsi="Times New Roman" w:eastAsia="宋体" w:cs="Times New Roman"/>
                      <w:b w:val="0"/>
                      <w:sz w:val="21"/>
                      <w:szCs w:val="21"/>
                      <w:lang w:eastAsia="zh-CN"/>
                    </w:rPr>
                    <w:t>打磨</w:t>
                  </w:r>
                </w:p>
              </w:tc>
              <w:tc>
                <w:tcPr>
                  <w:tcW w:w="525"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粉尘</w:t>
                  </w:r>
                </w:p>
              </w:tc>
              <w:tc>
                <w:tcPr>
                  <w:tcW w:w="57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eastAsia" w:ascii="Times New Roman" w:hAnsi="Times New Roman" w:eastAsia="宋体" w:cs="Times New Roman"/>
                      <w:b w:val="0"/>
                      <w:sz w:val="21"/>
                      <w:szCs w:val="21"/>
                      <w:lang w:val="en-US" w:eastAsia="zh-CN"/>
                    </w:rPr>
                    <w:t>0.067</w:t>
                  </w:r>
                  <w:r>
                    <w:rPr>
                      <w:rFonts w:hint="default" w:ascii="Times New Roman" w:hAnsi="Times New Roman" w:eastAsia="宋体" w:cs="Times New Roman"/>
                      <w:b w:val="0"/>
                      <w:sz w:val="21"/>
                      <w:szCs w:val="21"/>
                    </w:rPr>
                    <w:t>t/a</w:t>
                  </w:r>
                </w:p>
              </w:tc>
              <w:tc>
                <w:tcPr>
                  <w:tcW w:w="1014" w:type="pct"/>
                  <w:tcBorders>
                    <w:tl2br w:val="nil"/>
                    <w:tr2bl w:val="nil"/>
                  </w:tcBorders>
                  <w:vAlign w:val="center"/>
                </w:tcPr>
                <w:p>
                  <w:pPr>
                    <w:pStyle w:val="53"/>
                    <w:rPr>
                      <w:rFonts w:hint="eastAsia" w:ascii="Times New Roman" w:hAnsi="Times New Roman" w:eastAsia="宋体" w:cs="Times New Roman"/>
                      <w:b w:val="0"/>
                      <w:sz w:val="21"/>
                      <w:szCs w:val="21"/>
                      <w:lang w:eastAsia="zh-CN"/>
                    </w:rPr>
                  </w:pPr>
                  <w:r>
                    <w:rPr>
                      <w:rFonts w:hint="eastAsia" w:ascii="Times New Roman" w:hAnsi="Times New Roman" w:eastAsia="宋体" w:cs="Times New Roman"/>
                      <w:b w:val="0"/>
                      <w:sz w:val="21"/>
                      <w:szCs w:val="21"/>
                      <w:lang w:eastAsia="zh-CN"/>
                    </w:rPr>
                    <w:t>布袋除尘器</w:t>
                  </w:r>
                </w:p>
              </w:tc>
              <w:tc>
                <w:tcPr>
                  <w:tcW w:w="1089" w:type="pct"/>
                  <w:vMerge w:val="restar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《大气污染物综合排放标准》（GB16297-1996）表2无组织排放浓度限值≤1.0mg/m</w:t>
                  </w:r>
                  <w:r>
                    <w:rPr>
                      <w:rFonts w:hint="default" w:ascii="Times New Roman" w:hAnsi="Times New Roman" w:eastAsia="宋体" w:cs="Times New Roman"/>
                      <w:b w:val="0"/>
                      <w:sz w:val="21"/>
                      <w:szCs w:val="21"/>
                      <w:vertAlign w:val="superscript"/>
                    </w:rPr>
                    <w:t>3</w:t>
                  </w:r>
                </w:p>
              </w:tc>
              <w:tc>
                <w:tcPr>
                  <w:tcW w:w="349" w:type="pct"/>
                  <w:vMerge w:val="restar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达标</w:t>
                  </w:r>
                </w:p>
              </w:tc>
              <w:tc>
                <w:tcPr>
                  <w:tcW w:w="456" w:type="pct"/>
                  <w:vMerge w:val="restart"/>
                  <w:tcBorders>
                    <w:tl2br w:val="nil"/>
                    <w:tr2bl w:val="nil"/>
                  </w:tcBorders>
                  <w:vAlign w:val="center"/>
                </w:tcPr>
                <w:p>
                  <w:pPr>
                    <w:pStyle w:val="53"/>
                    <w:rPr>
                      <w:rFonts w:hint="default" w:ascii="Times New Roman" w:hAnsi="Times New Roman" w:eastAsia="宋体" w:cs="Times New Roman"/>
                      <w:sz w:val="21"/>
                      <w:szCs w:val="21"/>
                    </w:rPr>
                  </w:pPr>
                  <w:r>
                    <w:rPr>
                      <w:rFonts w:hint="default" w:ascii="Times New Roman" w:hAnsi="Times New Roman" w:eastAsia="宋体" w:cs="Times New Roman"/>
                      <w:b w:val="0"/>
                      <w:sz w:val="21"/>
                      <w:szCs w:val="21"/>
                    </w:rPr>
                    <w:t>/</w:t>
                  </w:r>
                </w:p>
              </w:tc>
              <w:tc>
                <w:tcPr>
                  <w:tcW w:w="334"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无组织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28" w:hRule="atLeast"/>
              </w:trPr>
              <w:tc>
                <w:tcPr>
                  <w:tcW w:w="162"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487" w:type="pct"/>
                  <w:tcBorders>
                    <w:tl2br w:val="nil"/>
                    <w:tr2bl w:val="nil"/>
                  </w:tcBorders>
                  <w:vAlign w:val="center"/>
                </w:tcPr>
                <w:p>
                  <w:pPr>
                    <w:pStyle w:val="53"/>
                    <w:rPr>
                      <w:rFonts w:hint="eastAsia" w:ascii="Times New Roman" w:hAnsi="Times New Roman" w:eastAsia="宋体" w:cs="Times New Roman"/>
                      <w:b w:val="0"/>
                      <w:sz w:val="21"/>
                      <w:szCs w:val="21"/>
                      <w:lang w:eastAsia="zh-CN"/>
                    </w:rPr>
                  </w:pPr>
                  <w:r>
                    <w:rPr>
                      <w:rFonts w:hint="eastAsia" w:ascii="Times New Roman" w:hAnsi="Times New Roman" w:eastAsia="宋体" w:cs="Times New Roman"/>
                      <w:b w:val="0"/>
                      <w:sz w:val="21"/>
                      <w:szCs w:val="21"/>
                      <w:lang w:eastAsia="zh-CN"/>
                    </w:rPr>
                    <w:t>切割</w:t>
                  </w:r>
                </w:p>
              </w:tc>
              <w:tc>
                <w:tcPr>
                  <w:tcW w:w="525" w:type="pct"/>
                  <w:tcBorders>
                    <w:tl2br w:val="nil"/>
                    <w:tr2bl w:val="nil"/>
                  </w:tcBorders>
                  <w:vAlign w:val="center"/>
                </w:tcPr>
                <w:p>
                  <w:pPr>
                    <w:pStyle w:val="53"/>
                    <w:rPr>
                      <w:rFonts w:hint="eastAsia" w:ascii="Times New Roman" w:hAnsi="Times New Roman" w:eastAsia="宋体" w:cs="Times New Roman"/>
                      <w:b w:val="0"/>
                      <w:sz w:val="21"/>
                      <w:szCs w:val="21"/>
                      <w:lang w:eastAsia="zh-CN"/>
                    </w:rPr>
                  </w:pPr>
                  <w:r>
                    <w:rPr>
                      <w:rFonts w:hint="eastAsia" w:ascii="Times New Roman" w:hAnsi="Times New Roman" w:eastAsia="宋体" w:cs="Times New Roman"/>
                      <w:b w:val="0"/>
                      <w:sz w:val="21"/>
                      <w:szCs w:val="21"/>
                      <w:lang w:eastAsia="zh-CN"/>
                    </w:rPr>
                    <w:t>烟尘</w:t>
                  </w:r>
                </w:p>
              </w:tc>
              <w:tc>
                <w:tcPr>
                  <w:tcW w:w="579" w:type="pct"/>
                  <w:tcBorders>
                    <w:tl2br w:val="nil"/>
                    <w:tr2bl w:val="nil"/>
                  </w:tcBorders>
                  <w:vAlign w:val="center"/>
                </w:tcPr>
                <w:p>
                  <w:pPr>
                    <w:pStyle w:val="53"/>
                    <w:rPr>
                      <w:rFonts w:hint="default" w:ascii="Times New Roman" w:hAnsi="Times New Roman" w:eastAsia="宋体" w:cs="Times New Roman"/>
                      <w:b w:val="0"/>
                      <w:sz w:val="21"/>
                      <w:szCs w:val="21"/>
                      <w:lang w:val="en-US" w:eastAsia="zh-CN"/>
                    </w:rPr>
                  </w:pPr>
                  <w:r>
                    <w:rPr>
                      <w:rFonts w:hint="eastAsia" w:ascii="Times New Roman" w:hAnsi="Times New Roman" w:eastAsia="宋体" w:cs="Times New Roman"/>
                      <w:b w:val="0"/>
                      <w:sz w:val="21"/>
                      <w:szCs w:val="21"/>
                      <w:lang w:val="en-US" w:eastAsia="zh-CN"/>
                    </w:rPr>
                    <w:t>0.171t/a</w:t>
                  </w:r>
                </w:p>
              </w:tc>
              <w:tc>
                <w:tcPr>
                  <w:tcW w:w="1014" w:type="pct"/>
                  <w:vMerge w:val="restar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移动式除尘器</w:t>
                  </w:r>
                </w:p>
              </w:tc>
              <w:tc>
                <w:tcPr>
                  <w:tcW w:w="1089"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349"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456"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334" w:type="pct"/>
                  <w:tcBorders>
                    <w:tl2br w:val="nil"/>
                    <w:tr2bl w:val="nil"/>
                  </w:tcBorders>
                  <w:vAlign w:val="center"/>
                </w:tcPr>
                <w:p>
                  <w:pPr>
                    <w:pStyle w:val="53"/>
                    <w:rPr>
                      <w:rFonts w:hint="default" w:ascii="Times New Roman" w:hAnsi="Times New Roman" w:eastAsia="宋体" w:cs="Times New Roman"/>
                      <w:b w:val="0"/>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73" w:hRule="atLeast"/>
              </w:trPr>
              <w:tc>
                <w:tcPr>
                  <w:tcW w:w="162"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487"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焊接</w:t>
                  </w:r>
                </w:p>
              </w:tc>
              <w:tc>
                <w:tcPr>
                  <w:tcW w:w="525"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烟尘</w:t>
                  </w:r>
                </w:p>
              </w:tc>
              <w:tc>
                <w:tcPr>
                  <w:tcW w:w="57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0.0</w:t>
                  </w:r>
                  <w:r>
                    <w:rPr>
                      <w:rFonts w:hint="eastAsia" w:ascii="Times New Roman" w:hAnsi="Times New Roman" w:eastAsia="宋体" w:cs="Times New Roman"/>
                      <w:b w:val="0"/>
                      <w:sz w:val="21"/>
                      <w:szCs w:val="21"/>
                      <w:lang w:val="en-US" w:eastAsia="zh-CN"/>
                    </w:rPr>
                    <w:t>8</w:t>
                  </w:r>
                  <w:r>
                    <w:rPr>
                      <w:rFonts w:hint="default" w:ascii="Times New Roman" w:hAnsi="Times New Roman" w:eastAsia="宋体" w:cs="Times New Roman"/>
                      <w:b w:val="0"/>
                      <w:sz w:val="21"/>
                      <w:szCs w:val="21"/>
                    </w:rPr>
                    <w:t>t/a</w:t>
                  </w:r>
                </w:p>
              </w:tc>
              <w:tc>
                <w:tcPr>
                  <w:tcW w:w="1014" w:type="pct"/>
                  <w:vMerge w:val="continue"/>
                  <w:tcBorders>
                    <w:tl2br w:val="nil"/>
                    <w:tr2bl w:val="nil"/>
                  </w:tcBorders>
                  <w:vAlign w:val="center"/>
                </w:tcPr>
                <w:p>
                  <w:pPr>
                    <w:pStyle w:val="53"/>
                    <w:rPr>
                      <w:rFonts w:hint="default" w:ascii="Times New Roman" w:hAnsi="Times New Roman" w:eastAsia="宋体" w:cs="Times New Roman"/>
                      <w:b w:val="0"/>
                      <w:sz w:val="21"/>
                      <w:szCs w:val="21"/>
                    </w:rPr>
                  </w:pPr>
                </w:p>
              </w:tc>
              <w:tc>
                <w:tcPr>
                  <w:tcW w:w="1089"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349"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456"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334"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无组织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54" w:hRule="atLeast"/>
              </w:trPr>
              <w:tc>
                <w:tcPr>
                  <w:tcW w:w="162"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487"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食堂</w:t>
                  </w:r>
                </w:p>
              </w:tc>
              <w:tc>
                <w:tcPr>
                  <w:tcW w:w="525"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食堂油烟</w:t>
                  </w:r>
                </w:p>
              </w:tc>
              <w:tc>
                <w:tcPr>
                  <w:tcW w:w="57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0.00</w:t>
                  </w:r>
                  <w:r>
                    <w:rPr>
                      <w:rFonts w:hint="eastAsia" w:ascii="Times New Roman" w:hAnsi="Times New Roman" w:eastAsia="宋体" w:cs="Times New Roman"/>
                      <w:b w:val="0"/>
                      <w:sz w:val="21"/>
                      <w:szCs w:val="21"/>
                      <w:lang w:val="en-US" w:eastAsia="zh-CN"/>
                    </w:rPr>
                    <w:t>126</w:t>
                  </w:r>
                  <w:r>
                    <w:rPr>
                      <w:rFonts w:hint="default" w:ascii="Times New Roman" w:hAnsi="Times New Roman" w:eastAsia="宋体" w:cs="Times New Roman"/>
                      <w:b w:val="0"/>
                      <w:sz w:val="21"/>
                      <w:szCs w:val="21"/>
                    </w:rPr>
                    <w:t>t/a</w:t>
                  </w:r>
                </w:p>
              </w:tc>
              <w:tc>
                <w:tcPr>
                  <w:tcW w:w="1014"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油烟净化器（油烟去除率≥</w:t>
                  </w:r>
                  <w:r>
                    <w:rPr>
                      <w:rFonts w:hint="eastAsia" w:ascii="Times New Roman" w:hAnsi="Times New Roman" w:eastAsia="宋体" w:cs="Times New Roman"/>
                      <w:b w:val="0"/>
                      <w:sz w:val="21"/>
                      <w:szCs w:val="21"/>
                      <w:lang w:val="en-US" w:eastAsia="zh-CN"/>
                    </w:rPr>
                    <w:t>8</w:t>
                  </w:r>
                  <w:r>
                    <w:rPr>
                      <w:rFonts w:hint="default" w:ascii="Times New Roman" w:hAnsi="Times New Roman" w:eastAsia="宋体" w:cs="Times New Roman"/>
                      <w:b w:val="0"/>
                      <w:sz w:val="21"/>
                      <w:szCs w:val="21"/>
                    </w:rPr>
                    <w:t>0%）1套+专用油烟管1套引至楼顶排放</w:t>
                  </w:r>
                </w:p>
              </w:tc>
              <w:tc>
                <w:tcPr>
                  <w:tcW w:w="108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lang w:val="zh-CN"/>
                    </w:rPr>
                    <w:t>达到《饮食业油烟排放标准（试行）》（GB18483-2001）最高允许排放浓度2.0mg/m</w:t>
                  </w:r>
                  <w:r>
                    <w:rPr>
                      <w:rFonts w:hint="default" w:ascii="Times New Roman" w:hAnsi="Times New Roman" w:eastAsia="宋体" w:cs="Times New Roman"/>
                      <w:b w:val="0"/>
                      <w:sz w:val="21"/>
                      <w:szCs w:val="21"/>
                      <w:vertAlign w:val="superscript"/>
                      <w:lang w:val="zh-CN"/>
                    </w:rPr>
                    <w:t>3</w:t>
                  </w:r>
                </w:p>
              </w:tc>
              <w:tc>
                <w:tcPr>
                  <w:tcW w:w="349"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456"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w:t>
                  </w:r>
                </w:p>
              </w:tc>
              <w:tc>
                <w:tcPr>
                  <w:tcW w:w="334"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有组织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62"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废水</w:t>
                  </w:r>
                </w:p>
                <w:p>
                  <w:pPr>
                    <w:pStyle w:val="53"/>
                    <w:ind w:firstLine="480"/>
                    <w:rPr>
                      <w:rFonts w:hint="default" w:ascii="Times New Roman" w:hAnsi="Times New Roman" w:eastAsia="宋体" w:cs="Times New Roman"/>
                      <w:b w:val="0"/>
                      <w:sz w:val="21"/>
                      <w:szCs w:val="21"/>
                    </w:rPr>
                  </w:pPr>
                </w:p>
              </w:tc>
              <w:tc>
                <w:tcPr>
                  <w:tcW w:w="487" w:type="pct"/>
                  <w:tcBorders>
                    <w:tl2br w:val="nil"/>
                    <w:tr2bl w:val="nil"/>
                  </w:tcBorders>
                  <w:vAlign w:val="center"/>
                </w:tcPr>
                <w:p>
                  <w:pPr>
                    <w:pStyle w:val="53"/>
                    <w:ind w:firstLine="0" w:firstLineChars="0"/>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生活污水</w:t>
                  </w:r>
                </w:p>
              </w:tc>
              <w:tc>
                <w:tcPr>
                  <w:tcW w:w="525" w:type="pct"/>
                  <w:tcBorders>
                    <w:tl2br w:val="nil"/>
                    <w:tr2bl w:val="nil"/>
                  </w:tcBorders>
                  <w:vAlign w:val="center"/>
                </w:tcPr>
                <w:p>
                  <w:pPr>
                    <w:pStyle w:val="53"/>
                    <w:ind w:firstLine="0" w:firstLineChars="0"/>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COD</w:t>
                  </w:r>
                  <w:r>
                    <w:rPr>
                      <w:rFonts w:hint="default" w:ascii="Times New Roman" w:hAnsi="Times New Roman" w:eastAsia="宋体" w:cs="Times New Roman"/>
                      <w:b w:val="0"/>
                      <w:sz w:val="21"/>
                      <w:szCs w:val="21"/>
                      <w:vertAlign w:val="subscript"/>
                    </w:rPr>
                    <w:t>Cr</w:t>
                  </w:r>
                  <w:r>
                    <w:rPr>
                      <w:rFonts w:hint="default" w:ascii="Times New Roman" w:hAnsi="Times New Roman" w:eastAsia="宋体" w:cs="Times New Roman"/>
                      <w:b w:val="0"/>
                      <w:sz w:val="21"/>
                      <w:szCs w:val="21"/>
                    </w:rPr>
                    <w:t>、BOD</w:t>
                  </w:r>
                  <w:r>
                    <w:rPr>
                      <w:rFonts w:hint="default" w:ascii="Times New Roman" w:hAnsi="Times New Roman" w:eastAsia="宋体" w:cs="Times New Roman"/>
                      <w:b w:val="0"/>
                      <w:sz w:val="21"/>
                      <w:szCs w:val="21"/>
                      <w:vertAlign w:val="subscript"/>
                    </w:rPr>
                    <w:t>5</w:t>
                  </w:r>
                  <w:r>
                    <w:rPr>
                      <w:rFonts w:hint="default" w:ascii="Times New Roman" w:hAnsi="Times New Roman" w:eastAsia="宋体" w:cs="Times New Roman"/>
                      <w:b w:val="0"/>
                      <w:sz w:val="21"/>
                      <w:szCs w:val="21"/>
                    </w:rPr>
                    <w:t>、NH</w:t>
                  </w:r>
                  <w:r>
                    <w:rPr>
                      <w:rFonts w:hint="default" w:ascii="Times New Roman" w:hAnsi="Times New Roman" w:eastAsia="宋体" w:cs="Times New Roman"/>
                      <w:b w:val="0"/>
                      <w:sz w:val="21"/>
                      <w:szCs w:val="21"/>
                      <w:vertAlign w:val="subscript"/>
                    </w:rPr>
                    <w:t>3</w:t>
                  </w:r>
                  <w:r>
                    <w:rPr>
                      <w:rFonts w:hint="default" w:ascii="Times New Roman" w:hAnsi="Times New Roman" w:eastAsia="宋体" w:cs="Times New Roman"/>
                      <w:b w:val="0"/>
                      <w:sz w:val="21"/>
                      <w:szCs w:val="21"/>
                    </w:rPr>
                    <w:t>-N、TP、TN</w:t>
                  </w:r>
                </w:p>
              </w:tc>
              <w:tc>
                <w:tcPr>
                  <w:tcW w:w="579" w:type="pct"/>
                  <w:tcBorders>
                    <w:tl2br w:val="nil"/>
                    <w:tr2bl w:val="nil"/>
                  </w:tcBorders>
                  <w:vAlign w:val="center"/>
                </w:tcPr>
                <w:p>
                  <w:pPr>
                    <w:pStyle w:val="53"/>
                    <w:ind w:firstLine="0" w:firstLineChars="0"/>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0</w:t>
                  </w:r>
                </w:p>
              </w:tc>
              <w:tc>
                <w:tcPr>
                  <w:tcW w:w="1014" w:type="pct"/>
                  <w:tcBorders>
                    <w:tl2br w:val="nil"/>
                    <w:tr2bl w:val="nil"/>
                  </w:tcBorders>
                  <w:vAlign w:val="center"/>
                </w:tcPr>
                <w:p>
                  <w:pPr>
                    <w:pStyle w:val="53"/>
                    <w:ind w:firstLine="0" w:firstLineChars="0"/>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收集进入化粪池（</w:t>
                  </w:r>
                  <w:r>
                    <w:rPr>
                      <w:rFonts w:hint="eastAsia" w:cs="Times New Roman"/>
                      <w:b w:val="0"/>
                      <w:sz w:val="21"/>
                      <w:szCs w:val="21"/>
                      <w:lang w:val="en-US" w:eastAsia="zh-CN"/>
                    </w:rPr>
                    <w:t>6</w:t>
                  </w:r>
                  <w:r>
                    <w:rPr>
                      <w:rFonts w:hint="default" w:ascii="Times New Roman" w:hAnsi="Times New Roman" w:eastAsia="宋体" w:cs="Times New Roman"/>
                      <w:b w:val="0"/>
                      <w:sz w:val="21"/>
                      <w:szCs w:val="21"/>
                    </w:rPr>
                    <w:t>m</w:t>
                  </w:r>
                  <w:r>
                    <w:rPr>
                      <w:rFonts w:hint="default" w:ascii="Times New Roman" w:hAnsi="Times New Roman" w:eastAsia="宋体" w:cs="Times New Roman"/>
                      <w:b w:val="0"/>
                      <w:sz w:val="21"/>
                      <w:szCs w:val="21"/>
                      <w:vertAlign w:val="superscript"/>
                    </w:rPr>
                    <w:t>3</w:t>
                  </w:r>
                  <w:r>
                    <w:rPr>
                      <w:rFonts w:hint="default" w:ascii="Times New Roman" w:hAnsi="Times New Roman" w:eastAsia="宋体" w:cs="Times New Roman"/>
                      <w:b w:val="0"/>
                      <w:sz w:val="21"/>
                      <w:szCs w:val="21"/>
                    </w:rPr>
                    <w:t>）处理后排入园区管网</w:t>
                  </w:r>
                </w:p>
              </w:tc>
              <w:tc>
                <w:tcPr>
                  <w:tcW w:w="1089" w:type="pct"/>
                  <w:tcBorders>
                    <w:tl2br w:val="nil"/>
                    <w:tr2bl w:val="nil"/>
                  </w:tcBorders>
                  <w:vAlign w:val="center"/>
                </w:tcPr>
                <w:p>
                  <w:pPr>
                    <w:pStyle w:val="53"/>
                    <w:ind w:firstLine="0" w:firstLineChars="0"/>
                    <w:rPr>
                      <w:rFonts w:hint="eastAsia" w:ascii="Times New Roman" w:hAnsi="Times New Roman" w:eastAsia="宋体" w:cs="Times New Roman"/>
                      <w:b w:val="0"/>
                      <w:sz w:val="21"/>
                      <w:szCs w:val="21"/>
                      <w:lang w:eastAsia="zh-CN"/>
                    </w:rPr>
                  </w:pPr>
                  <w:r>
                    <w:rPr>
                      <w:rFonts w:hint="eastAsia" w:ascii="Times New Roman" w:hAnsi="Times New Roman" w:eastAsia="宋体" w:cs="Times New Roman"/>
                      <w:b w:val="0"/>
                      <w:sz w:val="21"/>
                      <w:szCs w:val="21"/>
                      <w:lang w:eastAsia="zh-CN"/>
                    </w:rPr>
                    <w:t>《污水排入城镇下水道水质标准》（GB/T31962-2015）表1中</w:t>
                  </w:r>
                  <w:r>
                    <w:rPr>
                      <w:rFonts w:hint="eastAsia" w:ascii="Times New Roman" w:hAnsi="Times New Roman" w:eastAsia="宋体" w:cs="Times New Roman"/>
                      <w:b w:val="0"/>
                      <w:sz w:val="21"/>
                      <w:szCs w:val="21"/>
                      <w:lang w:val="en-US" w:eastAsia="zh-CN"/>
                    </w:rPr>
                    <w:t>A</w:t>
                  </w:r>
                  <w:r>
                    <w:rPr>
                      <w:rFonts w:hint="eastAsia" w:ascii="Times New Roman" w:hAnsi="Times New Roman" w:eastAsia="宋体" w:cs="Times New Roman"/>
                      <w:b w:val="0"/>
                      <w:sz w:val="21"/>
                      <w:szCs w:val="21"/>
                      <w:lang w:eastAsia="zh-CN"/>
                    </w:rPr>
                    <w:t>级标准</w:t>
                  </w:r>
                  <w:r>
                    <w:rPr>
                      <w:rFonts w:hint="eastAsia" w:ascii="Times New Roman" w:hAnsi="Times New Roman" w:eastAsia="宋体" w:cs="Times New Roman"/>
                      <w:b w:val="0"/>
                      <w:sz w:val="21"/>
                      <w:szCs w:val="21"/>
                      <w:lang w:val="en-US" w:eastAsia="zh-CN"/>
                    </w:rPr>
                    <w:t>后</w:t>
                  </w:r>
                  <w:r>
                    <w:rPr>
                      <w:rFonts w:hint="eastAsia" w:ascii="Times New Roman" w:hAnsi="Times New Roman" w:eastAsia="宋体" w:cs="Times New Roman"/>
                      <w:b w:val="0"/>
                      <w:sz w:val="21"/>
                      <w:szCs w:val="21"/>
                      <w:lang w:eastAsia="zh-CN"/>
                    </w:rPr>
                    <w:t>排入园区污水管网，</w:t>
                  </w:r>
                  <w:r>
                    <w:rPr>
                      <w:rFonts w:hint="eastAsia" w:ascii="Times New Roman" w:hAnsi="Times New Roman" w:eastAsia="宋体" w:cs="Times New Roman"/>
                      <w:b w:val="0"/>
                      <w:sz w:val="21"/>
                      <w:szCs w:val="21"/>
                      <w:lang w:val="en-US" w:eastAsia="zh-CN"/>
                    </w:rPr>
                    <w:t>最终进入</w:t>
                  </w:r>
                  <w:r>
                    <w:rPr>
                      <w:rFonts w:hint="eastAsia" w:ascii="Times New Roman" w:hAnsi="Times New Roman" w:eastAsia="宋体" w:cs="Times New Roman"/>
                      <w:b w:val="0"/>
                      <w:sz w:val="21"/>
                      <w:szCs w:val="21"/>
                      <w:lang w:eastAsia="zh-CN"/>
                    </w:rPr>
                    <w:t>工业园区污水处理厂处理</w:t>
                  </w:r>
                </w:p>
              </w:tc>
              <w:tc>
                <w:tcPr>
                  <w:tcW w:w="349" w:type="pct"/>
                  <w:tcBorders>
                    <w:tl2br w:val="nil"/>
                    <w:tr2bl w:val="nil"/>
                  </w:tcBorders>
                  <w:vAlign w:val="center"/>
                </w:tcPr>
                <w:p>
                  <w:pPr>
                    <w:pStyle w:val="53"/>
                    <w:ind w:firstLine="0" w:firstLineChars="0"/>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w:t>
                  </w:r>
                </w:p>
              </w:tc>
              <w:tc>
                <w:tcPr>
                  <w:tcW w:w="456" w:type="pct"/>
                  <w:tcBorders>
                    <w:tl2br w:val="nil"/>
                    <w:tr2bl w:val="nil"/>
                  </w:tcBorders>
                  <w:vAlign w:val="center"/>
                </w:tcPr>
                <w:p>
                  <w:pPr>
                    <w:pStyle w:val="53"/>
                    <w:ind w:firstLine="0" w:firstLineChars="0"/>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设置一个生活污水排污口</w:t>
                  </w:r>
                </w:p>
              </w:tc>
              <w:tc>
                <w:tcPr>
                  <w:tcW w:w="334" w:type="pct"/>
                  <w:tcBorders>
                    <w:tl2br w:val="nil"/>
                    <w:tr2bl w:val="nil"/>
                  </w:tcBorders>
                  <w:vAlign w:val="center"/>
                </w:tcPr>
                <w:p>
                  <w:pPr>
                    <w:pStyle w:val="53"/>
                    <w:ind w:firstLine="0" w:firstLineChars="0"/>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62"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噪</w:t>
                  </w:r>
                </w:p>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声</w:t>
                  </w:r>
                </w:p>
              </w:tc>
              <w:tc>
                <w:tcPr>
                  <w:tcW w:w="1012" w:type="pct"/>
                  <w:gridSpan w:val="2"/>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生产设备、风机</w:t>
                  </w:r>
                </w:p>
              </w:tc>
              <w:tc>
                <w:tcPr>
                  <w:tcW w:w="579" w:type="pct"/>
                  <w:tcBorders>
                    <w:tl2br w:val="nil"/>
                    <w:tr2bl w:val="nil"/>
                  </w:tcBorders>
                  <w:vAlign w:val="center"/>
                </w:tcPr>
                <w:p>
                  <w:pPr>
                    <w:pStyle w:val="53"/>
                    <w:ind w:firstLine="480"/>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w:t>
                  </w:r>
                </w:p>
              </w:tc>
              <w:tc>
                <w:tcPr>
                  <w:tcW w:w="1014"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napToGrid w:val="0"/>
                      <w:sz w:val="21"/>
                      <w:szCs w:val="21"/>
                    </w:rPr>
                    <w:t>设备基座减震，隔音墙</w:t>
                  </w:r>
                </w:p>
              </w:tc>
              <w:tc>
                <w:tcPr>
                  <w:tcW w:w="108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《工业企业厂界环境噪声排放标准》（GB12348-2008）</w:t>
                  </w:r>
                </w:p>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中3类标准</w:t>
                  </w:r>
                </w:p>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昼间：65dB(A)、夜间：55dB(A)</w:t>
                  </w:r>
                </w:p>
              </w:tc>
              <w:tc>
                <w:tcPr>
                  <w:tcW w:w="34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达标</w:t>
                  </w:r>
                </w:p>
              </w:tc>
              <w:tc>
                <w:tcPr>
                  <w:tcW w:w="456"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w:t>
                  </w:r>
                </w:p>
              </w:tc>
              <w:tc>
                <w:tcPr>
                  <w:tcW w:w="334"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139" w:hRule="atLeast"/>
              </w:trPr>
              <w:tc>
                <w:tcPr>
                  <w:tcW w:w="162" w:type="pct"/>
                  <w:vMerge w:val="restart"/>
                  <w:tcBorders>
                    <w:tl2br w:val="nil"/>
                    <w:tr2bl w:val="nil"/>
                  </w:tcBorders>
                  <w:vAlign w:val="center"/>
                </w:tcPr>
                <w:p>
                  <w:pPr>
                    <w:pStyle w:val="53"/>
                    <w:rPr>
                      <w:rFonts w:hint="default" w:ascii="Times New Roman" w:hAnsi="Times New Roman" w:eastAsia="宋体" w:cs="Times New Roman"/>
                      <w:b w:val="0"/>
                      <w:sz w:val="21"/>
                      <w:szCs w:val="21"/>
                    </w:rPr>
                  </w:pPr>
                  <w:bookmarkStart w:id="129" w:name="OLE_LINK16" w:colFirst="4" w:colLast="4"/>
                  <w:r>
                    <w:rPr>
                      <w:rFonts w:hint="default" w:ascii="Times New Roman" w:hAnsi="Times New Roman" w:eastAsia="宋体" w:cs="Times New Roman"/>
                      <w:b w:val="0"/>
                      <w:sz w:val="21"/>
                      <w:szCs w:val="21"/>
                    </w:rPr>
                    <w:t>固</w:t>
                  </w:r>
                </w:p>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废</w:t>
                  </w:r>
                </w:p>
              </w:tc>
              <w:tc>
                <w:tcPr>
                  <w:tcW w:w="1012" w:type="pct"/>
                  <w:gridSpan w:val="2"/>
                  <w:tcBorders>
                    <w:tl2br w:val="nil"/>
                    <w:tr2bl w:val="nil"/>
                  </w:tcBorders>
                  <w:vAlign w:val="center"/>
                </w:tcPr>
                <w:p>
                  <w:pPr>
                    <w:pStyle w:val="121"/>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金属边角料</w:t>
                  </w:r>
                </w:p>
              </w:tc>
              <w:tc>
                <w:tcPr>
                  <w:tcW w:w="579" w:type="pct"/>
                  <w:vMerge w:val="restar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0</w:t>
                  </w:r>
                </w:p>
              </w:tc>
              <w:tc>
                <w:tcPr>
                  <w:tcW w:w="1014"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收集后外售</w:t>
                  </w:r>
                </w:p>
              </w:tc>
              <w:tc>
                <w:tcPr>
                  <w:tcW w:w="108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w:t>
                  </w:r>
                </w:p>
              </w:tc>
              <w:tc>
                <w:tcPr>
                  <w:tcW w:w="34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综合利用</w:t>
                  </w:r>
                </w:p>
              </w:tc>
              <w:tc>
                <w:tcPr>
                  <w:tcW w:w="456" w:type="pct"/>
                  <w:vMerge w:val="restart"/>
                  <w:tcBorders>
                    <w:tl2br w:val="nil"/>
                    <w:tr2bl w:val="nil"/>
                  </w:tcBorders>
                  <w:vAlign w:val="center"/>
                </w:tcPr>
                <w:p>
                  <w:pPr>
                    <w:pStyle w:val="53"/>
                    <w:ind w:firstLine="480"/>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w:t>
                  </w:r>
                </w:p>
              </w:tc>
              <w:tc>
                <w:tcPr>
                  <w:tcW w:w="334" w:type="pct"/>
                  <w:vMerge w:val="restar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处置率100%</w:t>
                  </w:r>
                </w:p>
                <w:p>
                  <w:pPr>
                    <w:pStyle w:val="53"/>
                    <w:ind w:firstLine="480"/>
                    <w:rPr>
                      <w:rFonts w:hint="default" w:ascii="Times New Roman" w:hAnsi="Times New Roman" w:eastAsia="宋体" w:cs="Times New Roman"/>
                      <w:b w:val="0"/>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62"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1012" w:type="pct"/>
                  <w:gridSpan w:val="2"/>
                  <w:tcBorders>
                    <w:tl2br w:val="nil"/>
                    <w:tr2bl w:val="nil"/>
                  </w:tcBorders>
                  <w:vAlign w:val="center"/>
                </w:tcPr>
                <w:p>
                  <w:pPr>
                    <w:pStyle w:val="121"/>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废包装材料</w:t>
                  </w:r>
                </w:p>
              </w:tc>
              <w:tc>
                <w:tcPr>
                  <w:tcW w:w="579"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1014"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收集后外售</w:t>
                  </w:r>
                </w:p>
              </w:tc>
              <w:tc>
                <w:tcPr>
                  <w:tcW w:w="1089" w:type="pct"/>
                  <w:vMerge w:val="restar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w:t>
                  </w:r>
                </w:p>
              </w:tc>
              <w:tc>
                <w:tcPr>
                  <w:tcW w:w="34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综合利用</w:t>
                  </w:r>
                </w:p>
              </w:tc>
              <w:tc>
                <w:tcPr>
                  <w:tcW w:w="456"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334"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62"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1012" w:type="pct"/>
                  <w:gridSpan w:val="2"/>
                  <w:tcBorders>
                    <w:tl2br w:val="nil"/>
                    <w:tr2bl w:val="nil"/>
                  </w:tcBorders>
                  <w:vAlign w:val="center"/>
                </w:tcPr>
                <w:p>
                  <w:pPr>
                    <w:pStyle w:val="121"/>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除尘器收集粉尘</w:t>
                  </w:r>
                </w:p>
              </w:tc>
              <w:tc>
                <w:tcPr>
                  <w:tcW w:w="579"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1014"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收集后外售</w:t>
                  </w:r>
                </w:p>
              </w:tc>
              <w:tc>
                <w:tcPr>
                  <w:tcW w:w="1089"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34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综合利用</w:t>
                  </w:r>
                </w:p>
              </w:tc>
              <w:tc>
                <w:tcPr>
                  <w:tcW w:w="456"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334"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62"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1012" w:type="pct"/>
                  <w:gridSpan w:val="2"/>
                  <w:tcBorders>
                    <w:tl2br w:val="nil"/>
                    <w:tr2bl w:val="nil"/>
                  </w:tcBorders>
                  <w:vAlign w:val="center"/>
                </w:tcPr>
                <w:p>
                  <w:pPr>
                    <w:pStyle w:val="121"/>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焊渣</w:t>
                  </w:r>
                </w:p>
              </w:tc>
              <w:tc>
                <w:tcPr>
                  <w:tcW w:w="579"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1014"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收集后外售</w:t>
                  </w:r>
                </w:p>
              </w:tc>
              <w:tc>
                <w:tcPr>
                  <w:tcW w:w="108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w:t>
                  </w:r>
                </w:p>
              </w:tc>
              <w:tc>
                <w:tcPr>
                  <w:tcW w:w="34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综合利用</w:t>
                  </w:r>
                </w:p>
              </w:tc>
              <w:tc>
                <w:tcPr>
                  <w:tcW w:w="456"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334"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62"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1012" w:type="pct"/>
                  <w:gridSpan w:val="2"/>
                  <w:tcBorders>
                    <w:tl2br w:val="nil"/>
                    <w:tr2bl w:val="nil"/>
                  </w:tcBorders>
                  <w:vAlign w:val="center"/>
                </w:tcPr>
                <w:p>
                  <w:pPr>
                    <w:pStyle w:val="121"/>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生活垃圾</w:t>
                  </w:r>
                </w:p>
              </w:tc>
              <w:tc>
                <w:tcPr>
                  <w:tcW w:w="579"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1014"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收集清运由环卫部门处理</w:t>
                  </w:r>
                </w:p>
              </w:tc>
              <w:tc>
                <w:tcPr>
                  <w:tcW w:w="108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《一般工业固体废物贮存、处置场污染控制标准》（GB18599-2001）及其修改单</w:t>
                  </w:r>
                </w:p>
              </w:tc>
              <w:tc>
                <w:tcPr>
                  <w:tcW w:w="34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妥善处置</w:t>
                  </w:r>
                </w:p>
              </w:tc>
              <w:tc>
                <w:tcPr>
                  <w:tcW w:w="456"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334"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r>
            <w:bookmarkEnd w:id="129"/>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62"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1012" w:type="pct"/>
                  <w:gridSpan w:val="2"/>
                  <w:tcBorders>
                    <w:tl2br w:val="nil"/>
                    <w:tr2bl w:val="nil"/>
                  </w:tcBorders>
                  <w:vAlign w:val="center"/>
                </w:tcPr>
                <w:p>
                  <w:pPr>
                    <w:pStyle w:val="121"/>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废机油</w:t>
                  </w:r>
                </w:p>
              </w:tc>
              <w:tc>
                <w:tcPr>
                  <w:tcW w:w="579"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1014" w:type="pct"/>
                  <w:vMerge w:val="restar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收集暂存于危废暂存间，交有资质单位清运处理</w:t>
                  </w:r>
                </w:p>
              </w:tc>
              <w:tc>
                <w:tcPr>
                  <w:tcW w:w="108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w:t>
                  </w:r>
                </w:p>
              </w:tc>
              <w:tc>
                <w:tcPr>
                  <w:tcW w:w="349" w:type="pct"/>
                  <w:vMerge w:val="restar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妥善处置</w:t>
                  </w:r>
                </w:p>
              </w:tc>
              <w:tc>
                <w:tcPr>
                  <w:tcW w:w="456"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334"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62"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1012" w:type="pct"/>
                  <w:gridSpan w:val="2"/>
                  <w:tcBorders>
                    <w:tl2br w:val="nil"/>
                    <w:tr2bl w:val="nil"/>
                  </w:tcBorders>
                  <w:vAlign w:val="center"/>
                </w:tcPr>
                <w:p>
                  <w:pPr>
                    <w:pStyle w:val="121"/>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废原料桶</w:t>
                  </w:r>
                </w:p>
              </w:tc>
              <w:tc>
                <w:tcPr>
                  <w:tcW w:w="579" w:type="pct"/>
                  <w:vMerge w:val="continue"/>
                  <w:tcBorders>
                    <w:tl2br w:val="nil"/>
                    <w:tr2bl w:val="nil"/>
                  </w:tcBorders>
                  <w:vAlign w:val="center"/>
                </w:tcPr>
                <w:p>
                  <w:pPr>
                    <w:pStyle w:val="53"/>
                    <w:rPr>
                      <w:rFonts w:hint="default" w:ascii="Times New Roman" w:hAnsi="Times New Roman" w:eastAsia="宋体" w:cs="Times New Roman"/>
                      <w:b w:val="0"/>
                      <w:sz w:val="21"/>
                      <w:szCs w:val="21"/>
                    </w:rPr>
                  </w:pPr>
                </w:p>
              </w:tc>
              <w:tc>
                <w:tcPr>
                  <w:tcW w:w="1014" w:type="pct"/>
                  <w:vMerge w:val="continue"/>
                  <w:tcBorders>
                    <w:tl2br w:val="nil"/>
                    <w:tr2bl w:val="nil"/>
                  </w:tcBorders>
                  <w:vAlign w:val="center"/>
                </w:tcPr>
                <w:p>
                  <w:pPr>
                    <w:pStyle w:val="53"/>
                    <w:rPr>
                      <w:rFonts w:hint="default" w:ascii="Times New Roman" w:hAnsi="Times New Roman" w:eastAsia="宋体" w:cs="Times New Roman"/>
                      <w:b w:val="0"/>
                      <w:sz w:val="21"/>
                      <w:szCs w:val="21"/>
                    </w:rPr>
                  </w:pPr>
                </w:p>
              </w:tc>
              <w:tc>
                <w:tcPr>
                  <w:tcW w:w="108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w:t>
                  </w:r>
                </w:p>
              </w:tc>
              <w:tc>
                <w:tcPr>
                  <w:tcW w:w="349" w:type="pct"/>
                  <w:vMerge w:val="continue"/>
                  <w:tcBorders>
                    <w:tl2br w:val="nil"/>
                    <w:tr2bl w:val="nil"/>
                  </w:tcBorders>
                  <w:vAlign w:val="center"/>
                </w:tcPr>
                <w:p>
                  <w:pPr>
                    <w:pStyle w:val="53"/>
                    <w:rPr>
                      <w:rFonts w:hint="default" w:ascii="Times New Roman" w:hAnsi="Times New Roman" w:eastAsia="宋体" w:cs="Times New Roman"/>
                      <w:b w:val="0"/>
                      <w:sz w:val="21"/>
                      <w:szCs w:val="21"/>
                    </w:rPr>
                  </w:pPr>
                </w:p>
              </w:tc>
              <w:tc>
                <w:tcPr>
                  <w:tcW w:w="456" w:type="pct"/>
                  <w:vMerge w:val="restart"/>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334"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62" w:type="pct"/>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1012" w:type="pct"/>
                  <w:gridSpan w:val="2"/>
                  <w:tcBorders>
                    <w:tl2br w:val="nil"/>
                    <w:tr2bl w:val="nil"/>
                  </w:tcBorders>
                  <w:vAlign w:val="center"/>
                </w:tcPr>
                <w:p>
                  <w:pPr>
                    <w:pStyle w:val="121"/>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废活性炭、废过滤棉</w:t>
                  </w:r>
                </w:p>
              </w:tc>
              <w:tc>
                <w:tcPr>
                  <w:tcW w:w="579" w:type="pct"/>
                  <w:vMerge w:val="continue"/>
                  <w:tcBorders>
                    <w:tl2br w:val="nil"/>
                    <w:tr2bl w:val="nil"/>
                  </w:tcBorders>
                  <w:vAlign w:val="center"/>
                </w:tcPr>
                <w:p>
                  <w:pPr>
                    <w:pStyle w:val="53"/>
                    <w:rPr>
                      <w:rFonts w:hint="default" w:ascii="Times New Roman" w:hAnsi="Times New Roman" w:eastAsia="宋体" w:cs="Times New Roman"/>
                      <w:b w:val="0"/>
                      <w:sz w:val="21"/>
                      <w:szCs w:val="21"/>
                    </w:rPr>
                  </w:pPr>
                </w:p>
              </w:tc>
              <w:tc>
                <w:tcPr>
                  <w:tcW w:w="1014" w:type="pct"/>
                  <w:vMerge w:val="continue"/>
                  <w:tcBorders>
                    <w:tl2br w:val="nil"/>
                    <w:tr2bl w:val="nil"/>
                  </w:tcBorders>
                  <w:vAlign w:val="center"/>
                </w:tcPr>
                <w:p>
                  <w:pPr>
                    <w:pStyle w:val="53"/>
                    <w:rPr>
                      <w:rFonts w:hint="default" w:ascii="Times New Roman" w:hAnsi="Times New Roman" w:eastAsia="宋体" w:cs="Times New Roman"/>
                      <w:b w:val="0"/>
                      <w:sz w:val="21"/>
                      <w:szCs w:val="21"/>
                    </w:rPr>
                  </w:pPr>
                </w:p>
              </w:tc>
              <w:tc>
                <w:tcPr>
                  <w:tcW w:w="1089" w:type="pct"/>
                  <w:tcBorders>
                    <w:tl2br w:val="nil"/>
                    <w:tr2bl w:val="nil"/>
                  </w:tcBorders>
                  <w:vAlign w:val="center"/>
                </w:tcPr>
                <w:p>
                  <w:pPr>
                    <w:pStyle w:val="53"/>
                    <w:rPr>
                      <w:rFonts w:hint="default" w:ascii="Times New Roman" w:hAnsi="Times New Roman" w:eastAsia="宋体" w:cs="Times New Roman"/>
                      <w:b w:val="0"/>
                      <w:sz w:val="21"/>
                      <w:szCs w:val="21"/>
                    </w:rPr>
                  </w:pPr>
                  <w:r>
                    <w:rPr>
                      <w:rFonts w:hint="default" w:ascii="Times New Roman" w:hAnsi="Times New Roman" w:eastAsia="宋体" w:cs="Times New Roman"/>
                      <w:b w:val="0"/>
                      <w:sz w:val="21"/>
                      <w:szCs w:val="21"/>
                    </w:rPr>
                    <w:t>/</w:t>
                  </w:r>
                </w:p>
              </w:tc>
              <w:tc>
                <w:tcPr>
                  <w:tcW w:w="349" w:type="pct"/>
                  <w:vMerge w:val="continue"/>
                  <w:tcBorders>
                    <w:tl2br w:val="nil"/>
                    <w:tr2bl w:val="nil"/>
                  </w:tcBorders>
                  <w:vAlign w:val="center"/>
                </w:tcPr>
                <w:p>
                  <w:pPr>
                    <w:pStyle w:val="53"/>
                    <w:rPr>
                      <w:rFonts w:hint="default" w:ascii="Times New Roman" w:hAnsi="Times New Roman" w:eastAsia="宋体" w:cs="Times New Roman"/>
                      <w:b w:val="0"/>
                      <w:sz w:val="21"/>
                      <w:szCs w:val="21"/>
                    </w:rPr>
                  </w:pPr>
                </w:p>
              </w:tc>
              <w:tc>
                <w:tcPr>
                  <w:tcW w:w="456"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c>
                <w:tcPr>
                  <w:tcW w:w="334" w:type="pct"/>
                  <w:vMerge w:val="continue"/>
                  <w:tcBorders>
                    <w:tl2br w:val="nil"/>
                    <w:tr2bl w:val="nil"/>
                  </w:tcBorders>
                  <w:vAlign w:val="center"/>
                </w:tcPr>
                <w:p>
                  <w:pPr>
                    <w:pStyle w:val="53"/>
                    <w:ind w:firstLine="480"/>
                    <w:rPr>
                      <w:rFonts w:hint="default" w:ascii="Times New Roman" w:hAnsi="Times New Roman" w:eastAsia="宋体" w:cs="Times New Roman"/>
                      <w:b w:val="0"/>
                      <w:sz w:val="21"/>
                      <w:szCs w:val="21"/>
                    </w:rPr>
                  </w:pP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right="0" w:firstLine="482" w:firstLineChars="200"/>
              <w:jc w:val="left"/>
              <w:textAlignment w:val="auto"/>
              <w:rPr>
                <w:rFonts w:hint="eastAsia" w:ascii="Times New Roman" w:hAnsi="Times New Roman" w:eastAsia="宋体" w:cs="Times New Roman"/>
                <w:b/>
                <w:bCs/>
                <w:color w:val="auto"/>
                <w:sz w:val="24"/>
                <w:szCs w:val="24"/>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right="0" w:firstLine="482" w:firstLineChars="200"/>
              <w:jc w:val="left"/>
              <w:textAlignment w:val="auto"/>
              <w:rPr>
                <w:rFonts w:hint="default" w:ascii="Times New Roman" w:hAnsi="Times New Roman" w:eastAsia="宋体" w:cs="Times New Roman"/>
                <w:b/>
                <w:bCs/>
                <w:color w:val="auto"/>
                <w:sz w:val="24"/>
                <w:szCs w:val="24"/>
              </w:rPr>
            </w:pPr>
            <w:r>
              <w:rPr>
                <w:rFonts w:hint="eastAsia" w:cs="Times New Roman"/>
                <w:b/>
                <w:bCs/>
                <w:color w:val="auto"/>
                <w:sz w:val="24"/>
                <w:szCs w:val="24"/>
                <w:lang w:eastAsia="zh-CN"/>
              </w:rPr>
              <w:t>九</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rPr>
              <w:t>产业政策符合性</w:t>
            </w:r>
          </w:p>
          <w:p>
            <w:pPr>
              <w:spacing w:line="360" w:lineRule="auto"/>
              <w:ind w:firstLine="480" w:firstLineChars="200"/>
              <w:jc w:val="both"/>
              <w:rPr>
                <w:rFonts w:hint="default" w:ascii="Times New Roman" w:hAnsi="Times New Roman" w:cs="Times New Roman"/>
                <w:b w:val="0"/>
                <w:bCs w:val="0"/>
                <w:color w:val="auto"/>
                <w:sz w:val="24"/>
              </w:rPr>
            </w:pPr>
            <w:r>
              <w:rPr>
                <w:rFonts w:hint="eastAsia"/>
                <w:sz w:val="24"/>
                <w:szCs w:val="24"/>
                <w:lang w:val="en-US" w:eastAsia="zh-CN"/>
              </w:rPr>
              <w:t>本项目为</w:t>
            </w:r>
            <w:r>
              <w:rPr>
                <w:rFonts w:hint="eastAsia"/>
                <w:color w:val="auto"/>
                <w:sz w:val="24"/>
                <w:szCs w:val="24"/>
                <w:lang w:val="en-US" w:eastAsia="zh-CN"/>
              </w:rPr>
              <w:t>昆明银华工贸有限公司路桥分公司装配式钢结构项目</w:t>
            </w:r>
            <w:r>
              <w:rPr>
                <w:rFonts w:hint="eastAsia"/>
                <w:sz w:val="24"/>
                <w:szCs w:val="24"/>
                <w:lang w:val="en-US" w:eastAsia="zh-CN"/>
              </w:rPr>
              <w:t>。对照《产业结构调整指导目录（2019年本）》，</w:t>
            </w:r>
            <w:r>
              <w:rPr>
                <w:color w:val="auto"/>
                <w:spacing w:val="-6"/>
                <w:sz w:val="24"/>
              </w:rPr>
              <w:t>依照国家《产业结构调整指导目录</w:t>
            </w:r>
            <w:r>
              <w:rPr>
                <w:color w:val="auto"/>
                <w:sz w:val="24"/>
              </w:rPr>
              <w:t>（</w:t>
            </w:r>
            <w:r>
              <w:rPr>
                <w:rFonts w:ascii="Times New Roman" w:hAnsi="Times New Roman" w:eastAsia="Times New Roman"/>
                <w:color w:val="auto"/>
                <w:sz w:val="24"/>
              </w:rPr>
              <w:t>20</w:t>
            </w:r>
            <w:r>
              <w:rPr>
                <w:rFonts w:hint="eastAsia" w:eastAsia="宋体"/>
                <w:color w:val="auto"/>
                <w:sz w:val="24"/>
                <w:lang w:val="en-US" w:eastAsia="zh-CN"/>
              </w:rPr>
              <w:t>19</w:t>
            </w:r>
            <w:r>
              <w:rPr>
                <w:rFonts w:ascii="Times New Roman" w:hAnsi="Times New Roman" w:eastAsia="Times New Roman"/>
                <w:color w:val="auto"/>
                <w:sz w:val="24"/>
              </w:rPr>
              <w:t xml:space="preserve"> </w:t>
            </w:r>
            <w:r>
              <w:rPr>
                <w:color w:val="auto"/>
                <w:sz w:val="24"/>
              </w:rPr>
              <w:t>年本</w:t>
            </w:r>
            <w:r>
              <w:rPr>
                <w:color w:val="auto"/>
                <w:spacing w:val="-10"/>
                <w:sz w:val="24"/>
              </w:rPr>
              <w:t>）</w:t>
            </w:r>
            <w:r>
              <w:rPr>
                <w:color w:val="auto"/>
                <w:spacing w:val="-5"/>
                <w:sz w:val="24"/>
              </w:rPr>
              <w:t>》，项目属于鼓励类的第</w:t>
            </w:r>
            <w:r>
              <w:rPr>
                <w:rFonts w:hint="eastAsia"/>
                <w:color w:val="auto"/>
                <w:spacing w:val="-5"/>
                <w:sz w:val="24"/>
                <w:lang w:eastAsia="zh-CN"/>
              </w:rPr>
              <w:t>二十一</w:t>
            </w:r>
            <w:r>
              <w:rPr>
                <w:color w:val="auto"/>
                <w:spacing w:val="-4"/>
                <w:sz w:val="24"/>
              </w:rPr>
              <w:t>类“</w:t>
            </w:r>
            <w:r>
              <w:rPr>
                <w:rFonts w:hint="eastAsia"/>
                <w:color w:val="auto"/>
                <w:spacing w:val="-4"/>
                <w:sz w:val="24"/>
                <w:lang w:eastAsia="zh-CN"/>
              </w:rPr>
              <w:t>建筑</w:t>
            </w:r>
            <w:r>
              <w:rPr>
                <w:color w:val="auto"/>
                <w:spacing w:val="-4"/>
                <w:sz w:val="24"/>
              </w:rPr>
              <w:t>”中第</w:t>
            </w:r>
            <w:r>
              <w:rPr>
                <w:rFonts w:hint="eastAsia"/>
                <w:color w:val="auto"/>
                <w:spacing w:val="-4"/>
                <w:sz w:val="24"/>
                <w:lang w:eastAsia="zh-CN"/>
              </w:rPr>
              <w:t>十三</w:t>
            </w:r>
            <w:r>
              <w:rPr>
                <w:color w:val="auto"/>
                <w:spacing w:val="-4"/>
                <w:sz w:val="24"/>
              </w:rPr>
              <w:t>点</w:t>
            </w:r>
            <w:r>
              <w:rPr>
                <w:rFonts w:hint="eastAsia"/>
                <w:color w:val="auto"/>
                <w:spacing w:val="-4"/>
                <w:sz w:val="24"/>
                <w:lang w:eastAsia="zh-CN"/>
              </w:rPr>
              <w:t>“装配式钢结构绿色建筑体系的研发及推广</w:t>
            </w:r>
            <w:r>
              <w:rPr>
                <w:rFonts w:hint="eastAsia"/>
                <w:color w:val="auto"/>
                <w:spacing w:val="-1"/>
                <w:sz w:val="24"/>
                <w:lang w:eastAsia="zh-CN"/>
              </w:rPr>
              <w:t>”</w:t>
            </w:r>
            <w:r>
              <w:rPr>
                <w:color w:val="auto"/>
                <w:spacing w:val="-1"/>
                <w:sz w:val="24"/>
              </w:rPr>
              <w:t>的项目</w:t>
            </w:r>
            <w:r>
              <w:rPr>
                <w:color w:val="auto"/>
                <w:sz w:val="24"/>
              </w:rPr>
              <w:t>，</w:t>
            </w:r>
            <w:r>
              <w:rPr>
                <w:rFonts w:hint="eastAsia"/>
                <w:color w:val="auto"/>
                <w:sz w:val="24"/>
                <w:lang w:eastAsia="zh-CN"/>
              </w:rPr>
              <w:t>所以</w:t>
            </w:r>
            <w:r>
              <w:rPr>
                <w:color w:val="auto"/>
                <w:sz w:val="24"/>
              </w:rPr>
              <w:t>本项目符合国家的产业政策。</w:t>
            </w:r>
          </w:p>
          <w:p>
            <w:pPr>
              <w:spacing w:line="360" w:lineRule="auto"/>
              <w:ind w:firstLine="480"/>
              <w:jc w:val="both"/>
              <w:rPr>
                <w:rFonts w:hint="eastAsia"/>
                <w:sz w:val="24"/>
                <w:szCs w:val="24"/>
                <w:lang w:val="en-US" w:eastAsia="zh-CN"/>
              </w:rPr>
            </w:pPr>
            <w:r>
              <w:rPr>
                <w:rFonts w:hint="eastAsia"/>
                <w:sz w:val="24"/>
                <w:szCs w:val="24"/>
                <w:lang w:val="en-US" w:eastAsia="zh-CN"/>
              </w:rPr>
              <w:t>因此，项目的建设符合国家现行的产业政策。</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right="0" w:firstLine="482" w:firstLineChars="200"/>
              <w:jc w:val="left"/>
              <w:textAlignment w:val="auto"/>
              <w:rPr>
                <w:rFonts w:hint="default" w:ascii="Times New Roman" w:hAnsi="Times New Roman" w:eastAsia="宋体" w:cs="Times New Roman"/>
                <w:b/>
                <w:bCs/>
                <w:color w:val="auto"/>
                <w:sz w:val="24"/>
                <w:szCs w:val="24"/>
              </w:rPr>
            </w:pPr>
            <w:r>
              <w:rPr>
                <w:rFonts w:hint="eastAsia" w:cs="Times New Roman"/>
                <w:b/>
                <w:bCs/>
                <w:color w:val="auto"/>
                <w:sz w:val="24"/>
                <w:szCs w:val="24"/>
                <w:lang w:eastAsia="zh-CN"/>
              </w:rPr>
              <w:t>十</w:t>
            </w:r>
            <w:r>
              <w:rPr>
                <w:rFonts w:hint="default" w:ascii="Times New Roman" w:hAnsi="Times New Roman" w:eastAsia="宋体" w:cs="Times New Roman"/>
                <w:b/>
                <w:bCs/>
                <w:color w:val="auto"/>
                <w:sz w:val="24"/>
                <w:szCs w:val="24"/>
                <w:lang w:eastAsia="zh-CN"/>
              </w:rPr>
              <w:t>、相关</w:t>
            </w:r>
            <w:r>
              <w:rPr>
                <w:rFonts w:hint="default" w:ascii="Times New Roman" w:hAnsi="Times New Roman" w:eastAsia="宋体" w:cs="Times New Roman"/>
                <w:b/>
                <w:bCs/>
                <w:color w:val="auto"/>
                <w:sz w:val="24"/>
                <w:szCs w:val="24"/>
              </w:rPr>
              <w:t>规划符合性分析</w:t>
            </w:r>
          </w:p>
          <w:p>
            <w:pPr>
              <w:keepNext w:val="0"/>
              <w:keepLines w:val="0"/>
              <w:pageBreakBefore w:val="0"/>
              <w:kinsoku/>
              <w:wordWrap/>
              <w:overflowPunct/>
              <w:topLinePunct w:val="0"/>
              <w:autoSpaceDE/>
              <w:autoSpaceDN/>
              <w:bidi w:val="0"/>
              <w:adjustRightInd w:val="0"/>
              <w:snapToGrid w:val="0"/>
              <w:spacing w:line="360" w:lineRule="auto"/>
              <w:ind w:left="0" w:right="0"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1、与《富民城市总体规划修改（2015-2030年）》符合性分析</w:t>
            </w:r>
          </w:p>
          <w:p>
            <w:pPr>
              <w:pStyle w:val="111"/>
              <w:keepNext w:val="0"/>
              <w:keepLines w:val="0"/>
              <w:pageBreakBefore w:val="0"/>
              <w:widowControl w:val="0"/>
              <w:shd w:val="clear" w:color="auto" w:fill="auto"/>
              <w:kinsoku/>
              <w:wordWrap/>
              <w:overflowPunct/>
              <w:topLinePunct/>
              <w:autoSpaceDE/>
              <w:autoSpaceDN/>
              <w:bidi w:val="0"/>
              <w:adjustRightInd w:val="0"/>
              <w:snapToGrid w:val="0"/>
              <w:spacing w:before="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《昆明市富民县总体规划修改（2015</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2030）》是富民县县域范用内城市建设 法定性文件。本规划的规划期限为</w:t>
            </w:r>
            <w:r>
              <w:rPr>
                <w:rFonts w:hint="default" w:ascii="Times New Roman" w:hAnsi="Times New Roman" w:eastAsia="宋体" w:cs="Times New Roman"/>
                <w:color w:val="auto"/>
                <w:sz w:val="24"/>
                <w:szCs w:val="24"/>
                <w:lang w:val="en-US" w:eastAsia="en-US"/>
              </w:rPr>
              <w:t>2015-2030</w:t>
            </w:r>
            <w:r>
              <w:rPr>
                <w:rFonts w:hint="default" w:ascii="Times New Roman" w:hAnsi="Times New Roman" w:eastAsia="宋体" w:cs="Times New Roman"/>
                <w:color w:val="auto"/>
                <w:sz w:val="24"/>
                <w:szCs w:val="24"/>
              </w:rPr>
              <w:t>年。</w:t>
            </w:r>
          </w:p>
          <w:p>
            <w:pPr>
              <w:pStyle w:val="111"/>
              <w:keepNext w:val="0"/>
              <w:keepLines w:val="0"/>
              <w:pageBreakBefore w:val="0"/>
              <w:widowControl w:val="0"/>
              <w:shd w:val="clear" w:color="auto" w:fill="auto"/>
              <w:kinsoku/>
              <w:wordWrap/>
              <w:overflowPunct/>
              <w:topLinePunct/>
              <w:autoSpaceDE/>
              <w:autoSpaceDN/>
              <w:bidi w:val="0"/>
              <w:adjustRightInd w:val="0"/>
              <w:snapToGrid w:val="0"/>
              <w:spacing w:before="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本次总体规划规划范围分为县域、城市规划区和中心城区三个层次。其中：县域：富民县行政辖区范围。</w:t>
            </w:r>
          </w:p>
          <w:p>
            <w:pPr>
              <w:pStyle w:val="111"/>
              <w:keepNext w:val="0"/>
              <w:keepLines w:val="0"/>
              <w:pageBreakBefore w:val="0"/>
              <w:widowControl w:val="0"/>
              <w:shd w:val="clear" w:color="auto" w:fill="auto"/>
              <w:kinsoku/>
              <w:wordWrap/>
              <w:overflowPunct/>
              <w:topLinePunct/>
              <w:autoSpaceDE/>
              <w:autoSpaceDN/>
              <w:bidi w:val="0"/>
              <w:adjustRightInd w:val="0"/>
              <w:snapToGrid w:val="0"/>
              <w:spacing w:before="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城市规划区：范围为富民县县域。城市规划区范围总</w:t>
            </w:r>
            <w:r>
              <w:rPr>
                <w:rFonts w:hint="default" w:ascii="Times New Roman" w:hAnsi="Times New Roman" w:eastAsia="宋体" w:cs="Times New Roman"/>
                <w:color w:val="auto"/>
                <w:sz w:val="24"/>
                <w:szCs w:val="24"/>
                <w:lang w:eastAsia="zh-CN"/>
              </w:rPr>
              <w:t>面</w:t>
            </w:r>
            <w:r>
              <w:rPr>
                <w:rFonts w:hint="default" w:ascii="Times New Roman" w:hAnsi="Times New Roman" w:eastAsia="宋体" w:cs="Times New Roman"/>
                <w:color w:val="auto"/>
                <w:sz w:val="24"/>
                <w:szCs w:val="24"/>
              </w:rPr>
              <w:t>积993平方公里，在此范围内统筹安排县域城镇体系规划、城市总体规划和市政设施规划内容，并协 调保护好县域范围的山脉、河流、农田等自然生态空冋，并与土地利用总体规划 等其他行业规划相互协调配合。</w:t>
            </w:r>
          </w:p>
          <w:p>
            <w:pPr>
              <w:pStyle w:val="111"/>
              <w:keepNext w:val="0"/>
              <w:keepLines w:val="0"/>
              <w:pageBreakBefore w:val="0"/>
              <w:widowControl w:val="0"/>
              <w:shd w:val="clear" w:color="auto" w:fill="auto"/>
              <w:kinsoku/>
              <w:wordWrap/>
              <w:overflowPunct/>
              <w:topLinePunct/>
              <w:autoSpaceDE/>
              <w:autoSpaceDN/>
              <w:bidi w:val="0"/>
              <w:adjustRightInd w:val="0"/>
              <w:snapToGrid w:val="0"/>
              <w:spacing w:before="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中心城区：包括永定街道办事处，东起完家大村、西至坝区西部山脚线、北连杨家湾、尹家湾、南接规划长广高速公路。中心城区规划范围总而积为</w:t>
            </w:r>
            <w:r>
              <w:rPr>
                <w:rFonts w:hint="default" w:ascii="Times New Roman" w:hAnsi="Times New Roman" w:eastAsia="宋体" w:cs="Times New Roman"/>
                <w:color w:val="auto"/>
                <w:sz w:val="24"/>
                <w:szCs w:val="24"/>
                <w:lang w:val="en-US" w:eastAsia="en-US"/>
              </w:rPr>
              <w:t>59.08</w:t>
            </w:r>
            <w:r>
              <w:rPr>
                <w:rFonts w:hint="default" w:ascii="Times New Roman" w:hAnsi="Times New Roman" w:eastAsia="宋体" w:cs="Times New Roman"/>
                <w:color w:val="auto"/>
                <w:sz w:val="24"/>
                <w:szCs w:val="24"/>
              </w:rPr>
              <w:t>平方公里。</w:t>
            </w:r>
          </w:p>
          <w:p>
            <w:pPr>
              <w:pStyle w:val="111"/>
              <w:keepNext w:val="0"/>
              <w:keepLines w:val="0"/>
              <w:pageBreakBefore w:val="0"/>
              <w:widowControl w:val="0"/>
              <w:shd w:val="clear" w:color="auto" w:fill="auto"/>
              <w:tabs>
                <w:tab w:val="left" w:leader="hyphen" w:pos="7888"/>
              </w:tabs>
              <w:kinsoku/>
              <w:wordWrap/>
              <w:overflowPunct/>
              <w:topLinePunct/>
              <w:autoSpaceDE/>
              <w:autoSpaceDN/>
              <w:bidi w:val="0"/>
              <w:adjustRightInd w:val="0"/>
              <w:snapToGrid w:val="0"/>
              <w:spacing w:before="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根据城镇发展性质，总体规划全县</w:t>
            </w:r>
            <w:r>
              <w:rPr>
                <w:rFonts w:hint="default" w:ascii="Times New Roman" w:hAnsi="Times New Roman" w:eastAsia="宋体" w:cs="Times New Roman"/>
                <w:color w:val="auto"/>
                <w:sz w:val="24"/>
                <w:szCs w:val="24"/>
                <w:lang w:eastAsia="zh-CN"/>
              </w:rPr>
              <w:t>城镇</w:t>
            </w:r>
            <w:r>
              <w:rPr>
                <w:rFonts w:hint="default" w:ascii="Times New Roman" w:hAnsi="Times New Roman" w:eastAsia="宋体" w:cs="Times New Roman"/>
                <w:color w:val="auto"/>
                <w:sz w:val="24"/>
                <w:szCs w:val="24"/>
              </w:rPr>
              <w:t>分为核心城市——次级中心——</w:t>
            </w:r>
            <w:r>
              <w:rPr>
                <w:rFonts w:hint="default" w:ascii="Times New Roman" w:hAnsi="Times New Roman" w:eastAsia="宋体" w:cs="Times New Roman"/>
                <w:color w:val="auto"/>
                <w:sz w:val="24"/>
                <w:szCs w:val="24"/>
                <w:lang w:eastAsia="zh-CN"/>
              </w:rPr>
              <w:t>一</w:t>
            </w:r>
            <w:r>
              <w:rPr>
                <w:rFonts w:hint="default" w:ascii="Times New Roman" w:hAnsi="Times New Roman" w:eastAsia="宋体" w:cs="Times New Roman"/>
                <w:color w:val="auto"/>
                <w:sz w:val="24"/>
                <w:szCs w:val="24"/>
              </w:rPr>
              <w:t>般乡績——中心村四级结构，主要职能如下：</w:t>
            </w:r>
          </w:p>
          <w:p>
            <w:pPr>
              <w:pStyle w:val="111"/>
              <w:keepNext w:val="0"/>
              <w:keepLines w:val="0"/>
              <w:pageBreakBefore w:val="0"/>
              <w:widowControl w:val="0"/>
              <w:shd w:val="clear" w:color="auto" w:fill="auto"/>
              <w:kinsoku/>
              <w:wordWrap/>
              <w:overflowPunct/>
              <w:topLinePunct/>
              <w:autoSpaceDE/>
              <w:autoSpaceDN/>
              <w:bidi w:val="0"/>
              <w:adjustRightInd w:val="0"/>
              <w:snapToGrid w:val="0"/>
              <w:spacing w:before="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核心城市：富民县社会发展核心，经济发展引撃，辐射县域的公共服务中心。 以第三产业为主，主要发展商贸业、旅游业、房地产业、物流业等，建设综合型 特色田园城市。</w:t>
            </w:r>
          </w:p>
          <w:p>
            <w:pPr>
              <w:pStyle w:val="111"/>
              <w:keepNext w:val="0"/>
              <w:keepLines w:val="0"/>
              <w:pageBreakBefore w:val="0"/>
              <w:widowControl w:val="0"/>
              <w:shd w:val="clear" w:color="auto" w:fill="auto"/>
              <w:kinsoku/>
              <w:wordWrap/>
              <w:overflowPunct/>
              <w:topLinePunct/>
              <w:autoSpaceDE/>
              <w:autoSpaceDN/>
              <w:bidi w:val="0"/>
              <w:adjustRightInd w:val="0"/>
              <w:snapToGrid w:val="0"/>
              <w:spacing w:before="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从规划上看，富民县的城市性质定为：昆明都市圈北部辅城，面向滇西北及 川西的门户，重要的休闲养生基地和生态宜居新城，新型产业发展示范区，貝有 山地田园滨河风光的山水园林卫星城。</w:t>
            </w:r>
          </w:p>
          <w:p>
            <w:pPr>
              <w:pStyle w:val="111"/>
              <w:keepNext w:val="0"/>
              <w:keepLines w:val="0"/>
              <w:pageBreakBefore w:val="0"/>
              <w:widowControl w:val="0"/>
              <w:shd w:val="clear" w:color="auto" w:fill="auto"/>
              <w:kinsoku/>
              <w:wordWrap/>
              <w:overflowPunct/>
              <w:topLinePunct/>
              <w:autoSpaceDE/>
              <w:autoSpaceDN/>
              <w:bidi w:val="0"/>
              <w:adjustRightInd w:val="0"/>
              <w:snapToGrid w:val="0"/>
              <w:spacing w:before="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但从昆明市富民</w:t>
            </w:r>
            <w:r>
              <w:rPr>
                <w:rFonts w:hint="eastAsia" w:ascii="Times New Roman" w:hAnsi="Times New Roman" w:eastAsia="宋体" w:cs="Times New Roman"/>
                <w:color w:val="auto"/>
                <w:sz w:val="24"/>
                <w:szCs w:val="24"/>
                <w:lang w:eastAsia="zh-CN"/>
              </w:rPr>
              <w:t>县</w:t>
            </w:r>
            <w:r>
              <w:rPr>
                <w:rFonts w:hint="default" w:ascii="Times New Roman" w:hAnsi="Times New Roman" w:eastAsia="宋体" w:cs="Times New Roman"/>
                <w:color w:val="auto"/>
                <w:sz w:val="24"/>
                <w:szCs w:val="24"/>
              </w:rPr>
              <w:t>总体规划修改</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en-US"/>
              </w:rPr>
              <w:t>2015-2030</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中的用地布局规划上可看出，</w:t>
            </w:r>
            <w:r>
              <w:rPr>
                <w:rFonts w:hint="default" w:ascii="Times New Roman" w:hAnsi="Times New Roman" w:eastAsia="宋体" w:cs="Times New Roman"/>
                <w:color w:val="auto"/>
                <w:sz w:val="24"/>
                <w:szCs w:val="24"/>
                <w:lang w:val="en-US" w:eastAsia="zh-CN"/>
              </w:rPr>
              <w:t>目</w:t>
            </w:r>
            <w:r>
              <w:rPr>
                <w:rFonts w:hint="default" w:ascii="Times New Roman" w:hAnsi="Times New Roman" w:eastAsia="宋体" w:cs="Times New Roman"/>
                <w:color w:val="auto"/>
                <w:sz w:val="24"/>
                <w:szCs w:val="24"/>
              </w:rPr>
              <w:t>前城市规划的用地规划布局还未规划到项</w:t>
            </w:r>
            <w:r>
              <w:rPr>
                <w:rFonts w:hint="default" w:ascii="Times New Roman" w:hAnsi="Times New Roman" w:eastAsia="宋体" w:cs="Times New Roman"/>
                <w:color w:val="auto"/>
                <w:sz w:val="24"/>
                <w:szCs w:val="24"/>
                <w:lang w:val="en-US" w:eastAsia="zh-CN"/>
              </w:rPr>
              <w:t>目</w:t>
            </w:r>
            <w:r>
              <w:rPr>
                <w:rFonts w:hint="default" w:ascii="Times New Roman" w:hAnsi="Times New Roman" w:eastAsia="宋体" w:cs="Times New Roman"/>
                <w:color w:val="auto"/>
                <w:sz w:val="24"/>
                <w:szCs w:val="24"/>
              </w:rPr>
              <w:t>所在位置。</w:t>
            </w:r>
          </w:p>
          <w:p>
            <w:pPr>
              <w:pStyle w:val="111"/>
              <w:keepNext w:val="0"/>
              <w:keepLines w:val="0"/>
              <w:pageBreakBefore w:val="0"/>
              <w:widowControl w:val="0"/>
              <w:shd w:val="clear" w:color="auto" w:fill="auto"/>
              <w:kinsoku/>
              <w:wordWrap/>
              <w:overflowPunct/>
              <w:topLinePunct/>
              <w:autoSpaceDE/>
              <w:autoSpaceDN/>
              <w:bidi w:val="0"/>
              <w:adjustRightInd w:val="0"/>
              <w:snapToGrid w:val="0"/>
              <w:spacing w:before="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根据县域规划提出的工业发展思路</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对资源依托型、环境</w:t>
            </w:r>
            <w:r>
              <w:rPr>
                <w:rFonts w:hint="default" w:ascii="Times New Roman" w:hAnsi="Times New Roman" w:eastAsia="宋体" w:cs="Times New Roman"/>
                <w:color w:val="auto"/>
                <w:sz w:val="24"/>
                <w:szCs w:val="24"/>
                <w:lang w:eastAsia="zh-CN"/>
              </w:rPr>
              <w:t>有</w:t>
            </w:r>
            <w:r>
              <w:rPr>
                <w:rFonts w:hint="default" w:ascii="Times New Roman" w:hAnsi="Times New Roman" w:eastAsia="宋体" w:cs="Times New Roman"/>
                <w:color w:val="auto"/>
                <w:sz w:val="24"/>
                <w:szCs w:val="24"/>
              </w:rPr>
              <w:t>一定污染的企业, 逐步向富民县工业园区集中发展。规划原则上富民县城规划区范围内不再引进工 业项目；本项目布局在富民工业园区内</w:t>
            </w:r>
            <w:r>
              <w:rPr>
                <w:rFonts w:hint="default" w:ascii="Times New Roman" w:hAnsi="Times New Roman" w:eastAsia="宋体" w:cs="Times New Roman"/>
                <w:color w:val="auto"/>
                <w:sz w:val="24"/>
                <w:szCs w:val="24"/>
                <w:lang w:eastAsia="zh-CN"/>
              </w:rPr>
              <w:t>白石岩</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eastAsia="zh-CN"/>
              </w:rPr>
              <w:t>大白坡片区</w:t>
            </w:r>
            <w:r>
              <w:rPr>
                <w:rFonts w:hint="default" w:ascii="Times New Roman" w:hAnsi="Times New Roman" w:eastAsia="宋体" w:cs="Times New Roman"/>
                <w:color w:val="auto"/>
                <w:sz w:val="24"/>
                <w:szCs w:val="24"/>
              </w:rPr>
              <w:t>，因此从总体上来说，项目的建设与城市总体规划不矛盾。</w:t>
            </w:r>
          </w:p>
          <w:p>
            <w:pPr>
              <w:keepNext w:val="0"/>
              <w:keepLines w:val="0"/>
              <w:pageBreakBefore w:val="0"/>
              <w:kinsoku/>
              <w:wordWrap/>
              <w:overflowPunct/>
              <w:topLinePunct w:val="0"/>
              <w:autoSpaceDE/>
              <w:autoSpaceDN/>
              <w:bidi w:val="0"/>
              <w:adjustRightInd w:val="0"/>
              <w:snapToGrid w:val="0"/>
              <w:spacing w:line="360" w:lineRule="auto"/>
              <w:ind w:left="0" w:right="0"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2、与</w:t>
            </w:r>
            <w:r>
              <w:rPr>
                <w:rFonts w:hint="default" w:ascii="Times New Roman" w:hAnsi="Times New Roman" w:eastAsia="宋体" w:cs="Times New Roman"/>
                <w:b/>
                <w:bCs/>
                <w:color w:val="auto"/>
                <w:sz w:val="24"/>
                <w:szCs w:val="24"/>
                <w:lang w:eastAsia="zh-CN"/>
              </w:rPr>
              <w:t>《富民工业园区总体规划修编（</w:t>
            </w:r>
            <w:r>
              <w:rPr>
                <w:rFonts w:hint="default" w:ascii="Times New Roman" w:hAnsi="Times New Roman" w:eastAsia="宋体" w:cs="Times New Roman"/>
                <w:b/>
                <w:bCs/>
                <w:color w:val="auto"/>
                <w:sz w:val="24"/>
                <w:szCs w:val="24"/>
                <w:lang w:val="en-US" w:eastAsia="zh-CN"/>
              </w:rPr>
              <w:t>2015-2030</w:t>
            </w:r>
            <w:r>
              <w:rPr>
                <w:rFonts w:hint="default" w:ascii="Times New Roman" w:hAnsi="Times New Roman" w:eastAsia="宋体" w:cs="Times New Roman"/>
                <w:b/>
                <w:bCs/>
                <w:color w:val="auto"/>
                <w:sz w:val="24"/>
                <w:szCs w:val="24"/>
                <w:lang w:eastAsia="zh-CN"/>
              </w:rPr>
              <w:t>）》的</w:t>
            </w:r>
            <w:r>
              <w:rPr>
                <w:rFonts w:hint="default" w:ascii="Times New Roman" w:hAnsi="Times New Roman" w:eastAsia="宋体" w:cs="Times New Roman"/>
                <w:b/>
                <w:bCs/>
                <w:color w:val="auto"/>
                <w:sz w:val="24"/>
                <w:szCs w:val="24"/>
              </w:rPr>
              <w:t>符合性分析</w:t>
            </w:r>
          </w:p>
          <w:p>
            <w:pPr>
              <w:pStyle w:val="111"/>
              <w:keepNext w:val="0"/>
              <w:keepLines w:val="0"/>
              <w:pageBreakBefore w:val="0"/>
              <w:widowControl w:val="0"/>
              <w:shd w:val="clear" w:color="auto" w:fill="auto"/>
              <w:kinsoku/>
              <w:wordWrap w:val="0"/>
              <w:overflowPunct/>
              <w:topLinePunct/>
              <w:autoSpaceDE/>
              <w:autoSpaceDN/>
              <w:bidi w:val="0"/>
              <w:adjustRightInd w:val="0"/>
              <w:snapToGrid w:val="0"/>
              <w:spacing w:before="0" w:line="360" w:lineRule="auto"/>
              <w:ind w:left="0" w:leftChars="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富民工业园区位于富民永定街道、罗免镇、赤鹫镇、散</w:t>
            </w:r>
            <w:r>
              <w:rPr>
                <w:rFonts w:hint="default" w:ascii="Times New Roman" w:hAnsi="Times New Roman" w:eastAsia="宋体" w:cs="Times New Roman"/>
                <w:color w:val="auto"/>
                <w:sz w:val="24"/>
                <w:szCs w:val="24"/>
                <w:lang w:eastAsia="zh-CN"/>
              </w:rPr>
              <w:t>旦</w:t>
            </w:r>
            <w:r>
              <w:rPr>
                <w:rFonts w:hint="default" w:ascii="Times New Roman" w:hAnsi="Times New Roman" w:eastAsia="宋体" w:cs="Times New Roman"/>
                <w:color w:val="auto"/>
                <w:sz w:val="24"/>
                <w:szCs w:val="24"/>
              </w:rPr>
              <w:t>镇、款庄镇、东村镇的部分区域，各级主管部门对富民工</w:t>
            </w:r>
            <w:r>
              <w:rPr>
                <w:rFonts w:hint="default" w:ascii="Times New Roman" w:hAnsi="Times New Roman" w:eastAsia="宋体" w:cs="Times New Roman"/>
                <w:color w:val="auto"/>
                <w:sz w:val="24"/>
                <w:szCs w:val="24"/>
                <w:lang w:val="zh-CN" w:eastAsia="zh-CN"/>
              </w:rPr>
              <w:t>业园区</w:t>
            </w:r>
            <w:r>
              <w:rPr>
                <w:rFonts w:hint="default" w:ascii="Times New Roman" w:hAnsi="Times New Roman" w:eastAsia="宋体" w:cs="Times New Roman"/>
                <w:color w:val="auto"/>
                <w:sz w:val="24"/>
                <w:szCs w:val="24"/>
              </w:rPr>
              <w:t>规划和建设高度重视2006年完成了《富民工业集聚区总体规划</w:t>
            </w:r>
            <w:r>
              <w:rPr>
                <w:rFonts w:hint="default" w:ascii="Times New Roman" w:hAnsi="Times New Roman" w:eastAsia="宋体" w:cs="Times New Roman"/>
                <w:color w:val="auto"/>
                <w:sz w:val="24"/>
                <w:szCs w:val="24"/>
                <w:lang w:val="en-US" w:eastAsia="en-US"/>
              </w:rPr>
              <w:t>(2006-2020</w:t>
            </w:r>
            <w:r>
              <w:rPr>
                <w:rFonts w:hint="default" w:ascii="Times New Roman" w:hAnsi="Times New Roman" w:eastAsia="宋体" w:cs="Times New Roman"/>
                <w:color w:val="auto"/>
                <w:sz w:val="24"/>
                <w:szCs w:val="24"/>
              </w:rPr>
              <w:t>年)》的编制并获昆明市工业和信息化委员会批准实施，并于2008年7月取得了《富民工业集聚区总体规划环境影响报告书》审査意见</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2008年被省工信委确定为省级工业园区。</w:t>
            </w:r>
          </w:p>
          <w:p>
            <w:pPr>
              <w:pStyle w:val="111"/>
              <w:keepNext w:val="0"/>
              <w:keepLines w:val="0"/>
              <w:pageBreakBefore w:val="0"/>
              <w:widowControl w:val="0"/>
              <w:shd w:val="clear" w:color="auto" w:fill="auto"/>
              <w:kinsoku/>
              <w:wordWrap/>
              <w:overflowPunct/>
              <w:topLinePunct/>
              <w:autoSpaceDE/>
              <w:autoSpaceDN/>
              <w:bidi w:val="0"/>
              <w:adjustRightInd w:val="0"/>
              <w:snapToGrid w:val="0"/>
              <w:spacing w:before="0" w:line="360" w:lineRule="auto"/>
              <w:ind w:left="0" w:leftChars="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随</w:t>
            </w:r>
            <w:r>
              <w:rPr>
                <w:rFonts w:hint="default" w:ascii="Times New Roman" w:hAnsi="Times New Roman" w:eastAsia="宋体" w:cs="Times New Roman"/>
                <w:color w:val="auto"/>
                <w:sz w:val="24"/>
                <w:szCs w:val="24"/>
                <w:lang w:eastAsia="zh-CN"/>
              </w:rPr>
              <w:t>着</w:t>
            </w:r>
            <w:r>
              <w:rPr>
                <w:rFonts w:hint="default" w:ascii="Times New Roman" w:hAnsi="Times New Roman" w:eastAsia="宋体" w:cs="Times New Roman"/>
                <w:color w:val="auto"/>
                <w:sz w:val="24"/>
                <w:szCs w:val="24"/>
              </w:rPr>
              <w:t>云南省出台了关于推动工业跨越式发展以及</w:t>
            </w:r>
            <w:r>
              <w:rPr>
                <w:rFonts w:hint="default" w:ascii="Times New Roman" w:hAnsi="Times New Roman" w:eastAsia="宋体" w:cs="Times New Roman"/>
                <w:color w:val="auto"/>
                <w:sz w:val="24"/>
                <w:szCs w:val="24"/>
                <w:lang w:val="zh-CN" w:eastAsia="zh-CN"/>
              </w:rPr>
              <w:t>“城</w:t>
            </w:r>
            <w:r>
              <w:rPr>
                <w:rFonts w:hint="default" w:ascii="Times New Roman" w:hAnsi="Times New Roman" w:eastAsia="宋体" w:cs="Times New Roman"/>
                <w:color w:val="auto"/>
                <w:sz w:val="24"/>
                <w:szCs w:val="24"/>
              </w:rPr>
              <w:t>镇、工业上山”的新政策，昆明市针对全市产业布局提出了调整优化的新要求。同时，随着近年来外围工业经济形式的发展和政策细则的落实，原</w:t>
            </w:r>
            <w:r>
              <w:rPr>
                <w:rFonts w:hint="default" w:ascii="Times New Roman" w:hAnsi="Times New Roman" w:eastAsia="宋体" w:cs="Times New Roman"/>
                <w:color w:val="auto"/>
                <w:sz w:val="24"/>
                <w:szCs w:val="24"/>
                <w:lang w:eastAsia="zh-CN"/>
              </w:rPr>
              <w:t>有</w:t>
            </w:r>
            <w:r>
              <w:rPr>
                <w:rFonts w:hint="default" w:ascii="Times New Roman" w:hAnsi="Times New Roman" w:eastAsia="宋体" w:cs="Times New Roman"/>
                <w:color w:val="auto"/>
                <w:sz w:val="24"/>
                <w:szCs w:val="24"/>
              </w:rPr>
              <w:t>工业园区的规划</w:t>
            </w:r>
            <w:r>
              <w:rPr>
                <w:rFonts w:hint="default" w:ascii="Times New Roman" w:hAnsi="Times New Roman" w:eastAsia="宋体" w:cs="Times New Roman"/>
                <w:color w:val="auto"/>
                <w:sz w:val="24"/>
                <w:szCs w:val="24"/>
                <w:lang w:eastAsia="zh-CN"/>
              </w:rPr>
              <w:t>已</w:t>
            </w:r>
            <w:r>
              <w:rPr>
                <w:rFonts w:hint="default" w:ascii="Times New Roman" w:hAnsi="Times New Roman" w:eastAsia="宋体" w:cs="Times New Roman"/>
                <w:color w:val="auto"/>
                <w:sz w:val="24"/>
                <w:szCs w:val="24"/>
              </w:rPr>
              <w:t>不能满足目前的 发展需求，需对原有工业园区总体规划作出调整。因此，2014年富民工业园区管委会委托昆明市规划设计研究院编制完成了《富民工业园区总体规划修编 （2015-2030）》</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并通过了昆明市</w:t>
            </w:r>
            <w:r>
              <w:rPr>
                <w:rFonts w:hint="default" w:ascii="Times New Roman" w:hAnsi="Times New Roman" w:eastAsia="宋体" w:cs="Times New Roman"/>
                <w:color w:val="auto"/>
                <w:sz w:val="24"/>
                <w:szCs w:val="24"/>
                <w:lang w:eastAsia="zh-CN"/>
              </w:rPr>
              <w:t>工</w:t>
            </w:r>
            <w:r>
              <w:rPr>
                <w:rFonts w:hint="default" w:ascii="Times New Roman" w:hAnsi="Times New Roman" w:eastAsia="宋体" w:cs="Times New Roman"/>
                <w:color w:val="auto"/>
                <w:sz w:val="24"/>
                <w:szCs w:val="24"/>
              </w:rPr>
              <w:t>业和信息化委员会组织的专家审核，并于2015年10月取得了昆明市工业和信息化委员会《关于实施《富民工业园区总体规划修编（2015-2030）》的意见。</w:t>
            </w:r>
          </w:p>
          <w:p>
            <w:pPr>
              <w:pStyle w:val="111"/>
              <w:keepNext w:val="0"/>
              <w:keepLines w:val="0"/>
              <w:pageBreakBefore w:val="0"/>
              <w:widowControl w:val="0"/>
              <w:shd w:val="clear" w:color="auto" w:fill="auto"/>
              <w:kinsoku/>
              <w:wordWrap w:val="0"/>
              <w:overflowPunct/>
              <w:topLinePunct/>
              <w:autoSpaceDE/>
              <w:autoSpaceDN/>
              <w:bidi w:val="0"/>
              <w:adjustRightInd w:val="0"/>
              <w:snapToGrid w:val="0"/>
              <w:spacing w:before="0" w:line="360" w:lineRule="auto"/>
              <w:ind w:left="0" w:leftChars="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本次规划调整</w:t>
            </w:r>
            <w:r>
              <w:rPr>
                <w:rFonts w:hint="default" w:ascii="Times New Roman" w:hAnsi="Times New Roman" w:eastAsia="宋体" w:cs="Times New Roman"/>
                <w:color w:val="auto"/>
                <w:sz w:val="24"/>
                <w:szCs w:val="24"/>
                <w:lang w:eastAsia="zh-CN"/>
              </w:rPr>
              <w:t>工</w:t>
            </w:r>
            <w:r>
              <w:rPr>
                <w:rFonts w:hint="default" w:ascii="Times New Roman" w:hAnsi="Times New Roman" w:eastAsia="宋体" w:cs="Times New Roman"/>
                <w:color w:val="auto"/>
                <w:sz w:val="24"/>
                <w:szCs w:val="24"/>
              </w:rPr>
              <w:t>作中，主要是结合园区发展需求的实际情况，重新划定了规划范围，确定本次富民工业园规划区范围为四个片区，其中，白石岩</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zh-CN" w:eastAsia="zh-CN"/>
              </w:rPr>
              <w:t>大</w:t>
            </w:r>
            <w:r>
              <w:rPr>
                <w:rFonts w:hint="default" w:ascii="Times New Roman" w:hAnsi="Times New Roman" w:eastAsia="宋体" w:cs="Times New Roman"/>
                <w:color w:val="auto"/>
                <w:sz w:val="24"/>
                <w:szCs w:val="24"/>
                <w:lang w:eastAsia="zh-CN"/>
              </w:rPr>
              <w:t>白</w:t>
            </w:r>
            <w:r>
              <w:rPr>
                <w:rFonts w:hint="default" w:ascii="Times New Roman" w:hAnsi="Times New Roman" w:eastAsia="宋体" w:cs="Times New Roman"/>
                <w:color w:val="auto"/>
                <w:sz w:val="24"/>
                <w:szCs w:val="24"/>
              </w:rPr>
              <w:t>坡</w:t>
            </w:r>
            <w:r>
              <w:rPr>
                <w:rFonts w:hint="default" w:ascii="Times New Roman" w:hAnsi="Times New Roman" w:eastAsia="宋体" w:cs="Times New Roman"/>
                <w:color w:val="auto"/>
                <w:sz w:val="24"/>
                <w:szCs w:val="24"/>
                <w:lang w:eastAsia="zh-CN"/>
              </w:rPr>
              <w:t>片</w:t>
            </w:r>
            <w:r>
              <w:rPr>
                <w:rFonts w:hint="default" w:ascii="Times New Roman" w:hAnsi="Times New Roman" w:eastAsia="宋体" w:cs="Times New Roman"/>
                <w:color w:val="auto"/>
                <w:sz w:val="24"/>
                <w:szCs w:val="24"/>
              </w:rPr>
              <w:t>区主要包括白石岩、大白坡、哨</w:t>
            </w:r>
            <w:r>
              <w:rPr>
                <w:rFonts w:hint="default" w:ascii="Times New Roman" w:hAnsi="Times New Roman" w:eastAsia="宋体" w:cs="Times New Roman"/>
                <w:color w:val="auto"/>
                <w:sz w:val="24"/>
                <w:szCs w:val="24"/>
                <w:lang w:eastAsia="zh-CN"/>
              </w:rPr>
              <w:t>箐</w:t>
            </w:r>
            <w:r>
              <w:rPr>
                <w:rFonts w:hint="default" w:ascii="Times New Roman" w:hAnsi="Times New Roman" w:eastAsia="宋体" w:cs="Times New Roman"/>
                <w:color w:val="auto"/>
                <w:sz w:val="24"/>
                <w:szCs w:val="24"/>
              </w:rPr>
              <w:t>与赤鹫组团，大营</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zh-CN" w:eastAsia="zh-CN"/>
              </w:rPr>
              <w:t>茨塘</w:t>
            </w:r>
            <w:r>
              <w:rPr>
                <w:rFonts w:hint="default" w:ascii="Times New Roman" w:hAnsi="Times New Roman" w:eastAsia="宋体" w:cs="Times New Roman"/>
                <w:color w:val="auto"/>
                <w:sz w:val="24"/>
                <w:szCs w:val="24"/>
              </w:rPr>
              <w:t>片区主要包括大营、茨塘组团，散旦片区主要包括散旦南、散旦西与散旦北组团，款庄</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zh-CN" w:eastAsia="zh-CN"/>
              </w:rPr>
              <w:t>东村</w:t>
            </w:r>
            <w:r>
              <w:rPr>
                <w:rFonts w:hint="default" w:ascii="Times New Roman" w:hAnsi="Times New Roman" w:eastAsia="宋体" w:cs="Times New Roman"/>
                <w:color w:val="auto"/>
                <w:sz w:val="24"/>
                <w:szCs w:val="24"/>
              </w:rPr>
              <w:t>片区主要包括款庄、东村与和平</w:t>
            </w:r>
            <w:r>
              <w:rPr>
                <w:rFonts w:hint="default" w:ascii="Times New Roman" w:hAnsi="Times New Roman" w:eastAsia="宋体" w:cs="Times New Roman"/>
                <w:color w:val="auto"/>
                <w:sz w:val="24"/>
                <w:szCs w:val="24"/>
                <w:lang w:val="zh-CN" w:eastAsia="zh-CN"/>
              </w:rPr>
              <w:t>组团。</w:t>
            </w:r>
            <w:r>
              <w:rPr>
                <w:rFonts w:hint="default" w:ascii="Times New Roman" w:hAnsi="Times New Roman" w:eastAsia="宋体" w:cs="Times New Roman"/>
                <w:color w:val="auto"/>
                <w:sz w:val="24"/>
                <w:szCs w:val="24"/>
              </w:rPr>
              <w:t>在原来规划的基础上新增加</w:t>
            </w:r>
            <w:r>
              <w:rPr>
                <w:rFonts w:hint="default" w:ascii="Times New Roman" w:hAnsi="Times New Roman" w:eastAsia="宋体" w:cs="Times New Roman"/>
                <w:color w:val="auto"/>
                <w:sz w:val="24"/>
                <w:szCs w:val="24"/>
                <w:lang w:val="zh-CN" w:eastAsia="zh-CN"/>
              </w:rPr>
              <w:t>了赤</w:t>
            </w:r>
            <w:r>
              <w:rPr>
                <w:rFonts w:hint="default" w:ascii="Times New Roman" w:hAnsi="Times New Roman" w:eastAsia="宋体" w:cs="Times New Roman"/>
                <w:color w:val="auto"/>
                <w:sz w:val="24"/>
                <w:szCs w:val="24"/>
              </w:rPr>
              <w:t>鹫镇、散旦镇、款庄镇和东村镇的部分区域，规划建设用地面积由原来的</w:t>
            </w:r>
            <w:r>
              <w:rPr>
                <w:rFonts w:hint="default" w:ascii="Times New Roman" w:hAnsi="Times New Roman" w:eastAsia="宋体" w:cs="Times New Roman"/>
                <w:color w:val="auto"/>
                <w:sz w:val="24"/>
                <w:szCs w:val="24"/>
                <w:lang w:val="en-US" w:eastAsia="en-US"/>
              </w:rPr>
              <w:t>10.22</w:t>
            </w:r>
            <w:r>
              <w:rPr>
                <w:rFonts w:hint="default" w:ascii="Times New Roman" w:hAnsi="Times New Roman" w:eastAsia="宋体" w:cs="Times New Roman"/>
                <w:color w:val="auto"/>
                <w:sz w:val="24"/>
                <w:szCs w:val="24"/>
              </w:rPr>
              <w:t>平方公里调整为</w:t>
            </w:r>
            <w:r>
              <w:rPr>
                <w:rFonts w:hint="default" w:ascii="Times New Roman" w:hAnsi="Times New Roman" w:eastAsia="宋体" w:cs="Times New Roman"/>
                <w:color w:val="auto"/>
                <w:sz w:val="24"/>
                <w:szCs w:val="24"/>
                <w:lang w:val="en-US" w:eastAsia="en-US"/>
              </w:rPr>
              <w:t>30.4</w:t>
            </w:r>
            <w:r>
              <w:rPr>
                <w:rFonts w:hint="default" w:ascii="Times New Roman" w:hAnsi="Times New Roman" w:eastAsia="宋体" w:cs="Times New Roman"/>
                <w:color w:val="auto"/>
                <w:sz w:val="24"/>
                <w:szCs w:val="24"/>
              </w:rPr>
              <w:t>平方公里，增加了</w:t>
            </w:r>
            <w:r>
              <w:rPr>
                <w:rFonts w:hint="default" w:ascii="Times New Roman" w:hAnsi="Times New Roman" w:eastAsia="宋体" w:cs="Times New Roman"/>
                <w:color w:val="auto"/>
                <w:sz w:val="24"/>
                <w:szCs w:val="24"/>
                <w:lang w:val="en-US" w:eastAsia="en-US"/>
              </w:rPr>
              <w:t>20.18</w:t>
            </w:r>
            <w:r>
              <w:rPr>
                <w:rFonts w:hint="default" w:ascii="Times New Roman" w:hAnsi="Times New Roman" w:eastAsia="宋体" w:cs="Times New Roman"/>
                <w:color w:val="auto"/>
                <w:sz w:val="24"/>
                <w:szCs w:val="24"/>
              </w:rPr>
              <w:t>平方公里。调整了发展定位，是以装备制造、钛盐化工和新材料三大产业为主导的产业基地，取消了</w:t>
            </w:r>
            <w:r>
              <w:rPr>
                <w:rFonts w:hint="default" w:ascii="Times New Roman" w:hAnsi="Times New Roman" w:eastAsia="宋体" w:cs="Times New Roman"/>
                <w:color w:val="auto"/>
                <w:sz w:val="24"/>
                <w:szCs w:val="24"/>
                <w:lang w:eastAsia="zh-CN"/>
              </w:rPr>
              <w:t>原</w:t>
            </w:r>
            <w:r>
              <w:rPr>
                <w:rFonts w:hint="default" w:ascii="Times New Roman" w:hAnsi="Times New Roman" w:eastAsia="宋体" w:cs="Times New Roman"/>
                <w:color w:val="auto"/>
                <w:sz w:val="24"/>
                <w:szCs w:val="24"/>
              </w:rPr>
              <w:t>规划的硫化工、磷化工和饲料添加剂产业。产业布后由原规划的北营、麦竜、大营三个产业片区和奎南物流中心</w:t>
            </w:r>
            <w:r>
              <w:rPr>
                <w:rFonts w:hint="default" w:ascii="Times New Roman" w:hAnsi="Times New Roman" w:eastAsia="宋体" w:cs="Times New Roman"/>
                <w:color w:val="auto"/>
                <w:sz w:val="24"/>
                <w:szCs w:val="24"/>
                <w:lang w:val="zh-CN" w:eastAsia="zh-CN"/>
              </w:rPr>
              <w:t>“三片</w:t>
            </w:r>
            <w:r>
              <w:rPr>
                <w:rFonts w:hint="default" w:ascii="Times New Roman" w:hAnsi="Times New Roman" w:eastAsia="宋体" w:cs="Times New Roman"/>
                <w:color w:val="auto"/>
                <w:sz w:val="24"/>
                <w:szCs w:val="24"/>
              </w:rPr>
              <w:t>一中心</w:t>
            </w:r>
            <w:r>
              <w:rPr>
                <w:rFonts w:hint="default" w:ascii="Times New Roman" w:hAnsi="Times New Roman" w:eastAsia="宋体" w:cs="Times New Roman"/>
                <w:color w:val="auto"/>
                <w:sz w:val="24"/>
                <w:szCs w:val="24"/>
                <w:lang w:val="zh-CN" w:eastAsia="zh-CN"/>
              </w:rPr>
              <w:t>“结</w:t>
            </w:r>
            <w:r>
              <w:rPr>
                <w:rFonts w:hint="default" w:ascii="Times New Roman" w:hAnsi="Times New Roman" w:eastAsia="宋体" w:cs="Times New Roman"/>
                <w:color w:val="auto"/>
                <w:sz w:val="24"/>
                <w:szCs w:val="24"/>
              </w:rPr>
              <w:t>构，调整为包括白石岩</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zh-CN" w:eastAsia="zh-CN"/>
              </w:rPr>
              <w:t>大</w:t>
            </w:r>
            <w:r>
              <w:rPr>
                <w:rFonts w:hint="default" w:ascii="Times New Roman" w:hAnsi="Times New Roman" w:eastAsia="宋体" w:cs="Times New Roman"/>
                <w:color w:val="auto"/>
                <w:sz w:val="24"/>
                <w:szCs w:val="24"/>
              </w:rPr>
              <w:t>白坡片区、大营片区、散旦片</w:t>
            </w:r>
            <w:r>
              <w:rPr>
                <w:rFonts w:hint="default" w:ascii="Times New Roman" w:hAnsi="Times New Roman" w:eastAsia="宋体" w:cs="Times New Roman"/>
                <w:color w:val="auto"/>
                <w:sz w:val="24"/>
                <w:szCs w:val="24"/>
                <w:lang w:eastAsia="zh-CN"/>
              </w:rPr>
              <w:t>区、</w:t>
            </w:r>
            <w:r>
              <w:rPr>
                <w:rFonts w:hint="default" w:ascii="Times New Roman" w:hAnsi="Times New Roman" w:eastAsia="宋体" w:cs="Times New Roman"/>
                <w:color w:val="auto"/>
                <w:sz w:val="24"/>
                <w:szCs w:val="24"/>
              </w:rPr>
              <w:t>款庄</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zh-CN" w:eastAsia="zh-CN"/>
              </w:rPr>
              <w:t>东村</w:t>
            </w:r>
            <w:r>
              <w:rPr>
                <w:rFonts w:hint="default" w:ascii="Times New Roman" w:hAnsi="Times New Roman" w:eastAsia="宋体" w:cs="Times New Roman"/>
                <w:color w:val="auto"/>
                <w:sz w:val="24"/>
                <w:szCs w:val="24"/>
              </w:rPr>
              <w:t>片区四个工业片区。</w:t>
            </w:r>
          </w:p>
          <w:p>
            <w:pPr>
              <w:pStyle w:val="111"/>
              <w:keepNext w:val="0"/>
              <w:keepLines w:val="0"/>
              <w:pageBreakBefore w:val="0"/>
              <w:widowControl w:val="0"/>
              <w:shd w:val="clear" w:color="auto" w:fill="auto"/>
              <w:kinsoku/>
              <w:wordWrap w:val="0"/>
              <w:overflowPunct/>
              <w:topLinePunct/>
              <w:autoSpaceDE/>
              <w:autoSpaceDN/>
              <w:bidi w:val="0"/>
              <w:adjustRightInd w:val="0"/>
              <w:snapToGrid w:val="0"/>
              <w:spacing w:before="0" w:line="360" w:lineRule="auto"/>
              <w:ind w:left="0" w:right="0" w:firstLine="480" w:firstLineChars="200"/>
              <w:jc w:val="left"/>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按照修编后的规划，富民工业园区定位为：新型工业园区，以装备制造、钛盐化工和新材料三大产业为主导的产业基地，集生产、生活配套为一体的生态化工业园。整个工业园区规划范围面积为</w:t>
            </w:r>
            <w:r>
              <w:rPr>
                <w:rFonts w:hint="default" w:ascii="Times New Roman" w:hAnsi="Times New Roman" w:eastAsia="宋体" w:cs="Times New Roman"/>
                <w:color w:val="auto"/>
                <w:sz w:val="24"/>
                <w:szCs w:val="24"/>
                <w:lang w:val="en-US" w:eastAsia="en-US"/>
              </w:rPr>
              <w:t>67.37km</w:t>
            </w:r>
            <w:r>
              <w:rPr>
                <w:rFonts w:hint="default" w:ascii="Times New Roman" w:hAnsi="Times New Roman" w:eastAsia="宋体" w:cs="Times New Roman"/>
                <w:color w:val="auto"/>
                <w:sz w:val="24"/>
                <w:szCs w:val="24"/>
                <w:vertAlign w:val="superscript"/>
                <w:lang w:val="en-US" w:eastAsia="en-US"/>
              </w:rPr>
              <w:t>2</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园区建设用地面积为</w:t>
            </w:r>
            <w:r>
              <w:rPr>
                <w:rFonts w:hint="default" w:ascii="Times New Roman" w:hAnsi="Times New Roman" w:eastAsia="宋体" w:cs="Times New Roman"/>
                <w:color w:val="auto"/>
                <w:sz w:val="24"/>
                <w:szCs w:val="24"/>
                <w:lang w:val="en-US" w:eastAsia="en-US"/>
              </w:rPr>
              <w:t>30.4km</w:t>
            </w:r>
            <w:r>
              <w:rPr>
                <w:rFonts w:hint="default" w:ascii="Times New Roman" w:hAnsi="Times New Roman" w:eastAsia="宋体" w:cs="Times New Roman"/>
                <w:color w:val="auto"/>
                <w:sz w:val="24"/>
                <w:szCs w:val="24"/>
                <w:vertAlign w:val="superscript"/>
                <w:lang w:val="en-US" w:eastAsia="en-US"/>
              </w:rPr>
              <w:t>2</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按照《富民工业园区总体规划修编（2015-2030）》，园区产业规划构建“两</w:t>
            </w:r>
            <w:r>
              <w:rPr>
                <w:rFonts w:hint="default" w:ascii="Times New Roman" w:hAnsi="Times New Roman" w:eastAsia="宋体" w:cs="Times New Roman"/>
                <w:color w:val="auto"/>
                <w:sz w:val="24"/>
                <w:szCs w:val="24"/>
                <w:lang w:eastAsia="zh-CN"/>
              </w:rPr>
              <w:t>轴</w:t>
            </w:r>
            <w:r>
              <w:rPr>
                <w:rFonts w:hint="default" w:ascii="Times New Roman" w:hAnsi="Times New Roman" w:eastAsia="宋体" w:cs="Times New Roman"/>
                <w:color w:val="auto"/>
                <w:sz w:val="24"/>
                <w:szCs w:val="24"/>
              </w:rPr>
              <w:t>三园六组团</w:t>
            </w:r>
            <w:r>
              <w:rPr>
                <w:rFonts w:hint="default" w:ascii="Times New Roman" w:hAnsi="Times New Roman" w:eastAsia="宋体" w:cs="Times New Roman"/>
                <w:color w:val="auto"/>
                <w:sz w:val="24"/>
                <w:szCs w:val="24"/>
                <w:lang w:val="zh-CN" w:eastAsia="zh-CN"/>
              </w:rPr>
              <w:t>”的</w:t>
            </w:r>
            <w:r>
              <w:rPr>
                <w:rFonts w:hint="default" w:ascii="Times New Roman" w:hAnsi="Times New Roman" w:eastAsia="宋体" w:cs="Times New Roman"/>
                <w:color w:val="auto"/>
                <w:sz w:val="24"/>
                <w:szCs w:val="24"/>
              </w:rPr>
              <w:t>产业空间布局结构。两轴为沿昆武高速公路和轿子山旅游专线形成两条产业发展轴线；三园为富民工业园区主要布局装备制造产业园、钛化工产业园和新材料产业园：六个产业组团为白石岩-哨</w:t>
            </w:r>
            <w:r>
              <w:rPr>
                <w:rFonts w:hint="default" w:ascii="Times New Roman" w:hAnsi="Times New Roman" w:eastAsia="宋体" w:cs="Times New Roman"/>
                <w:color w:val="auto"/>
                <w:sz w:val="24"/>
                <w:szCs w:val="24"/>
                <w:lang w:eastAsia="zh-CN"/>
              </w:rPr>
              <w:t>箐</w:t>
            </w:r>
            <w:r>
              <w:rPr>
                <w:rFonts w:hint="default" w:ascii="Times New Roman" w:hAnsi="Times New Roman" w:eastAsia="宋体" w:cs="Times New Roman"/>
                <w:color w:val="auto"/>
                <w:sz w:val="24"/>
                <w:szCs w:val="24"/>
              </w:rPr>
              <w:t>组团、大白坡组团、赤鹫组团、大营-茨塘组团、散旦组团和款庄-东村组团</w:t>
            </w:r>
            <w:r>
              <w:rPr>
                <w:rFonts w:hint="default" w:ascii="Times New Roman" w:hAnsi="Times New Roman" w:eastAsia="宋体" w:cs="Times New Roman"/>
                <w:color w:val="auto"/>
                <w:sz w:val="24"/>
                <w:szCs w:val="24"/>
                <w:lang w:eastAsia="zh-CN"/>
              </w:rPr>
              <w:t>。</w:t>
            </w:r>
          </w:p>
          <w:p>
            <w:pPr>
              <w:pStyle w:val="111"/>
              <w:keepNext w:val="0"/>
              <w:keepLines w:val="0"/>
              <w:pageBreakBefore w:val="0"/>
              <w:widowControl w:val="0"/>
              <w:shd w:val="clear" w:color="auto" w:fill="auto"/>
              <w:kinsoku/>
              <w:wordWrap w:val="0"/>
              <w:overflowPunct/>
              <w:topLinePunct/>
              <w:autoSpaceDE/>
              <w:autoSpaceDN/>
              <w:bidi w:val="0"/>
              <w:adjustRightInd w:val="0"/>
              <w:snapToGrid w:val="0"/>
              <w:spacing w:before="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根据规划项目所处位置为大白坡</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zh-CN" w:eastAsia="zh-CN"/>
              </w:rPr>
              <w:t>白石</w:t>
            </w:r>
            <w:r>
              <w:rPr>
                <w:rFonts w:hint="default" w:ascii="Times New Roman" w:hAnsi="Times New Roman" w:eastAsia="宋体" w:cs="Times New Roman"/>
                <w:color w:val="auto"/>
                <w:sz w:val="24"/>
                <w:szCs w:val="24"/>
              </w:rPr>
              <w:t>岩片区的哨</w:t>
            </w:r>
            <w:r>
              <w:rPr>
                <w:rFonts w:hint="default" w:ascii="Times New Roman" w:hAnsi="Times New Roman" w:eastAsia="宋体" w:cs="Times New Roman"/>
                <w:color w:val="auto"/>
                <w:sz w:val="24"/>
                <w:szCs w:val="24"/>
                <w:lang w:eastAsia="zh-CN"/>
              </w:rPr>
              <w:t>箐</w:t>
            </w:r>
            <w:r>
              <w:rPr>
                <w:rFonts w:hint="default" w:ascii="Times New Roman" w:hAnsi="Times New Roman" w:eastAsia="宋体" w:cs="Times New Roman"/>
                <w:color w:val="auto"/>
                <w:sz w:val="24"/>
                <w:szCs w:val="24"/>
              </w:rPr>
              <w:t>组团，哨</w:t>
            </w:r>
            <w:r>
              <w:rPr>
                <w:rFonts w:hint="default" w:ascii="Times New Roman" w:hAnsi="Times New Roman" w:eastAsia="宋体" w:cs="Times New Roman"/>
                <w:color w:val="auto"/>
                <w:sz w:val="24"/>
                <w:szCs w:val="24"/>
                <w:lang w:eastAsia="zh-CN"/>
              </w:rPr>
              <w:t>箐</w:t>
            </w:r>
            <w:r>
              <w:rPr>
                <w:rFonts w:hint="default" w:ascii="Times New Roman" w:hAnsi="Times New Roman" w:eastAsia="宋体" w:cs="Times New Roman"/>
                <w:color w:val="auto"/>
                <w:sz w:val="24"/>
                <w:szCs w:val="24"/>
              </w:rPr>
              <w:t>组团的产业定位为装备制造</w:t>
            </w:r>
            <w:r>
              <w:rPr>
                <w:rFonts w:hint="default" w:ascii="Times New Roman" w:hAnsi="Times New Roman" w:eastAsia="宋体" w:cs="Times New Roman"/>
                <w:color w:val="auto"/>
                <w:sz w:val="24"/>
                <w:szCs w:val="24"/>
                <w:lang w:eastAsia="zh-CN"/>
              </w:rPr>
              <w:t>和</w:t>
            </w:r>
            <w:r>
              <w:rPr>
                <w:rFonts w:hint="default" w:ascii="Times New Roman" w:hAnsi="Times New Roman" w:eastAsia="宋体" w:cs="Times New Roman"/>
                <w:color w:val="auto"/>
                <w:sz w:val="24"/>
                <w:szCs w:val="24"/>
              </w:rPr>
              <w:t>精细化工。本项</w:t>
            </w:r>
            <w:r>
              <w:rPr>
                <w:rFonts w:hint="default" w:ascii="Times New Roman" w:hAnsi="Times New Roman" w:eastAsia="宋体" w:cs="Times New Roman"/>
                <w:color w:val="auto"/>
                <w:sz w:val="24"/>
                <w:szCs w:val="24"/>
                <w:lang w:eastAsia="zh-CN"/>
              </w:rPr>
              <w:t>目</w:t>
            </w:r>
            <w:r>
              <w:rPr>
                <w:rFonts w:hint="default" w:ascii="Times New Roman" w:hAnsi="Times New Roman" w:eastAsia="宋体" w:cs="Times New Roman"/>
                <w:color w:val="auto"/>
                <w:sz w:val="24"/>
                <w:szCs w:val="24"/>
              </w:rPr>
              <w:t>属精细化工，因此项目选址符合富民工业园区总体规划布局要求。</w:t>
            </w:r>
          </w:p>
          <w:p>
            <w:pPr>
              <w:pStyle w:val="111"/>
              <w:keepNext w:val="0"/>
              <w:keepLines w:val="0"/>
              <w:pageBreakBefore w:val="0"/>
              <w:widowControl w:val="0"/>
              <w:shd w:val="clear" w:color="auto" w:fill="auto"/>
              <w:kinsoku/>
              <w:wordWrap/>
              <w:overflowPunct/>
              <w:topLinePunct w:val="0"/>
              <w:autoSpaceDE/>
              <w:autoSpaceDN/>
              <w:bidi w:val="0"/>
              <w:adjustRightInd w:val="0"/>
              <w:snapToGrid w:val="0"/>
              <w:spacing w:before="0" w:after="0" w:line="360" w:lineRule="auto"/>
              <w:ind w:left="0" w:right="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根据《富民工业园区总体规划修编</w:t>
            </w:r>
            <w:r>
              <w:rPr>
                <w:rFonts w:hint="default" w:ascii="Times New Roman" w:hAnsi="Times New Roman" w:eastAsia="宋体" w:cs="Times New Roman"/>
                <w:color w:val="auto"/>
                <w:sz w:val="24"/>
                <w:szCs w:val="24"/>
                <w:lang w:val="en-US" w:eastAsia="en-US"/>
              </w:rPr>
              <w:t>（2015-203</w:t>
            </w:r>
            <w:r>
              <w:rPr>
                <w:rFonts w:hint="default" w:ascii="Times New Roman" w:hAnsi="Times New Roman" w:eastAsia="宋体" w:cs="Times New Roman"/>
                <w:color w:val="auto"/>
                <w:sz w:val="24"/>
                <w:szCs w:val="24"/>
              </w:rPr>
              <w:t>0年）环境影响报告书》提出的项目入园要求：</w:t>
            </w:r>
          </w:p>
          <w:p>
            <w:pPr>
              <w:pStyle w:val="111"/>
              <w:keepNext w:val="0"/>
              <w:keepLines w:val="0"/>
              <w:pageBreakBefore w:val="0"/>
              <w:widowControl w:val="0"/>
              <w:shd w:val="clear" w:color="auto" w:fill="auto"/>
              <w:tabs>
                <w:tab w:val="left" w:pos="1780"/>
              </w:tabs>
              <w:kinsoku/>
              <w:wordWrap/>
              <w:overflowPunct/>
              <w:topLinePunct w:val="0"/>
              <w:autoSpaceDE/>
              <w:autoSpaceDN/>
              <w:bidi w:val="0"/>
              <w:adjustRightInd w:val="0"/>
              <w:snapToGrid w:val="0"/>
              <w:spacing w:before="0" w:after="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禁止国家及云南省产业政策中明令淘汰或限制的产业入园；</w:t>
            </w:r>
          </w:p>
          <w:p>
            <w:pPr>
              <w:pStyle w:val="111"/>
              <w:keepNext w:val="0"/>
              <w:keepLines w:val="0"/>
              <w:pageBreakBefore w:val="0"/>
              <w:widowControl w:val="0"/>
              <w:shd w:val="clear" w:color="auto" w:fill="auto"/>
              <w:tabs>
                <w:tab w:val="left" w:pos="1780"/>
              </w:tabs>
              <w:kinsoku/>
              <w:wordWrap/>
              <w:overflowPunct/>
              <w:topLinePunct w:val="0"/>
              <w:autoSpaceDE/>
              <w:autoSpaceDN/>
              <w:bidi w:val="0"/>
              <w:adjustRightInd w:val="0"/>
              <w:snapToGrid w:val="0"/>
              <w:spacing w:before="0" w:after="0" w:line="360" w:lineRule="auto"/>
              <w:ind w:left="0" w:right="0" w:firstLine="480" w:firstLineChars="200"/>
              <w:jc w:val="left"/>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禁止不符合《规划》中规划产业的项目入园；</w:t>
            </w:r>
          </w:p>
          <w:p>
            <w:pPr>
              <w:pStyle w:val="111"/>
              <w:keepNext w:val="0"/>
              <w:keepLines w:val="0"/>
              <w:pageBreakBefore w:val="0"/>
              <w:widowControl w:val="0"/>
              <w:shd w:val="clear" w:color="auto" w:fill="auto"/>
              <w:tabs>
                <w:tab w:val="left" w:pos="1780"/>
              </w:tabs>
              <w:kinsoku/>
              <w:wordWrap/>
              <w:overflowPunct/>
              <w:topLinePunct w:val="0"/>
              <w:autoSpaceDE/>
              <w:autoSpaceDN/>
              <w:bidi w:val="0"/>
              <w:adjustRightInd w:val="0"/>
              <w:snapToGrid w:val="0"/>
              <w:spacing w:before="0" w:after="0" w:line="360" w:lineRule="auto"/>
              <w:ind w:left="0" w:right="0" w:firstLine="480" w:firstLineChars="200"/>
              <w:jc w:val="left"/>
              <w:textAlignment w:val="auto"/>
              <w:rPr>
                <w:rFonts w:hint="default" w:ascii="Times New Roman" w:hAnsi="Times New Roman" w:eastAsia="宋体" w:cs="Times New Roman"/>
                <w:color w:val="auto"/>
                <w:sz w:val="24"/>
                <w:szCs w:val="24"/>
              </w:rPr>
            </w:pPr>
            <w:bookmarkStart w:id="130" w:name="bookmark309"/>
            <w:r>
              <w:rPr>
                <w:rFonts w:hint="default" w:ascii="Times New Roman" w:hAnsi="Times New Roman" w:eastAsia="宋体" w:cs="Times New Roman"/>
                <w:color w:val="auto"/>
                <w:sz w:val="24"/>
                <w:szCs w:val="24"/>
              </w:rPr>
              <w:t>（</w:t>
            </w:r>
            <w:bookmarkEnd w:id="130"/>
            <w:r>
              <w:rPr>
                <w:rFonts w:hint="default" w:ascii="Times New Roman" w:hAnsi="Times New Roman" w:eastAsia="宋体" w:cs="Times New Roman"/>
                <w:color w:val="auto"/>
                <w:sz w:val="24"/>
                <w:szCs w:val="24"/>
              </w:rPr>
              <w:t>3）禁止未满足区域总量控制要求的项</w:t>
            </w:r>
            <w:r>
              <w:rPr>
                <w:rFonts w:hint="default" w:ascii="Times New Roman" w:hAnsi="Times New Roman" w:eastAsia="宋体" w:cs="Times New Roman"/>
                <w:color w:val="auto"/>
                <w:sz w:val="24"/>
                <w:szCs w:val="24"/>
                <w:lang w:val="en-US" w:eastAsia="zh-CN"/>
              </w:rPr>
              <w:t>目</w:t>
            </w:r>
            <w:r>
              <w:rPr>
                <w:rFonts w:hint="default" w:ascii="Times New Roman" w:hAnsi="Times New Roman" w:eastAsia="宋体" w:cs="Times New Roman"/>
                <w:color w:val="auto"/>
                <w:sz w:val="24"/>
                <w:szCs w:val="24"/>
              </w:rPr>
              <w:t>入园；</w:t>
            </w:r>
          </w:p>
          <w:p>
            <w:pPr>
              <w:pStyle w:val="111"/>
              <w:keepNext w:val="0"/>
              <w:keepLines w:val="0"/>
              <w:pageBreakBefore w:val="0"/>
              <w:widowControl w:val="0"/>
              <w:shd w:val="clear" w:color="auto" w:fill="auto"/>
              <w:tabs>
                <w:tab w:val="left" w:pos="1780"/>
              </w:tabs>
              <w:kinsoku/>
              <w:wordWrap/>
              <w:overflowPunct/>
              <w:topLinePunct w:val="0"/>
              <w:autoSpaceDE/>
              <w:autoSpaceDN/>
              <w:bidi w:val="0"/>
              <w:adjustRightInd w:val="0"/>
              <w:snapToGrid w:val="0"/>
              <w:spacing w:before="0" w:after="0" w:line="360" w:lineRule="auto"/>
              <w:ind w:left="0" w:right="0" w:firstLine="480" w:firstLineChars="200"/>
              <w:jc w:val="both"/>
              <w:textAlignment w:val="auto"/>
              <w:rPr>
                <w:rFonts w:hint="default" w:ascii="Times New Roman" w:hAnsi="Times New Roman" w:eastAsia="宋体" w:cs="Times New Roman"/>
                <w:color w:val="auto"/>
                <w:sz w:val="24"/>
                <w:szCs w:val="24"/>
              </w:rPr>
            </w:pPr>
            <w:bookmarkStart w:id="131" w:name="bookmark310"/>
            <w:r>
              <w:rPr>
                <w:rFonts w:hint="default" w:ascii="Times New Roman" w:hAnsi="Times New Roman" w:eastAsia="宋体" w:cs="Times New Roman"/>
                <w:color w:val="auto"/>
                <w:sz w:val="24"/>
                <w:szCs w:val="24"/>
              </w:rPr>
              <w:t>（</w:t>
            </w:r>
            <w:bookmarkEnd w:id="131"/>
            <w:r>
              <w:rPr>
                <w:rFonts w:hint="default" w:ascii="Times New Roman" w:hAnsi="Times New Roman" w:eastAsia="宋体" w:cs="Times New Roman"/>
                <w:color w:val="auto"/>
                <w:sz w:val="24"/>
                <w:szCs w:val="24"/>
              </w:rPr>
              <w:t>4）严格控制高钛渣、钛白粉项目入驻，引进的钛产业企业要以钛产品精深加工为主的工业企业；</w:t>
            </w:r>
          </w:p>
          <w:p>
            <w:pPr>
              <w:pStyle w:val="111"/>
              <w:keepNext w:val="0"/>
              <w:keepLines w:val="0"/>
              <w:pageBreakBefore w:val="0"/>
              <w:widowControl w:val="0"/>
              <w:shd w:val="clear" w:color="auto" w:fill="auto"/>
              <w:tabs>
                <w:tab w:val="left" w:pos="1776"/>
              </w:tabs>
              <w:kinsoku/>
              <w:wordWrap/>
              <w:overflowPunct/>
              <w:topLinePunct w:val="0"/>
              <w:autoSpaceDE/>
              <w:autoSpaceDN/>
              <w:bidi w:val="0"/>
              <w:adjustRightInd w:val="0"/>
              <w:snapToGrid w:val="0"/>
              <w:spacing w:before="0" w:after="0" w:line="360" w:lineRule="auto"/>
              <w:ind w:left="0" w:right="0" w:firstLine="480" w:firstLineChars="200"/>
              <w:jc w:val="both"/>
              <w:textAlignment w:val="auto"/>
              <w:rPr>
                <w:rFonts w:hint="default" w:ascii="Times New Roman" w:hAnsi="Times New Roman" w:eastAsia="宋体" w:cs="Times New Roman"/>
                <w:color w:val="auto"/>
                <w:sz w:val="24"/>
                <w:szCs w:val="24"/>
                <w:lang w:eastAsia="zh-CN"/>
              </w:rPr>
            </w:pPr>
            <w:bookmarkStart w:id="132" w:name="bookmark311"/>
            <w:r>
              <w:rPr>
                <w:rFonts w:hint="default" w:ascii="Times New Roman" w:hAnsi="Times New Roman" w:eastAsia="宋体" w:cs="Times New Roman"/>
                <w:color w:val="auto"/>
                <w:sz w:val="24"/>
                <w:szCs w:val="24"/>
                <w:lang w:val="zh-CN" w:eastAsia="zh-CN"/>
              </w:rPr>
              <w:t>（</w:t>
            </w:r>
            <w:bookmarkEnd w:id="132"/>
            <w:r>
              <w:rPr>
                <w:rFonts w:hint="default" w:ascii="Times New Roman" w:hAnsi="Times New Roman" w:eastAsia="宋体" w:cs="Times New Roman"/>
                <w:color w:val="auto"/>
                <w:sz w:val="24"/>
                <w:szCs w:val="24"/>
                <w:lang w:val="zh-CN" w:eastAsia="zh-CN"/>
              </w:rPr>
              <w:t>5）</w:t>
            </w:r>
            <w:r>
              <w:rPr>
                <w:rFonts w:hint="default" w:ascii="Times New Roman" w:hAnsi="Times New Roman" w:eastAsia="宋体" w:cs="Times New Roman"/>
                <w:color w:val="auto"/>
                <w:sz w:val="24"/>
                <w:szCs w:val="24"/>
              </w:rPr>
              <w:t>项目入园时（特别是钛化工企业），应充分考虑是否满足环境卫生防护距离的要求，防止入驻企业产生的废气、噪声等对敏感目标的影响</w:t>
            </w:r>
            <w:r>
              <w:rPr>
                <w:rFonts w:hint="default" w:ascii="Times New Roman" w:hAnsi="Times New Roman" w:eastAsia="宋体" w:cs="Times New Roman"/>
                <w:color w:val="auto"/>
                <w:sz w:val="24"/>
                <w:szCs w:val="24"/>
                <w:lang w:eastAsia="zh-CN"/>
              </w:rPr>
              <w:t>；</w:t>
            </w:r>
          </w:p>
          <w:p>
            <w:pPr>
              <w:pStyle w:val="111"/>
              <w:keepNext w:val="0"/>
              <w:keepLines w:val="0"/>
              <w:pageBreakBefore w:val="0"/>
              <w:widowControl w:val="0"/>
              <w:shd w:val="clear" w:color="auto" w:fill="auto"/>
              <w:tabs>
                <w:tab w:val="left" w:pos="1776"/>
              </w:tabs>
              <w:kinsoku/>
              <w:wordWrap/>
              <w:overflowPunct/>
              <w:topLinePunct w:val="0"/>
              <w:autoSpaceDE/>
              <w:autoSpaceDN/>
              <w:bidi w:val="0"/>
              <w:adjustRightInd w:val="0"/>
              <w:snapToGrid w:val="0"/>
              <w:spacing w:before="0" w:after="0" w:line="360" w:lineRule="auto"/>
              <w:ind w:left="0" w:right="0" w:firstLine="480" w:firstLineChars="200"/>
              <w:jc w:val="both"/>
              <w:textAlignment w:val="auto"/>
              <w:rPr>
                <w:rFonts w:hint="default" w:ascii="Times New Roman" w:hAnsi="Times New Roman" w:eastAsia="宋体" w:cs="Times New Roman"/>
                <w:color w:val="auto"/>
                <w:sz w:val="24"/>
                <w:szCs w:val="24"/>
              </w:rPr>
            </w:pPr>
            <w:bookmarkStart w:id="133" w:name="bookmark312"/>
            <w:r>
              <w:rPr>
                <w:rFonts w:hint="default" w:ascii="Times New Roman" w:hAnsi="Times New Roman" w:eastAsia="宋体" w:cs="Times New Roman"/>
                <w:color w:val="auto"/>
                <w:sz w:val="24"/>
                <w:szCs w:val="24"/>
              </w:rPr>
              <w:t>（</w:t>
            </w:r>
            <w:bookmarkEnd w:id="133"/>
            <w:r>
              <w:rPr>
                <w:rFonts w:hint="default" w:ascii="Times New Roman" w:hAnsi="Times New Roman" w:eastAsia="宋体" w:cs="Times New Roman"/>
                <w:color w:val="auto"/>
                <w:sz w:val="24"/>
                <w:szCs w:val="24"/>
              </w:rPr>
              <w:t>6）靠近县城、集镇的区域（白石</w:t>
            </w:r>
            <w:r>
              <w:rPr>
                <w:rFonts w:hint="default" w:ascii="Times New Roman" w:hAnsi="Times New Roman" w:eastAsia="宋体" w:cs="Times New Roman"/>
                <w:color w:val="auto"/>
                <w:sz w:val="24"/>
                <w:szCs w:val="24"/>
                <w:lang w:val="zh-CN" w:eastAsia="zh-CN"/>
              </w:rPr>
              <w:t>岩组团</w:t>
            </w:r>
            <w:r>
              <w:rPr>
                <w:rFonts w:hint="default" w:ascii="Times New Roman" w:hAnsi="Times New Roman" w:eastAsia="宋体" w:cs="Times New Roman"/>
                <w:color w:val="auto"/>
                <w:sz w:val="24"/>
                <w:szCs w:val="24"/>
              </w:rPr>
              <w:t>南部、环保产业园、大营组团、款注组团、东村组团靠近集镇</w:t>
            </w:r>
            <w:r>
              <w:rPr>
                <w:rFonts w:hint="default" w:ascii="Times New Roman" w:hAnsi="Times New Roman" w:eastAsia="宋体" w:cs="Times New Roman"/>
                <w:color w:val="auto"/>
                <w:sz w:val="24"/>
                <w:szCs w:val="24"/>
                <w:lang w:val="en-US" w:eastAsia="zh-CN"/>
              </w:rPr>
              <w:t>一</w:t>
            </w:r>
            <w:r>
              <w:rPr>
                <w:rFonts w:hint="default" w:ascii="Times New Roman" w:hAnsi="Times New Roman" w:eastAsia="宋体" w:cs="Times New Roman"/>
                <w:color w:val="auto"/>
                <w:sz w:val="24"/>
                <w:szCs w:val="24"/>
              </w:rPr>
              <w:t>侧），不宜引进高污染的工业企业，特别是大</w:t>
            </w:r>
            <w:r>
              <w:rPr>
                <w:rFonts w:hint="default" w:ascii="Times New Roman" w:hAnsi="Times New Roman" w:eastAsia="宋体" w:cs="Times New Roman"/>
                <w:color w:val="auto"/>
                <w:sz w:val="24"/>
                <w:szCs w:val="24"/>
                <w:lang w:val="en-US" w:eastAsia="zh-CN"/>
              </w:rPr>
              <w:t>气</w:t>
            </w:r>
            <w:r>
              <w:rPr>
                <w:rFonts w:hint="default" w:ascii="Times New Roman" w:hAnsi="Times New Roman" w:eastAsia="宋体" w:cs="Times New Roman"/>
                <w:color w:val="auto"/>
                <w:sz w:val="24"/>
                <w:szCs w:val="24"/>
              </w:rPr>
              <w:t>污染型企业；</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ascii="Times New Roman" w:hAnsi="Times New Roman" w:eastAsia="宋体" w:cs="Times New Roman"/>
                <w:color w:val="auto"/>
                <w:sz w:val="24"/>
                <w:szCs w:val="24"/>
              </w:rPr>
            </w:pPr>
            <w:bookmarkStart w:id="134" w:name="bookmark313"/>
            <w:r>
              <w:rPr>
                <w:rFonts w:hint="default" w:ascii="Times New Roman" w:hAnsi="Times New Roman" w:eastAsia="宋体" w:cs="Times New Roman"/>
                <w:color w:val="auto"/>
                <w:sz w:val="24"/>
                <w:szCs w:val="24"/>
              </w:rPr>
              <w:t>（</w:t>
            </w:r>
            <w:bookmarkEnd w:id="134"/>
            <w:r>
              <w:rPr>
                <w:rFonts w:hint="default" w:ascii="Times New Roman" w:hAnsi="Times New Roman" w:eastAsia="宋体" w:cs="Times New Roman"/>
                <w:color w:val="auto"/>
                <w:sz w:val="24"/>
                <w:szCs w:val="24"/>
              </w:rPr>
              <w:t>7）规划白石岩组团、大营-茨塘片区东元村片段、散旦片区的西部组团、 款庄-东村片区的东村组团、大栗园组团、和平组团区域岩溶发育，地下水环境较为敏感，不宜布局水质复杂、水量较大的企业</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企业入驻时，需对区域水文地质条件进行充分论证，确保企业入驻产生的污染物不影响区域地下水水质。</w:t>
            </w:r>
          </w:p>
          <w:p>
            <w:pPr>
              <w:pStyle w:val="111"/>
              <w:keepNext w:val="0"/>
              <w:keepLines w:val="0"/>
              <w:pageBreakBefore w:val="0"/>
              <w:widowControl w:val="0"/>
              <w:numPr>
                <w:ilvl w:val="0"/>
                <w:numId w:val="0"/>
              </w:numPr>
              <w:shd w:val="clear" w:color="auto" w:fill="auto"/>
              <w:tabs>
                <w:tab w:val="left" w:pos="1428"/>
              </w:tabs>
              <w:kinsoku/>
              <w:wordWrap/>
              <w:overflowPunct/>
              <w:topLinePunct/>
              <w:autoSpaceDE/>
              <w:autoSpaceDN/>
              <w:bidi w:val="0"/>
              <w:adjustRightInd w:val="0"/>
              <w:snapToGrid w:val="0"/>
              <w:spacing w:before="0" w:line="360" w:lineRule="auto"/>
              <w:ind w:left="0" w:right="0" w:rightChars="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项目不属于国家及云南省产业政策中</w:t>
            </w:r>
            <w:r>
              <w:rPr>
                <w:rFonts w:hint="default" w:ascii="Times New Roman" w:hAnsi="Times New Roman" w:eastAsia="宋体" w:cs="Times New Roman"/>
                <w:color w:val="auto"/>
                <w:sz w:val="24"/>
                <w:szCs w:val="24"/>
              </w:rPr>
              <w:t>明令淘汰或限制</w:t>
            </w:r>
            <w:r>
              <w:rPr>
                <w:rFonts w:hint="default" w:ascii="Times New Roman" w:hAnsi="Times New Roman" w:eastAsia="宋体" w:cs="Times New Roman"/>
                <w:color w:val="auto"/>
                <w:sz w:val="24"/>
                <w:szCs w:val="24"/>
                <w:lang w:val="en-US" w:eastAsia="zh-CN"/>
              </w:rPr>
              <w:t>的项目；</w:t>
            </w:r>
            <w:r>
              <w:rPr>
                <w:rFonts w:hint="default" w:ascii="Times New Roman" w:hAnsi="Times New Roman" w:eastAsia="宋体" w:cs="Times New Roman"/>
                <w:color w:val="auto"/>
                <w:sz w:val="24"/>
                <w:szCs w:val="24"/>
              </w:rPr>
              <w:t>富民工业园</w:t>
            </w:r>
            <w:r>
              <w:rPr>
                <w:rFonts w:hint="default" w:ascii="Times New Roman" w:hAnsi="Times New Roman" w:eastAsia="宋体" w:cs="Times New Roman"/>
                <w:color w:val="auto"/>
                <w:sz w:val="24"/>
                <w:szCs w:val="24"/>
                <w:lang w:eastAsia="zh-CN"/>
              </w:rPr>
              <w:t>管委会</w:t>
            </w:r>
            <w:r>
              <w:rPr>
                <w:rFonts w:hint="eastAsia" w:ascii="Times New Roman" w:hAnsi="Times New Roman" w:eastAsia="宋体" w:cs="Times New Roman"/>
                <w:color w:val="auto"/>
                <w:sz w:val="24"/>
                <w:szCs w:val="24"/>
                <w:lang w:val="en-US" w:eastAsia="zh-CN"/>
              </w:rPr>
              <w:t>2020</w:t>
            </w:r>
            <w:r>
              <w:rPr>
                <w:rFonts w:hint="default" w:ascii="Times New Roman" w:hAnsi="Times New Roman" w:eastAsia="宋体" w:cs="Times New Roman"/>
                <w:color w:val="auto"/>
                <w:sz w:val="24"/>
                <w:szCs w:val="24"/>
              </w:rPr>
              <w:t>年第</w:t>
            </w:r>
            <w:r>
              <w:rPr>
                <w:rFonts w:hint="eastAsia" w:ascii="Times New Roman" w:hAnsi="Times New Roman" w:eastAsia="宋体" w:cs="Times New Roman"/>
                <w:color w:val="auto"/>
                <w:sz w:val="24"/>
                <w:szCs w:val="24"/>
                <w:lang w:eastAsia="zh-CN"/>
              </w:rPr>
              <w:t>二</w:t>
            </w:r>
            <w:r>
              <w:rPr>
                <w:rFonts w:hint="default" w:ascii="Times New Roman" w:hAnsi="Times New Roman" w:eastAsia="宋体" w:cs="Times New Roman"/>
                <w:color w:val="auto"/>
                <w:sz w:val="24"/>
                <w:szCs w:val="24"/>
                <w:lang w:eastAsia="zh-CN"/>
              </w:rPr>
              <w:t>次</w:t>
            </w:r>
            <w:r>
              <w:rPr>
                <w:rFonts w:hint="eastAsia" w:ascii="Times New Roman" w:hAnsi="Times New Roman" w:eastAsia="宋体" w:cs="Times New Roman"/>
                <w:color w:val="auto"/>
                <w:sz w:val="24"/>
                <w:szCs w:val="24"/>
                <w:lang w:eastAsia="zh-CN"/>
              </w:rPr>
              <w:t>工业园区入园项目审查会</w:t>
            </w:r>
            <w:r>
              <w:rPr>
                <w:rFonts w:hint="default" w:ascii="Times New Roman" w:hAnsi="Times New Roman" w:eastAsia="宋体" w:cs="Times New Roman"/>
                <w:color w:val="auto"/>
                <w:sz w:val="24"/>
                <w:szCs w:val="24"/>
                <w:lang w:val="en-US" w:eastAsia="zh-CN"/>
              </w:rPr>
              <w:t>已同意本项目入园；本项目不涉及二氧化硫、二氧化氮等大气污染控制指标；项目</w:t>
            </w:r>
            <w:r>
              <w:rPr>
                <w:rFonts w:hint="default" w:ascii="Times New Roman" w:hAnsi="Times New Roman" w:eastAsia="宋体" w:cs="Times New Roman"/>
                <w:color w:val="auto"/>
                <w:sz w:val="24"/>
                <w:szCs w:val="24"/>
              </w:rPr>
              <w:t>本项目</w:t>
            </w:r>
            <w:r>
              <w:rPr>
                <w:rFonts w:hint="default" w:ascii="Times New Roman" w:hAnsi="Times New Roman" w:eastAsia="宋体" w:cs="Times New Roman"/>
                <w:color w:val="auto"/>
                <w:kern w:val="0"/>
                <w:sz w:val="24"/>
                <w:szCs w:val="24"/>
                <w:highlight w:val="none"/>
                <w:lang w:val="en-US" w:eastAsia="zh-CN"/>
              </w:rPr>
              <w:t>无生产废水外排；</w:t>
            </w:r>
            <w:r>
              <w:rPr>
                <w:rFonts w:hint="default" w:ascii="Times New Roman" w:hAnsi="Times New Roman" w:eastAsia="宋体" w:cs="Times New Roman"/>
                <w:color w:val="auto"/>
                <w:sz w:val="24"/>
                <w:szCs w:val="24"/>
                <w:lang w:eastAsia="zh-CN"/>
              </w:rPr>
              <w:t>办公生活废水</w:t>
            </w:r>
            <w:r>
              <w:rPr>
                <w:rFonts w:hint="default" w:ascii="Times New Roman" w:hAnsi="Times New Roman" w:eastAsia="宋体" w:cs="Times New Roman"/>
                <w:color w:val="auto"/>
                <w:sz w:val="24"/>
                <w:szCs w:val="24"/>
                <w:lang w:val="en-US" w:eastAsia="zh-CN"/>
              </w:rPr>
              <w:t>经</w:t>
            </w:r>
            <w:r>
              <w:rPr>
                <w:rFonts w:hint="default" w:ascii="Times New Roman" w:hAnsi="Times New Roman" w:eastAsia="宋体" w:cs="Times New Roman"/>
                <w:color w:val="auto"/>
                <w:sz w:val="24"/>
                <w:szCs w:val="24"/>
                <w:lang w:eastAsia="zh-CN"/>
              </w:rPr>
              <w:t>化粪池处理</w:t>
            </w:r>
            <w:r>
              <w:rPr>
                <w:rFonts w:hint="default" w:ascii="Times New Roman" w:hAnsi="Times New Roman" w:eastAsia="宋体" w:cs="Times New Roman"/>
                <w:color w:val="auto"/>
                <w:sz w:val="24"/>
                <w:szCs w:val="24"/>
                <w:lang w:val="en-US" w:eastAsia="zh-CN"/>
              </w:rPr>
              <w:t>达到</w:t>
            </w:r>
            <w:r>
              <w:rPr>
                <w:rFonts w:hint="default" w:ascii="Times New Roman" w:hAnsi="Times New Roman" w:eastAsia="宋体" w:cs="Times New Roman"/>
                <w:color w:val="auto"/>
                <w:sz w:val="24"/>
                <w:szCs w:val="24"/>
                <w:lang w:eastAsia="zh-CN"/>
              </w:rPr>
              <w:t>《污水排入城镇下水道水质标准》（GB/T31962-2015）表1中</w:t>
            </w:r>
            <w:r>
              <w:rPr>
                <w:rFonts w:hint="eastAsia" w:ascii="Times New Roman" w:hAnsi="Times New Roman" w:eastAsia="宋体" w:cs="Times New Roman"/>
                <w:color w:val="auto"/>
                <w:sz w:val="24"/>
                <w:szCs w:val="24"/>
                <w:lang w:eastAsia="zh-CN"/>
              </w:rPr>
              <w:t>A级标准</w:t>
            </w:r>
            <w:r>
              <w:rPr>
                <w:rFonts w:hint="default" w:ascii="Times New Roman" w:hAnsi="Times New Roman" w:eastAsia="宋体" w:cs="Times New Roman"/>
                <w:color w:val="auto"/>
                <w:sz w:val="24"/>
                <w:szCs w:val="24"/>
                <w:lang w:val="en-US" w:eastAsia="zh-CN"/>
              </w:rPr>
              <w:t>后</w:t>
            </w:r>
            <w:r>
              <w:rPr>
                <w:rFonts w:hint="default" w:ascii="Times New Roman" w:hAnsi="Times New Roman" w:eastAsia="宋体" w:cs="Times New Roman"/>
                <w:color w:val="auto"/>
                <w:sz w:val="24"/>
                <w:szCs w:val="24"/>
                <w:lang w:eastAsia="zh-CN"/>
              </w:rPr>
              <w:t>排入园区污水管网，</w:t>
            </w:r>
            <w:r>
              <w:rPr>
                <w:rFonts w:hint="default" w:ascii="Times New Roman" w:hAnsi="Times New Roman" w:eastAsia="宋体" w:cs="Times New Roman"/>
                <w:color w:val="auto"/>
                <w:sz w:val="24"/>
                <w:szCs w:val="24"/>
                <w:lang w:val="en-US" w:eastAsia="zh-CN"/>
              </w:rPr>
              <w:t>最终进入</w:t>
            </w:r>
            <w:r>
              <w:rPr>
                <w:rFonts w:hint="default" w:ascii="Times New Roman" w:hAnsi="Times New Roman" w:eastAsia="宋体" w:cs="Times New Roman"/>
                <w:color w:val="auto"/>
                <w:sz w:val="24"/>
                <w:szCs w:val="24"/>
                <w:lang w:eastAsia="zh-CN"/>
              </w:rPr>
              <w:t>工业园区污水处理厂处理</w:t>
            </w:r>
            <w:r>
              <w:rPr>
                <w:rFonts w:hint="default" w:ascii="Times New Roman" w:hAnsi="Times New Roman" w:eastAsia="宋体" w:cs="Times New Roman"/>
                <w:color w:val="auto"/>
                <w:kern w:val="1"/>
                <w:sz w:val="24"/>
                <w:szCs w:val="24"/>
                <w:lang w:val="en-US" w:eastAsia="zh-CN"/>
              </w:rPr>
              <w:t>，</w:t>
            </w:r>
            <w:r>
              <w:rPr>
                <w:rFonts w:hint="default" w:ascii="Times New Roman" w:hAnsi="Times New Roman" w:eastAsia="宋体" w:cs="Times New Roman"/>
                <w:color w:val="auto"/>
                <w:sz w:val="24"/>
                <w:szCs w:val="24"/>
                <w:lang w:val="en-US" w:eastAsia="zh-CN"/>
              </w:rPr>
              <w:t>无废水污染物总量控制指标；项目不属于</w:t>
            </w:r>
            <w:r>
              <w:rPr>
                <w:rFonts w:hint="default" w:ascii="Times New Roman" w:hAnsi="Times New Roman" w:eastAsia="宋体" w:cs="Times New Roman"/>
                <w:color w:val="auto"/>
                <w:sz w:val="24"/>
                <w:szCs w:val="24"/>
              </w:rPr>
              <w:t>钛化工</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不属于重污染项目，项目环境卫生防护距离50m范围内无环境敏感目标；项目位于</w:t>
            </w:r>
            <w:r>
              <w:rPr>
                <w:rFonts w:hint="default" w:ascii="Times New Roman" w:hAnsi="Times New Roman" w:eastAsia="宋体" w:cs="Times New Roman"/>
                <w:color w:val="auto"/>
                <w:sz w:val="24"/>
                <w:szCs w:val="24"/>
              </w:rPr>
              <w:t>哨</w:t>
            </w:r>
            <w:r>
              <w:rPr>
                <w:rFonts w:hint="default" w:ascii="Times New Roman" w:hAnsi="Times New Roman" w:eastAsia="宋体" w:cs="Times New Roman"/>
                <w:color w:val="auto"/>
                <w:sz w:val="24"/>
                <w:szCs w:val="24"/>
                <w:lang w:eastAsia="zh-CN"/>
              </w:rPr>
              <w:t>箐</w:t>
            </w:r>
            <w:r>
              <w:rPr>
                <w:rFonts w:hint="default" w:ascii="Times New Roman" w:hAnsi="Times New Roman" w:eastAsia="宋体" w:cs="Times New Roman"/>
                <w:color w:val="auto"/>
                <w:sz w:val="24"/>
                <w:szCs w:val="24"/>
              </w:rPr>
              <w:t>组团</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且本环评针对地下水提出相应的防渗措施。</w:t>
            </w:r>
          </w:p>
          <w:p>
            <w:pPr>
              <w:pStyle w:val="111"/>
              <w:keepNext w:val="0"/>
              <w:keepLines w:val="0"/>
              <w:pageBreakBefore w:val="0"/>
              <w:widowControl w:val="0"/>
              <w:shd w:val="clear" w:color="auto" w:fill="auto"/>
              <w:kinsoku/>
              <w:wordWrap/>
              <w:overflowPunct/>
              <w:topLinePunct/>
              <w:autoSpaceDE/>
              <w:autoSpaceDN/>
              <w:bidi w:val="0"/>
              <w:adjustRightInd w:val="0"/>
              <w:snapToGrid w:val="0"/>
              <w:spacing w:before="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2016年</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月11日，云南省环境保护厅以云环函</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en-US"/>
              </w:rPr>
              <w:t>2016</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en-US"/>
              </w:rPr>
              <w:t>1</w:t>
            </w:r>
            <w:r>
              <w:rPr>
                <w:rFonts w:hint="default" w:ascii="Times New Roman" w:hAnsi="Times New Roman" w:eastAsia="宋体" w:cs="Times New Roman"/>
                <w:color w:val="auto"/>
                <w:sz w:val="24"/>
                <w:szCs w:val="24"/>
              </w:rPr>
              <w:t>0号出具了《云南省 环境保护厅关于《富民工业园区总体规划修编</w:t>
            </w:r>
            <w:r>
              <w:rPr>
                <w:rFonts w:hint="default" w:ascii="Times New Roman" w:hAnsi="Times New Roman" w:eastAsia="宋体" w:cs="Times New Roman"/>
                <w:color w:val="auto"/>
                <w:sz w:val="24"/>
                <w:szCs w:val="24"/>
                <w:lang w:val="en-US" w:eastAsia="en-US"/>
              </w:rPr>
              <w:t>（2015-2030）</w:t>
            </w:r>
            <w:r>
              <w:rPr>
                <w:rFonts w:hint="default" w:ascii="Times New Roman" w:hAnsi="Times New Roman" w:eastAsia="宋体" w:cs="Times New Roman"/>
                <w:color w:val="auto"/>
                <w:sz w:val="24"/>
                <w:szCs w:val="24"/>
              </w:rPr>
              <w:t>环境影响报告书》审査意见的函》</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见附件5</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，在审査意见的函中，和本项目相关的主要为：</w:t>
            </w:r>
          </w:p>
          <w:p>
            <w:pPr>
              <w:pStyle w:val="111"/>
              <w:keepNext w:val="0"/>
              <w:keepLines w:val="0"/>
              <w:pageBreakBefore w:val="0"/>
              <w:widowControl w:val="0"/>
              <w:numPr>
                <w:ilvl w:val="0"/>
                <w:numId w:val="0"/>
              </w:numPr>
              <w:shd w:val="clear" w:color="auto" w:fill="auto"/>
              <w:tabs>
                <w:tab w:val="left" w:pos="1428"/>
              </w:tabs>
              <w:kinsoku/>
              <w:wordWrap/>
              <w:overflowPunct/>
              <w:topLinePunct/>
              <w:autoSpaceDE/>
              <w:autoSpaceDN/>
              <w:bidi w:val="0"/>
              <w:adjustRightInd w:val="0"/>
              <w:snapToGrid w:val="0"/>
              <w:spacing w:before="0" w:line="360" w:lineRule="auto"/>
              <w:ind w:left="0" w:right="0" w:rightChars="0" w:firstLine="480" w:firstLineChars="200"/>
              <w:jc w:val="left"/>
              <w:textAlignment w:val="auto"/>
              <w:rPr>
                <w:rFonts w:hint="default" w:ascii="Times New Roman" w:hAnsi="Times New Roman" w:eastAsia="宋体" w:cs="Times New Roman"/>
                <w:color w:val="auto"/>
                <w:sz w:val="24"/>
                <w:szCs w:val="24"/>
              </w:rPr>
            </w:pPr>
            <w:bookmarkStart w:id="135" w:name="bookmark314"/>
            <w:bookmarkEnd w:id="135"/>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园区主要环境制约因素是目前螳螂川不能满足水环境功能区划水质要求</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不具备主要污染物纳污能力和环境容量。要求入园企业要建设生产废水处理和</w:t>
            </w:r>
            <w:r>
              <w:rPr>
                <w:rFonts w:hint="default" w:ascii="Times New Roman" w:hAnsi="Times New Roman" w:eastAsia="宋体" w:cs="Times New Roman"/>
                <w:color w:val="auto"/>
                <w:sz w:val="24"/>
                <w:szCs w:val="24"/>
                <w:lang w:val="en-US" w:eastAsia="zh-CN"/>
              </w:rPr>
              <w:t>回</w:t>
            </w:r>
            <w:r>
              <w:rPr>
                <w:rFonts w:hint="default" w:ascii="Times New Roman" w:hAnsi="Times New Roman" w:eastAsia="宋体" w:cs="Times New Roman"/>
                <w:color w:val="auto"/>
                <w:sz w:val="24"/>
                <w:szCs w:val="24"/>
              </w:rPr>
              <w:t>用设施。</w:t>
            </w:r>
          </w:p>
          <w:p>
            <w:pPr>
              <w:pStyle w:val="111"/>
              <w:keepNext w:val="0"/>
              <w:keepLines w:val="0"/>
              <w:pageBreakBefore w:val="0"/>
              <w:widowControl w:val="0"/>
              <w:numPr>
                <w:ilvl w:val="0"/>
                <w:numId w:val="0"/>
              </w:numPr>
              <w:shd w:val="clear" w:color="auto" w:fill="auto"/>
              <w:tabs>
                <w:tab w:val="left" w:pos="1428"/>
              </w:tabs>
              <w:kinsoku/>
              <w:wordWrap/>
              <w:overflowPunct/>
              <w:topLinePunct/>
              <w:autoSpaceDE/>
              <w:autoSpaceDN/>
              <w:bidi w:val="0"/>
              <w:adjustRightInd w:val="0"/>
              <w:snapToGrid w:val="0"/>
              <w:spacing w:before="0" w:line="360" w:lineRule="auto"/>
              <w:ind w:left="0" w:right="0" w:rightChars="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w:t>
            </w:r>
            <w:r>
              <w:rPr>
                <w:rFonts w:hint="default" w:ascii="Times New Roman" w:hAnsi="Times New Roman" w:eastAsia="宋体" w:cs="Times New Roman"/>
                <w:color w:val="auto"/>
                <w:kern w:val="0"/>
                <w:sz w:val="24"/>
                <w:szCs w:val="24"/>
                <w:highlight w:val="none"/>
                <w:lang w:val="en-US" w:eastAsia="zh-CN"/>
              </w:rPr>
              <w:t>无生产废水</w:t>
            </w:r>
            <w:r>
              <w:rPr>
                <w:rFonts w:hint="eastAsia" w:ascii="Times New Roman" w:hAnsi="Times New Roman" w:eastAsia="宋体" w:cs="Times New Roman"/>
                <w:color w:val="auto"/>
                <w:kern w:val="0"/>
                <w:sz w:val="24"/>
                <w:szCs w:val="24"/>
                <w:highlight w:val="none"/>
                <w:lang w:val="en-US" w:eastAsia="zh-CN"/>
              </w:rPr>
              <w:t>产生</w:t>
            </w:r>
            <w:r>
              <w:rPr>
                <w:rFonts w:hint="default" w:ascii="Times New Roman" w:hAnsi="Times New Roman" w:eastAsia="宋体" w:cs="Times New Roman"/>
                <w:color w:val="auto"/>
                <w:kern w:val="0"/>
                <w:sz w:val="24"/>
                <w:szCs w:val="24"/>
                <w:highlight w:val="none"/>
                <w:lang w:val="en-US" w:eastAsia="zh-CN"/>
              </w:rPr>
              <w:t>；</w:t>
            </w:r>
            <w:r>
              <w:rPr>
                <w:rFonts w:hint="default" w:ascii="Times New Roman" w:hAnsi="Times New Roman" w:eastAsia="宋体" w:cs="Times New Roman"/>
                <w:color w:val="auto"/>
                <w:sz w:val="24"/>
                <w:szCs w:val="24"/>
                <w:lang w:eastAsia="zh-CN"/>
              </w:rPr>
              <w:t>办公生活废水</w:t>
            </w:r>
            <w:r>
              <w:rPr>
                <w:rFonts w:hint="default" w:ascii="Times New Roman" w:hAnsi="Times New Roman" w:eastAsia="宋体" w:cs="Times New Roman"/>
                <w:color w:val="auto"/>
                <w:sz w:val="24"/>
                <w:szCs w:val="24"/>
              </w:rPr>
              <w:t>排入</w:t>
            </w:r>
            <w:r>
              <w:rPr>
                <w:rFonts w:hint="eastAsia" w:ascii="Times New Roman" w:hAnsi="Times New Roman" w:eastAsia="宋体" w:cs="Times New Roman"/>
                <w:color w:val="auto"/>
                <w:sz w:val="24"/>
                <w:szCs w:val="24"/>
                <w:lang w:eastAsia="zh-CN"/>
              </w:rPr>
              <w:t>项目区内</w:t>
            </w:r>
            <w:r>
              <w:rPr>
                <w:rFonts w:hint="default" w:ascii="Times New Roman" w:hAnsi="Times New Roman" w:eastAsia="宋体" w:cs="Times New Roman"/>
                <w:color w:val="auto"/>
                <w:sz w:val="24"/>
                <w:szCs w:val="24"/>
                <w:lang w:eastAsia="zh-CN"/>
              </w:rPr>
              <w:t>化粪池内</w:t>
            </w:r>
            <w:r>
              <w:rPr>
                <w:rFonts w:hint="default" w:ascii="Times New Roman" w:hAnsi="Times New Roman" w:eastAsia="宋体" w:cs="Times New Roman"/>
                <w:color w:val="auto"/>
                <w:kern w:val="1"/>
                <w:sz w:val="24"/>
                <w:szCs w:val="24"/>
                <w:lang w:val="en-US" w:eastAsia="zh-CN"/>
              </w:rPr>
              <w:t>，</w:t>
            </w:r>
            <w:r>
              <w:rPr>
                <w:rFonts w:hint="eastAsia" w:ascii="Times New Roman" w:hAnsi="Times New Roman" w:eastAsia="宋体" w:cs="Times New Roman"/>
                <w:color w:val="auto"/>
                <w:kern w:val="1"/>
                <w:sz w:val="24"/>
                <w:szCs w:val="24"/>
                <w:lang w:val="en-US" w:eastAsia="zh-CN"/>
              </w:rPr>
              <w:t>然后排入园区污水管网</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符合相关要求。</w:t>
            </w:r>
          </w:p>
          <w:p>
            <w:pPr>
              <w:pStyle w:val="111"/>
              <w:keepNext w:val="0"/>
              <w:keepLines w:val="0"/>
              <w:pageBreakBefore w:val="0"/>
              <w:widowControl w:val="0"/>
              <w:numPr>
                <w:ilvl w:val="0"/>
                <w:numId w:val="0"/>
              </w:numPr>
              <w:shd w:val="clear" w:color="auto" w:fill="auto"/>
              <w:tabs>
                <w:tab w:val="left" w:pos="1404"/>
              </w:tabs>
              <w:kinsoku/>
              <w:wordWrap/>
              <w:overflowPunct/>
              <w:topLinePunct/>
              <w:autoSpaceDE/>
              <w:autoSpaceDN/>
              <w:bidi w:val="0"/>
              <w:adjustRightInd w:val="0"/>
              <w:snapToGrid w:val="0"/>
              <w:spacing w:before="0" w:line="360" w:lineRule="auto"/>
              <w:ind w:left="0" w:right="0" w:rightChars="0" w:firstLine="480" w:firstLineChars="200"/>
              <w:jc w:val="left"/>
              <w:textAlignment w:val="auto"/>
              <w:rPr>
                <w:rFonts w:hint="default" w:ascii="Times New Roman" w:hAnsi="Times New Roman" w:eastAsia="宋体" w:cs="Times New Roman"/>
                <w:color w:val="auto"/>
                <w:sz w:val="24"/>
                <w:szCs w:val="24"/>
              </w:rPr>
            </w:pPr>
            <w:bookmarkStart w:id="136" w:name="bookmark315"/>
            <w:bookmarkEnd w:id="136"/>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加快环保基础设施建设，按照</w:t>
            </w:r>
            <w:r>
              <w:rPr>
                <w:rFonts w:hint="default" w:ascii="Times New Roman" w:hAnsi="Times New Roman" w:eastAsia="宋体" w:cs="Times New Roman"/>
                <w:color w:val="auto"/>
                <w:sz w:val="24"/>
                <w:szCs w:val="24"/>
                <w:lang w:val="en-US" w:eastAsia="zh-CN"/>
              </w:rPr>
              <w:t>雨</w:t>
            </w:r>
            <w:r>
              <w:rPr>
                <w:rFonts w:hint="default" w:ascii="Times New Roman" w:hAnsi="Times New Roman" w:eastAsia="宋体" w:cs="Times New Roman"/>
                <w:color w:val="auto"/>
                <w:sz w:val="24"/>
                <w:szCs w:val="24"/>
              </w:rPr>
              <w:t>污分流、生产废水和生活污水分流、分 散与集中处理相结合的原则，根据园区各片区用地规模、开发程度、产业集聚程 度及排水情况进行规划建设，采取企业自行处理与园区集中处理相结合的方式， 规范设计和建设各工业片区初期雨水收集系统、事故水收集系统、生活污水、生产废水的收集处理系统和回用系统。</w:t>
            </w:r>
          </w:p>
          <w:p>
            <w:pPr>
              <w:pStyle w:val="111"/>
              <w:keepNext w:val="0"/>
              <w:keepLines w:val="0"/>
              <w:pageBreakBefore w:val="0"/>
              <w:widowControl w:val="0"/>
              <w:shd w:val="clear" w:color="auto" w:fill="auto"/>
              <w:kinsoku/>
              <w:wordWrap/>
              <w:overflowPunct/>
              <w:topLinePunct/>
              <w:autoSpaceDE/>
              <w:autoSpaceDN/>
              <w:bidi w:val="0"/>
              <w:adjustRightInd w:val="0"/>
              <w:snapToGrid w:val="0"/>
              <w:spacing w:before="0" w:line="360" w:lineRule="auto"/>
              <w:ind w:left="0" w:right="0" w:firstLine="480" w:firstLineChars="200"/>
              <w:jc w:val="left"/>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综上分析，</w:t>
            </w:r>
            <w:r>
              <w:rPr>
                <w:rFonts w:hint="default" w:ascii="Times New Roman" w:hAnsi="Times New Roman" w:eastAsia="宋体" w:cs="Times New Roman"/>
                <w:color w:val="auto"/>
                <w:sz w:val="24"/>
                <w:szCs w:val="24"/>
              </w:rPr>
              <w:t>根据与</w:t>
            </w:r>
            <w:r>
              <w:rPr>
                <w:rFonts w:hint="default" w:ascii="Times New Roman" w:hAnsi="Times New Roman" w:eastAsia="宋体" w:cs="Times New Roman"/>
                <w:color w:val="auto"/>
                <w:sz w:val="24"/>
                <w:szCs w:val="24"/>
                <w:lang w:val="en-US" w:eastAsia="zh-CN"/>
              </w:rPr>
              <w:t>以上内容</w:t>
            </w:r>
            <w:r>
              <w:rPr>
                <w:rFonts w:hint="default" w:ascii="Times New Roman" w:hAnsi="Times New Roman" w:eastAsia="宋体" w:cs="Times New Roman"/>
                <w:color w:val="auto"/>
                <w:sz w:val="24"/>
                <w:szCs w:val="24"/>
              </w:rPr>
              <w:t>对照，项目不违反规划</w:t>
            </w:r>
            <w:r>
              <w:rPr>
                <w:rFonts w:hint="default" w:ascii="Times New Roman" w:hAnsi="Times New Roman" w:eastAsia="宋体" w:cs="Times New Roman"/>
                <w:color w:val="auto"/>
                <w:sz w:val="24"/>
                <w:szCs w:val="24"/>
                <w:lang w:eastAsia="zh-CN"/>
              </w:rPr>
              <w:t>环评</w:t>
            </w:r>
            <w:r>
              <w:rPr>
                <w:rFonts w:hint="default" w:ascii="Times New Roman" w:hAnsi="Times New Roman" w:eastAsia="宋体" w:cs="Times New Roman"/>
                <w:color w:val="auto"/>
                <w:sz w:val="24"/>
                <w:szCs w:val="24"/>
              </w:rPr>
              <w:t>及规划环评</w:t>
            </w:r>
            <w:r>
              <w:rPr>
                <w:rFonts w:hint="default" w:ascii="Times New Roman" w:hAnsi="Times New Roman" w:eastAsia="宋体" w:cs="Times New Roman"/>
                <w:color w:val="auto"/>
                <w:sz w:val="24"/>
                <w:szCs w:val="24"/>
                <w:lang w:eastAsia="zh-CN"/>
              </w:rPr>
              <w:t>审查意见</w:t>
            </w:r>
            <w:r>
              <w:rPr>
                <w:rFonts w:hint="default" w:ascii="Times New Roman" w:hAnsi="Times New Roman" w:eastAsia="宋体" w:cs="Times New Roman"/>
                <w:color w:val="auto"/>
                <w:sz w:val="24"/>
                <w:szCs w:val="24"/>
              </w:rPr>
              <w:t>的要求；且从现场踏勘的情况看，目前项</w:t>
            </w:r>
            <w:r>
              <w:rPr>
                <w:rFonts w:hint="default" w:ascii="Times New Roman" w:hAnsi="Times New Roman" w:eastAsia="宋体" w:cs="Times New Roman"/>
                <w:color w:val="auto"/>
                <w:sz w:val="24"/>
                <w:szCs w:val="24"/>
                <w:lang w:val="en-US" w:eastAsia="zh-CN"/>
              </w:rPr>
              <w:t>目</w:t>
            </w:r>
            <w:r>
              <w:rPr>
                <w:rFonts w:hint="default" w:ascii="Times New Roman" w:hAnsi="Times New Roman" w:eastAsia="宋体" w:cs="Times New Roman"/>
                <w:color w:val="auto"/>
                <w:sz w:val="24"/>
                <w:szCs w:val="24"/>
              </w:rPr>
              <w:t>规划厂址周围均为机械加工企业或化工企业，本项目主要污染物为</w:t>
            </w:r>
            <w:r>
              <w:rPr>
                <w:rFonts w:hint="default" w:ascii="Times New Roman" w:hAnsi="Times New Roman" w:eastAsia="宋体" w:cs="Times New Roman"/>
                <w:color w:val="auto"/>
                <w:sz w:val="24"/>
                <w:szCs w:val="24"/>
                <w:lang w:val="en-US" w:eastAsia="zh-CN"/>
              </w:rPr>
              <w:t>少量的VOC</w:t>
            </w:r>
            <w:r>
              <w:rPr>
                <w:rFonts w:hint="eastAsia" w:ascii="Times New Roman" w:hAnsi="Times New Roman" w:eastAsia="宋体" w:cs="Times New Roman"/>
                <w:color w:val="auto"/>
                <w:sz w:val="24"/>
                <w:szCs w:val="24"/>
                <w:lang w:val="en-US" w:eastAsia="zh-CN"/>
              </w:rPr>
              <w:t>s</w:t>
            </w:r>
            <w:r>
              <w:rPr>
                <w:rFonts w:hint="default" w:ascii="Times New Roman" w:hAnsi="Times New Roman" w:eastAsia="宋体" w:cs="Times New Roman"/>
                <w:color w:val="auto"/>
                <w:sz w:val="24"/>
                <w:szCs w:val="24"/>
                <w:lang w:val="en-US" w:eastAsia="zh-CN"/>
              </w:rPr>
              <w:t>和颗粒物</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与周边企业不存在不相容性。</w:t>
            </w:r>
          </w:p>
          <w:p>
            <w:pPr>
              <w:pStyle w:val="111"/>
              <w:keepNext w:val="0"/>
              <w:keepLines w:val="0"/>
              <w:pageBreakBefore w:val="0"/>
              <w:widowControl w:val="0"/>
              <w:numPr>
                <w:ilvl w:val="0"/>
                <w:numId w:val="0"/>
              </w:numPr>
              <w:shd w:val="clear" w:color="auto" w:fill="auto"/>
              <w:kinsoku/>
              <w:wordWrap/>
              <w:overflowPunct/>
              <w:topLinePunct/>
              <w:autoSpaceDE/>
              <w:autoSpaceDN/>
              <w:bidi w:val="0"/>
              <w:adjustRightInd w:val="0"/>
              <w:snapToGrid w:val="0"/>
              <w:spacing w:before="0" w:line="360" w:lineRule="auto"/>
              <w:ind w:leftChars="200" w:right="0" w:rightChars="0"/>
              <w:jc w:val="left"/>
              <w:textAlignment w:val="auto"/>
              <w:rPr>
                <w:rFonts w:hint="default" w:ascii="Times New Roman" w:hAnsi="Times New Roman" w:eastAsia="宋体" w:cs="Times New Roman"/>
                <w:b/>
                <w:bCs/>
                <w:color w:val="auto"/>
                <w:sz w:val="24"/>
                <w:szCs w:val="24"/>
                <w:lang w:val="zh-CN" w:eastAsia="zh-CN"/>
              </w:rPr>
            </w:pPr>
            <w:r>
              <w:rPr>
                <w:rFonts w:hint="eastAsia" w:ascii="Times New Roman" w:hAnsi="Times New Roman" w:eastAsia="宋体" w:cs="Times New Roman"/>
                <w:b/>
                <w:bCs/>
                <w:color w:val="auto"/>
                <w:sz w:val="24"/>
                <w:szCs w:val="24"/>
                <w:lang w:val="zh-CN" w:eastAsia="zh-CN"/>
              </w:rPr>
              <w:t>十一、</w:t>
            </w:r>
            <w:r>
              <w:rPr>
                <w:rFonts w:hint="default" w:ascii="Times New Roman" w:hAnsi="Times New Roman" w:eastAsia="宋体" w:cs="Times New Roman"/>
                <w:b/>
                <w:bCs/>
                <w:color w:val="auto"/>
                <w:sz w:val="24"/>
                <w:szCs w:val="24"/>
                <w:lang w:val="zh-CN" w:eastAsia="zh-CN"/>
              </w:rPr>
              <w:t>与《挥发性有机物（VOCs）污染防治技术政策》（环保部2013年31号公告）的符合性</w:t>
            </w:r>
          </w:p>
          <w:p>
            <w:pPr>
              <w:autoSpaceDE w:val="0"/>
              <w:autoSpaceDN w:val="0"/>
              <w:adjustRightInd w:val="0"/>
              <w:spacing w:line="240" w:lineRule="auto"/>
              <w:ind w:firstLine="480" w:firstLineChars="0"/>
              <w:jc w:val="center"/>
              <w:rPr>
                <w:b/>
                <w:kern w:val="0"/>
                <w:sz w:val="21"/>
                <w:szCs w:val="21"/>
                <w:lang w:val="zh-CN"/>
              </w:rPr>
            </w:pPr>
            <w:r>
              <w:rPr>
                <w:rFonts w:hint="eastAsia"/>
                <w:b/>
                <w:sz w:val="21"/>
                <w:szCs w:val="21"/>
                <w:lang w:val="zh-CN"/>
              </w:rPr>
              <w:t>表7-</w:t>
            </w:r>
            <w:r>
              <w:rPr>
                <w:rFonts w:hint="eastAsia"/>
                <w:b/>
                <w:sz w:val="21"/>
                <w:szCs w:val="21"/>
                <w:lang w:val="en-US" w:eastAsia="zh-CN"/>
              </w:rPr>
              <w:t>25</w:t>
            </w:r>
            <w:r>
              <w:rPr>
                <w:rFonts w:hint="eastAsia"/>
                <w:b/>
                <w:sz w:val="21"/>
                <w:szCs w:val="21"/>
                <w:lang w:val="zh-CN"/>
              </w:rPr>
              <w:t>本项目</w:t>
            </w:r>
            <w:r>
              <w:rPr>
                <w:b/>
                <w:kern w:val="0"/>
                <w:sz w:val="21"/>
                <w:szCs w:val="21"/>
                <w:lang w:val="zh-CN"/>
              </w:rPr>
              <w:t>与《挥发性有机物（VOCs）污染防治技术政策》的符合性</w:t>
            </w:r>
            <w:r>
              <w:rPr>
                <w:rFonts w:hint="eastAsia"/>
                <w:b/>
                <w:kern w:val="0"/>
                <w:sz w:val="21"/>
                <w:szCs w:val="21"/>
                <w:lang w:val="zh-CN"/>
              </w:rPr>
              <w:t>分析表</w:t>
            </w:r>
          </w:p>
          <w:tbl>
            <w:tblPr>
              <w:tblStyle w:val="38"/>
              <w:tblW w:w="0" w:type="auto"/>
              <w:tblInd w:w="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99"/>
              <w:gridCol w:w="3777"/>
              <w:gridCol w:w="2382"/>
              <w:gridCol w:w="13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704" w:type="dxa"/>
                  <w:tcBorders>
                    <w:tl2br w:val="nil"/>
                    <w:tr2bl w:val="nil"/>
                  </w:tcBorders>
                  <w:vAlign w:val="center"/>
                </w:tcPr>
                <w:p>
                  <w:pPr>
                    <w:pStyle w:val="111"/>
                    <w:topLinePunct/>
                    <w:adjustRightInd w:val="0"/>
                    <w:snapToGrid w:val="0"/>
                    <w:spacing w:line="240" w:lineRule="auto"/>
                    <w:ind w:firstLine="0"/>
                    <w:jc w:val="center"/>
                    <w:rPr>
                      <w:rFonts w:ascii="Times New Roman" w:hAnsi="Times New Roman" w:eastAsia="宋体" w:cs="Times New Roman"/>
                      <w:b/>
                      <w:sz w:val="21"/>
                      <w:szCs w:val="21"/>
                      <w:lang w:val="en-US" w:eastAsia="zh-CN"/>
                    </w:rPr>
                  </w:pPr>
                  <w:r>
                    <w:rPr>
                      <w:rFonts w:hint="eastAsia" w:ascii="Times New Roman" w:hAnsi="Times New Roman" w:eastAsia="宋体" w:cs="Times New Roman"/>
                      <w:b/>
                      <w:sz w:val="21"/>
                      <w:szCs w:val="21"/>
                      <w:lang w:val="en-US" w:eastAsia="zh-CN"/>
                    </w:rPr>
                    <w:t>项目</w:t>
                  </w:r>
                </w:p>
              </w:tc>
              <w:tc>
                <w:tcPr>
                  <w:tcW w:w="3827" w:type="dxa"/>
                  <w:tcBorders>
                    <w:tl2br w:val="nil"/>
                    <w:tr2bl w:val="nil"/>
                  </w:tcBorders>
                  <w:vAlign w:val="center"/>
                </w:tcPr>
                <w:p>
                  <w:pPr>
                    <w:pStyle w:val="111"/>
                    <w:topLinePunct/>
                    <w:adjustRightInd w:val="0"/>
                    <w:snapToGrid w:val="0"/>
                    <w:spacing w:line="240" w:lineRule="auto"/>
                    <w:ind w:firstLine="0"/>
                    <w:jc w:val="center"/>
                    <w:rPr>
                      <w:rFonts w:ascii="Times New Roman" w:hAnsi="Times New Roman" w:eastAsia="宋体" w:cs="Times New Roman"/>
                      <w:b/>
                      <w:sz w:val="21"/>
                      <w:szCs w:val="21"/>
                      <w:lang w:val="en-US" w:eastAsia="zh-CN"/>
                    </w:rPr>
                  </w:pPr>
                  <w:r>
                    <w:rPr>
                      <w:rFonts w:hint="eastAsia" w:ascii="Times New Roman" w:hAnsi="Times New Roman" w:eastAsia="宋体" w:cs="Times New Roman"/>
                      <w:b/>
                      <w:sz w:val="21"/>
                      <w:szCs w:val="21"/>
                      <w:lang w:val="en-US" w:eastAsia="zh-CN"/>
                    </w:rPr>
                    <w:t>具体要求</w:t>
                  </w:r>
                </w:p>
              </w:tc>
              <w:tc>
                <w:tcPr>
                  <w:tcW w:w="2410" w:type="dxa"/>
                  <w:tcBorders>
                    <w:tl2br w:val="nil"/>
                    <w:tr2bl w:val="nil"/>
                  </w:tcBorders>
                  <w:vAlign w:val="center"/>
                </w:tcPr>
                <w:p>
                  <w:pPr>
                    <w:pStyle w:val="111"/>
                    <w:topLinePunct/>
                    <w:adjustRightInd w:val="0"/>
                    <w:snapToGrid w:val="0"/>
                    <w:spacing w:line="240" w:lineRule="auto"/>
                    <w:ind w:firstLine="0"/>
                    <w:jc w:val="center"/>
                    <w:rPr>
                      <w:rFonts w:ascii="Times New Roman" w:hAnsi="Times New Roman" w:eastAsia="宋体" w:cs="Times New Roman"/>
                      <w:b/>
                      <w:sz w:val="21"/>
                      <w:szCs w:val="21"/>
                      <w:lang w:val="en-US" w:eastAsia="zh-CN"/>
                    </w:rPr>
                  </w:pPr>
                  <w:r>
                    <w:rPr>
                      <w:rFonts w:hint="eastAsia" w:ascii="Times New Roman" w:hAnsi="Times New Roman" w:eastAsia="宋体" w:cs="Times New Roman"/>
                      <w:b/>
                      <w:sz w:val="21"/>
                      <w:szCs w:val="21"/>
                      <w:lang w:val="en-US" w:eastAsia="zh-CN"/>
                    </w:rPr>
                    <w:t>本项目情况</w:t>
                  </w:r>
                </w:p>
              </w:tc>
              <w:tc>
                <w:tcPr>
                  <w:tcW w:w="1350" w:type="dxa"/>
                  <w:tcBorders>
                    <w:tl2br w:val="nil"/>
                    <w:tr2bl w:val="nil"/>
                  </w:tcBorders>
                  <w:vAlign w:val="center"/>
                </w:tcPr>
                <w:p>
                  <w:pPr>
                    <w:pStyle w:val="111"/>
                    <w:topLinePunct/>
                    <w:adjustRightInd w:val="0"/>
                    <w:snapToGrid w:val="0"/>
                    <w:spacing w:line="240" w:lineRule="auto"/>
                    <w:ind w:firstLine="0"/>
                    <w:jc w:val="center"/>
                    <w:rPr>
                      <w:rFonts w:ascii="Times New Roman" w:hAnsi="Times New Roman" w:eastAsia="宋体" w:cs="Times New Roman"/>
                      <w:b/>
                      <w:sz w:val="21"/>
                      <w:szCs w:val="21"/>
                      <w:lang w:val="en-US" w:eastAsia="zh-CN"/>
                    </w:rPr>
                  </w:pPr>
                  <w:r>
                    <w:rPr>
                      <w:rFonts w:hint="eastAsia" w:ascii="Times New Roman" w:hAnsi="Times New Roman" w:eastAsia="宋体" w:cs="Times New Roman"/>
                      <w:b/>
                      <w:sz w:val="21"/>
                      <w:szCs w:val="21"/>
                      <w:lang w:val="en-US" w:eastAsia="zh-CN"/>
                    </w:rPr>
                    <w:t>符合性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704" w:type="dxa"/>
                  <w:tcBorders>
                    <w:tl2br w:val="nil"/>
                    <w:tr2bl w:val="nil"/>
                  </w:tcBorders>
                  <w:vAlign w:val="center"/>
                </w:tcPr>
                <w:p>
                  <w:pPr>
                    <w:pStyle w:val="111"/>
                    <w:topLinePunct/>
                    <w:adjustRightInd w:val="0"/>
                    <w:snapToGrid w:val="0"/>
                    <w:spacing w:line="240" w:lineRule="auto"/>
                    <w:ind w:firstLine="0"/>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源头和过程控制</w:t>
                  </w:r>
                </w:p>
              </w:tc>
              <w:tc>
                <w:tcPr>
                  <w:tcW w:w="3827" w:type="dxa"/>
                  <w:tcBorders>
                    <w:tl2br w:val="nil"/>
                    <w:tr2bl w:val="nil"/>
                  </w:tcBorders>
                  <w:vAlign w:val="center"/>
                </w:tcPr>
                <w:p>
                  <w:pPr>
                    <w:pStyle w:val="111"/>
                    <w:topLinePunct/>
                    <w:adjustRightInd w:val="0"/>
                    <w:snapToGrid w:val="0"/>
                    <w:spacing w:line="240" w:lineRule="auto"/>
                    <w:ind w:firstLine="0"/>
                    <w:jc w:val="center"/>
                    <w:rPr>
                      <w:rFonts w:ascii="Times New Roman" w:hAnsi="Times New Roman" w:eastAsia="宋体" w:cs="Times New Roman"/>
                      <w:sz w:val="21"/>
                      <w:szCs w:val="21"/>
                      <w:lang w:val="en-US" w:eastAsia="zh-CN"/>
                    </w:rPr>
                  </w:pPr>
                  <w:r>
                    <w:rPr>
                      <w:rFonts w:ascii="Times New Roman" w:hAnsi="Times New Roman" w:eastAsia="宋体" w:cs="Times New Roman"/>
                      <w:sz w:val="21"/>
                      <w:szCs w:val="21"/>
                      <w:lang w:val="en-US" w:eastAsia="zh-CN"/>
                    </w:rPr>
                    <w:t>（十）在涂装、印刷、粘合、工业清洗等含VOCs产品的使用过程中的VOCs污染防治技术措施包括：1、鼓励使用通过环境标志产品认证的环保型涂料、油墨、胶粘剂和清洗剂；2、根据涂装工艺的不同，鼓励使用水性涂料、高固份涂料、粉未涂料、紫外光固化（UV）涂料等环保型涂料：推广采用静电喷涂、淋涂、辊涂、浸涂等效率较高的涂装工艺；应尽量避免无VOCs净化、回收措施的露天喷涂作业；</w:t>
                  </w:r>
                </w:p>
              </w:tc>
              <w:tc>
                <w:tcPr>
                  <w:tcW w:w="2410" w:type="dxa"/>
                  <w:vMerge w:val="restart"/>
                  <w:tcBorders>
                    <w:tl2br w:val="nil"/>
                    <w:tr2bl w:val="nil"/>
                  </w:tcBorders>
                  <w:vAlign w:val="center"/>
                </w:tcPr>
                <w:p>
                  <w:pPr>
                    <w:autoSpaceDE w:val="0"/>
                    <w:autoSpaceDN w:val="0"/>
                    <w:adjustRightInd w:val="0"/>
                    <w:spacing w:line="240" w:lineRule="auto"/>
                    <w:ind w:firstLine="0" w:firstLineChars="0"/>
                    <w:jc w:val="center"/>
                    <w:rPr>
                      <w:kern w:val="0"/>
                      <w:sz w:val="21"/>
                      <w:szCs w:val="21"/>
                      <w:lang w:val="zh-CN"/>
                    </w:rPr>
                  </w:pPr>
                  <w:r>
                    <w:rPr>
                      <w:kern w:val="0"/>
                      <w:sz w:val="21"/>
                      <w:szCs w:val="21"/>
                      <w:lang w:val="zh-CN"/>
                    </w:rPr>
                    <w:t>本项目使用水性涂料，VOCs含量很低，喷漆在封闭式喷漆室进行，喷漆烘干废气经“过滤棉+活性炭吸附”处理后经一根15m高排气简排放，不存在露天喷涂作业的问题。</w:t>
                  </w:r>
                </w:p>
              </w:tc>
              <w:tc>
                <w:tcPr>
                  <w:tcW w:w="1350" w:type="dxa"/>
                  <w:tcBorders>
                    <w:tl2br w:val="nil"/>
                    <w:tr2bl w:val="nil"/>
                  </w:tcBorders>
                  <w:vAlign w:val="center"/>
                </w:tcPr>
                <w:p>
                  <w:pPr>
                    <w:pStyle w:val="111"/>
                    <w:topLinePunct/>
                    <w:adjustRightInd w:val="0"/>
                    <w:snapToGrid w:val="0"/>
                    <w:spacing w:line="240" w:lineRule="auto"/>
                    <w:ind w:firstLine="0"/>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符合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704" w:type="dxa"/>
                  <w:tcBorders>
                    <w:tl2br w:val="nil"/>
                    <w:tr2bl w:val="nil"/>
                  </w:tcBorders>
                  <w:vAlign w:val="center"/>
                </w:tcPr>
                <w:p>
                  <w:pPr>
                    <w:pStyle w:val="111"/>
                    <w:topLinePunct/>
                    <w:adjustRightInd w:val="0"/>
                    <w:snapToGrid w:val="0"/>
                    <w:spacing w:line="240" w:lineRule="auto"/>
                    <w:ind w:firstLine="0"/>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末端治理和综利用</w:t>
                  </w:r>
                </w:p>
              </w:tc>
              <w:tc>
                <w:tcPr>
                  <w:tcW w:w="3827" w:type="dxa"/>
                  <w:tcBorders>
                    <w:tl2br w:val="nil"/>
                    <w:tr2bl w:val="nil"/>
                  </w:tcBorders>
                  <w:vAlign w:val="center"/>
                </w:tcPr>
                <w:p>
                  <w:pPr>
                    <w:autoSpaceDE w:val="0"/>
                    <w:autoSpaceDN w:val="0"/>
                    <w:adjustRightInd w:val="0"/>
                    <w:spacing w:line="240" w:lineRule="auto"/>
                    <w:ind w:firstLine="0" w:firstLineChars="0"/>
                    <w:jc w:val="center"/>
                    <w:rPr>
                      <w:kern w:val="0"/>
                      <w:sz w:val="21"/>
                      <w:szCs w:val="21"/>
                      <w:lang w:val="zh-CN"/>
                    </w:rPr>
                  </w:pPr>
                  <w:r>
                    <w:rPr>
                      <w:kern w:val="0"/>
                      <w:sz w:val="21"/>
                      <w:szCs w:val="21"/>
                      <w:lang w:val="zh-CN"/>
                    </w:rPr>
                    <w:t>（十五）对于含低浓度</w:t>
                  </w:r>
                  <w:r>
                    <w:rPr>
                      <w:sz w:val="21"/>
                      <w:szCs w:val="21"/>
                    </w:rPr>
                    <w:t>VOCs</w:t>
                  </w:r>
                  <w:r>
                    <w:rPr>
                      <w:kern w:val="0"/>
                      <w:sz w:val="21"/>
                      <w:szCs w:val="21"/>
                      <w:lang w:val="zh-CN"/>
                    </w:rPr>
                    <w:t>的废气，有回收价值时可采用吸附技术、吸收技术对有机溶剂回收后达标排放；不宜回收时，可采用吸附浓缩燃烧技术、生物技术、吸收技术、等离子体技术或紫外光高级氧化技术等净化后达标排放</w:t>
                  </w:r>
                </w:p>
              </w:tc>
              <w:tc>
                <w:tcPr>
                  <w:tcW w:w="2410" w:type="dxa"/>
                  <w:vMerge w:val="continue"/>
                  <w:tcBorders>
                    <w:tl2br w:val="nil"/>
                    <w:tr2bl w:val="nil"/>
                  </w:tcBorders>
                  <w:vAlign w:val="center"/>
                </w:tcPr>
                <w:p>
                  <w:pPr>
                    <w:autoSpaceDE w:val="0"/>
                    <w:autoSpaceDN w:val="0"/>
                    <w:adjustRightInd w:val="0"/>
                    <w:spacing w:line="240" w:lineRule="auto"/>
                    <w:ind w:firstLine="0" w:firstLineChars="0"/>
                    <w:jc w:val="center"/>
                    <w:rPr>
                      <w:kern w:val="0"/>
                      <w:sz w:val="21"/>
                      <w:szCs w:val="21"/>
                      <w:lang w:val="zh-CN"/>
                    </w:rPr>
                  </w:pPr>
                </w:p>
              </w:tc>
              <w:tc>
                <w:tcPr>
                  <w:tcW w:w="1350" w:type="dxa"/>
                  <w:tcBorders>
                    <w:tl2br w:val="nil"/>
                    <w:tr2bl w:val="nil"/>
                  </w:tcBorders>
                  <w:vAlign w:val="center"/>
                </w:tcPr>
                <w:p>
                  <w:pPr>
                    <w:pStyle w:val="111"/>
                    <w:topLinePunct/>
                    <w:adjustRightInd w:val="0"/>
                    <w:snapToGrid w:val="0"/>
                    <w:spacing w:line="240" w:lineRule="auto"/>
                    <w:ind w:firstLine="0"/>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符合</w:t>
                  </w:r>
                </w:p>
              </w:tc>
            </w:tr>
          </w:tbl>
          <w:p>
            <w:pPr>
              <w:pStyle w:val="18"/>
              <w:keepNext w:val="0"/>
              <w:keepLines w:val="0"/>
              <w:pageBreakBefore w:val="0"/>
              <w:widowControl w:val="0"/>
              <w:kinsoku/>
              <w:wordWrap/>
              <w:overflowPunct/>
              <w:topLinePunct w:val="0"/>
              <w:autoSpaceDE/>
              <w:autoSpaceDN/>
              <w:bidi w:val="0"/>
              <w:adjustRightInd w:val="0"/>
              <w:snapToGrid w:val="0"/>
              <w:spacing w:after="0" w:line="360" w:lineRule="auto"/>
              <w:ind w:left="0" w:right="0" w:firstLine="482" w:firstLineChars="200"/>
              <w:jc w:val="left"/>
              <w:textAlignment w:val="auto"/>
              <w:rPr>
                <w:rFonts w:hint="eastAsia" w:ascii="Times New Roman" w:hAnsi="Times New Roman" w:eastAsia="宋体" w:cs="Times New Roman"/>
                <w:b/>
                <w:bCs/>
                <w:color w:val="auto"/>
                <w:sz w:val="24"/>
                <w:szCs w:val="24"/>
                <w:lang w:eastAsia="zh-CN"/>
              </w:rPr>
            </w:pPr>
            <w:r>
              <w:rPr>
                <w:rFonts w:hint="eastAsia" w:cs="Times New Roman"/>
                <w:b/>
                <w:bCs/>
                <w:color w:val="auto"/>
                <w:sz w:val="24"/>
                <w:szCs w:val="24"/>
                <w:lang w:eastAsia="zh-CN"/>
              </w:rPr>
              <w:t>十二</w:t>
            </w:r>
            <w:r>
              <w:rPr>
                <w:rFonts w:hint="default" w:ascii="Times New Roman" w:hAnsi="Times New Roman" w:eastAsia="宋体" w:cs="Times New Roman"/>
                <w:b/>
                <w:bCs/>
                <w:color w:val="auto"/>
                <w:sz w:val="24"/>
                <w:szCs w:val="24"/>
                <w:lang w:eastAsia="zh-CN"/>
              </w:rPr>
              <w:t>、</w:t>
            </w:r>
            <w:r>
              <w:rPr>
                <w:rFonts w:hint="eastAsia" w:cs="Times New Roman"/>
                <w:b/>
                <w:bCs/>
                <w:color w:val="auto"/>
                <w:sz w:val="24"/>
                <w:szCs w:val="24"/>
                <w:lang w:eastAsia="zh-CN"/>
              </w:rPr>
              <w:t>与《云南重点行业挥发性有机物综合治理实施方案》（云环通【</w:t>
            </w:r>
            <w:r>
              <w:rPr>
                <w:rFonts w:hint="eastAsia" w:cs="Times New Roman"/>
                <w:b/>
                <w:bCs/>
                <w:color w:val="auto"/>
                <w:sz w:val="24"/>
                <w:szCs w:val="24"/>
                <w:lang w:val="en-US" w:eastAsia="zh-CN"/>
              </w:rPr>
              <w:t>2019</w:t>
            </w:r>
            <w:r>
              <w:rPr>
                <w:rFonts w:hint="eastAsia" w:cs="Times New Roman"/>
                <w:b/>
                <w:bCs/>
                <w:color w:val="auto"/>
                <w:sz w:val="24"/>
                <w:szCs w:val="24"/>
                <w:lang w:eastAsia="zh-CN"/>
              </w:rPr>
              <w:t>】</w:t>
            </w:r>
            <w:r>
              <w:rPr>
                <w:rFonts w:hint="eastAsia" w:cs="Times New Roman"/>
                <w:b/>
                <w:bCs/>
                <w:color w:val="auto"/>
                <w:sz w:val="24"/>
                <w:szCs w:val="24"/>
                <w:lang w:val="en-US" w:eastAsia="zh-CN"/>
              </w:rPr>
              <w:t>125号</w:t>
            </w:r>
            <w:r>
              <w:rPr>
                <w:rFonts w:hint="eastAsia" w:cs="Times New Roman"/>
                <w:b/>
                <w:bCs/>
                <w:color w:val="auto"/>
                <w:sz w:val="24"/>
                <w:szCs w:val="24"/>
                <w:lang w:eastAsia="zh-CN"/>
              </w:rPr>
              <w:t>）的符合性</w:t>
            </w:r>
          </w:p>
          <w:p>
            <w:pPr>
              <w:pStyle w:val="18"/>
              <w:keepNext w:val="0"/>
              <w:keepLines w:val="0"/>
              <w:pageBreakBefore w:val="0"/>
              <w:widowControl w:val="0"/>
              <w:kinsoku/>
              <w:wordWrap/>
              <w:overflowPunct/>
              <w:topLinePunct w:val="0"/>
              <w:autoSpaceDE/>
              <w:autoSpaceDN/>
              <w:bidi w:val="0"/>
              <w:adjustRightInd w:val="0"/>
              <w:snapToGrid w:val="0"/>
              <w:spacing w:after="0" w:line="240" w:lineRule="auto"/>
              <w:ind w:left="0" w:right="0" w:firstLine="422" w:firstLineChars="200"/>
              <w:jc w:val="center"/>
              <w:textAlignment w:val="auto"/>
              <w:rPr>
                <w:b/>
                <w:kern w:val="0"/>
                <w:sz w:val="21"/>
                <w:szCs w:val="21"/>
                <w:lang w:val="zh-CN"/>
              </w:rPr>
            </w:pPr>
            <w:r>
              <w:rPr>
                <w:rFonts w:hint="eastAsia"/>
                <w:b/>
                <w:sz w:val="21"/>
                <w:szCs w:val="21"/>
                <w:lang w:val="zh-CN"/>
              </w:rPr>
              <w:t>表7-</w:t>
            </w:r>
            <w:r>
              <w:rPr>
                <w:rFonts w:hint="eastAsia"/>
                <w:b/>
                <w:sz w:val="21"/>
                <w:szCs w:val="21"/>
                <w:lang w:val="en-US" w:eastAsia="zh-CN"/>
              </w:rPr>
              <w:t>26</w:t>
            </w:r>
            <w:r>
              <w:rPr>
                <w:rFonts w:hint="eastAsia"/>
                <w:b/>
                <w:sz w:val="21"/>
                <w:szCs w:val="21"/>
                <w:lang w:val="zh-CN"/>
              </w:rPr>
              <w:t>本项目</w:t>
            </w:r>
            <w:r>
              <w:rPr>
                <w:b/>
                <w:kern w:val="0"/>
                <w:sz w:val="21"/>
                <w:szCs w:val="21"/>
                <w:lang w:val="zh-CN"/>
              </w:rPr>
              <w:t>与</w:t>
            </w:r>
            <w:r>
              <w:rPr>
                <w:rFonts w:hint="eastAsia" w:cs="Times New Roman"/>
                <w:b/>
                <w:bCs/>
                <w:color w:val="auto"/>
                <w:sz w:val="21"/>
                <w:szCs w:val="21"/>
                <w:lang w:eastAsia="zh-CN"/>
              </w:rPr>
              <w:t>《云南重点行业挥发性有机物综合治理实施方案》（云环通【</w:t>
            </w:r>
            <w:r>
              <w:rPr>
                <w:rFonts w:hint="eastAsia" w:cs="Times New Roman"/>
                <w:b/>
                <w:bCs/>
                <w:color w:val="auto"/>
                <w:sz w:val="21"/>
                <w:szCs w:val="21"/>
                <w:lang w:val="en-US" w:eastAsia="zh-CN"/>
              </w:rPr>
              <w:t>2019</w:t>
            </w:r>
            <w:r>
              <w:rPr>
                <w:rFonts w:hint="eastAsia" w:cs="Times New Roman"/>
                <w:b/>
                <w:bCs/>
                <w:color w:val="auto"/>
                <w:sz w:val="21"/>
                <w:szCs w:val="21"/>
                <w:lang w:eastAsia="zh-CN"/>
              </w:rPr>
              <w:t>】</w:t>
            </w:r>
            <w:r>
              <w:rPr>
                <w:rFonts w:hint="eastAsia" w:cs="Times New Roman"/>
                <w:b/>
                <w:bCs/>
                <w:color w:val="auto"/>
                <w:sz w:val="21"/>
                <w:szCs w:val="21"/>
                <w:lang w:val="en-US" w:eastAsia="zh-CN"/>
              </w:rPr>
              <w:t>125号</w:t>
            </w:r>
            <w:r>
              <w:rPr>
                <w:rFonts w:hint="eastAsia" w:cs="Times New Roman"/>
                <w:b/>
                <w:bCs/>
                <w:color w:val="auto"/>
                <w:sz w:val="21"/>
                <w:szCs w:val="21"/>
                <w:lang w:eastAsia="zh-CN"/>
              </w:rPr>
              <w:t>）</w:t>
            </w:r>
            <w:r>
              <w:rPr>
                <w:b/>
                <w:kern w:val="0"/>
                <w:sz w:val="21"/>
                <w:szCs w:val="21"/>
                <w:lang w:val="zh-CN"/>
              </w:rPr>
              <w:t>的符合性</w:t>
            </w:r>
            <w:r>
              <w:rPr>
                <w:rFonts w:hint="eastAsia"/>
                <w:b/>
                <w:kern w:val="0"/>
                <w:sz w:val="21"/>
                <w:szCs w:val="21"/>
                <w:lang w:val="zh-CN"/>
              </w:rPr>
              <w:t>分析表</w:t>
            </w:r>
          </w:p>
          <w:tbl>
            <w:tblPr>
              <w:tblStyle w:val="38"/>
              <w:tblW w:w="0" w:type="auto"/>
              <w:tblInd w:w="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99"/>
              <w:gridCol w:w="3776"/>
              <w:gridCol w:w="2383"/>
              <w:gridCol w:w="13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699" w:type="dxa"/>
                  <w:tcBorders>
                    <w:tl2br w:val="nil"/>
                    <w:tr2bl w:val="nil"/>
                  </w:tcBorders>
                  <w:vAlign w:val="center"/>
                </w:tcPr>
                <w:p>
                  <w:pPr>
                    <w:pStyle w:val="111"/>
                    <w:topLinePunct/>
                    <w:adjustRightInd w:val="0"/>
                    <w:snapToGrid w:val="0"/>
                    <w:spacing w:line="240" w:lineRule="auto"/>
                    <w:ind w:firstLine="0"/>
                    <w:jc w:val="center"/>
                    <w:rPr>
                      <w:rFonts w:ascii="Times New Roman" w:hAnsi="Times New Roman" w:eastAsia="宋体" w:cs="Times New Roman"/>
                      <w:b/>
                      <w:sz w:val="21"/>
                      <w:szCs w:val="21"/>
                      <w:lang w:val="en-US" w:eastAsia="zh-CN"/>
                    </w:rPr>
                  </w:pPr>
                  <w:r>
                    <w:rPr>
                      <w:rFonts w:hint="eastAsia" w:ascii="Times New Roman" w:hAnsi="Times New Roman" w:eastAsia="宋体" w:cs="Times New Roman"/>
                      <w:b/>
                      <w:sz w:val="21"/>
                      <w:szCs w:val="21"/>
                      <w:lang w:val="en-US" w:eastAsia="zh-CN"/>
                    </w:rPr>
                    <w:t>项目</w:t>
                  </w:r>
                </w:p>
              </w:tc>
              <w:tc>
                <w:tcPr>
                  <w:tcW w:w="3776" w:type="dxa"/>
                  <w:tcBorders>
                    <w:tl2br w:val="nil"/>
                    <w:tr2bl w:val="nil"/>
                  </w:tcBorders>
                  <w:vAlign w:val="center"/>
                </w:tcPr>
                <w:p>
                  <w:pPr>
                    <w:pStyle w:val="111"/>
                    <w:topLinePunct/>
                    <w:adjustRightInd w:val="0"/>
                    <w:snapToGrid w:val="0"/>
                    <w:spacing w:line="240" w:lineRule="auto"/>
                    <w:ind w:firstLine="0"/>
                    <w:jc w:val="center"/>
                    <w:rPr>
                      <w:rFonts w:ascii="Times New Roman" w:hAnsi="Times New Roman" w:eastAsia="宋体" w:cs="Times New Roman"/>
                      <w:b/>
                      <w:sz w:val="21"/>
                      <w:szCs w:val="21"/>
                      <w:lang w:val="en-US" w:eastAsia="zh-CN"/>
                    </w:rPr>
                  </w:pPr>
                  <w:r>
                    <w:rPr>
                      <w:rFonts w:hint="eastAsia" w:ascii="Times New Roman" w:hAnsi="Times New Roman" w:eastAsia="宋体" w:cs="Times New Roman"/>
                      <w:b/>
                      <w:sz w:val="21"/>
                      <w:szCs w:val="21"/>
                      <w:lang w:val="en-US" w:eastAsia="zh-CN"/>
                    </w:rPr>
                    <w:t>具体要求</w:t>
                  </w:r>
                </w:p>
              </w:tc>
              <w:tc>
                <w:tcPr>
                  <w:tcW w:w="2383" w:type="dxa"/>
                  <w:tcBorders>
                    <w:tl2br w:val="nil"/>
                    <w:tr2bl w:val="nil"/>
                  </w:tcBorders>
                  <w:vAlign w:val="center"/>
                </w:tcPr>
                <w:p>
                  <w:pPr>
                    <w:pStyle w:val="111"/>
                    <w:topLinePunct/>
                    <w:adjustRightInd w:val="0"/>
                    <w:snapToGrid w:val="0"/>
                    <w:spacing w:line="240" w:lineRule="auto"/>
                    <w:ind w:firstLine="0"/>
                    <w:jc w:val="center"/>
                    <w:rPr>
                      <w:rFonts w:ascii="Times New Roman" w:hAnsi="Times New Roman" w:eastAsia="宋体" w:cs="Times New Roman"/>
                      <w:b/>
                      <w:sz w:val="21"/>
                      <w:szCs w:val="21"/>
                      <w:lang w:val="en-US" w:eastAsia="zh-CN"/>
                    </w:rPr>
                  </w:pPr>
                  <w:r>
                    <w:rPr>
                      <w:rFonts w:hint="eastAsia" w:ascii="Times New Roman" w:hAnsi="Times New Roman" w:eastAsia="宋体" w:cs="Times New Roman"/>
                      <w:b/>
                      <w:sz w:val="21"/>
                      <w:szCs w:val="21"/>
                      <w:lang w:val="en-US" w:eastAsia="zh-CN"/>
                    </w:rPr>
                    <w:t>本项目情况</w:t>
                  </w:r>
                </w:p>
              </w:tc>
              <w:tc>
                <w:tcPr>
                  <w:tcW w:w="1335" w:type="dxa"/>
                  <w:tcBorders>
                    <w:tl2br w:val="nil"/>
                    <w:tr2bl w:val="nil"/>
                  </w:tcBorders>
                  <w:vAlign w:val="center"/>
                </w:tcPr>
                <w:p>
                  <w:pPr>
                    <w:pStyle w:val="111"/>
                    <w:topLinePunct/>
                    <w:adjustRightInd w:val="0"/>
                    <w:snapToGrid w:val="0"/>
                    <w:spacing w:line="240" w:lineRule="auto"/>
                    <w:ind w:firstLine="0"/>
                    <w:jc w:val="center"/>
                    <w:rPr>
                      <w:rFonts w:ascii="Times New Roman" w:hAnsi="Times New Roman" w:eastAsia="宋体" w:cs="Times New Roman"/>
                      <w:b/>
                      <w:sz w:val="21"/>
                      <w:szCs w:val="21"/>
                      <w:lang w:val="en-US" w:eastAsia="zh-CN"/>
                    </w:rPr>
                  </w:pPr>
                  <w:r>
                    <w:rPr>
                      <w:rFonts w:hint="eastAsia" w:ascii="Times New Roman" w:hAnsi="Times New Roman" w:eastAsia="宋体" w:cs="Times New Roman"/>
                      <w:b/>
                      <w:sz w:val="21"/>
                      <w:szCs w:val="21"/>
                      <w:lang w:val="en-US" w:eastAsia="zh-CN"/>
                    </w:rPr>
                    <w:t>符合性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699" w:type="dxa"/>
                  <w:vMerge w:val="restart"/>
                  <w:tcBorders>
                    <w:tl2br w:val="nil"/>
                    <w:tr2bl w:val="nil"/>
                  </w:tcBorders>
                  <w:vAlign w:val="center"/>
                </w:tcPr>
                <w:p>
                  <w:pPr>
                    <w:pStyle w:val="111"/>
                    <w:topLinePunct/>
                    <w:adjustRightInd w:val="0"/>
                    <w:snapToGrid w:val="0"/>
                    <w:spacing w:line="240" w:lineRule="auto"/>
                    <w:ind w:firstLine="0"/>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控制要求与思路</w:t>
                  </w:r>
                </w:p>
              </w:tc>
              <w:tc>
                <w:tcPr>
                  <w:tcW w:w="3776" w:type="dxa"/>
                  <w:tcBorders>
                    <w:tl2br w:val="nil"/>
                    <w:tr2bl w:val="nil"/>
                  </w:tcBorders>
                  <w:vAlign w:val="center"/>
                </w:tcPr>
                <w:p>
                  <w:pPr>
                    <w:pStyle w:val="111"/>
                    <w:topLinePunct/>
                    <w:adjustRightInd w:val="0"/>
                    <w:snapToGrid w:val="0"/>
                    <w:spacing w:line="240" w:lineRule="auto"/>
                    <w:ind w:firstLine="0"/>
                    <w:jc w:val="center"/>
                    <w:rPr>
                      <w:rFonts w:ascii="Times New Roman" w:hAnsi="Times New Roman" w:eastAsia="宋体" w:cs="Times New Roman"/>
                      <w:sz w:val="21"/>
                      <w:szCs w:val="21"/>
                      <w:lang w:val="en-US" w:eastAsia="zh-CN"/>
                    </w:rPr>
                  </w:pPr>
                  <w:r>
                    <w:rPr>
                      <w:rFonts w:ascii="Times New Roman" w:hAnsi="Times New Roman" w:eastAsia="宋体" w:cs="Times New Roman"/>
                      <w:sz w:val="21"/>
                      <w:szCs w:val="21"/>
                      <w:lang w:val="en-US" w:eastAsia="zh-CN"/>
                    </w:rPr>
                    <w:t>（一）大力推进源头替代。通过使用水性、粉末、高固体分、无溶剂、辐射固化等低VOCs含量的涂料，水性、辐射固化、植物基等低VOCs含量的油墨，水基、热熔、无溶剂、辐射固化、改性、生物降解等低VOCs含量的胶粘剂，以及低VOCs含量、低反应活性的清洗剂等，替代溶剂型涂料、油墨、胶粘剂、清洗剂等，从源头减少VOCs产生。工业涂装、包装印刷等行业要加大源头替代力度；化工行业要推广使用低（无）VOCs含量、低反应活性的原辅材料，加快对芳香烃、含卤素有机化合物的绿色替代。企业应大力推广使用低VOCs含量木器涂料、车辆涂料、机械设备涂料、集装箱涂料以及建筑物和构筑物防护涂料等，在技术成熟的行业，推广使用低VOCs含量油墨和胶粘剂。鼓励加快低VOCs含量涂料、油墨、胶粘剂等研发和生产。</w:t>
                  </w:r>
                </w:p>
              </w:tc>
              <w:tc>
                <w:tcPr>
                  <w:tcW w:w="2383" w:type="dxa"/>
                  <w:vMerge w:val="restart"/>
                  <w:tcBorders>
                    <w:tl2br w:val="nil"/>
                    <w:tr2bl w:val="nil"/>
                  </w:tcBorders>
                  <w:vAlign w:val="center"/>
                </w:tcPr>
                <w:p>
                  <w:pPr>
                    <w:autoSpaceDE w:val="0"/>
                    <w:autoSpaceDN w:val="0"/>
                    <w:adjustRightInd w:val="0"/>
                    <w:spacing w:line="240" w:lineRule="auto"/>
                    <w:ind w:firstLine="0" w:firstLineChars="0"/>
                    <w:jc w:val="center"/>
                    <w:rPr>
                      <w:kern w:val="0"/>
                      <w:sz w:val="21"/>
                      <w:szCs w:val="21"/>
                      <w:lang w:val="zh-CN"/>
                    </w:rPr>
                  </w:pPr>
                  <w:r>
                    <w:rPr>
                      <w:kern w:val="0"/>
                      <w:sz w:val="21"/>
                      <w:szCs w:val="21"/>
                      <w:lang w:val="zh-CN"/>
                    </w:rPr>
                    <w:t>本项目使用水性涂料，VOCs含量很低，喷漆在封闭式喷漆室进行，喷漆烘干废气经“过滤棉+活性炭吸附”处理后经一根15m高排气简排放</w:t>
                  </w:r>
                  <w:r>
                    <w:rPr>
                      <w:rFonts w:hint="eastAsia"/>
                      <w:kern w:val="0"/>
                      <w:sz w:val="21"/>
                      <w:szCs w:val="21"/>
                      <w:lang w:val="zh-CN"/>
                    </w:rPr>
                    <w:t>。</w:t>
                  </w:r>
                  <w:r>
                    <w:rPr>
                      <w:rFonts w:hint="eastAsia"/>
                      <w:kern w:val="0"/>
                      <w:sz w:val="21"/>
                      <w:szCs w:val="21"/>
                      <w:lang w:val="zh-CN" w:eastAsia="zh-CN"/>
                    </w:rPr>
                    <w:t>喷漆车间设置负压抽送风装置（风量</w:t>
                  </w:r>
                  <w:r>
                    <w:rPr>
                      <w:rFonts w:hint="eastAsia"/>
                      <w:kern w:val="0"/>
                      <w:sz w:val="21"/>
                      <w:szCs w:val="21"/>
                      <w:lang w:val="en-US" w:eastAsia="zh-CN"/>
                    </w:rPr>
                    <w:t>6000m</w:t>
                  </w:r>
                  <w:r>
                    <w:rPr>
                      <w:rFonts w:hint="eastAsia"/>
                      <w:kern w:val="0"/>
                      <w:sz w:val="21"/>
                      <w:szCs w:val="21"/>
                      <w:vertAlign w:val="superscript"/>
                      <w:lang w:val="en-US" w:eastAsia="zh-CN"/>
                    </w:rPr>
                    <w:t>3</w:t>
                  </w:r>
                  <w:r>
                    <w:rPr>
                      <w:rFonts w:hint="eastAsia"/>
                      <w:kern w:val="0"/>
                      <w:sz w:val="21"/>
                      <w:szCs w:val="21"/>
                      <w:lang w:val="en-US" w:eastAsia="zh-CN"/>
                    </w:rPr>
                    <w:t>/h</w:t>
                  </w:r>
                  <w:r>
                    <w:rPr>
                      <w:rFonts w:hint="eastAsia"/>
                      <w:kern w:val="0"/>
                      <w:sz w:val="21"/>
                      <w:szCs w:val="21"/>
                      <w:lang w:val="zh-CN" w:eastAsia="zh-CN"/>
                    </w:rPr>
                    <w:t>），日常需加强管理与修护确保喷漆车间墙体处于密封不漏风，（有机废气收集效率90%，处理效率85%）</w:t>
                  </w:r>
                  <w:r>
                    <w:rPr>
                      <w:kern w:val="0"/>
                      <w:sz w:val="21"/>
                      <w:szCs w:val="21"/>
                      <w:lang w:val="zh-CN"/>
                    </w:rPr>
                    <w:t>不存在露天喷涂作业的问题</w:t>
                  </w:r>
                </w:p>
              </w:tc>
              <w:tc>
                <w:tcPr>
                  <w:tcW w:w="1335" w:type="dxa"/>
                  <w:tcBorders>
                    <w:tl2br w:val="nil"/>
                    <w:tr2bl w:val="nil"/>
                  </w:tcBorders>
                  <w:vAlign w:val="center"/>
                </w:tcPr>
                <w:p>
                  <w:pPr>
                    <w:pStyle w:val="111"/>
                    <w:topLinePunct/>
                    <w:adjustRightInd w:val="0"/>
                    <w:snapToGrid w:val="0"/>
                    <w:spacing w:line="240" w:lineRule="auto"/>
                    <w:ind w:firstLine="0"/>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符合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699" w:type="dxa"/>
                  <w:vMerge w:val="continue"/>
                  <w:tcBorders>
                    <w:tl2br w:val="nil"/>
                    <w:tr2bl w:val="nil"/>
                  </w:tcBorders>
                  <w:vAlign w:val="center"/>
                </w:tcPr>
                <w:p>
                  <w:pPr>
                    <w:pStyle w:val="111"/>
                    <w:topLinePunct/>
                    <w:adjustRightInd w:val="0"/>
                    <w:snapToGrid w:val="0"/>
                    <w:spacing w:line="240" w:lineRule="auto"/>
                    <w:ind w:firstLine="0"/>
                    <w:jc w:val="center"/>
                    <w:rPr>
                      <w:rFonts w:hint="eastAsia" w:ascii="Times New Roman" w:hAnsi="Times New Roman" w:eastAsia="宋体" w:cs="Times New Roman"/>
                      <w:sz w:val="21"/>
                      <w:szCs w:val="21"/>
                      <w:lang w:val="en-US" w:eastAsia="zh-CN"/>
                    </w:rPr>
                  </w:pPr>
                </w:p>
              </w:tc>
              <w:tc>
                <w:tcPr>
                  <w:tcW w:w="3776" w:type="dxa"/>
                  <w:tcBorders>
                    <w:tl2br w:val="nil"/>
                    <w:tr2bl w:val="nil"/>
                  </w:tcBorders>
                  <w:vAlign w:val="center"/>
                </w:tcPr>
                <w:p>
                  <w:pPr>
                    <w:pStyle w:val="111"/>
                    <w:topLinePunct/>
                    <w:adjustRightInd w:val="0"/>
                    <w:snapToGrid w:val="0"/>
                    <w:spacing w:line="240" w:lineRule="auto"/>
                    <w:ind w:firstLine="0"/>
                    <w:jc w:val="center"/>
                    <w:rPr>
                      <w:rFonts w:ascii="Times New Roman" w:hAnsi="Times New Roman" w:eastAsia="宋体" w:cs="Times New Roman"/>
                      <w:sz w:val="21"/>
                      <w:szCs w:val="21"/>
                      <w:lang w:val="en-US" w:eastAsia="zh-CN"/>
                    </w:rPr>
                  </w:pPr>
                  <w:r>
                    <w:rPr>
                      <w:rFonts w:ascii="Times New Roman" w:hAnsi="Times New Roman" w:eastAsia="宋体" w:cs="Times New Roman"/>
                      <w:sz w:val="21"/>
                      <w:szCs w:val="21"/>
                      <w:lang w:val="en-US" w:eastAsia="zh-CN"/>
                    </w:rPr>
                    <w:t>（二）全面加强无组织排放控制。重点对含VOCs物料（包括含VOCs原辅材料、含VOCs产品、含VOCs废料以及有机聚合物材料等）储存、转移和输送、设备与管线组件泄漏、敞开液面逸散以及工艺过程等五类排放源实施管控，通过采取设备与场所密闭、工艺改进、废气有效收集等措施，削减VOCs无组织排放。</w:t>
                  </w:r>
                </w:p>
              </w:tc>
              <w:tc>
                <w:tcPr>
                  <w:tcW w:w="2383" w:type="dxa"/>
                  <w:vMerge w:val="continue"/>
                  <w:tcBorders>
                    <w:tl2br w:val="nil"/>
                    <w:tr2bl w:val="nil"/>
                  </w:tcBorders>
                  <w:vAlign w:val="center"/>
                </w:tcPr>
                <w:p>
                  <w:pPr>
                    <w:autoSpaceDE w:val="0"/>
                    <w:autoSpaceDN w:val="0"/>
                    <w:adjustRightInd w:val="0"/>
                    <w:spacing w:line="240" w:lineRule="auto"/>
                    <w:ind w:firstLine="0" w:firstLineChars="0"/>
                    <w:jc w:val="center"/>
                    <w:rPr>
                      <w:kern w:val="0"/>
                      <w:sz w:val="21"/>
                      <w:szCs w:val="21"/>
                      <w:lang w:val="zh-CN"/>
                    </w:rPr>
                  </w:pPr>
                </w:p>
              </w:tc>
              <w:tc>
                <w:tcPr>
                  <w:tcW w:w="1335" w:type="dxa"/>
                  <w:tcBorders>
                    <w:tl2br w:val="nil"/>
                    <w:tr2bl w:val="nil"/>
                  </w:tcBorders>
                  <w:vAlign w:val="center"/>
                </w:tcPr>
                <w:p>
                  <w:pPr>
                    <w:pStyle w:val="111"/>
                    <w:topLinePunct/>
                    <w:adjustRightInd w:val="0"/>
                    <w:snapToGrid w:val="0"/>
                    <w:spacing w:line="240" w:lineRule="auto"/>
                    <w:ind w:firstLine="0"/>
                    <w:jc w:val="center"/>
                    <w:rPr>
                      <w:rFonts w:hint="eastAsia" w:ascii="Times New Roman" w:hAnsi="Times New Roman" w:eastAsia="宋体" w:cs="Times New Roman"/>
                      <w:sz w:val="21"/>
                      <w:szCs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699" w:type="dxa"/>
                  <w:vMerge w:val="continue"/>
                  <w:tcBorders>
                    <w:tl2br w:val="nil"/>
                    <w:tr2bl w:val="nil"/>
                  </w:tcBorders>
                  <w:vAlign w:val="center"/>
                </w:tcPr>
                <w:p>
                  <w:pPr>
                    <w:pStyle w:val="111"/>
                    <w:topLinePunct/>
                    <w:adjustRightInd w:val="0"/>
                    <w:snapToGrid w:val="0"/>
                    <w:spacing w:line="240" w:lineRule="auto"/>
                    <w:ind w:firstLine="0"/>
                    <w:jc w:val="center"/>
                    <w:rPr>
                      <w:rFonts w:hint="eastAsia" w:ascii="Times New Roman" w:hAnsi="Times New Roman" w:eastAsia="宋体" w:cs="Times New Roman"/>
                      <w:sz w:val="21"/>
                      <w:szCs w:val="21"/>
                      <w:lang w:val="en-US" w:eastAsia="zh-CN"/>
                    </w:rPr>
                  </w:pPr>
                </w:p>
              </w:tc>
              <w:tc>
                <w:tcPr>
                  <w:tcW w:w="3776" w:type="dxa"/>
                  <w:tcBorders>
                    <w:tl2br w:val="nil"/>
                    <w:tr2bl w:val="nil"/>
                  </w:tcBorders>
                  <w:vAlign w:val="center"/>
                </w:tcPr>
                <w:p>
                  <w:pPr>
                    <w:pStyle w:val="111"/>
                    <w:topLinePunct/>
                    <w:adjustRightInd w:val="0"/>
                    <w:snapToGrid w:val="0"/>
                    <w:spacing w:line="240" w:lineRule="auto"/>
                    <w:ind w:firstLine="0"/>
                    <w:jc w:val="center"/>
                    <w:rPr>
                      <w:rFonts w:ascii="Times New Roman" w:hAnsi="Times New Roman" w:eastAsia="宋体" w:cs="Times New Roman"/>
                      <w:sz w:val="21"/>
                      <w:szCs w:val="21"/>
                      <w:lang w:val="en-US" w:eastAsia="zh-CN"/>
                    </w:rPr>
                  </w:pPr>
                  <w:r>
                    <w:rPr>
                      <w:rFonts w:ascii="Times New Roman" w:hAnsi="Times New Roman" w:eastAsia="宋体" w:cs="Times New Roman"/>
                      <w:sz w:val="21"/>
                      <w:szCs w:val="21"/>
                      <w:lang w:val="en-US" w:eastAsia="zh-CN"/>
                    </w:rPr>
                    <w:t>（三）推进建设适宜高效的治污设施。企业新建治污设施或对现有治污设施实施改造，应依据排放废气的浓度、组分、风量，温度、湿度、压力，以及生产工况等，合理选择治理技术。鼓励企业采用多种技术的组合工艺，提高VOCs治理效率。</w:t>
                  </w:r>
                </w:p>
              </w:tc>
              <w:tc>
                <w:tcPr>
                  <w:tcW w:w="2383" w:type="dxa"/>
                  <w:vMerge w:val="continue"/>
                  <w:tcBorders>
                    <w:tl2br w:val="nil"/>
                    <w:tr2bl w:val="nil"/>
                  </w:tcBorders>
                  <w:vAlign w:val="center"/>
                </w:tcPr>
                <w:p>
                  <w:pPr>
                    <w:autoSpaceDE w:val="0"/>
                    <w:autoSpaceDN w:val="0"/>
                    <w:adjustRightInd w:val="0"/>
                    <w:spacing w:line="240" w:lineRule="auto"/>
                    <w:ind w:firstLine="0" w:firstLineChars="0"/>
                    <w:jc w:val="center"/>
                    <w:rPr>
                      <w:kern w:val="0"/>
                      <w:sz w:val="21"/>
                      <w:szCs w:val="21"/>
                      <w:lang w:val="zh-CN"/>
                    </w:rPr>
                  </w:pPr>
                </w:p>
              </w:tc>
              <w:tc>
                <w:tcPr>
                  <w:tcW w:w="1335" w:type="dxa"/>
                  <w:tcBorders>
                    <w:tl2br w:val="nil"/>
                    <w:tr2bl w:val="nil"/>
                  </w:tcBorders>
                  <w:vAlign w:val="center"/>
                </w:tcPr>
                <w:p>
                  <w:pPr>
                    <w:pStyle w:val="111"/>
                    <w:topLinePunct/>
                    <w:adjustRightInd w:val="0"/>
                    <w:snapToGrid w:val="0"/>
                    <w:spacing w:line="240" w:lineRule="auto"/>
                    <w:ind w:firstLine="0"/>
                    <w:jc w:val="center"/>
                    <w:rPr>
                      <w:rFonts w:hint="eastAsia" w:ascii="Times New Roman" w:hAnsi="Times New Roman" w:eastAsia="宋体" w:cs="Times New Roman"/>
                      <w:sz w:val="21"/>
                      <w:szCs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699" w:type="dxa"/>
                  <w:tcBorders>
                    <w:tl2br w:val="nil"/>
                    <w:tr2bl w:val="nil"/>
                  </w:tcBorders>
                  <w:vAlign w:val="center"/>
                </w:tcPr>
                <w:p>
                  <w:pPr>
                    <w:pStyle w:val="111"/>
                    <w:topLinePunct/>
                    <w:adjustRightInd w:val="0"/>
                    <w:snapToGrid w:val="0"/>
                    <w:spacing w:line="240" w:lineRule="auto"/>
                    <w:ind w:firstLine="0"/>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重点行业治理任务</w:t>
                  </w:r>
                </w:p>
              </w:tc>
              <w:tc>
                <w:tcPr>
                  <w:tcW w:w="3776" w:type="dxa"/>
                  <w:tcBorders>
                    <w:tl2br w:val="nil"/>
                    <w:tr2bl w:val="nil"/>
                  </w:tcBorders>
                  <w:vAlign w:val="center"/>
                </w:tcPr>
                <w:p>
                  <w:pPr>
                    <w:autoSpaceDE w:val="0"/>
                    <w:autoSpaceDN w:val="0"/>
                    <w:adjustRightInd w:val="0"/>
                    <w:spacing w:line="240" w:lineRule="auto"/>
                    <w:ind w:firstLine="0" w:firstLineChars="0"/>
                    <w:jc w:val="center"/>
                    <w:rPr>
                      <w:kern w:val="0"/>
                      <w:sz w:val="21"/>
                      <w:szCs w:val="21"/>
                      <w:lang w:val="zh-CN"/>
                    </w:rPr>
                  </w:pPr>
                  <w:r>
                    <w:rPr>
                      <w:kern w:val="0"/>
                      <w:sz w:val="21"/>
                      <w:szCs w:val="21"/>
                      <w:lang w:val="zh-CN"/>
                    </w:rPr>
                    <w:t>（三）工业涂装VOCs综合治理。加大汽车、家具、集装箱、电子产品、工程机械等行业VOCs治理力度。强化源头控制，加快使用粉末、水性、高固体分、辐射固化等低VOCs含量的涂料替代溶剂型涂料</w:t>
                  </w:r>
                </w:p>
              </w:tc>
              <w:tc>
                <w:tcPr>
                  <w:tcW w:w="2383" w:type="dxa"/>
                  <w:vMerge w:val="continue"/>
                  <w:tcBorders>
                    <w:tl2br w:val="nil"/>
                    <w:tr2bl w:val="nil"/>
                  </w:tcBorders>
                  <w:vAlign w:val="center"/>
                </w:tcPr>
                <w:p>
                  <w:pPr>
                    <w:autoSpaceDE w:val="0"/>
                    <w:autoSpaceDN w:val="0"/>
                    <w:adjustRightInd w:val="0"/>
                    <w:spacing w:line="240" w:lineRule="auto"/>
                    <w:ind w:firstLine="0" w:firstLineChars="0"/>
                    <w:jc w:val="center"/>
                    <w:rPr>
                      <w:kern w:val="0"/>
                      <w:sz w:val="21"/>
                      <w:szCs w:val="21"/>
                      <w:lang w:val="zh-CN"/>
                    </w:rPr>
                  </w:pPr>
                </w:p>
              </w:tc>
              <w:tc>
                <w:tcPr>
                  <w:tcW w:w="1335" w:type="dxa"/>
                  <w:tcBorders>
                    <w:tl2br w:val="nil"/>
                    <w:tr2bl w:val="nil"/>
                  </w:tcBorders>
                  <w:vAlign w:val="center"/>
                </w:tcPr>
                <w:p>
                  <w:pPr>
                    <w:pStyle w:val="111"/>
                    <w:topLinePunct/>
                    <w:adjustRightInd w:val="0"/>
                    <w:snapToGrid w:val="0"/>
                    <w:spacing w:line="240" w:lineRule="auto"/>
                    <w:ind w:firstLine="0"/>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符合</w:t>
                  </w:r>
                </w:p>
              </w:tc>
            </w:tr>
          </w:tbl>
          <w:p>
            <w:pPr>
              <w:pStyle w:val="18"/>
              <w:keepNext w:val="0"/>
              <w:keepLines w:val="0"/>
              <w:pageBreakBefore w:val="0"/>
              <w:widowControl w:val="0"/>
              <w:kinsoku/>
              <w:wordWrap/>
              <w:overflowPunct/>
              <w:topLinePunct w:val="0"/>
              <w:autoSpaceDE/>
              <w:autoSpaceDN/>
              <w:bidi w:val="0"/>
              <w:adjustRightInd w:val="0"/>
              <w:snapToGrid w:val="0"/>
              <w:spacing w:after="0" w:line="360" w:lineRule="auto"/>
              <w:ind w:right="0"/>
              <w:jc w:val="left"/>
              <w:textAlignment w:val="auto"/>
              <w:rPr>
                <w:rFonts w:hint="eastAsia" w:cs="Times New Roman"/>
                <w:b/>
                <w:bCs/>
                <w:color w:val="auto"/>
                <w:sz w:val="24"/>
                <w:szCs w:val="24"/>
                <w:lang w:eastAsia="zh-CN"/>
              </w:rPr>
            </w:pPr>
          </w:p>
          <w:p>
            <w:pPr>
              <w:pStyle w:val="18"/>
              <w:keepNext w:val="0"/>
              <w:keepLines w:val="0"/>
              <w:pageBreakBefore w:val="0"/>
              <w:widowControl w:val="0"/>
              <w:kinsoku/>
              <w:wordWrap/>
              <w:overflowPunct/>
              <w:topLinePunct w:val="0"/>
              <w:autoSpaceDE/>
              <w:autoSpaceDN/>
              <w:bidi w:val="0"/>
              <w:adjustRightInd w:val="0"/>
              <w:snapToGrid w:val="0"/>
              <w:spacing w:after="0" w:line="360" w:lineRule="auto"/>
              <w:ind w:left="0" w:right="0" w:firstLine="482" w:firstLineChars="200"/>
              <w:jc w:val="left"/>
              <w:textAlignment w:val="auto"/>
              <w:rPr>
                <w:rFonts w:hint="default" w:ascii="Times New Roman" w:hAnsi="Times New Roman" w:eastAsia="宋体" w:cs="Times New Roman"/>
                <w:b/>
                <w:bCs/>
                <w:color w:val="auto"/>
                <w:sz w:val="24"/>
                <w:szCs w:val="24"/>
              </w:rPr>
            </w:pPr>
            <w:r>
              <w:rPr>
                <w:rFonts w:hint="eastAsia" w:cs="Times New Roman"/>
                <w:b/>
                <w:bCs/>
                <w:color w:val="auto"/>
                <w:sz w:val="24"/>
                <w:szCs w:val="24"/>
                <w:lang w:eastAsia="zh-CN"/>
              </w:rPr>
              <w:t>十三</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rPr>
              <w:t>选址符合性分析</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w:t>
            </w:r>
            <w:r>
              <w:rPr>
                <w:rFonts w:hint="default" w:ascii="Times New Roman" w:hAnsi="Times New Roman" w:eastAsia="宋体" w:cs="Times New Roman"/>
                <w:color w:val="auto"/>
                <w:sz w:val="24"/>
                <w:szCs w:val="24"/>
                <w:lang w:eastAsia="zh-CN"/>
              </w:rPr>
              <w:t>位于富民县工业园白石岩</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eastAsia="zh-CN"/>
              </w:rPr>
              <w:t>大白坡片区</w:t>
            </w:r>
            <w:r>
              <w:rPr>
                <w:rFonts w:hint="default" w:ascii="Times New Roman" w:hAnsi="Times New Roman" w:eastAsia="宋体" w:cs="Times New Roman"/>
                <w:color w:val="auto"/>
                <w:sz w:val="24"/>
                <w:szCs w:val="24"/>
              </w:rPr>
              <w:t>哨</w:t>
            </w:r>
            <w:r>
              <w:rPr>
                <w:rFonts w:hint="default" w:ascii="Times New Roman" w:hAnsi="Times New Roman" w:eastAsia="宋体" w:cs="Times New Roman"/>
                <w:color w:val="auto"/>
                <w:sz w:val="24"/>
                <w:szCs w:val="24"/>
                <w:lang w:eastAsia="zh-CN"/>
              </w:rPr>
              <w:t>箐</w:t>
            </w:r>
            <w:r>
              <w:rPr>
                <w:rFonts w:hint="default" w:ascii="Times New Roman" w:hAnsi="Times New Roman" w:eastAsia="宋体" w:cs="Times New Roman"/>
                <w:color w:val="auto"/>
                <w:sz w:val="24"/>
                <w:szCs w:val="24"/>
                <w:lang w:val="en-US" w:eastAsia="zh-CN"/>
              </w:rPr>
              <w:t>组团</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项目建设</w:t>
            </w:r>
            <w:r>
              <w:rPr>
                <w:rFonts w:hint="default" w:ascii="Times New Roman" w:hAnsi="Times New Roman" w:eastAsia="宋体" w:cs="Times New Roman"/>
                <w:color w:val="auto"/>
                <w:sz w:val="24"/>
                <w:szCs w:val="24"/>
                <w:lang w:eastAsia="zh-CN"/>
              </w:rPr>
              <w:t>不在</w:t>
            </w:r>
            <w:r>
              <w:rPr>
                <w:rFonts w:hint="default" w:ascii="Times New Roman" w:hAnsi="Times New Roman" w:eastAsia="宋体" w:cs="Times New Roman"/>
                <w:color w:val="auto"/>
                <w:sz w:val="24"/>
                <w:szCs w:val="24"/>
              </w:rPr>
              <w:t>自然保护区、风景名胜区、生态功能保护区等需特殊保护的环境敏感区</w:t>
            </w:r>
            <w:r>
              <w:rPr>
                <w:rFonts w:hint="default" w:ascii="Times New Roman" w:hAnsi="Times New Roman" w:eastAsia="宋体" w:cs="Times New Roman"/>
                <w:color w:val="auto"/>
                <w:sz w:val="24"/>
                <w:szCs w:val="24"/>
                <w:lang w:eastAsia="zh-CN"/>
              </w:rPr>
              <w:t>生态红线范围内</w:t>
            </w:r>
            <w:r>
              <w:rPr>
                <w:rFonts w:hint="default" w:ascii="Times New Roman" w:hAnsi="Times New Roman" w:eastAsia="宋体" w:cs="Times New Roman"/>
                <w:color w:val="auto"/>
                <w:sz w:val="24"/>
                <w:szCs w:val="24"/>
              </w:rPr>
              <w:t>，项目区域交通建设基本完善，水、电供应有保障，为项目建设堤供了良好的条件。</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环境影响结果表明，项目废水、废气、噪声、固废等对环境影响较小，项目在运行过程中产生的污染物在采取处理措施后可达标，不会改变区域环境功能。</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综上所述，本项目的建设选址合理。</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2" w:firstLineChars="200"/>
              <w:jc w:val="left"/>
              <w:textAlignment w:val="auto"/>
              <w:rPr>
                <w:rFonts w:hint="default" w:ascii="Times New Roman" w:hAnsi="Times New Roman" w:eastAsia="宋体" w:cs="Times New Roman"/>
                <w:b/>
                <w:bCs/>
                <w:color w:val="auto"/>
                <w:sz w:val="24"/>
                <w:szCs w:val="24"/>
              </w:rPr>
            </w:pPr>
            <w:r>
              <w:rPr>
                <w:rFonts w:hint="eastAsia" w:cs="Times New Roman"/>
                <w:b/>
                <w:bCs/>
                <w:color w:val="auto"/>
                <w:sz w:val="24"/>
                <w:szCs w:val="24"/>
                <w:lang w:eastAsia="zh-CN"/>
              </w:rPr>
              <w:t>十四</w:t>
            </w:r>
            <w:r>
              <w:rPr>
                <w:rFonts w:hint="default" w:ascii="Times New Roman" w:hAnsi="Times New Roman" w:eastAsia="宋体" w:cs="Times New Roman"/>
                <w:b/>
                <w:bCs/>
                <w:color w:val="auto"/>
                <w:sz w:val="24"/>
                <w:szCs w:val="24"/>
              </w:rPr>
              <w:t>、平面布置合理性分析</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本项目厂区占地大致呈四边形，总平面布置按功能分为生产区和办公生活区。厂区设1个出入口，出口设于厂区东侧，紧邻G108国道（昆禄公路）</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便于原料的运入及产品的运出，交通十分便利</w:t>
            </w:r>
            <w:r>
              <w:rPr>
                <w:rFonts w:hint="default"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eastAsia="zh-CN"/>
              </w:rPr>
              <w:t>生产全部在标准厂房内进行，喷漆工艺拟设置有全封闭式的喷漆车间</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kern w:val="1"/>
                <w:sz w:val="24"/>
                <w:szCs w:val="24"/>
                <w:lang w:val="en-US" w:eastAsia="zh-CN"/>
              </w:rPr>
              <w:t>办公生活区主要为布置在厂区东</w:t>
            </w:r>
            <w:r>
              <w:rPr>
                <w:rFonts w:hint="eastAsia" w:ascii="Times New Roman" w:hAnsi="Times New Roman" w:eastAsia="宋体" w:cs="Times New Roman"/>
                <w:color w:val="auto"/>
                <w:kern w:val="1"/>
                <w:sz w:val="24"/>
                <w:szCs w:val="24"/>
                <w:lang w:val="en-US" w:eastAsia="zh-CN"/>
              </w:rPr>
              <w:t>侧</w:t>
            </w:r>
            <w:r>
              <w:rPr>
                <w:rFonts w:hint="default" w:ascii="Times New Roman" w:hAnsi="Times New Roman" w:eastAsia="宋体" w:cs="Times New Roman"/>
                <w:color w:val="auto"/>
                <w:kern w:val="1"/>
                <w:sz w:val="24"/>
                <w:szCs w:val="24"/>
                <w:lang w:val="en-US" w:eastAsia="zh-CN"/>
              </w:rPr>
              <w:t>域的办公用房</w:t>
            </w:r>
            <w:r>
              <w:rPr>
                <w:rFonts w:hint="eastAsia" w:ascii="Times New Roman" w:hAnsi="Times New Roman" w:eastAsia="宋体" w:cs="Times New Roman"/>
                <w:color w:val="auto"/>
                <w:kern w:val="1"/>
                <w:sz w:val="24"/>
                <w:szCs w:val="24"/>
                <w:lang w:val="en-US" w:eastAsia="zh-CN"/>
              </w:rPr>
              <w:t>、食堂和员工宿舍</w:t>
            </w:r>
            <w:r>
              <w:rPr>
                <w:rFonts w:hint="default" w:ascii="Times New Roman" w:hAnsi="Times New Roman" w:eastAsia="宋体" w:cs="Times New Roman"/>
                <w:color w:val="auto"/>
                <w:kern w:val="1"/>
                <w:sz w:val="24"/>
                <w:szCs w:val="24"/>
                <w:lang w:val="en-US" w:eastAsia="zh-CN"/>
              </w:rPr>
              <w:t>。</w:t>
            </w:r>
            <w:r>
              <w:rPr>
                <w:rFonts w:hint="default" w:ascii="Times New Roman" w:hAnsi="Times New Roman" w:eastAsia="宋体" w:cs="Times New Roman"/>
                <w:color w:val="auto"/>
                <w:sz w:val="24"/>
                <w:szCs w:val="24"/>
                <w:lang w:eastAsia="zh-CN"/>
              </w:rPr>
              <w:t>项目建构筑物分区设置，</w:t>
            </w:r>
            <w:r>
              <w:rPr>
                <w:rFonts w:hint="default" w:ascii="Times New Roman" w:hAnsi="Times New Roman" w:eastAsia="宋体" w:cs="Times New Roman"/>
                <w:color w:val="auto"/>
                <w:sz w:val="24"/>
                <w:szCs w:val="24"/>
              </w:rPr>
              <w:t>使生产线</w:t>
            </w:r>
            <w:r>
              <w:rPr>
                <w:rFonts w:hint="default" w:ascii="Times New Roman" w:hAnsi="Times New Roman" w:eastAsia="宋体" w:cs="Times New Roman"/>
                <w:color w:val="auto"/>
                <w:sz w:val="24"/>
                <w:szCs w:val="24"/>
                <w:lang w:eastAsia="zh-CN"/>
              </w:rPr>
              <w:t>、仓储、办公等</w:t>
            </w:r>
            <w:r>
              <w:rPr>
                <w:rFonts w:hint="default" w:ascii="Times New Roman" w:hAnsi="Times New Roman" w:eastAsia="宋体" w:cs="Times New Roman"/>
                <w:color w:val="auto"/>
                <w:sz w:val="24"/>
                <w:szCs w:val="24"/>
              </w:rPr>
              <w:t>相对独立，分区明确，不相互影响。项目建、构筑物的布置紧凑合理，人货流通畅顺捷，减少交叉。可满足生产系统的加工和储、装、运等主要生产环节</w:t>
            </w:r>
          </w:p>
          <w:p>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的要求</w:t>
            </w:r>
            <w:r>
              <w:rPr>
                <w:rFonts w:hint="default" w:ascii="Times New Roman" w:hAnsi="Times New Roman" w:eastAsia="宋体" w:cs="Times New Roman"/>
                <w:color w:val="auto"/>
                <w:sz w:val="24"/>
                <w:szCs w:val="24"/>
                <w:lang w:eastAsia="zh-CN"/>
              </w:rPr>
              <w:t>，因此，项目平面总体</w:t>
            </w:r>
            <w:r>
              <w:rPr>
                <w:rFonts w:hint="default" w:ascii="Times New Roman" w:hAnsi="Times New Roman" w:eastAsia="宋体" w:cs="Times New Roman"/>
                <w:color w:val="auto"/>
                <w:sz w:val="24"/>
                <w:szCs w:val="24"/>
              </w:rPr>
              <w:t>布置合理。</w:t>
            </w:r>
          </w:p>
          <w:p/>
          <w:p>
            <w:pPr>
              <w:pStyle w:val="49"/>
            </w:pPr>
          </w:p>
          <w:p>
            <w:pPr>
              <w:pStyle w:val="51"/>
              <w:ind w:left="0" w:leftChars="0" w:firstLine="0" w:firstLineChars="0"/>
              <w:rPr>
                <w:vertAlign w:val="baseline"/>
              </w:rPr>
            </w:pPr>
          </w:p>
        </w:tc>
      </w:tr>
    </w:tbl>
    <w:p>
      <w:pPr>
        <w:rPr>
          <w:rFonts w:ascii="Times New Roman" w:hAnsi="Times New Roman"/>
          <w:b/>
          <w:color w:val="000000"/>
          <w:sz w:val="32"/>
          <w:szCs w:val="32"/>
        </w:rPr>
      </w:pPr>
      <w:r>
        <w:rPr>
          <w:rFonts w:ascii="Times New Roman" w:hAnsi="Times New Roman"/>
          <w:b/>
          <w:color w:val="000000"/>
          <w:sz w:val="32"/>
          <w:szCs w:val="32"/>
        </w:rPr>
        <w:br w:type="page"/>
      </w:r>
    </w:p>
    <w:p>
      <w:pPr>
        <w:outlineLvl w:val="0"/>
        <w:rPr>
          <w:rFonts w:ascii="Times New Roman" w:hAnsi="Times New Roman"/>
          <w:b/>
          <w:color w:val="000000"/>
          <w:sz w:val="32"/>
          <w:szCs w:val="32"/>
        </w:rPr>
      </w:pPr>
      <w:bookmarkStart w:id="137" w:name="_Toc21086"/>
      <w:bookmarkStart w:id="138" w:name="_Toc17691"/>
      <w:r>
        <w:rPr>
          <w:rFonts w:ascii="Times New Roman" w:hAnsi="Times New Roman"/>
          <w:b/>
          <w:color w:val="000000"/>
          <w:sz w:val="32"/>
          <w:szCs w:val="32"/>
        </w:rPr>
        <w:t>表八  建设项目拟采取的防治措施及预期治理效果</w:t>
      </w:r>
      <w:bookmarkEnd w:id="137"/>
      <w:bookmarkEnd w:id="138"/>
    </w:p>
    <w:tbl>
      <w:tblPr>
        <w:tblStyle w:val="3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545"/>
        <w:gridCol w:w="1096"/>
        <w:gridCol w:w="1286"/>
        <w:gridCol w:w="1849"/>
        <w:gridCol w:w="3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3" w:type="pct"/>
            <w:tcBorders>
              <w:tl2br w:val="single" w:color="auto" w:sz="6" w:space="0"/>
            </w:tcBorders>
            <w:noWrap w:val="0"/>
            <w:vAlign w:val="center"/>
          </w:tcPr>
          <w:p>
            <w:pPr>
              <w:pStyle w:val="53"/>
              <w:bidi w:val="0"/>
              <w:rPr>
                <w:rFonts w:hint="default"/>
                <w:b w:val="0"/>
                <w:bCs w:val="0"/>
                <w:color w:val="auto"/>
                <w:sz w:val="21"/>
                <w:szCs w:val="21"/>
              </w:rPr>
            </w:pPr>
            <w:r>
              <w:rPr>
                <w:rFonts w:hint="default"/>
                <w:b w:val="0"/>
                <w:bCs w:val="0"/>
                <w:color w:val="auto"/>
                <w:sz w:val="21"/>
                <w:szCs w:val="21"/>
              </w:rPr>
              <w:t xml:space="preserve"> 内容</w:t>
            </w:r>
          </w:p>
          <w:p>
            <w:pPr>
              <w:pStyle w:val="53"/>
              <w:bidi w:val="0"/>
              <w:rPr>
                <w:rFonts w:hint="default"/>
                <w:b w:val="0"/>
                <w:bCs w:val="0"/>
                <w:color w:val="auto"/>
                <w:sz w:val="21"/>
                <w:szCs w:val="21"/>
              </w:rPr>
            </w:pPr>
            <w:r>
              <w:rPr>
                <w:rFonts w:hint="default"/>
                <w:b w:val="0"/>
                <w:bCs w:val="0"/>
                <w:color w:val="auto"/>
                <w:sz w:val="21"/>
                <w:szCs w:val="21"/>
              </w:rPr>
              <w:t>类型</w:t>
            </w:r>
          </w:p>
        </w:tc>
        <w:tc>
          <w:tcPr>
            <w:tcW w:w="963" w:type="pct"/>
            <w:gridSpan w:val="2"/>
            <w:noWrap w:val="0"/>
            <w:vAlign w:val="center"/>
          </w:tcPr>
          <w:p>
            <w:pPr>
              <w:pStyle w:val="53"/>
              <w:bidi w:val="0"/>
              <w:rPr>
                <w:rFonts w:hint="default"/>
                <w:b w:val="0"/>
                <w:bCs w:val="0"/>
                <w:color w:val="auto"/>
                <w:sz w:val="21"/>
                <w:szCs w:val="21"/>
              </w:rPr>
            </w:pPr>
            <w:r>
              <w:rPr>
                <w:rFonts w:hint="default"/>
                <w:b w:val="0"/>
                <w:bCs w:val="0"/>
                <w:color w:val="auto"/>
                <w:sz w:val="21"/>
                <w:szCs w:val="21"/>
              </w:rPr>
              <w:t>排放源</w:t>
            </w:r>
          </w:p>
          <w:p>
            <w:pPr>
              <w:pStyle w:val="53"/>
              <w:bidi w:val="0"/>
              <w:rPr>
                <w:rFonts w:hint="default"/>
                <w:b w:val="0"/>
                <w:bCs w:val="0"/>
                <w:color w:val="auto"/>
                <w:sz w:val="21"/>
                <w:szCs w:val="21"/>
              </w:rPr>
            </w:pPr>
            <w:r>
              <w:rPr>
                <w:rFonts w:hint="default"/>
                <w:b w:val="0"/>
                <w:bCs w:val="0"/>
                <w:color w:val="auto"/>
                <w:sz w:val="21"/>
                <w:szCs w:val="21"/>
              </w:rPr>
              <w:t>(编号)</w:t>
            </w:r>
          </w:p>
        </w:tc>
        <w:tc>
          <w:tcPr>
            <w:tcW w:w="755" w:type="pct"/>
            <w:noWrap w:val="0"/>
            <w:vAlign w:val="center"/>
          </w:tcPr>
          <w:p>
            <w:pPr>
              <w:pStyle w:val="53"/>
              <w:bidi w:val="0"/>
              <w:rPr>
                <w:rFonts w:hint="default"/>
                <w:b w:val="0"/>
                <w:bCs w:val="0"/>
                <w:color w:val="auto"/>
                <w:sz w:val="21"/>
                <w:szCs w:val="21"/>
              </w:rPr>
            </w:pPr>
            <w:r>
              <w:rPr>
                <w:rFonts w:hint="default"/>
                <w:b w:val="0"/>
                <w:bCs w:val="0"/>
                <w:color w:val="auto"/>
                <w:sz w:val="21"/>
                <w:szCs w:val="21"/>
              </w:rPr>
              <w:t>污染物名称</w:t>
            </w:r>
          </w:p>
        </w:tc>
        <w:tc>
          <w:tcPr>
            <w:tcW w:w="1084" w:type="pct"/>
            <w:noWrap w:val="0"/>
            <w:vAlign w:val="center"/>
          </w:tcPr>
          <w:p>
            <w:pPr>
              <w:pStyle w:val="53"/>
              <w:bidi w:val="0"/>
              <w:rPr>
                <w:rFonts w:hint="default"/>
                <w:b w:val="0"/>
                <w:bCs w:val="0"/>
                <w:color w:val="auto"/>
                <w:sz w:val="21"/>
                <w:szCs w:val="21"/>
              </w:rPr>
            </w:pPr>
            <w:r>
              <w:rPr>
                <w:rFonts w:hint="default"/>
                <w:b w:val="0"/>
                <w:bCs w:val="0"/>
                <w:color w:val="auto"/>
                <w:sz w:val="21"/>
                <w:szCs w:val="21"/>
              </w:rPr>
              <w:t>防治措施</w:t>
            </w:r>
          </w:p>
        </w:tc>
        <w:tc>
          <w:tcPr>
            <w:tcW w:w="1773" w:type="pct"/>
            <w:noWrap w:val="0"/>
            <w:vAlign w:val="center"/>
          </w:tcPr>
          <w:p>
            <w:pPr>
              <w:pStyle w:val="53"/>
              <w:bidi w:val="0"/>
              <w:rPr>
                <w:rFonts w:hint="default"/>
                <w:b w:val="0"/>
                <w:bCs w:val="0"/>
                <w:color w:val="auto"/>
                <w:sz w:val="21"/>
                <w:szCs w:val="21"/>
              </w:rPr>
            </w:pPr>
            <w:r>
              <w:rPr>
                <w:rFonts w:hint="default"/>
                <w:b w:val="0"/>
                <w:bCs w:val="0"/>
                <w:color w:val="auto"/>
                <w:sz w:val="21"/>
                <w:szCs w:val="21"/>
              </w:rPr>
              <w:t>预期治理效果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3" w:type="pct"/>
            <w:vMerge w:val="restar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大气污染物</w:t>
            </w:r>
          </w:p>
        </w:tc>
        <w:tc>
          <w:tcPr>
            <w:tcW w:w="320" w:type="pct"/>
            <w:vMerge w:val="restar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施工期</w:t>
            </w:r>
          </w:p>
        </w:tc>
        <w:tc>
          <w:tcPr>
            <w:tcW w:w="642"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设备安装</w:t>
            </w:r>
          </w:p>
        </w:tc>
        <w:tc>
          <w:tcPr>
            <w:tcW w:w="755"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扬尘</w:t>
            </w:r>
          </w:p>
        </w:tc>
        <w:tc>
          <w:tcPr>
            <w:tcW w:w="1084"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洒水降尘</w:t>
            </w:r>
          </w:p>
        </w:tc>
        <w:tc>
          <w:tcPr>
            <w:tcW w:w="1773" w:type="pct"/>
            <w:vMerge w:val="restart"/>
            <w:noWrap w:val="0"/>
            <w:vAlign w:val="center"/>
          </w:tcPr>
          <w:p>
            <w:pPr>
              <w:pStyle w:val="53"/>
              <w:bidi w:val="0"/>
              <w:rPr>
                <w:rFonts w:hint="default"/>
                <w:b w:val="0"/>
                <w:bCs w:val="0"/>
                <w:color w:val="auto"/>
                <w:sz w:val="21"/>
                <w:szCs w:val="21"/>
              </w:rPr>
            </w:pPr>
            <w:r>
              <w:rPr>
                <w:rFonts w:hint="default"/>
                <w:b w:val="0"/>
                <w:bCs w:val="0"/>
                <w:color w:val="auto"/>
                <w:sz w:val="21"/>
                <w:szCs w:val="21"/>
              </w:rPr>
              <w:t>达</w:t>
            </w:r>
            <w:r>
              <w:rPr>
                <w:rFonts w:hint="default"/>
                <w:b w:val="0"/>
                <w:bCs w:val="0"/>
                <w:color w:val="auto"/>
                <w:sz w:val="21"/>
                <w:szCs w:val="21"/>
                <w:lang w:eastAsia="zh-CN"/>
              </w:rPr>
              <w:t>到</w:t>
            </w:r>
            <w:r>
              <w:rPr>
                <w:rFonts w:hint="default"/>
                <w:b w:val="0"/>
                <w:bCs w:val="0"/>
                <w:color w:val="auto"/>
                <w:sz w:val="21"/>
                <w:szCs w:val="21"/>
              </w:rPr>
              <w:t>《大气污染物综合排放标准》（GB16297-1996）表2无组织排放标准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3" w:type="pct"/>
            <w:vMerge w:val="continue"/>
            <w:noWrap w:val="0"/>
            <w:vAlign w:val="center"/>
          </w:tcPr>
          <w:p>
            <w:pPr>
              <w:pStyle w:val="53"/>
              <w:bidi w:val="0"/>
              <w:rPr>
                <w:rFonts w:hint="default"/>
                <w:b w:val="0"/>
                <w:bCs w:val="0"/>
                <w:color w:val="auto"/>
                <w:sz w:val="21"/>
                <w:szCs w:val="21"/>
                <w:lang w:eastAsia="zh-CN"/>
              </w:rPr>
            </w:pPr>
          </w:p>
        </w:tc>
        <w:tc>
          <w:tcPr>
            <w:tcW w:w="320" w:type="pct"/>
            <w:vMerge w:val="continue"/>
            <w:noWrap w:val="0"/>
            <w:vAlign w:val="center"/>
          </w:tcPr>
          <w:p>
            <w:pPr>
              <w:pStyle w:val="53"/>
              <w:bidi w:val="0"/>
              <w:rPr>
                <w:rFonts w:hint="default"/>
                <w:b w:val="0"/>
                <w:bCs w:val="0"/>
                <w:color w:val="auto"/>
                <w:sz w:val="21"/>
                <w:szCs w:val="21"/>
                <w:lang w:eastAsia="zh-CN"/>
              </w:rPr>
            </w:pPr>
          </w:p>
        </w:tc>
        <w:tc>
          <w:tcPr>
            <w:tcW w:w="642"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装修</w:t>
            </w:r>
          </w:p>
        </w:tc>
        <w:tc>
          <w:tcPr>
            <w:tcW w:w="755"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粉尘等</w:t>
            </w:r>
          </w:p>
        </w:tc>
        <w:tc>
          <w:tcPr>
            <w:tcW w:w="1084"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洒水降尘</w:t>
            </w:r>
          </w:p>
        </w:tc>
        <w:tc>
          <w:tcPr>
            <w:tcW w:w="1773" w:type="pct"/>
            <w:vMerge w:val="continue"/>
            <w:noWrap w:val="0"/>
            <w:vAlign w:val="center"/>
          </w:tcPr>
          <w:p>
            <w:pPr>
              <w:pStyle w:val="53"/>
              <w:bidi w:val="0"/>
              <w:rPr>
                <w:rFonts w:hint="default"/>
                <w:b w:val="0"/>
                <w:bCs w:val="0"/>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3" w:type="pct"/>
            <w:vMerge w:val="continue"/>
            <w:noWrap w:val="0"/>
            <w:vAlign w:val="center"/>
          </w:tcPr>
          <w:p>
            <w:pPr>
              <w:pStyle w:val="53"/>
              <w:bidi w:val="0"/>
              <w:rPr>
                <w:rFonts w:hint="default"/>
                <w:b w:val="0"/>
                <w:bCs w:val="0"/>
                <w:color w:val="auto"/>
                <w:sz w:val="21"/>
                <w:szCs w:val="21"/>
                <w:lang w:eastAsia="zh-CN"/>
              </w:rPr>
            </w:pPr>
          </w:p>
        </w:tc>
        <w:tc>
          <w:tcPr>
            <w:tcW w:w="320" w:type="pct"/>
            <w:vMerge w:val="continue"/>
            <w:noWrap w:val="0"/>
            <w:vAlign w:val="center"/>
          </w:tcPr>
          <w:p>
            <w:pPr>
              <w:pStyle w:val="53"/>
              <w:bidi w:val="0"/>
              <w:rPr>
                <w:rFonts w:hint="default"/>
                <w:b w:val="0"/>
                <w:bCs w:val="0"/>
                <w:color w:val="auto"/>
                <w:sz w:val="21"/>
                <w:szCs w:val="21"/>
                <w:lang w:eastAsia="zh-CN"/>
              </w:rPr>
            </w:pPr>
          </w:p>
        </w:tc>
        <w:tc>
          <w:tcPr>
            <w:tcW w:w="642"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汽车运输</w:t>
            </w:r>
          </w:p>
        </w:tc>
        <w:tc>
          <w:tcPr>
            <w:tcW w:w="755"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rPr>
              <w:t>CH、CO、NOx</w:t>
            </w:r>
          </w:p>
        </w:tc>
        <w:tc>
          <w:tcPr>
            <w:tcW w:w="1084"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rPr>
              <w:t>自然扩散</w:t>
            </w:r>
            <w:r>
              <w:rPr>
                <w:rFonts w:hint="default"/>
                <w:b w:val="0"/>
                <w:bCs w:val="0"/>
                <w:color w:val="auto"/>
                <w:sz w:val="21"/>
                <w:szCs w:val="21"/>
                <w:lang w:eastAsia="zh-CN"/>
              </w:rPr>
              <w:t>。</w:t>
            </w:r>
          </w:p>
        </w:tc>
        <w:tc>
          <w:tcPr>
            <w:tcW w:w="1773" w:type="pct"/>
            <w:noWrap w:val="0"/>
            <w:vAlign w:val="center"/>
          </w:tcPr>
          <w:p>
            <w:pPr>
              <w:pStyle w:val="53"/>
              <w:bidi w:val="0"/>
              <w:rPr>
                <w:rFonts w:hint="default"/>
                <w:b w:val="0"/>
                <w:bCs w:val="0"/>
                <w:color w:val="auto"/>
                <w:sz w:val="21"/>
                <w:szCs w:val="21"/>
              </w:rPr>
            </w:pPr>
            <w:r>
              <w:rPr>
                <w:rFonts w:hint="default"/>
                <w:b w:val="0"/>
                <w:bCs w:val="0"/>
                <w:color w:val="auto"/>
                <w:sz w:val="21"/>
                <w:szCs w:val="21"/>
              </w:rPr>
              <w:t>影响小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423" w:type="pct"/>
            <w:vMerge w:val="continue"/>
            <w:noWrap w:val="0"/>
            <w:vAlign w:val="center"/>
          </w:tcPr>
          <w:p>
            <w:pPr>
              <w:pStyle w:val="53"/>
              <w:bidi w:val="0"/>
              <w:rPr>
                <w:rFonts w:hint="default"/>
                <w:b w:val="0"/>
                <w:bCs w:val="0"/>
                <w:color w:val="auto"/>
                <w:sz w:val="21"/>
                <w:szCs w:val="21"/>
                <w:lang w:eastAsia="zh-CN"/>
              </w:rPr>
            </w:pPr>
          </w:p>
        </w:tc>
        <w:tc>
          <w:tcPr>
            <w:tcW w:w="320" w:type="pct"/>
            <w:vMerge w:val="restar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营运期</w:t>
            </w:r>
          </w:p>
        </w:tc>
        <w:tc>
          <w:tcPr>
            <w:tcW w:w="642" w:type="pct"/>
            <w:noWrap w:val="0"/>
            <w:vAlign w:val="center"/>
          </w:tcPr>
          <w:p>
            <w:pPr>
              <w:pStyle w:val="53"/>
              <w:bidi w:val="0"/>
              <w:rPr>
                <w:rFonts w:hint="default"/>
                <w:b w:val="0"/>
                <w:bCs w:val="0"/>
                <w:color w:val="auto"/>
                <w:sz w:val="21"/>
                <w:szCs w:val="21"/>
                <w:lang w:eastAsia="zh-CN"/>
              </w:rPr>
            </w:pPr>
            <w:r>
              <w:rPr>
                <w:rFonts w:hint="eastAsia"/>
                <w:b w:val="0"/>
                <w:bCs w:val="0"/>
                <w:color w:val="auto"/>
                <w:sz w:val="21"/>
                <w:szCs w:val="21"/>
                <w:lang w:eastAsia="zh-CN"/>
              </w:rPr>
              <w:t>调漆、喷漆、晾干</w:t>
            </w:r>
          </w:p>
        </w:tc>
        <w:tc>
          <w:tcPr>
            <w:tcW w:w="755" w:type="pct"/>
            <w:noWrap w:val="0"/>
            <w:vAlign w:val="center"/>
          </w:tcPr>
          <w:p>
            <w:pPr>
              <w:pStyle w:val="53"/>
              <w:bidi w:val="0"/>
              <w:rPr>
                <w:rFonts w:hint="default"/>
                <w:b w:val="0"/>
                <w:bCs w:val="0"/>
                <w:color w:val="auto"/>
                <w:sz w:val="21"/>
                <w:szCs w:val="21"/>
                <w:lang w:val="en-US" w:eastAsia="zh-CN"/>
              </w:rPr>
            </w:pPr>
            <w:r>
              <w:rPr>
                <w:rFonts w:hint="eastAsia"/>
                <w:b w:val="0"/>
                <w:bCs w:val="0"/>
                <w:color w:val="auto"/>
                <w:sz w:val="21"/>
                <w:szCs w:val="21"/>
                <w:lang w:eastAsia="zh-CN"/>
              </w:rPr>
              <w:t>VOC</w:t>
            </w:r>
            <w:r>
              <w:rPr>
                <w:rFonts w:hint="eastAsia"/>
                <w:b w:val="0"/>
                <w:bCs w:val="0"/>
                <w:color w:val="auto"/>
                <w:sz w:val="21"/>
                <w:szCs w:val="21"/>
                <w:lang w:val="en-US" w:eastAsia="zh-CN"/>
              </w:rPr>
              <w:t>s</w:t>
            </w:r>
            <w:r>
              <w:rPr>
                <w:rFonts w:hint="eastAsia"/>
                <w:b w:val="0"/>
                <w:bCs w:val="0"/>
                <w:color w:val="auto"/>
                <w:sz w:val="21"/>
                <w:szCs w:val="21"/>
                <w:lang w:eastAsia="zh-CN"/>
              </w:rPr>
              <w:t>、漆雾</w:t>
            </w:r>
          </w:p>
        </w:tc>
        <w:tc>
          <w:tcPr>
            <w:tcW w:w="1084"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val="en-US" w:eastAsia="zh-CN"/>
              </w:rPr>
              <w:t>调漆、喷漆、晾干均在喷漆房内密闭进行，废气经负压风机收集至</w:t>
            </w:r>
            <w:r>
              <w:rPr>
                <w:rFonts w:hint="eastAsia"/>
                <w:b w:val="0"/>
                <w:bCs w:val="0"/>
                <w:color w:val="auto"/>
                <w:sz w:val="21"/>
                <w:szCs w:val="21"/>
                <w:lang w:val="en-US" w:eastAsia="zh-CN"/>
              </w:rPr>
              <w:t>过滤棉+活性炭</w:t>
            </w:r>
            <w:r>
              <w:rPr>
                <w:rFonts w:hint="default"/>
                <w:b w:val="0"/>
                <w:bCs w:val="0"/>
                <w:color w:val="auto"/>
                <w:sz w:val="21"/>
                <w:szCs w:val="21"/>
                <w:lang w:val="en-US" w:eastAsia="zh-CN"/>
              </w:rPr>
              <w:t>装置处理后，经</w:t>
            </w:r>
            <w:r>
              <w:rPr>
                <w:rFonts w:hint="eastAsia"/>
                <w:b w:val="0"/>
                <w:bCs w:val="0"/>
                <w:color w:val="auto"/>
                <w:sz w:val="21"/>
                <w:szCs w:val="21"/>
                <w:lang w:val="en-US" w:eastAsia="zh-CN"/>
              </w:rPr>
              <w:t>1</w:t>
            </w:r>
            <w:r>
              <w:rPr>
                <w:rFonts w:hint="default"/>
                <w:b w:val="0"/>
                <w:bCs w:val="0"/>
                <w:color w:val="auto"/>
                <w:sz w:val="21"/>
                <w:szCs w:val="21"/>
                <w:lang w:val="en-US" w:eastAsia="zh-CN"/>
              </w:rPr>
              <w:t>根15m高排气筒排放</w:t>
            </w:r>
          </w:p>
        </w:tc>
        <w:tc>
          <w:tcPr>
            <w:tcW w:w="1773" w:type="pct"/>
            <w:noWrap w:val="0"/>
            <w:vAlign w:val="center"/>
          </w:tcPr>
          <w:p>
            <w:pPr>
              <w:pStyle w:val="53"/>
              <w:bidi w:val="0"/>
              <w:rPr>
                <w:rFonts w:hint="default"/>
                <w:b w:val="0"/>
                <w:bCs w:val="0"/>
                <w:color w:val="auto"/>
                <w:sz w:val="21"/>
                <w:szCs w:val="21"/>
                <w:lang w:val="en-US"/>
              </w:rPr>
            </w:pPr>
            <w:r>
              <w:rPr>
                <w:rFonts w:hint="eastAsia"/>
                <w:b w:val="0"/>
                <w:bCs w:val="0"/>
                <w:color w:val="auto"/>
                <w:sz w:val="21"/>
                <w:szCs w:val="21"/>
                <w:lang w:eastAsia="zh-CN"/>
              </w:rPr>
              <w:t>有组织排放</w:t>
            </w:r>
            <w:r>
              <w:rPr>
                <w:rFonts w:hint="default"/>
                <w:b w:val="0"/>
                <w:bCs w:val="0"/>
                <w:color w:val="auto"/>
                <w:sz w:val="21"/>
                <w:szCs w:val="21"/>
              </w:rPr>
              <w:t>达</w:t>
            </w:r>
            <w:r>
              <w:rPr>
                <w:rFonts w:hint="eastAsia"/>
                <w:b w:val="0"/>
                <w:bCs w:val="0"/>
                <w:color w:val="auto"/>
                <w:sz w:val="21"/>
                <w:szCs w:val="21"/>
                <w:lang w:eastAsia="zh-CN"/>
              </w:rPr>
              <w:t>到</w:t>
            </w:r>
            <w:r>
              <w:rPr>
                <w:rFonts w:hint="default"/>
                <w:b w:val="0"/>
                <w:bCs w:val="0"/>
                <w:color w:val="auto"/>
                <w:sz w:val="21"/>
                <w:szCs w:val="21"/>
              </w:rPr>
              <w:t>《大气污染物综合排放标准》</w:t>
            </w:r>
            <w:r>
              <w:rPr>
                <w:rFonts w:hint="default"/>
                <w:b w:val="0"/>
                <w:bCs w:val="0"/>
                <w:color w:val="auto"/>
                <w:sz w:val="21"/>
                <w:szCs w:val="21"/>
                <w:lang w:eastAsia="zh-CN"/>
              </w:rPr>
              <w:t>（</w:t>
            </w:r>
            <w:r>
              <w:rPr>
                <w:rFonts w:hint="default"/>
                <w:b w:val="0"/>
                <w:bCs w:val="0"/>
                <w:color w:val="auto"/>
                <w:sz w:val="21"/>
                <w:szCs w:val="21"/>
              </w:rPr>
              <w:t>GB16297-1996</w:t>
            </w:r>
            <w:r>
              <w:rPr>
                <w:rFonts w:hint="default"/>
                <w:b w:val="0"/>
                <w:bCs w:val="0"/>
                <w:color w:val="auto"/>
                <w:sz w:val="21"/>
                <w:szCs w:val="21"/>
                <w:lang w:eastAsia="zh-CN"/>
              </w:rPr>
              <w:t>）</w:t>
            </w:r>
            <w:r>
              <w:rPr>
                <w:rFonts w:hint="eastAsia"/>
                <w:b w:val="0"/>
                <w:bCs w:val="0"/>
                <w:color w:val="auto"/>
                <w:sz w:val="21"/>
                <w:szCs w:val="21"/>
                <w:lang w:eastAsia="zh-CN"/>
              </w:rPr>
              <w:t>表</w:t>
            </w:r>
            <w:r>
              <w:rPr>
                <w:rFonts w:hint="eastAsia"/>
                <w:b w:val="0"/>
                <w:bCs w:val="0"/>
                <w:color w:val="auto"/>
                <w:sz w:val="21"/>
                <w:szCs w:val="21"/>
                <w:lang w:val="en-US" w:eastAsia="zh-CN"/>
              </w:rPr>
              <w:t>2二级标准（颗粒物≤120mg/m</w:t>
            </w:r>
            <w:r>
              <w:rPr>
                <w:rFonts w:hint="eastAsia"/>
                <w:b w:val="0"/>
                <w:bCs w:val="0"/>
                <w:color w:val="auto"/>
                <w:sz w:val="21"/>
                <w:szCs w:val="21"/>
                <w:vertAlign w:val="superscript"/>
                <w:lang w:val="en-US" w:eastAsia="zh-CN"/>
              </w:rPr>
              <w:t>3</w:t>
            </w:r>
            <w:r>
              <w:rPr>
                <w:rFonts w:hint="eastAsia"/>
                <w:b w:val="0"/>
                <w:bCs w:val="0"/>
                <w:color w:val="auto"/>
                <w:sz w:val="21"/>
                <w:szCs w:val="21"/>
                <w:lang w:val="en-US" w:eastAsia="zh-CN"/>
              </w:rPr>
              <w:t>、≤3.5kg/h，非甲烷总烃≤120mg/m</w:t>
            </w:r>
            <w:r>
              <w:rPr>
                <w:rFonts w:hint="eastAsia"/>
                <w:b w:val="0"/>
                <w:bCs w:val="0"/>
                <w:color w:val="auto"/>
                <w:sz w:val="21"/>
                <w:szCs w:val="21"/>
                <w:vertAlign w:val="superscript"/>
                <w:lang w:val="en-US" w:eastAsia="zh-CN"/>
              </w:rPr>
              <w:t>3</w:t>
            </w:r>
            <w:r>
              <w:rPr>
                <w:rFonts w:hint="eastAsia"/>
                <w:b w:val="0"/>
                <w:bCs w:val="0"/>
                <w:color w:val="auto"/>
                <w:sz w:val="21"/>
                <w:szCs w:val="21"/>
                <w:lang w:val="en-US" w:eastAsia="zh-CN"/>
              </w:rPr>
              <w:t>、≤10kg/h）；无组织排放颗粒物达到</w:t>
            </w:r>
            <w:r>
              <w:rPr>
                <w:rFonts w:hint="default"/>
                <w:b w:val="0"/>
                <w:bCs w:val="0"/>
                <w:color w:val="auto"/>
                <w:sz w:val="21"/>
                <w:szCs w:val="21"/>
              </w:rPr>
              <w:t>《大气污染物综合排放标准》（GB16297-1996）表2无组织排放标准</w:t>
            </w:r>
            <w:r>
              <w:rPr>
                <w:rFonts w:hint="eastAsia"/>
                <w:b w:val="0"/>
                <w:bCs w:val="0"/>
                <w:color w:val="auto"/>
                <w:sz w:val="21"/>
                <w:szCs w:val="21"/>
                <w:lang w:eastAsia="zh-CN"/>
              </w:rPr>
              <w:t>（颗粒物≤</w:t>
            </w:r>
            <w:r>
              <w:rPr>
                <w:rFonts w:hint="eastAsia"/>
                <w:b w:val="0"/>
                <w:bCs w:val="0"/>
                <w:color w:val="auto"/>
                <w:sz w:val="21"/>
                <w:szCs w:val="21"/>
                <w:lang w:val="en-US" w:eastAsia="zh-CN"/>
              </w:rPr>
              <w:t>1.0mg/m</w:t>
            </w:r>
            <w:r>
              <w:rPr>
                <w:rFonts w:hint="eastAsia"/>
                <w:b w:val="0"/>
                <w:bCs w:val="0"/>
                <w:color w:val="auto"/>
                <w:sz w:val="21"/>
                <w:szCs w:val="21"/>
                <w:vertAlign w:val="superscript"/>
                <w:lang w:val="en-US" w:eastAsia="zh-CN"/>
              </w:rPr>
              <w:t>3</w:t>
            </w:r>
            <w:r>
              <w:rPr>
                <w:rFonts w:hint="eastAsia"/>
                <w:b w:val="0"/>
                <w:bCs w:val="0"/>
                <w:color w:val="auto"/>
                <w:sz w:val="21"/>
                <w:szCs w:val="21"/>
                <w:lang w:eastAsia="zh-CN"/>
              </w:rPr>
              <w:t>）、无组织排放</w:t>
            </w:r>
            <w:r>
              <w:rPr>
                <w:rFonts w:hint="eastAsia"/>
                <w:b w:val="0"/>
                <w:bCs w:val="0"/>
                <w:color w:val="auto"/>
                <w:sz w:val="21"/>
                <w:szCs w:val="21"/>
                <w:lang w:val="en-US" w:eastAsia="zh-CN"/>
              </w:rPr>
              <w:t>VOCs达到《挥发性有机物无组织排放控制标准》（GB37822-2019）附录A表A.1中规定的排放限值要求；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423" w:type="pct"/>
            <w:vMerge w:val="continue"/>
            <w:noWrap w:val="0"/>
            <w:vAlign w:val="center"/>
          </w:tcPr>
          <w:p>
            <w:pPr>
              <w:pStyle w:val="53"/>
              <w:bidi w:val="0"/>
              <w:rPr>
                <w:rFonts w:hint="default"/>
                <w:b w:val="0"/>
                <w:bCs w:val="0"/>
                <w:color w:val="auto"/>
                <w:sz w:val="21"/>
                <w:szCs w:val="21"/>
                <w:lang w:eastAsia="zh-CN"/>
              </w:rPr>
            </w:pPr>
          </w:p>
        </w:tc>
        <w:tc>
          <w:tcPr>
            <w:tcW w:w="320" w:type="pct"/>
            <w:vMerge w:val="continue"/>
            <w:noWrap w:val="0"/>
            <w:vAlign w:val="center"/>
          </w:tcPr>
          <w:p>
            <w:pPr>
              <w:pStyle w:val="53"/>
              <w:bidi w:val="0"/>
              <w:rPr>
                <w:rFonts w:hint="default"/>
                <w:b w:val="0"/>
                <w:bCs w:val="0"/>
                <w:color w:val="auto"/>
                <w:sz w:val="21"/>
                <w:szCs w:val="21"/>
                <w:lang w:eastAsia="zh-CN"/>
              </w:rPr>
            </w:pPr>
          </w:p>
        </w:tc>
        <w:tc>
          <w:tcPr>
            <w:tcW w:w="642" w:type="pct"/>
            <w:noWrap w:val="0"/>
            <w:vAlign w:val="center"/>
          </w:tcPr>
          <w:p>
            <w:pPr>
              <w:pStyle w:val="53"/>
              <w:bidi w:val="0"/>
              <w:ind w:right="0" w:rightChars="0" w:firstLine="0" w:firstLineChars="0"/>
              <w:rPr>
                <w:rFonts w:hint="eastAsia"/>
                <w:b w:val="0"/>
                <w:bCs w:val="0"/>
                <w:color w:val="auto"/>
                <w:sz w:val="21"/>
                <w:szCs w:val="21"/>
                <w:lang w:eastAsia="zh-CN"/>
              </w:rPr>
            </w:pPr>
            <w:r>
              <w:rPr>
                <w:rFonts w:hint="eastAsia"/>
                <w:b w:val="0"/>
                <w:bCs w:val="0"/>
                <w:color w:val="auto"/>
                <w:sz w:val="21"/>
                <w:szCs w:val="21"/>
                <w:lang w:eastAsia="zh-CN"/>
              </w:rPr>
              <w:t>打磨粉尘</w:t>
            </w:r>
          </w:p>
        </w:tc>
        <w:tc>
          <w:tcPr>
            <w:tcW w:w="755" w:type="pct"/>
            <w:noWrap w:val="0"/>
            <w:vAlign w:val="center"/>
          </w:tcPr>
          <w:p>
            <w:pPr>
              <w:pStyle w:val="53"/>
              <w:bidi w:val="0"/>
              <w:ind w:right="0" w:rightChars="0" w:firstLine="0" w:firstLineChars="0"/>
              <w:rPr>
                <w:rFonts w:hint="default"/>
                <w:b w:val="0"/>
                <w:bCs w:val="0"/>
                <w:color w:val="auto"/>
                <w:sz w:val="21"/>
                <w:szCs w:val="21"/>
                <w:lang w:eastAsia="zh-CN"/>
              </w:rPr>
            </w:pPr>
            <w:r>
              <w:rPr>
                <w:rFonts w:hint="eastAsia"/>
                <w:b w:val="0"/>
                <w:bCs w:val="0"/>
                <w:color w:val="auto"/>
                <w:sz w:val="21"/>
                <w:szCs w:val="21"/>
                <w:lang w:eastAsia="zh-CN"/>
              </w:rPr>
              <w:t>颗粒物</w:t>
            </w:r>
          </w:p>
        </w:tc>
        <w:tc>
          <w:tcPr>
            <w:tcW w:w="1084" w:type="pct"/>
            <w:noWrap w:val="0"/>
            <w:vAlign w:val="center"/>
          </w:tcPr>
          <w:p>
            <w:pPr>
              <w:pStyle w:val="53"/>
              <w:bidi w:val="0"/>
              <w:ind w:right="0" w:rightChars="0" w:firstLine="0" w:firstLineChars="0"/>
              <w:rPr>
                <w:rFonts w:hint="default"/>
                <w:b w:val="0"/>
                <w:bCs w:val="0"/>
                <w:color w:val="auto"/>
                <w:sz w:val="21"/>
                <w:szCs w:val="21"/>
                <w:lang w:val="en-US" w:eastAsia="zh-CN"/>
              </w:rPr>
            </w:pPr>
            <w:r>
              <w:rPr>
                <w:rFonts w:hint="eastAsia"/>
                <w:b w:val="0"/>
                <w:bCs w:val="0"/>
                <w:color w:val="auto"/>
                <w:sz w:val="21"/>
                <w:szCs w:val="21"/>
                <w:lang w:eastAsia="zh-CN"/>
              </w:rPr>
              <w:t>移动式烟尘净化器处理后，经过车间自然沉降后厂界达标排放</w:t>
            </w:r>
          </w:p>
        </w:tc>
        <w:tc>
          <w:tcPr>
            <w:tcW w:w="1773" w:type="pct"/>
            <w:vMerge w:val="restart"/>
            <w:noWrap w:val="0"/>
            <w:vAlign w:val="center"/>
          </w:tcPr>
          <w:p>
            <w:pPr>
              <w:pStyle w:val="53"/>
              <w:bidi w:val="0"/>
              <w:rPr>
                <w:rFonts w:hint="eastAsia" w:eastAsia="宋体"/>
                <w:b w:val="0"/>
                <w:bCs w:val="0"/>
                <w:color w:val="auto"/>
                <w:sz w:val="21"/>
                <w:szCs w:val="21"/>
                <w:lang w:eastAsia="zh-CN"/>
              </w:rPr>
            </w:pPr>
            <w:r>
              <w:rPr>
                <w:rFonts w:hint="eastAsia"/>
                <w:b w:val="0"/>
                <w:bCs w:val="0"/>
                <w:color w:val="auto"/>
                <w:sz w:val="21"/>
                <w:szCs w:val="21"/>
                <w:lang w:eastAsia="zh-CN"/>
              </w:rPr>
              <w:t>厂界</w:t>
            </w:r>
            <w:r>
              <w:rPr>
                <w:rFonts w:hint="default"/>
                <w:b w:val="0"/>
                <w:bCs w:val="0"/>
                <w:color w:val="auto"/>
                <w:sz w:val="21"/>
                <w:szCs w:val="21"/>
              </w:rPr>
              <w:t>达</w:t>
            </w:r>
            <w:r>
              <w:rPr>
                <w:rFonts w:hint="default"/>
                <w:b w:val="0"/>
                <w:bCs w:val="0"/>
                <w:color w:val="auto"/>
                <w:sz w:val="21"/>
                <w:szCs w:val="21"/>
                <w:lang w:eastAsia="zh-CN"/>
              </w:rPr>
              <w:t>到</w:t>
            </w:r>
            <w:r>
              <w:rPr>
                <w:rFonts w:hint="default"/>
                <w:b w:val="0"/>
                <w:bCs w:val="0"/>
                <w:color w:val="auto"/>
                <w:sz w:val="21"/>
                <w:szCs w:val="21"/>
              </w:rPr>
              <w:t>《大气污染物综合排放标准》（GB16297-1996）表2无组织排放标准</w:t>
            </w:r>
            <w:r>
              <w:rPr>
                <w:rFonts w:hint="eastAsia"/>
                <w:b w:val="0"/>
                <w:bCs w:val="0"/>
                <w:color w:val="auto"/>
                <w:sz w:val="21"/>
                <w:szCs w:val="21"/>
                <w:lang w:eastAsia="zh-CN"/>
              </w:rPr>
              <w:t>（颗粒物≤</w:t>
            </w:r>
            <w:r>
              <w:rPr>
                <w:rFonts w:hint="eastAsia"/>
                <w:b w:val="0"/>
                <w:bCs w:val="0"/>
                <w:color w:val="auto"/>
                <w:sz w:val="21"/>
                <w:szCs w:val="21"/>
                <w:lang w:val="en-US" w:eastAsia="zh-CN"/>
              </w:rPr>
              <w:t>1.0mg/m</w:t>
            </w:r>
            <w:r>
              <w:rPr>
                <w:rFonts w:hint="eastAsia"/>
                <w:b w:val="0"/>
                <w:bCs w:val="0"/>
                <w:color w:val="auto"/>
                <w:sz w:val="21"/>
                <w:szCs w:val="21"/>
                <w:vertAlign w:val="superscript"/>
                <w:lang w:val="en-US" w:eastAsia="zh-CN"/>
              </w:rPr>
              <w:t>3</w:t>
            </w:r>
            <w:r>
              <w:rPr>
                <w:rFonts w:hint="eastAsia"/>
                <w:b w:val="0"/>
                <w:bCs w:val="0"/>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423" w:type="pct"/>
            <w:vMerge w:val="continue"/>
            <w:noWrap w:val="0"/>
            <w:vAlign w:val="center"/>
          </w:tcPr>
          <w:p>
            <w:pPr>
              <w:pStyle w:val="53"/>
              <w:bidi w:val="0"/>
              <w:rPr>
                <w:rFonts w:hint="default"/>
                <w:b w:val="0"/>
                <w:bCs w:val="0"/>
                <w:color w:val="auto"/>
                <w:sz w:val="21"/>
                <w:szCs w:val="21"/>
                <w:lang w:eastAsia="zh-CN"/>
              </w:rPr>
            </w:pPr>
          </w:p>
        </w:tc>
        <w:tc>
          <w:tcPr>
            <w:tcW w:w="320" w:type="pct"/>
            <w:vMerge w:val="continue"/>
            <w:noWrap w:val="0"/>
            <w:vAlign w:val="center"/>
          </w:tcPr>
          <w:p>
            <w:pPr>
              <w:pStyle w:val="53"/>
              <w:bidi w:val="0"/>
              <w:rPr>
                <w:rFonts w:hint="default"/>
                <w:b w:val="0"/>
                <w:bCs w:val="0"/>
                <w:color w:val="auto"/>
                <w:sz w:val="21"/>
                <w:szCs w:val="21"/>
                <w:lang w:eastAsia="zh-CN"/>
              </w:rPr>
            </w:pPr>
          </w:p>
        </w:tc>
        <w:tc>
          <w:tcPr>
            <w:tcW w:w="642"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焊接及切割</w:t>
            </w:r>
          </w:p>
        </w:tc>
        <w:tc>
          <w:tcPr>
            <w:tcW w:w="755"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烟尘</w:t>
            </w:r>
          </w:p>
        </w:tc>
        <w:tc>
          <w:tcPr>
            <w:tcW w:w="1084" w:type="pct"/>
            <w:noWrap w:val="0"/>
            <w:vAlign w:val="center"/>
          </w:tcPr>
          <w:p>
            <w:pPr>
              <w:pStyle w:val="53"/>
              <w:bidi w:val="0"/>
              <w:rPr>
                <w:rFonts w:hint="default"/>
                <w:b w:val="0"/>
                <w:bCs w:val="0"/>
                <w:color w:val="auto"/>
                <w:sz w:val="21"/>
                <w:szCs w:val="21"/>
              </w:rPr>
            </w:pPr>
            <w:r>
              <w:rPr>
                <w:rFonts w:hint="eastAsia"/>
                <w:b w:val="0"/>
                <w:bCs w:val="0"/>
                <w:color w:val="auto"/>
                <w:sz w:val="21"/>
                <w:szCs w:val="21"/>
                <w:lang w:eastAsia="zh-CN"/>
              </w:rPr>
              <w:t>移动式烟尘净化器处理后，经过车间自然沉降后厂界达标排放</w:t>
            </w:r>
          </w:p>
        </w:tc>
        <w:tc>
          <w:tcPr>
            <w:tcW w:w="1773" w:type="pct"/>
            <w:vMerge w:val="continue"/>
            <w:noWrap w:val="0"/>
            <w:vAlign w:val="center"/>
          </w:tcPr>
          <w:p>
            <w:pPr>
              <w:pStyle w:val="53"/>
              <w:bidi w:val="0"/>
              <w:rPr>
                <w:rFonts w:hint="default"/>
                <w:b w:val="0"/>
                <w:bCs w:val="0"/>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3" w:type="pct"/>
            <w:noWrap w:val="0"/>
            <w:vAlign w:val="center"/>
          </w:tcPr>
          <w:p>
            <w:pPr>
              <w:pStyle w:val="53"/>
              <w:bidi w:val="0"/>
              <w:rPr>
                <w:rFonts w:hint="default"/>
                <w:b w:val="0"/>
                <w:bCs w:val="0"/>
                <w:color w:val="auto"/>
                <w:sz w:val="21"/>
                <w:szCs w:val="21"/>
              </w:rPr>
            </w:pPr>
            <w:r>
              <w:rPr>
                <w:rFonts w:hint="default"/>
                <w:b w:val="0"/>
                <w:bCs w:val="0"/>
                <w:color w:val="auto"/>
                <w:sz w:val="21"/>
                <w:szCs w:val="21"/>
              </w:rPr>
              <w:t>水污染物</w:t>
            </w:r>
          </w:p>
        </w:tc>
        <w:tc>
          <w:tcPr>
            <w:tcW w:w="320"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施工期</w:t>
            </w:r>
          </w:p>
        </w:tc>
        <w:tc>
          <w:tcPr>
            <w:tcW w:w="642"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装修</w:t>
            </w:r>
          </w:p>
        </w:tc>
        <w:tc>
          <w:tcPr>
            <w:tcW w:w="755"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装修废水</w:t>
            </w:r>
          </w:p>
        </w:tc>
        <w:tc>
          <w:tcPr>
            <w:tcW w:w="1084"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用于洒水降尘</w:t>
            </w:r>
          </w:p>
        </w:tc>
        <w:tc>
          <w:tcPr>
            <w:tcW w:w="1773"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3" w:type="pct"/>
            <w:vMerge w:val="restart"/>
            <w:noWrap w:val="0"/>
            <w:vAlign w:val="center"/>
          </w:tcPr>
          <w:p>
            <w:pPr>
              <w:pStyle w:val="53"/>
              <w:bidi w:val="0"/>
              <w:rPr>
                <w:rFonts w:hint="default"/>
                <w:b w:val="0"/>
                <w:bCs w:val="0"/>
                <w:color w:val="auto"/>
                <w:sz w:val="21"/>
                <w:szCs w:val="21"/>
              </w:rPr>
            </w:pPr>
            <w:r>
              <w:rPr>
                <w:rFonts w:hint="default"/>
                <w:b w:val="0"/>
                <w:bCs w:val="0"/>
                <w:color w:val="auto"/>
                <w:sz w:val="21"/>
                <w:szCs w:val="21"/>
              </w:rPr>
              <w:t>固</w:t>
            </w:r>
          </w:p>
          <w:p>
            <w:pPr>
              <w:pStyle w:val="53"/>
              <w:bidi w:val="0"/>
              <w:rPr>
                <w:rFonts w:hint="default"/>
                <w:b w:val="0"/>
                <w:bCs w:val="0"/>
                <w:color w:val="auto"/>
                <w:sz w:val="21"/>
                <w:szCs w:val="21"/>
              </w:rPr>
            </w:pPr>
            <w:r>
              <w:rPr>
                <w:rFonts w:hint="default"/>
                <w:b w:val="0"/>
                <w:bCs w:val="0"/>
                <w:color w:val="auto"/>
                <w:sz w:val="21"/>
                <w:szCs w:val="21"/>
              </w:rPr>
              <w:t>体</w:t>
            </w:r>
          </w:p>
          <w:p>
            <w:pPr>
              <w:pStyle w:val="53"/>
              <w:bidi w:val="0"/>
              <w:rPr>
                <w:rFonts w:hint="default"/>
                <w:b w:val="0"/>
                <w:bCs w:val="0"/>
                <w:color w:val="auto"/>
                <w:sz w:val="21"/>
                <w:szCs w:val="21"/>
              </w:rPr>
            </w:pPr>
            <w:r>
              <w:rPr>
                <w:rFonts w:hint="default"/>
                <w:b w:val="0"/>
                <w:bCs w:val="0"/>
                <w:color w:val="auto"/>
                <w:sz w:val="21"/>
                <w:szCs w:val="21"/>
              </w:rPr>
              <w:t>废</w:t>
            </w:r>
          </w:p>
          <w:p>
            <w:pPr>
              <w:pStyle w:val="53"/>
              <w:bidi w:val="0"/>
              <w:rPr>
                <w:rFonts w:hint="default"/>
                <w:b w:val="0"/>
                <w:bCs w:val="0"/>
                <w:color w:val="auto"/>
                <w:sz w:val="21"/>
                <w:szCs w:val="21"/>
              </w:rPr>
            </w:pPr>
            <w:r>
              <w:rPr>
                <w:rFonts w:hint="default"/>
                <w:b w:val="0"/>
                <w:bCs w:val="0"/>
                <w:color w:val="auto"/>
                <w:sz w:val="21"/>
                <w:szCs w:val="21"/>
              </w:rPr>
              <w:t>物</w:t>
            </w:r>
          </w:p>
        </w:tc>
        <w:tc>
          <w:tcPr>
            <w:tcW w:w="320" w:type="pct"/>
            <w:vMerge w:val="restar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施工期</w:t>
            </w:r>
          </w:p>
        </w:tc>
        <w:tc>
          <w:tcPr>
            <w:tcW w:w="642"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装修、设备安装</w:t>
            </w:r>
          </w:p>
        </w:tc>
        <w:tc>
          <w:tcPr>
            <w:tcW w:w="755"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装修边角料、设备包装</w:t>
            </w:r>
          </w:p>
        </w:tc>
        <w:tc>
          <w:tcPr>
            <w:tcW w:w="1084" w:type="pct"/>
            <w:noWrap w:val="0"/>
            <w:vAlign w:val="center"/>
          </w:tcPr>
          <w:p>
            <w:pPr>
              <w:pStyle w:val="53"/>
              <w:bidi w:val="0"/>
              <w:rPr>
                <w:rFonts w:hint="default"/>
                <w:b w:val="0"/>
                <w:bCs w:val="0"/>
                <w:color w:val="auto"/>
                <w:sz w:val="21"/>
                <w:szCs w:val="21"/>
              </w:rPr>
            </w:pPr>
            <w:r>
              <w:rPr>
                <w:rFonts w:hint="default"/>
                <w:b w:val="0"/>
                <w:bCs w:val="0"/>
                <w:color w:val="auto"/>
                <w:sz w:val="21"/>
                <w:szCs w:val="21"/>
                <w:lang w:eastAsia="zh-CN"/>
              </w:rPr>
              <w:t>可回收部分出售给废物回收站，不可回收部分同生活垃圾一块处置</w:t>
            </w:r>
          </w:p>
        </w:tc>
        <w:tc>
          <w:tcPr>
            <w:tcW w:w="1773" w:type="pct"/>
            <w:vMerge w:val="restart"/>
            <w:noWrap w:val="0"/>
            <w:vAlign w:val="center"/>
          </w:tcPr>
          <w:p>
            <w:pPr>
              <w:pStyle w:val="53"/>
              <w:bidi w:val="0"/>
              <w:rPr>
                <w:rFonts w:hint="default"/>
                <w:b w:val="0"/>
                <w:bCs w:val="0"/>
                <w:color w:val="auto"/>
                <w:sz w:val="21"/>
                <w:szCs w:val="21"/>
              </w:rPr>
            </w:pPr>
            <w:r>
              <w:rPr>
                <w:rFonts w:hint="default"/>
                <w:b w:val="0"/>
                <w:bCs w:val="0"/>
                <w:color w:val="auto"/>
                <w:sz w:val="21"/>
                <w:szCs w:val="21"/>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3" w:type="pct"/>
            <w:vMerge w:val="continue"/>
            <w:noWrap w:val="0"/>
            <w:vAlign w:val="center"/>
          </w:tcPr>
          <w:p>
            <w:pPr>
              <w:pStyle w:val="53"/>
              <w:bidi w:val="0"/>
              <w:rPr>
                <w:rFonts w:hint="default"/>
                <w:b w:val="0"/>
                <w:bCs w:val="0"/>
                <w:color w:val="auto"/>
                <w:sz w:val="21"/>
                <w:szCs w:val="21"/>
              </w:rPr>
            </w:pPr>
          </w:p>
        </w:tc>
        <w:tc>
          <w:tcPr>
            <w:tcW w:w="320" w:type="pct"/>
            <w:vMerge w:val="continue"/>
            <w:noWrap w:val="0"/>
            <w:vAlign w:val="center"/>
          </w:tcPr>
          <w:p>
            <w:pPr>
              <w:pStyle w:val="53"/>
              <w:bidi w:val="0"/>
              <w:rPr>
                <w:rFonts w:hint="default"/>
                <w:b w:val="0"/>
                <w:bCs w:val="0"/>
                <w:color w:val="auto"/>
                <w:sz w:val="21"/>
                <w:szCs w:val="21"/>
                <w:lang w:eastAsia="zh-CN"/>
              </w:rPr>
            </w:pPr>
          </w:p>
        </w:tc>
        <w:tc>
          <w:tcPr>
            <w:tcW w:w="642"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施工人员</w:t>
            </w:r>
          </w:p>
        </w:tc>
        <w:tc>
          <w:tcPr>
            <w:tcW w:w="755"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生活垃圾</w:t>
            </w:r>
          </w:p>
        </w:tc>
        <w:tc>
          <w:tcPr>
            <w:tcW w:w="1084"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val="en-US" w:eastAsia="zh-CN"/>
              </w:rPr>
              <w:t>收集清运至园区垃圾收集处，由环卫部门处理</w:t>
            </w:r>
          </w:p>
        </w:tc>
        <w:tc>
          <w:tcPr>
            <w:tcW w:w="1773" w:type="pct"/>
            <w:vMerge w:val="continue"/>
            <w:noWrap w:val="0"/>
            <w:vAlign w:val="center"/>
          </w:tcPr>
          <w:p>
            <w:pPr>
              <w:pStyle w:val="53"/>
              <w:bidi w:val="0"/>
              <w:rPr>
                <w:rFonts w:hint="default"/>
                <w:b w:val="0"/>
                <w:bCs w:val="0"/>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3" w:type="pct"/>
            <w:vMerge w:val="continue"/>
            <w:noWrap w:val="0"/>
            <w:vAlign w:val="center"/>
          </w:tcPr>
          <w:p>
            <w:pPr>
              <w:pStyle w:val="53"/>
              <w:bidi w:val="0"/>
              <w:rPr>
                <w:rFonts w:hint="default"/>
                <w:b w:val="0"/>
                <w:bCs w:val="0"/>
                <w:color w:val="auto"/>
                <w:sz w:val="21"/>
                <w:szCs w:val="21"/>
              </w:rPr>
            </w:pPr>
          </w:p>
        </w:tc>
        <w:tc>
          <w:tcPr>
            <w:tcW w:w="320" w:type="pct"/>
            <w:vMerge w:val="restar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营运期</w:t>
            </w:r>
          </w:p>
        </w:tc>
        <w:tc>
          <w:tcPr>
            <w:tcW w:w="642" w:type="pct"/>
            <w:vMerge w:val="restart"/>
            <w:noWrap w:val="0"/>
            <w:vAlign w:val="center"/>
          </w:tcPr>
          <w:p>
            <w:pPr>
              <w:pStyle w:val="53"/>
              <w:bidi w:val="0"/>
              <w:rPr>
                <w:rFonts w:hint="eastAsia" w:eastAsia="宋体"/>
                <w:b w:val="0"/>
                <w:bCs w:val="0"/>
                <w:color w:val="auto"/>
                <w:sz w:val="21"/>
                <w:szCs w:val="21"/>
                <w:lang w:eastAsia="zh-CN"/>
              </w:rPr>
            </w:pPr>
            <w:r>
              <w:rPr>
                <w:rFonts w:hint="default"/>
                <w:b w:val="0"/>
                <w:bCs w:val="0"/>
                <w:color w:val="auto"/>
                <w:sz w:val="21"/>
                <w:szCs w:val="21"/>
              </w:rPr>
              <w:t>生产</w:t>
            </w:r>
            <w:r>
              <w:rPr>
                <w:rFonts w:hint="eastAsia"/>
                <w:b w:val="0"/>
                <w:bCs w:val="0"/>
                <w:color w:val="auto"/>
                <w:sz w:val="21"/>
                <w:szCs w:val="21"/>
                <w:lang w:eastAsia="zh-CN"/>
              </w:rPr>
              <w:t>工序</w:t>
            </w:r>
          </w:p>
        </w:tc>
        <w:tc>
          <w:tcPr>
            <w:tcW w:w="755" w:type="pct"/>
            <w:noWrap w:val="0"/>
            <w:vAlign w:val="center"/>
          </w:tcPr>
          <w:p>
            <w:pPr>
              <w:pStyle w:val="53"/>
              <w:bidi w:val="0"/>
              <w:rPr>
                <w:rFonts w:hint="default"/>
                <w:b w:val="0"/>
                <w:bCs w:val="0"/>
                <w:color w:val="auto"/>
                <w:sz w:val="21"/>
                <w:szCs w:val="21"/>
              </w:rPr>
            </w:pPr>
            <w:r>
              <w:rPr>
                <w:rFonts w:hint="eastAsia"/>
                <w:b w:val="0"/>
                <w:bCs w:val="0"/>
                <w:color w:val="auto"/>
                <w:sz w:val="21"/>
                <w:szCs w:val="21"/>
                <w:lang w:eastAsia="zh-CN"/>
              </w:rPr>
              <w:t>金属边角料</w:t>
            </w:r>
          </w:p>
        </w:tc>
        <w:tc>
          <w:tcPr>
            <w:tcW w:w="1084" w:type="pct"/>
            <w:vMerge w:val="restart"/>
            <w:noWrap w:val="0"/>
            <w:vAlign w:val="center"/>
          </w:tcPr>
          <w:p>
            <w:pPr>
              <w:pStyle w:val="53"/>
              <w:bidi w:val="0"/>
              <w:rPr>
                <w:rFonts w:hint="default"/>
                <w:b w:val="0"/>
                <w:bCs w:val="0"/>
                <w:color w:val="auto"/>
                <w:sz w:val="21"/>
                <w:szCs w:val="21"/>
                <w:lang w:eastAsia="zh-CN"/>
              </w:rPr>
            </w:pPr>
            <w:r>
              <w:rPr>
                <w:rFonts w:hint="eastAsia"/>
                <w:b w:val="0"/>
                <w:bCs w:val="0"/>
                <w:color w:val="auto"/>
                <w:sz w:val="21"/>
                <w:szCs w:val="21"/>
                <w:lang w:eastAsia="zh-CN"/>
              </w:rPr>
              <w:t>收集后外售</w:t>
            </w:r>
          </w:p>
        </w:tc>
        <w:tc>
          <w:tcPr>
            <w:tcW w:w="1773" w:type="pct"/>
            <w:vMerge w:val="continue"/>
            <w:noWrap w:val="0"/>
            <w:vAlign w:val="center"/>
          </w:tcPr>
          <w:p>
            <w:pPr>
              <w:pStyle w:val="53"/>
              <w:bidi w:val="0"/>
              <w:rPr>
                <w:rFonts w:hint="default"/>
                <w:b w:val="0"/>
                <w:bCs w:val="0"/>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3" w:type="pct"/>
            <w:vMerge w:val="continue"/>
            <w:noWrap w:val="0"/>
            <w:vAlign w:val="center"/>
          </w:tcPr>
          <w:p>
            <w:pPr>
              <w:pStyle w:val="53"/>
              <w:bidi w:val="0"/>
              <w:rPr>
                <w:rFonts w:hint="default"/>
                <w:b w:val="0"/>
                <w:bCs w:val="0"/>
                <w:color w:val="auto"/>
                <w:sz w:val="21"/>
                <w:szCs w:val="21"/>
              </w:rPr>
            </w:pPr>
          </w:p>
        </w:tc>
        <w:tc>
          <w:tcPr>
            <w:tcW w:w="320" w:type="pct"/>
            <w:vMerge w:val="continue"/>
            <w:noWrap w:val="0"/>
            <w:vAlign w:val="center"/>
          </w:tcPr>
          <w:p>
            <w:pPr>
              <w:pStyle w:val="53"/>
              <w:bidi w:val="0"/>
              <w:rPr>
                <w:rFonts w:hint="default"/>
                <w:b w:val="0"/>
                <w:bCs w:val="0"/>
                <w:color w:val="auto"/>
                <w:sz w:val="21"/>
                <w:szCs w:val="21"/>
              </w:rPr>
            </w:pPr>
          </w:p>
        </w:tc>
        <w:tc>
          <w:tcPr>
            <w:tcW w:w="642" w:type="pct"/>
            <w:vMerge w:val="continue"/>
            <w:noWrap w:val="0"/>
            <w:vAlign w:val="center"/>
          </w:tcPr>
          <w:p>
            <w:pPr>
              <w:pStyle w:val="53"/>
              <w:bidi w:val="0"/>
              <w:rPr>
                <w:rFonts w:hint="default"/>
                <w:b w:val="0"/>
                <w:bCs w:val="0"/>
                <w:color w:val="auto"/>
                <w:sz w:val="21"/>
                <w:szCs w:val="21"/>
              </w:rPr>
            </w:pPr>
          </w:p>
        </w:tc>
        <w:tc>
          <w:tcPr>
            <w:tcW w:w="755" w:type="pct"/>
            <w:noWrap w:val="0"/>
            <w:vAlign w:val="center"/>
          </w:tcPr>
          <w:p>
            <w:pPr>
              <w:pStyle w:val="53"/>
              <w:bidi w:val="0"/>
              <w:rPr>
                <w:rFonts w:hint="default"/>
                <w:b w:val="0"/>
                <w:bCs w:val="0"/>
                <w:color w:val="auto"/>
                <w:sz w:val="21"/>
                <w:szCs w:val="21"/>
                <w:lang w:eastAsia="zh-CN"/>
              </w:rPr>
            </w:pPr>
            <w:r>
              <w:rPr>
                <w:rFonts w:hint="eastAsia"/>
                <w:b w:val="0"/>
                <w:bCs w:val="0"/>
                <w:color w:val="auto"/>
                <w:sz w:val="21"/>
                <w:szCs w:val="21"/>
                <w:lang w:eastAsia="zh-CN"/>
              </w:rPr>
              <w:t>收集的粉尘</w:t>
            </w:r>
          </w:p>
        </w:tc>
        <w:tc>
          <w:tcPr>
            <w:tcW w:w="1084" w:type="pct"/>
            <w:vMerge w:val="continue"/>
            <w:noWrap w:val="0"/>
            <w:vAlign w:val="center"/>
          </w:tcPr>
          <w:p>
            <w:pPr>
              <w:pStyle w:val="53"/>
              <w:bidi w:val="0"/>
              <w:rPr>
                <w:rFonts w:hint="default"/>
                <w:b w:val="0"/>
                <w:bCs w:val="0"/>
                <w:color w:val="auto"/>
                <w:sz w:val="21"/>
                <w:szCs w:val="21"/>
                <w:lang w:eastAsia="zh-CN"/>
              </w:rPr>
            </w:pPr>
          </w:p>
        </w:tc>
        <w:tc>
          <w:tcPr>
            <w:tcW w:w="1773" w:type="pct"/>
            <w:vMerge w:val="continue"/>
            <w:noWrap w:val="0"/>
            <w:vAlign w:val="center"/>
          </w:tcPr>
          <w:p>
            <w:pPr>
              <w:pStyle w:val="53"/>
              <w:bidi w:val="0"/>
              <w:rPr>
                <w:rFonts w:hint="default"/>
                <w:b w:val="0"/>
                <w:bCs w:val="0"/>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423" w:type="pct"/>
            <w:vMerge w:val="continue"/>
            <w:noWrap w:val="0"/>
            <w:vAlign w:val="center"/>
          </w:tcPr>
          <w:p>
            <w:pPr>
              <w:pStyle w:val="53"/>
              <w:bidi w:val="0"/>
              <w:rPr>
                <w:rFonts w:hint="default"/>
                <w:b w:val="0"/>
                <w:bCs w:val="0"/>
                <w:color w:val="auto"/>
                <w:sz w:val="21"/>
                <w:szCs w:val="21"/>
              </w:rPr>
            </w:pPr>
          </w:p>
        </w:tc>
        <w:tc>
          <w:tcPr>
            <w:tcW w:w="320" w:type="pct"/>
            <w:vMerge w:val="continue"/>
            <w:noWrap w:val="0"/>
            <w:vAlign w:val="center"/>
          </w:tcPr>
          <w:p>
            <w:pPr>
              <w:pStyle w:val="53"/>
              <w:bidi w:val="0"/>
              <w:rPr>
                <w:rFonts w:hint="default"/>
                <w:b w:val="0"/>
                <w:bCs w:val="0"/>
                <w:color w:val="auto"/>
                <w:sz w:val="21"/>
                <w:szCs w:val="21"/>
              </w:rPr>
            </w:pPr>
          </w:p>
        </w:tc>
        <w:tc>
          <w:tcPr>
            <w:tcW w:w="642" w:type="pct"/>
            <w:vMerge w:val="continue"/>
            <w:noWrap w:val="0"/>
            <w:vAlign w:val="center"/>
          </w:tcPr>
          <w:p>
            <w:pPr>
              <w:pStyle w:val="53"/>
              <w:bidi w:val="0"/>
              <w:rPr>
                <w:rFonts w:hint="default"/>
                <w:b w:val="0"/>
                <w:bCs w:val="0"/>
                <w:color w:val="auto"/>
                <w:sz w:val="21"/>
                <w:szCs w:val="21"/>
              </w:rPr>
            </w:pPr>
          </w:p>
        </w:tc>
        <w:tc>
          <w:tcPr>
            <w:tcW w:w="755" w:type="pct"/>
            <w:noWrap w:val="0"/>
            <w:vAlign w:val="center"/>
          </w:tcPr>
          <w:p>
            <w:pPr>
              <w:pStyle w:val="53"/>
              <w:bidi w:val="0"/>
              <w:rPr>
                <w:rFonts w:hint="default"/>
                <w:b w:val="0"/>
                <w:bCs w:val="0"/>
                <w:color w:val="auto"/>
                <w:sz w:val="21"/>
                <w:szCs w:val="21"/>
                <w:lang w:eastAsia="zh-CN"/>
              </w:rPr>
            </w:pPr>
            <w:r>
              <w:rPr>
                <w:rFonts w:hint="eastAsia"/>
                <w:b w:val="0"/>
                <w:bCs w:val="0"/>
                <w:color w:val="auto"/>
                <w:sz w:val="21"/>
                <w:szCs w:val="21"/>
                <w:lang w:eastAsia="zh-CN"/>
              </w:rPr>
              <w:t>焊渣</w:t>
            </w:r>
          </w:p>
        </w:tc>
        <w:tc>
          <w:tcPr>
            <w:tcW w:w="1084" w:type="pct"/>
            <w:vMerge w:val="continue"/>
            <w:noWrap w:val="0"/>
            <w:vAlign w:val="center"/>
          </w:tcPr>
          <w:p>
            <w:pPr>
              <w:pStyle w:val="53"/>
              <w:bidi w:val="0"/>
              <w:rPr>
                <w:rFonts w:hint="default"/>
                <w:b w:val="0"/>
                <w:bCs w:val="0"/>
                <w:color w:val="auto"/>
                <w:sz w:val="21"/>
                <w:szCs w:val="21"/>
              </w:rPr>
            </w:pPr>
          </w:p>
        </w:tc>
        <w:tc>
          <w:tcPr>
            <w:tcW w:w="1773" w:type="pct"/>
            <w:vMerge w:val="continue"/>
            <w:noWrap w:val="0"/>
            <w:vAlign w:val="center"/>
          </w:tcPr>
          <w:p>
            <w:pPr>
              <w:pStyle w:val="53"/>
              <w:bidi w:val="0"/>
              <w:rPr>
                <w:rFonts w:hint="default"/>
                <w:b w:val="0"/>
                <w:bCs w:val="0"/>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423" w:type="pct"/>
            <w:vMerge w:val="continue"/>
            <w:noWrap w:val="0"/>
            <w:vAlign w:val="center"/>
          </w:tcPr>
          <w:p>
            <w:pPr>
              <w:pStyle w:val="53"/>
              <w:bidi w:val="0"/>
              <w:rPr>
                <w:rFonts w:hint="default"/>
                <w:b w:val="0"/>
                <w:bCs w:val="0"/>
                <w:color w:val="auto"/>
                <w:sz w:val="21"/>
                <w:szCs w:val="21"/>
              </w:rPr>
            </w:pPr>
          </w:p>
        </w:tc>
        <w:tc>
          <w:tcPr>
            <w:tcW w:w="320" w:type="pct"/>
            <w:vMerge w:val="continue"/>
            <w:noWrap w:val="0"/>
            <w:vAlign w:val="center"/>
          </w:tcPr>
          <w:p>
            <w:pPr>
              <w:pStyle w:val="53"/>
              <w:bidi w:val="0"/>
              <w:rPr>
                <w:rFonts w:hint="default"/>
                <w:b w:val="0"/>
                <w:bCs w:val="0"/>
                <w:color w:val="auto"/>
                <w:sz w:val="21"/>
                <w:szCs w:val="21"/>
              </w:rPr>
            </w:pPr>
          </w:p>
        </w:tc>
        <w:tc>
          <w:tcPr>
            <w:tcW w:w="642" w:type="pct"/>
            <w:vMerge w:val="continue"/>
            <w:noWrap w:val="0"/>
            <w:vAlign w:val="center"/>
          </w:tcPr>
          <w:p>
            <w:pPr>
              <w:pStyle w:val="53"/>
              <w:bidi w:val="0"/>
              <w:rPr>
                <w:rFonts w:hint="default"/>
                <w:b w:val="0"/>
                <w:bCs w:val="0"/>
                <w:color w:val="auto"/>
                <w:sz w:val="21"/>
                <w:szCs w:val="21"/>
              </w:rPr>
            </w:pPr>
          </w:p>
        </w:tc>
        <w:tc>
          <w:tcPr>
            <w:tcW w:w="755" w:type="pct"/>
            <w:noWrap w:val="0"/>
            <w:vAlign w:val="center"/>
          </w:tcPr>
          <w:p>
            <w:pPr>
              <w:pStyle w:val="53"/>
              <w:bidi w:val="0"/>
              <w:rPr>
                <w:rFonts w:hint="default"/>
                <w:b w:val="0"/>
                <w:bCs w:val="0"/>
                <w:color w:val="auto"/>
                <w:sz w:val="21"/>
                <w:szCs w:val="21"/>
                <w:lang w:eastAsia="zh-CN"/>
              </w:rPr>
            </w:pPr>
            <w:r>
              <w:rPr>
                <w:rFonts w:hint="eastAsia"/>
                <w:b w:val="0"/>
                <w:bCs w:val="0"/>
                <w:color w:val="auto"/>
                <w:sz w:val="21"/>
                <w:szCs w:val="21"/>
                <w:lang w:eastAsia="zh-CN"/>
              </w:rPr>
              <w:t>废包装材料</w:t>
            </w:r>
          </w:p>
        </w:tc>
        <w:tc>
          <w:tcPr>
            <w:tcW w:w="1084" w:type="pct"/>
            <w:vMerge w:val="continue"/>
            <w:noWrap w:val="0"/>
            <w:vAlign w:val="center"/>
          </w:tcPr>
          <w:p>
            <w:pPr>
              <w:pStyle w:val="53"/>
              <w:bidi w:val="0"/>
              <w:rPr>
                <w:rFonts w:hint="default"/>
                <w:b w:val="0"/>
                <w:bCs w:val="0"/>
                <w:color w:val="auto"/>
                <w:sz w:val="21"/>
                <w:szCs w:val="21"/>
                <w:lang w:eastAsia="zh-CN"/>
              </w:rPr>
            </w:pPr>
          </w:p>
        </w:tc>
        <w:tc>
          <w:tcPr>
            <w:tcW w:w="1773" w:type="pct"/>
            <w:vMerge w:val="continue"/>
            <w:noWrap w:val="0"/>
            <w:vAlign w:val="center"/>
          </w:tcPr>
          <w:p>
            <w:pPr>
              <w:pStyle w:val="53"/>
              <w:bidi w:val="0"/>
              <w:rPr>
                <w:rFonts w:hint="default"/>
                <w:b w:val="0"/>
                <w:bCs w:val="0"/>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23" w:type="pct"/>
            <w:vMerge w:val="continue"/>
            <w:noWrap w:val="0"/>
            <w:vAlign w:val="center"/>
          </w:tcPr>
          <w:p>
            <w:pPr>
              <w:pStyle w:val="53"/>
              <w:bidi w:val="0"/>
              <w:rPr>
                <w:rFonts w:hint="default"/>
                <w:b w:val="0"/>
                <w:bCs w:val="0"/>
                <w:color w:val="auto"/>
                <w:sz w:val="21"/>
                <w:szCs w:val="21"/>
              </w:rPr>
            </w:pPr>
          </w:p>
        </w:tc>
        <w:tc>
          <w:tcPr>
            <w:tcW w:w="320" w:type="pct"/>
            <w:vMerge w:val="continue"/>
            <w:noWrap w:val="0"/>
            <w:vAlign w:val="center"/>
          </w:tcPr>
          <w:p>
            <w:pPr>
              <w:pStyle w:val="53"/>
              <w:bidi w:val="0"/>
              <w:rPr>
                <w:rFonts w:hint="default"/>
                <w:b w:val="0"/>
                <w:bCs w:val="0"/>
                <w:color w:val="auto"/>
                <w:sz w:val="21"/>
                <w:szCs w:val="21"/>
              </w:rPr>
            </w:pPr>
          </w:p>
        </w:tc>
        <w:tc>
          <w:tcPr>
            <w:tcW w:w="642" w:type="pct"/>
            <w:vMerge w:val="continue"/>
            <w:noWrap w:val="0"/>
            <w:vAlign w:val="center"/>
          </w:tcPr>
          <w:p>
            <w:pPr>
              <w:pStyle w:val="53"/>
              <w:bidi w:val="0"/>
              <w:rPr>
                <w:rFonts w:hint="default"/>
                <w:b w:val="0"/>
                <w:bCs w:val="0"/>
                <w:color w:val="auto"/>
                <w:sz w:val="21"/>
                <w:szCs w:val="21"/>
              </w:rPr>
            </w:pPr>
          </w:p>
        </w:tc>
        <w:tc>
          <w:tcPr>
            <w:tcW w:w="755" w:type="pct"/>
            <w:noWrap w:val="0"/>
            <w:vAlign w:val="center"/>
          </w:tcPr>
          <w:p>
            <w:pPr>
              <w:pStyle w:val="53"/>
              <w:bidi w:val="0"/>
              <w:rPr>
                <w:rFonts w:hint="default"/>
                <w:b w:val="0"/>
                <w:bCs w:val="0"/>
                <w:color w:val="auto"/>
                <w:sz w:val="21"/>
                <w:szCs w:val="21"/>
                <w:lang w:eastAsia="zh-CN"/>
              </w:rPr>
            </w:pPr>
            <w:r>
              <w:rPr>
                <w:rFonts w:hint="eastAsia"/>
                <w:b w:val="0"/>
                <w:bCs w:val="0"/>
                <w:color w:val="auto"/>
                <w:sz w:val="21"/>
                <w:szCs w:val="21"/>
                <w:lang w:eastAsia="zh-CN"/>
              </w:rPr>
              <w:t>废过滤棉、废活性炭</w:t>
            </w:r>
          </w:p>
        </w:tc>
        <w:tc>
          <w:tcPr>
            <w:tcW w:w="1084" w:type="pct"/>
            <w:noWrap w:val="0"/>
            <w:vAlign w:val="center"/>
          </w:tcPr>
          <w:p>
            <w:pPr>
              <w:pStyle w:val="53"/>
              <w:bidi w:val="0"/>
              <w:rPr>
                <w:rFonts w:hint="eastAsia"/>
                <w:b w:val="0"/>
                <w:bCs w:val="0"/>
                <w:color w:val="auto"/>
                <w:sz w:val="21"/>
                <w:szCs w:val="21"/>
                <w:lang w:eastAsia="zh-CN"/>
              </w:rPr>
            </w:pPr>
            <w:r>
              <w:rPr>
                <w:rFonts w:hint="eastAsia"/>
                <w:b w:val="0"/>
                <w:bCs w:val="0"/>
                <w:color w:val="auto"/>
                <w:sz w:val="21"/>
                <w:szCs w:val="21"/>
                <w:lang w:eastAsia="zh-CN"/>
              </w:rPr>
              <w:t>收集后暂存于危废暂存间，交由有资质的单位进行处理</w:t>
            </w:r>
          </w:p>
        </w:tc>
        <w:tc>
          <w:tcPr>
            <w:tcW w:w="1773" w:type="pct"/>
            <w:vMerge w:val="continue"/>
            <w:noWrap w:val="0"/>
            <w:vAlign w:val="center"/>
          </w:tcPr>
          <w:p>
            <w:pPr>
              <w:pStyle w:val="53"/>
              <w:bidi w:val="0"/>
              <w:rPr>
                <w:rFonts w:hint="default"/>
                <w:b w:val="0"/>
                <w:bCs w:val="0"/>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23" w:type="pct"/>
            <w:vMerge w:val="continue"/>
            <w:noWrap w:val="0"/>
            <w:vAlign w:val="center"/>
          </w:tcPr>
          <w:p>
            <w:pPr>
              <w:pStyle w:val="53"/>
              <w:bidi w:val="0"/>
              <w:rPr>
                <w:b w:val="0"/>
                <w:bCs w:val="0"/>
                <w:color w:val="auto"/>
                <w:sz w:val="21"/>
                <w:szCs w:val="21"/>
              </w:rPr>
            </w:pPr>
          </w:p>
        </w:tc>
        <w:tc>
          <w:tcPr>
            <w:tcW w:w="320" w:type="pct"/>
            <w:vMerge w:val="continue"/>
            <w:noWrap w:val="0"/>
            <w:vAlign w:val="center"/>
          </w:tcPr>
          <w:p>
            <w:pPr>
              <w:pStyle w:val="53"/>
              <w:bidi w:val="0"/>
              <w:rPr>
                <w:b w:val="0"/>
                <w:bCs w:val="0"/>
                <w:color w:val="auto"/>
                <w:sz w:val="21"/>
                <w:szCs w:val="21"/>
              </w:rPr>
            </w:pPr>
          </w:p>
        </w:tc>
        <w:tc>
          <w:tcPr>
            <w:tcW w:w="642" w:type="pct"/>
            <w:vMerge w:val="continue"/>
            <w:noWrap w:val="0"/>
            <w:vAlign w:val="center"/>
          </w:tcPr>
          <w:p>
            <w:pPr>
              <w:pStyle w:val="53"/>
              <w:bidi w:val="0"/>
              <w:rPr>
                <w:b w:val="0"/>
                <w:bCs w:val="0"/>
                <w:color w:val="auto"/>
                <w:sz w:val="21"/>
                <w:szCs w:val="21"/>
              </w:rPr>
            </w:pPr>
          </w:p>
        </w:tc>
        <w:tc>
          <w:tcPr>
            <w:tcW w:w="755" w:type="pct"/>
            <w:noWrap w:val="0"/>
            <w:vAlign w:val="center"/>
          </w:tcPr>
          <w:p>
            <w:pPr>
              <w:pStyle w:val="53"/>
              <w:bidi w:val="0"/>
              <w:rPr>
                <w:rFonts w:hint="eastAsia"/>
                <w:b w:val="0"/>
                <w:bCs w:val="0"/>
                <w:color w:val="auto"/>
                <w:sz w:val="21"/>
                <w:szCs w:val="21"/>
                <w:lang w:eastAsia="zh-CN"/>
              </w:rPr>
            </w:pPr>
            <w:r>
              <w:rPr>
                <w:rFonts w:hint="eastAsia"/>
                <w:b w:val="0"/>
                <w:bCs w:val="0"/>
                <w:color w:val="auto"/>
                <w:sz w:val="21"/>
                <w:szCs w:val="21"/>
                <w:lang w:eastAsia="zh-CN"/>
              </w:rPr>
              <w:t>废机油</w:t>
            </w:r>
          </w:p>
        </w:tc>
        <w:tc>
          <w:tcPr>
            <w:tcW w:w="1084" w:type="pct"/>
            <w:noWrap w:val="0"/>
            <w:vAlign w:val="center"/>
          </w:tcPr>
          <w:p>
            <w:pPr>
              <w:pStyle w:val="53"/>
              <w:bidi w:val="0"/>
              <w:rPr>
                <w:rFonts w:hint="eastAsia"/>
                <w:b w:val="0"/>
                <w:bCs w:val="0"/>
                <w:color w:val="auto"/>
                <w:sz w:val="21"/>
                <w:szCs w:val="21"/>
                <w:lang w:eastAsia="zh-CN"/>
              </w:rPr>
            </w:pPr>
            <w:r>
              <w:rPr>
                <w:rFonts w:hint="eastAsia"/>
                <w:b w:val="0"/>
                <w:bCs w:val="0"/>
                <w:color w:val="auto"/>
                <w:sz w:val="21"/>
                <w:szCs w:val="21"/>
                <w:lang w:eastAsia="zh-CN"/>
              </w:rPr>
              <w:t>收集后暂存危废暂存间，作为后期设备润滑使用</w:t>
            </w:r>
          </w:p>
        </w:tc>
        <w:tc>
          <w:tcPr>
            <w:tcW w:w="1773" w:type="pct"/>
            <w:vMerge w:val="continue"/>
            <w:noWrap w:val="0"/>
            <w:vAlign w:val="center"/>
          </w:tcPr>
          <w:p>
            <w:pPr>
              <w:pStyle w:val="53"/>
              <w:bidi w:val="0"/>
              <w:rPr>
                <w:rFonts w:hint="eastAsia"/>
                <w:b w:val="0"/>
                <w:bCs w:val="0"/>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23" w:type="pct"/>
            <w:vMerge w:val="continue"/>
            <w:noWrap w:val="0"/>
            <w:vAlign w:val="center"/>
          </w:tcPr>
          <w:p>
            <w:pPr>
              <w:pStyle w:val="53"/>
              <w:bidi w:val="0"/>
              <w:rPr>
                <w:b w:val="0"/>
                <w:bCs w:val="0"/>
                <w:color w:val="auto"/>
                <w:sz w:val="21"/>
                <w:szCs w:val="21"/>
              </w:rPr>
            </w:pPr>
          </w:p>
        </w:tc>
        <w:tc>
          <w:tcPr>
            <w:tcW w:w="320" w:type="pct"/>
            <w:vMerge w:val="continue"/>
            <w:noWrap w:val="0"/>
            <w:vAlign w:val="center"/>
          </w:tcPr>
          <w:p>
            <w:pPr>
              <w:pStyle w:val="53"/>
              <w:bidi w:val="0"/>
              <w:rPr>
                <w:b w:val="0"/>
                <w:bCs w:val="0"/>
                <w:color w:val="auto"/>
                <w:sz w:val="21"/>
                <w:szCs w:val="21"/>
              </w:rPr>
            </w:pPr>
          </w:p>
        </w:tc>
        <w:tc>
          <w:tcPr>
            <w:tcW w:w="642" w:type="pct"/>
            <w:vMerge w:val="continue"/>
            <w:noWrap w:val="0"/>
            <w:vAlign w:val="center"/>
          </w:tcPr>
          <w:p>
            <w:pPr>
              <w:pStyle w:val="53"/>
              <w:bidi w:val="0"/>
              <w:rPr>
                <w:b w:val="0"/>
                <w:bCs w:val="0"/>
                <w:color w:val="auto"/>
                <w:sz w:val="21"/>
                <w:szCs w:val="21"/>
              </w:rPr>
            </w:pPr>
          </w:p>
        </w:tc>
        <w:tc>
          <w:tcPr>
            <w:tcW w:w="755" w:type="pct"/>
            <w:noWrap w:val="0"/>
            <w:vAlign w:val="center"/>
          </w:tcPr>
          <w:p>
            <w:pPr>
              <w:pStyle w:val="53"/>
              <w:bidi w:val="0"/>
              <w:rPr>
                <w:rFonts w:hint="eastAsia"/>
                <w:b w:val="0"/>
                <w:bCs w:val="0"/>
                <w:color w:val="auto"/>
                <w:sz w:val="21"/>
                <w:szCs w:val="21"/>
                <w:lang w:eastAsia="zh-CN"/>
              </w:rPr>
            </w:pPr>
            <w:r>
              <w:rPr>
                <w:rFonts w:hint="eastAsia"/>
                <w:b w:val="0"/>
                <w:bCs w:val="0"/>
                <w:color w:val="auto"/>
                <w:sz w:val="21"/>
                <w:szCs w:val="21"/>
                <w:lang w:eastAsia="zh-CN"/>
              </w:rPr>
              <w:t>废原料桶</w:t>
            </w:r>
          </w:p>
        </w:tc>
        <w:tc>
          <w:tcPr>
            <w:tcW w:w="1084" w:type="pct"/>
            <w:noWrap w:val="0"/>
            <w:vAlign w:val="center"/>
          </w:tcPr>
          <w:p>
            <w:pPr>
              <w:pStyle w:val="53"/>
              <w:bidi w:val="0"/>
              <w:rPr>
                <w:rFonts w:hint="eastAsia"/>
                <w:b w:val="0"/>
                <w:bCs w:val="0"/>
                <w:color w:val="auto"/>
                <w:sz w:val="21"/>
                <w:szCs w:val="21"/>
                <w:lang w:eastAsia="zh-CN"/>
              </w:rPr>
            </w:pPr>
            <w:r>
              <w:rPr>
                <w:rFonts w:hint="eastAsia"/>
                <w:b w:val="0"/>
                <w:bCs w:val="0"/>
                <w:color w:val="auto"/>
                <w:sz w:val="21"/>
                <w:szCs w:val="21"/>
                <w:lang w:eastAsia="zh-CN"/>
              </w:rPr>
              <w:t>收集暂存危废暂存间，交由有资质的单位进行处理</w:t>
            </w:r>
          </w:p>
        </w:tc>
        <w:tc>
          <w:tcPr>
            <w:tcW w:w="1773" w:type="pct"/>
            <w:vMerge w:val="continue"/>
            <w:noWrap w:val="0"/>
            <w:vAlign w:val="center"/>
          </w:tcPr>
          <w:p>
            <w:pPr>
              <w:pStyle w:val="53"/>
              <w:bidi w:val="0"/>
              <w:rPr>
                <w:rFonts w:hint="eastAsia"/>
                <w:b w:val="0"/>
                <w:bCs w:val="0"/>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3" w:type="pct"/>
            <w:vMerge w:val="continue"/>
            <w:noWrap w:val="0"/>
            <w:vAlign w:val="center"/>
          </w:tcPr>
          <w:p>
            <w:pPr>
              <w:pStyle w:val="53"/>
              <w:bidi w:val="0"/>
              <w:rPr>
                <w:rFonts w:hint="default"/>
                <w:b w:val="0"/>
                <w:bCs w:val="0"/>
                <w:color w:val="auto"/>
                <w:sz w:val="21"/>
                <w:szCs w:val="21"/>
              </w:rPr>
            </w:pPr>
          </w:p>
        </w:tc>
        <w:tc>
          <w:tcPr>
            <w:tcW w:w="320" w:type="pct"/>
            <w:vMerge w:val="continue"/>
            <w:noWrap w:val="0"/>
            <w:vAlign w:val="center"/>
          </w:tcPr>
          <w:p>
            <w:pPr>
              <w:pStyle w:val="53"/>
              <w:bidi w:val="0"/>
              <w:rPr>
                <w:rFonts w:hint="default"/>
                <w:b w:val="0"/>
                <w:bCs w:val="0"/>
                <w:color w:val="auto"/>
                <w:sz w:val="21"/>
                <w:szCs w:val="21"/>
              </w:rPr>
            </w:pPr>
          </w:p>
        </w:tc>
        <w:tc>
          <w:tcPr>
            <w:tcW w:w="642"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员工生活</w:t>
            </w:r>
          </w:p>
        </w:tc>
        <w:tc>
          <w:tcPr>
            <w:tcW w:w="755" w:type="pct"/>
            <w:noWrap w:val="0"/>
            <w:vAlign w:val="center"/>
          </w:tcPr>
          <w:p>
            <w:pPr>
              <w:pStyle w:val="53"/>
              <w:bidi w:val="0"/>
              <w:rPr>
                <w:rFonts w:hint="default"/>
                <w:b w:val="0"/>
                <w:bCs w:val="0"/>
                <w:color w:val="auto"/>
                <w:sz w:val="21"/>
                <w:szCs w:val="21"/>
              </w:rPr>
            </w:pPr>
            <w:r>
              <w:rPr>
                <w:rFonts w:hint="default"/>
                <w:b w:val="0"/>
                <w:bCs w:val="0"/>
                <w:color w:val="auto"/>
                <w:sz w:val="21"/>
                <w:szCs w:val="21"/>
              </w:rPr>
              <w:t>生活垃圾</w:t>
            </w:r>
          </w:p>
        </w:tc>
        <w:tc>
          <w:tcPr>
            <w:tcW w:w="1084" w:type="pct"/>
            <w:noWrap w:val="0"/>
            <w:vAlign w:val="center"/>
          </w:tcPr>
          <w:p>
            <w:pPr>
              <w:pStyle w:val="53"/>
              <w:bidi w:val="0"/>
              <w:rPr>
                <w:rFonts w:hint="default"/>
                <w:b w:val="0"/>
                <w:bCs w:val="0"/>
                <w:color w:val="auto"/>
                <w:sz w:val="21"/>
                <w:szCs w:val="21"/>
              </w:rPr>
            </w:pPr>
            <w:r>
              <w:rPr>
                <w:rFonts w:hint="default"/>
                <w:b w:val="0"/>
                <w:bCs w:val="0"/>
                <w:color w:val="auto"/>
                <w:sz w:val="21"/>
                <w:szCs w:val="21"/>
                <w:lang w:val="en-US" w:eastAsia="zh-CN"/>
              </w:rPr>
              <w:t>收集清运至园区垃圾收集处，由环卫部门处理</w:t>
            </w:r>
          </w:p>
        </w:tc>
        <w:tc>
          <w:tcPr>
            <w:tcW w:w="1773" w:type="pct"/>
            <w:vMerge w:val="continue"/>
            <w:noWrap w:val="0"/>
            <w:vAlign w:val="center"/>
          </w:tcPr>
          <w:p>
            <w:pPr>
              <w:pStyle w:val="53"/>
              <w:bidi w:val="0"/>
              <w:rPr>
                <w:rFonts w:hint="default"/>
                <w:b w:val="0"/>
                <w:bCs w:val="0"/>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3" w:type="pct"/>
            <w:vMerge w:val="restart"/>
            <w:noWrap w:val="0"/>
            <w:vAlign w:val="center"/>
          </w:tcPr>
          <w:p>
            <w:pPr>
              <w:pStyle w:val="53"/>
              <w:bidi w:val="0"/>
              <w:rPr>
                <w:rFonts w:hint="default"/>
                <w:b w:val="0"/>
                <w:bCs w:val="0"/>
                <w:color w:val="auto"/>
                <w:sz w:val="21"/>
                <w:szCs w:val="21"/>
              </w:rPr>
            </w:pPr>
            <w:r>
              <w:rPr>
                <w:rFonts w:hint="default"/>
                <w:b w:val="0"/>
                <w:bCs w:val="0"/>
                <w:color w:val="auto"/>
                <w:sz w:val="21"/>
                <w:szCs w:val="21"/>
              </w:rPr>
              <w:t>噪声</w:t>
            </w:r>
          </w:p>
        </w:tc>
        <w:tc>
          <w:tcPr>
            <w:tcW w:w="320"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施工期</w:t>
            </w:r>
          </w:p>
        </w:tc>
        <w:tc>
          <w:tcPr>
            <w:tcW w:w="642"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电钻、电焊机</w:t>
            </w:r>
          </w:p>
        </w:tc>
        <w:tc>
          <w:tcPr>
            <w:tcW w:w="1840" w:type="pct"/>
            <w:gridSpan w:val="2"/>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噪声</w:t>
            </w:r>
          </w:p>
        </w:tc>
        <w:tc>
          <w:tcPr>
            <w:tcW w:w="1773" w:type="pct"/>
            <w:noWrap w:val="0"/>
            <w:vAlign w:val="center"/>
          </w:tcPr>
          <w:p>
            <w:pPr>
              <w:pStyle w:val="53"/>
              <w:bidi w:val="0"/>
              <w:rPr>
                <w:rFonts w:hint="default"/>
                <w:b w:val="0"/>
                <w:bCs w:val="0"/>
                <w:color w:val="auto"/>
                <w:sz w:val="21"/>
                <w:szCs w:val="21"/>
              </w:rPr>
            </w:pPr>
            <w:r>
              <w:rPr>
                <w:rFonts w:hint="default"/>
                <w:b w:val="0"/>
                <w:bCs w:val="0"/>
                <w:color w:val="auto"/>
                <w:sz w:val="21"/>
                <w:szCs w:val="21"/>
              </w:rPr>
              <w:t>经车间围墙的阻隔和距离衰减后，项目施工期噪声执行《建筑施工场界环境噪声排放标准》（GB12523-2011），即：昼间≤70dB（A）、夜间</w:t>
            </w:r>
            <w:r>
              <w:rPr>
                <w:rFonts w:hint="default"/>
                <w:b w:val="0"/>
                <w:bCs w:val="0"/>
                <w:color w:val="auto"/>
                <w:sz w:val="21"/>
                <w:szCs w:val="21"/>
                <w:lang w:eastAsia="zh-CN"/>
              </w:rPr>
              <w:t>不施工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3" w:type="pct"/>
            <w:vMerge w:val="continue"/>
            <w:noWrap w:val="0"/>
            <w:vAlign w:val="center"/>
          </w:tcPr>
          <w:p>
            <w:pPr>
              <w:pStyle w:val="53"/>
              <w:bidi w:val="0"/>
              <w:rPr>
                <w:rFonts w:hint="default"/>
                <w:b w:val="0"/>
                <w:bCs w:val="0"/>
                <w:color w:val="auto"/>
                <w:sz w:val="21"/>
                <w:szCs w:val="21"/>
              </w:rPr>
            </w:pPr>
          </w:p>
        </w:tc>
        <w:tc>
          <w:tcPr>
            <w:tcW w:w="320" w:type="pct"/>
            <w:noWrap w:val="0"/>
            <w:vAlign w:val="center"/>
          </w:tcPr>
          <w:p>
            <w:pPr>
              <w:pStyle w:val="53"/>
              <w:bidi w:val="0"/>
              <w:rPr>
                <w:rFonts w:hint="default"/>
                <w:b w:val="0"/>
                <w:bCs w:val="0"/>
                <w:color w:val="auto"/>
                <w:sz w:val="21"/>
                <w:szCs w:val="21"/>
                <w:lang w:eastAsia="zh-CN"/>
              </w:rPr>
            </w:pPr>
            <w:r>
              <w:rPr>
                <w:rFonts w:hint="default"/>
                <w:b w:val="0"/>
                <w:bCs w:val="0"/>
                <w:color w:val="auto"/>
                <w:sz w:val="21"/>
                <w:szCs w:val="21"/>
                <w:lang w:eastAsia="zh-CN"/>
              </w:rPr>
              <w:t>营运期</w:t>
            </w:r>
          </w:p>
        </w:tc>
        <w:tc>
          <w:tcPr>
            <w:tcW w:w="642" w:type="pct"/>
            <w:noWrap w:val="0"/>
            <w:vAlign w:val="center"/>
          </w:tcPr>
          <w:p>
            <w:pPr>
              <w:pStyle w:val="53"/>
              <w:bidi w:val="0"/>
              <w:rPr>
                <w:rFonts w:hint="default"/>
                <w:b w:val="0"/>
                <w:bCs w:val="0"/>
                <w:color w:val="auto"/>
                <w:sz w:val="21"/>
                <w:szCs w:val="21"/>
              </w:rPr>
            </w:pPr>
            <w:r>
              <w:rPr>
                <w:rFonts w:hint="default"/>
                <w:b w:val="0"/>
                <w:bCs w:val="0"/>
                <w:color w:val="auto"/>
                <w:sz w:val="21"/>
                <w:szCs w:val="21"/>
              </w:rPr>
              <w:t>生产</w:t>
            </w:r>
            <w:r>
              <w:rPr>
                <w:rFonts w:hint="default"/>
                <w:b w:val="0"/>
                <w:bCs w:val="0"/>
                <w:color w:val="auto"/>
                <w:sz w:val="21"/>
                <w:szCs w:val="21"/>
                <w:lang w:eastAsia="zh-CN"/>
              </w:rPr>
              <w:t>设备</w:t>
            </w:r>
          </w:p>
        </w:tc>
        <w:tc>
          <w:tcPr>
            <w:tcW w:w="1840" w:type="pct"/>
            <w:gridSpan w:val="2"/>
            <w:noWrap w:val="0"/>
            <w:vAlign w:val="center"/>
          </w:tcPr>
          <w:p>
            <w:pPr>
              <w:pStyle w:val="53"/>
              <w:bidi w:val="0"/>
              <w:rPr>
                <w:rFonts w:hint="default"/>
                <w:b w:val="0"/>
                <w:bCs w:val="0"/>
                <w:color w:val="auto"/>
                <w:sz w:val="21"/>
                <w:szCs w:val="21"/>
              </w:rPr>
            </w:pPr>
            <w:r>
              <w:rPr>
                <w:rFonts w:hint="default"/>
                <w:b w:val="0"/>
                <w:bCs w:val="0"/>
                <w:color w:val="auto"/>
                <w:sz w:val="21"/>
                <w:szCs w:val="21"/>
              </w:rPr>
              <w:t>噪声</w:t>
            </w:r>
          </w:p>
        </w:tc>
        <w:tc>
          <w:tcPr>
            <w:tcW w:w="1773" w:type="pct"/>
            <w:noWrap w:val="0"/>
            <w:vAlign w:val="center"/>
          </w:tcPr>
          <w:p>
            <w:pPr>
              <w:pStyle w:val="53"/>
              <w:bidi w:val="0"/>
              <w:rPr>
                <w:rFonts w:hint="default"/>
                <w:b w:val="0"/>
                <w:bCs w:val="0"/>
                <w:color w:val="auto"/>
                <w:sz w:val="21"/>
                <w:szCs w:val="21"/>
              </w:rPr>
            </w:pPr>
            <w:r>
              <w:rPr>
                <w:rFonts w:hint="default"/>
                <w:b w:val="0"/>
                <w:bCs w:val="0"/>
                <w:color w:val="auto"/>
                <w:sz w:val="21"/>
                <w:szCs w:val="21"/>
              </w:rPr>
              <w:t>经车间围墙的阻隔和距离衰减后，可达《工业企业厂界环境噪声排放标准》（GB12348-2008）3类标准：昼间≤65dB（A），夜间不生产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6"/>
            <w:noWrap w:val="0"/>
            <w:vAlign w:val="center"/>
          </w:tcPr>
          <w:p>
            <w:pPr>
              <w:bidi w:val="0"/>
              <w:jc w:val="left"/>
              <w:rPr>
                <w:rFonts w:hint="default"/>
                <w:b/>
                <w:bCs/>
                <w:color w:val="auto"/>
                <w:sz w:val="24"/>
                <w:szCs w:val="24"/>
              </w:rPr>
            </w:pPr>
            <w:r>
              <w:rPr>
                <w:rFonts w:hint="default"/>
                <w:b/>
                <w:bCs/>
                <w:color w:val="auto"/>
                <w:sz w:val="24"/>
                <w:szCs w:val="24"/>
              </w:rPr>
              <w:t>生态保护措施及预期效果：</w:t>
            </w:r>
          </w:p>
          <w:p>
            <w:pPr>
              <w:bidi w:val="0"/>
              <w:spacing w:line="360" w:lineRule="auto"/>
              <w:ind w:firstLine="480" w:firstLineChars="200"/>
              <w:rPr>
                <w:rFonts w:hint="default"/>
                <w:b w:val="0"/>
                <w:bCs w:val="0"/>
                <w:color w:val="auto"/>
                <w:sz w:val="24"/>
                <w:szCs w:val="24"/>
              </w:rPr>
            </w:pPr>
            <w:r>
              <w:rPr>
                <w:rFonts w:hint="default"/>
                <w:b w:val="0"/>
                <w:bCs w:val="0"/>
                <w:color w:val="auto"/>
                <w:sz w:val="24"/>
                <w:szCs w:val="24"/>
              </w:rPr>
              <w:t>项目</w:t>
            </w:r>
            <w:r>
              <w:rPr>
                <w:rFonts w:hint="default"/>
                <w:b w:val="0"/>
                <w:bCs w:val="0"/>
                <w:color w:val="auto"/>
                <w:sz w:val="24"/>
                <w:szCs w:val="24"/>
                <w:lang w:eastAsia="zh-CN"/>
              </w:rPr>
              <w:t>租用云南晨鑫机械制造有限公司标准厂房</w:t>
            </w:r>
            <w:r>
              <w:rPr>
                <w:rFonts w:hint="default"/>
                <w:b w:val="0"/>
                <w:bCs w:val="0"/>
                <w:color w:val="auto"/>
                <w:sz w:val="24"/>
                <w:szCs w:val="24"/>
                <w:lang w:val="en-US" w:eastAsia="zh-CN"/>
              </w:rPr>
              <w:t>进行生产</w:t>
            </w:r>
            <w:r>
              <w:rPr>
                <w:rFonts w:hint="default"/>
                <w:b w:val="0"/>
                <w:bCs w:val="0"/>
                <w:color w:val="auto"/>
                <w:sz w:val="24"/>
                <w:szCs w:val="24"/>
              </w:rPr>
              <w:t>，</w:t>
            </w:r>
            <w:r>
              <w:rPr>
                <w:rFonts w:hint="default" w:ascii="Times New Roman" w:hAnsi="Times New Roman" w:eastAsia="宋体" w:cs="Times New Roman"/>
                <w:sz w:val="24"/>
              </w:rPr>
              <w:t>项目现已建设完成</w:t>
            </w:r>
            <w:r>
              <w:rPr>
                <w:rFonts w:hint="eastAsia" w:eastAsia="宋体" w:cs="Times New Roman"/>
                <w:sz w:val="24"/>
                <w:lang w:eastAsia="zh-CN"/>
              </w:rPr>
              <w:t>。</w:t>
            </w:r>
            <w:r>
              <w:rPr>
                <w:rFonts w:hint="default"/>
                <w:b w:val="0"/>
                <w:bCs w:val="0"/>
                <w:color w:val="auto"/>
                <w:sz w:val="24"/>
                <w:szCs w:val="24"/>
              </w:rPr>
              <w:t>生产活动范围局限于车间内</w:t>
            </w:r>
            <w:r>
              <w:rPr>
                <w:rFonts w:hint="default"/>
                <w:b w:val="0"/>
                <w:bCs w:val="0"/>
                <w:color w:val="auto"/>
                <w:sz w:val="24"/>
                <w:szCs w:val="24"/>
                <w:lang w:eastAsia="zh-CN"/>
              </w:rPr>
              <w:t>，</w:t>
            </w:r>
            <w:r>
              <w:rPr>
                <w:rFonts w:hint="default"/>
                <w:b w:val="0"/>
                <w:bCs w:val="0"/>
                <w:color w:val="auto"/>
                <w:sz w:val="24"/>
                <w:szCs w:val="24"/>
              </w:rPr>
              <w:t>营运过程中产生的“三废”必须经处理后达标排放，加强厂区管理和对周围环境的保护，切实做到不污染、不破坏、不明显影响周围生态环境。</w:t>
            </w:r>
          </w:p>
          <w:p>
            <w:pPr>
              <w:pStyle w:val="18"/>
              <w:rPr>
                <w:rFonts w:hint="default"/>
                <w:b w:val="0"/>
                <w:bCs w:val="0"/>
                <w:color w:val="auto"/>
                <w:sz w:val="24"/>
                <w:szCs w:val="24"/>
              </w:rPr>
            </w:pPr>
          </w:p>
          <w:p>
            <w:pPr>
              <w:rPr>
                <w:rFonts w:hint="default"/>
                <w:b w:val="0"/>
                <w:bCs w:val="0"/>
                <w:color w:val="auto"/>
                <w:sz w:val="24"/>
                <w:szCs w:val="24"/>
              </w:rPr>
            </w:pPr>
          </w:p>
          <w:p>
            <w:pPr>
              <w:pStyle w:val="18"/>
              <w:rPr>
                <w:rFonts w:hint="default"/>
                <w:b w:val="0"/>
                <w:bCs w:val="0"/>
                <w:color w:val="auto"/>
                <w:sz w:val="24"/>
                <w:szCs w:val="24"/>
              </w:rPr>
            </w:pPr>
          </w:p>
          <w:p>
            <w:pPr>
              <w:rPr>
                <w:rFonts w:hint="default"/>
                <w:b w:val="0"/>
                <w:bCs w:val="0"/>
                <w:color w:val="auto"/>
                <w:sz w:val="24"/>
                <w:szCs w:val="24"/>
              </w:rPr>
            </w:pPr>
          </w:p>
          <w:p>
            <w:pPr>
              <w:pStyle w:val="18"/>
              <w:rPr>
                <w:rFonts w:hint="default"/>
                <w:b w:val="0"/>
                <w:bCs w:val="0"/>
                <w:color w:val="auto"/>
                <w:sz w:val="24"/>
                <w:szCs w:val="24"/>
              </w:rPr>
            </w:pPr>
          </w:p>
          <w:p>
            <w:pPr>
              <w:rPr>
                <w:rFonts w:hint="default"/>
                <w:b w:val="0"/>
                <w:bCs w:val="0"/>
                <w:color w:val="auto"/>
                <w:sz w:val="24"/>
                <w:szCs w:val="24"/>
              </w:rPr>
            </w:pPr>
          </w:p>
          <w:p>
            <w:pPr>
              <w:pStyle w:val="18"/>
              <w:rPr>
                <w:rFonts w:hint="default"/>
              </w:rPr>
            </w:pPr>
          </w:p>
          <w:p>
            <w:pPr>
              <w:pStyle w:val="53"/>
              <w:bidi w:val="0"/>
              <w:rPr>
                <w:rFonts w:hint="default"/>
                <w:b w:val="0"/>
                <w:bCs w:val="0"/>
                <w:color w:val="auto"/>
                <w:sz w:val="21"/>
                <w:szCs w:val="21"/>
              </w:rPr>
            </w:pPr>
          </w:p>
          <w:p>
            <w:pPr>
              <w:pStyle w:val="53"/>
              <w:bidi w:val="0"/>
              <w:rPr>
                <w:rFonts w:hint="default"/>
                <w:b w:val="0"/>
                <w:bCs w:val="0"/>
                <w:color w:val="auto"/>
                <w:sz w:val="21"/>
                <w:szCs w:val="21"/>
              </w:rPr>
            </w:pPr>
          </w:p>
          <w:p>
            <w:pPr>
              <w:pStyle w:val="53"/>
              <w:bidi w:val="0"/>
              <w:rPr>
                <w:rFonts w:hint="default"/>
                <w:b w:val="0"/>
                <w:bCs w:val="0"/>
                <w:color w:val="auto"/>
                <w:sz w:val="21"/>
                <w:szCs w:val="21"/>
              </w:rPr>
            </w:pPr>
          </w:p>
          <w:p>
            <w:pPr>
              <w:pStyle w:val="53"/>
              <w:bidi w:val="0"/>
              <w:rPr>
                <w:rFonts w:hint="default"/>
                <w:b w:val="0"/>
                <w:bCs w:val="0"/>
                <w:color w:val="auto"/>
                <w:sz w:val="21"/>
                <w:szCs w:val="21"/>
              </w:rPr>
            </w:pPr>
          </w:p>
          <w:p>
            <w:pPr>
              <w:pStyle w:val="53"/>
              <w:bidi w:val="0"/>
              <w:rPr>
                <w:rFonts w:hint="default"/>
                <w:b w:val="0"/>
                <w:bCs w:val="0"/>
                <w:color w:val="auto"/>
                <w:sz w:val="21"/>
                <w:szCs w:val="21"/>
              </w:rPr>
            </w:pPr>
          </w:p>
          <w:p>
            <w:pPr>
              <w:pStyle w:val="53"/>
              <w:bidi w:val="0"/>
              <w:rPr>
                <w:rFonts w:hint="default"/>
                <w:b w:val="0"/>
                <w:bCs w:val="0"/>
                <w:color w:val="auto"/>
                <w:sz w:val="21"/>
                <w:szCs w:val="21"/>
              </w:rPr>
            </w:pPr>
          </w:p>
          <w:p>
            <w:pPr>
              <w:pStyle w:val="53"/>
              <w:bidi w:val="0"/>
              <w:rPr>
                <w:rFonts w:hint="default"/>
                <w:b w:val="0"/>
                <w:bCs w:val="0"/>
                <w:color w:val="auto"/>
                <w:sz w:val="21"/>
                <w:szCs w:val="21"/>
              </w:rPr>
            </w:pPr>
          </w:p>
          <w:p>
            <w:pPr>
              <w:ind w:left="0" w:leftChars="0" w:firstLine="0" w:firstLineChars="0"/>
              <w:rPr>
                <w:rFonts w:hint="default"/>
                <w:b w:val="0"/>
                <w:bCs w:val="0"/>
                <w:color w:val="auto"/>
                <w:sz w:val="21"/>
                <w:szCs w:val="21"/>
                <w:lang w:val="en-US" w:eastAsia="zh-CN"/>
              </w:rPr>
            </w:pPr>
          </w:p>
        </w:tc>
      </w:tr>
    </w:tbl>
    <w:p>
      <w:pPr>
        <w:outlineLvl w:val="0"/>
        <w:rPr>
          <w:rFonts w:ascii="Times New Roman" w:hAnsi="Times New Roman"/>
          <w:color w:val="000000"/>
          <w:sz w:val="32"/>
          <w:szCs w:val="32"/>
        </w:rPr>
      </w:pPr>
      <w:bookmarkStart w:id="139" w:name="_Toc11414"/>
      <w:bookmarkStart w:id="140" w:name="_Toc15639"/>
      <w:r>
        <w:rPr>
          <w:rFonts w:ascii="Times New Roman" w:hAnsi="Times New Roman"/>
          <w:b/>
          <w:color w:val="000000"/>
          <w:sz w:val="32"/>
          <w:szCs w:val="32"/>
        </w:rPr>
        <w:t>表九</w:t>
      </w:r>
      <w:r>
        <w:rPr>
          <w:rFonts w:hint="eastAsia"/>
          <w:b/>
          <w:color w:val="000000"/>
          <w:sz w:val="32"/>
          <w:szCs w:val="32"/>
          <w:lang w:val="en-US" w:eastAsia="zh-CN"/>
        </w:rPr>
        <w:t xml:space="preserve">  </w:t>
      </w:r>
      <w:r>
        <w:rPr>
          <w:rFonts w:ascii="Times New Roman" w:hAnsi="Times New Roman"/>
          <w:b/>
          <w:color w:val="000000"/>
          <w:sz w:val="32"/>
          <w:szCs w:val="32"/>
        </w:rPr>
        <w:t>结论与建议</w:t>
      </w:r>
      <w:bookmarkEnd w:id="139"/>
      <w:bookmarkEnd w:id="140"/>
    </w:p>
    <w:tbl>
      <w:tblPr>
        <w:tblStyle w:val="37"/>
        <w:tblW w:w="8342" w:type="dxa"/>
        <w:tblInd w:w="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2" w:type="dxa"/>
            <w:vAlign w:val="top"/>
          </w:tcPr>
          <w:p>
            <w:pPr>
              <w:pStyle w:val="18"/>
              <w:spacing w:line="360" w:lineRule="auto"/>
              <w:jc w:val="both"/>
              <w:outlineLvl w:val="1"/>
              <w:rPr>
                <w:rFonts w:ascii="Times New Roman" w:hAnsi="Times New Roman"/>
                <w:b/>
                <w:bCs/>
                <w:color w:val="000000"/>
              </w:rPr>
            </w:pPr>
            <w:r>
              <w:rPr>
                <w:rFonts w:ascii="Times New Roman" w:hAnsi="Times New Roman"/>
                <w:b/>
                <w:bCs/>
                <w:color w:val="000000"/>
              </w:rPr>
              <w:t xml:space="preserve">一、结论 </w:t>
            </w:r>
          </w:p>
          <w:p>
            <w:pPr>
              <w:spacing w:line="360" w:lineRule="auto"/>
              <w:ind w:firstLine="480"/>
              <w:jc w:val="both"/>
              <w:outlineLvl w:val="1"/>
              <w:rPr>
                <w:rFonts w:hint="eastAsia" w:ascii="Times New Roman" w:hAnsi="Times New Roman" w:eastAsia="宋体" w:cs="Times New Roman"/>
                <w:color w:val="0000FF"/>
                <w:kern w:val="2"/>
                <w:sz w:val="24"/>
                <w:szCs w:val="24"/>
                <w:lang w:val="en-US" w:eastAsia="zh-CN" w:bidi="ar-SA"/>
              </w:rPr>
            </w:pPr>
            <w:r>
              <w:rPr>
                <w:rFonts w:hint="eastAsia" w:cs="Times New Roman"/>
                <w:color w:val="auto"/>
                <w:kern w:val="2"/>
                <w:sz w:val="24"/>
                <w:szCs w:val="24"/>
                <w:lang w:val="en-US" w:eastAsia="zh-CN" w:bidi="ar-SA"/>
              </w:rPr>
              <w:t>昆明银华工贸有限公司路桥分公司建设项目</w:t>
            </w:r>
            <w:r>
              <w:rPr>
                <w:rFonts w:hint="eastAsia" w:ascii="Times New Roman" w:hAnsi="Times New Roman" w:eastAsia="宋体" w:cs="Times New Roman"/>
                <w:color w:val="0000FF"/>
                <w:kern w:val="2"/>
                <w:sz w:val="24"/>
                <w:szCs w:val="24"/>
                <w:lang w:val="en-US" w:eastAsia="zh-CN" w:bidi="ar-SA"/>
              </w:rPr>
              <w:t>，</w:t>
            </w:r>
            <w:r>
              <w:rPr>
                <w:rFonts w:hint="eastAsia" w:ascii="Times New Roman" w:hAnsi="Times New Roman" w:eastAsia="宋体" w:cs="Times New Roman"/>
                <w:color w:val="000000"/>
                <w:kern w:val="2"/>
                <w:sz w:val="24"/>
                <w:szCs w:val="24"/>
                <w:lang w:val="en-US" w:eastAsia="zh-CN" w:bidi="ar-SA"/>
              </w:rPr>
              <w:t>选址位于</w:t>
            </w:r>
            <w:r>
              <w:rPr>
                <w:rFonts w:hint="eastAsia" w:cs="Times New Roman"/>
                <w:color w:val="000000"/>
                <w:kern w:val="2"/>
                <w:sz w:val="24"/>
                <w:szCs w:val="24"/>
                <w:lang w:val="en-US" w:eastAsia="zh-CN" w:bidi="ar-SA"/>
              </w:rPr>
              <w:t>昆明市富民县工业园哨箐片区内</w:t>
            </w:r>
            <w:r>
              <w:rPr>
                <w:rFonts w:hint="eastAsia" w:ascii="Times New Roman" w:hAnsi="Times New Roman" w:eastAsia="宋体" w:cs="Times New Roman"/>
                <w:color w:val="auto"/>
                <w:kern w:val="2"/>
                <w:sz w:val="24"/>
                <w:szCs w:val="24"/>
                <w:lang w:val="en-US" w:eastAsia="zh-CN" w:bidi="ar-SA"/>
              </w:rPr>
              <w:t>，</w:t>
            </w:r>
            <w:r>
              <w:rPr>
                <w:rFonts w:hint="eastAsia"/>
                <w:color w:val="auto"/>
                <w:sz w:val="24"/>
                <w:szCs w:val="24"/>
                <w:lang w:val="en-US" w:eastAsia="zh-CN"/>
              </w:rPr>
              <w:t>总占地面积17000</w:t>
            </w:r>
            <w:r>
              <w:rPr>
                <w:color w:val="auto"/>
                <w:sz w:val="24"/>
                <w:szCs w:val="24"/>
              </w:rPr>
              <w:t>m</w:t>
            </w:r>
            <w:r>
              <w:rPr>
                <w:color w:val="auto"/>
                <w:sz w:val="24"/>
                <w:szCs w:val="24"/>
                <w:vertAlign w:val="superscript"/>
              </w:rPr>
              <w:t>2</w:t>
            </w:r>
            <w:r>
              <w:rPr>
                <w:rFonts w:hint="eastAsia"/>
                <w:color w:val="auto"/>
                <w:sz w:val="24"/>
                <w:szCs w:val="24"/>
                <w:vertAlign w:val="baseline"/>
                <w:lang w:eastAsia="zh-CN"/>
              </w:rPr>
              <w:t>，</w:t>
            </w:r>
            <w:r>
              <w:rPr>
                <w:rFonts w:hint="eastAsia"/>
                <w:sz w:val="24"/>
                <w:szCs w:val="24"/>
                <w:lang w:val="en-US" w:eastAsia="zh-CN"/>
              </w:rPr>
              <w:t>总建筑面积4000</w:t>
            </w:r>
            <w:r>
              <w:rPr>
                <w:sz w:val="24"/>
                <w:szCs w:val="24"/>
              </w:rPr>
              <w:t>m</w:t>
            </w:r>
            <w:r>
              <w:rPr>
                <w:sz w:val="24"/>
                <w:szCs w:val="24"/>
                <w:vertAlign w:val="superscript"/>
              </w:rPr>
              <w:t>2</w:t>
            </w:r>
            <w:r>
              <w:rPr>
                <w:rFonts w:hint="eastAsia"/>
                <w:sz w:val="24"/>
                <w:szCs w:val="24"/>
                <w:lang w:eastAsia="zh-CN"/>
              </w:rPr>
              <w:t>，其中生产车间</w:t>
            </w:r>
            <w:r>
              <w:rPr>
                <w:rFonts w:hint="eastAsia"/>
                <w:sz w:val="24"/>
                <w:szCs w:val="24"/>
                <w:lang w:val="en-US" w:eastAsia="zh-CN"/>
              </w:rPr>
              <w:t>3200m</w:t>
            </w:r>
            <w:r>
              <w:rPr>
                <w:rFonts w:hint="eastAsia"/>
                <w:sz w:val="24"/>
                <w:szCs w:val="24"/>
                <w:vertAlign w:val="superscript"/>
                <w:lang w:val="en-US" w:eastAsia="zh-CN"/>
              </w:rPr>
              <w:t>2</w:t>
            </w:r>
            <w:r>
              <w:rPr>
                <w:rFonts w:hint="eastAsia"/>
                <w:sz w:val="24"/>
                <w:szCs w:val="24"/>
                <w:lang w:val="en-US" w:eastAsia="zh-CN"/>
              </w:rPr>
              <w:t>，办公生活区800m</w:t>
            </w:r>
            <w:r>
              <w:rPr>
                <w:rFonts w:hint="eastAsia"/>
                <w:sz w:val="24"/>
                <w:szCs w:val="24"/>
                <w:vertAlign w:val="superscript"/>
                <w:lang w:val="en-US" w:eastAsia="zh-CN"/>
              </w:rPr>
              <w:t>2</w:t>
            </w:r>
            <w:r>
              <w:rPr>
                <w:rFonts w:hint="eastAsia"/>
                <w:sz w:val="24"/>
                <w:szCs w:val="24"/>
                <w:lang w:val="en-US" w:eastAsia="zh-CN"/>
              </w:rPr>
              <w:t>，剩余地块为闲置空地。</w:t>
            </w:r>
            <w:r>
              <w:rPr>
                <w:rFonts w:hint="eastAsia"/>
                <w:color w:val="auto"/>
                <w:sz w:val="24"/>
                <w:szCs w:val="24"/>
                <w:lang w:val="en-US" w:eastAsia="zh-CN"/>
              </w:rPr>
              <w:t>项目已建四条生产线，年生产</w:t>
            </w:r>
            <w:r>
              <w:rPr>
                <w:rFonts w:hint="eastAsia"/>
                <w:sz w:val="24"/>
                <w:szCs w:val="24"/>
                <w:lang w:eastAsia="zh-CN"/>
              </w:rPr>
              <w:t>生产装配式钢结构</w:t>
            </w:r>
            <w:r>
              <w:rPr>
                <w:rFonts w:hint="eastAsia"/>
                <w:sz w:val="24"/>
                <w:szCs w:val="24"/>
                <w:lang w:val="en-US" w:eastAsia="zh-CN"/>
              </w:rPr>
              <w:t>3600t</w:t>
            </w:r>
            <w:r>
              <w:rPr>
                <w:rFonts w:hint="eastAsia" w:ascii="Times New Roman" w:hAnsi="Times New Roman" w:eastAsia="宋体" w:cs="Times New Roman"/>
                <w:color w:val="auto"/>
                <w:kern w:val="2"/>
                <w:sz w:val="24"/>
                <w:szCs w:val="24"/>
                <w:lang w:val="en-US" w:eastAsia="zh-CN" w:bidi="ar-SA"/>
              </w:rPr>
              <w:t>。项目总投资</w:t>
            </w:r>
            <w:r>
              <w:rPr>
                <w:rFonts w:hint="eastAsia" w:cs="Times New Roman"/>
                <w:color w:val="auto"/>
                <w:kern w:val="2"/>
                <w:sz w:val="24"/>
                <w:szCs w:val="24"/>
                <w:lang w:val="en-US" w:eastAsia="zh-CN" w:bidi="ar-SA"/>
              </w:rPr>
              <w:t>1230</w:t>
            </w:r>
            <w:r>
              <w:rPr>
                <w:rFonts w:hint="eastAsia" w:ascii="Times New Roman" w:hAnsi="Times New Roman" w:eastAsia="宋体" w:cs="Times New Roman"/>
                <w:color w:val="auto"/>
                <w:kern w:val="2"/>
                <w:sz w:val="24"/>
                <w:szCs w:val="24"/>
                <w:lang w:val="en-US" w:eastAsia="zh-CN" w:bidi="ar-SA"/>
              </w:rPr>
              <w:t>万元，其中环保投资</w:t>
            </w:r>
            <w:r>
              <w:rPr>
                <w:rFonts w:hint="eastAsia" w:cs="Times New Roman"/>
                <w:color w:val="auto"/>
                <w:kern w:val="2"/>
                <w:sz w:val="24"/>
                <w:szCs w:val="24"/>
                <w:lang w:val="en-US" w:eastAsia="zh-CN" w:bidi="ar-SA"/>
              </w:rPr>
              <w:t>24</w:t>
            </w:r>
            <w:r>
              <w:rPr>
                <w:rFonts w:hint="eastAsia" w:ascii="Times New Roman" w:hAnsi="Times New Roman" w:eastAsia="宋体" w:cs="Times New Roman"/>
                <w:color w:val="auto"/>
                <w:kern w:val="2"/>
                <w:sz w:val="24"/>
                <w:szCs w:val="24"/>
                <w:lang w:val="en-US" w:eastAsia="zh-CN" w:bidi="ar-SA"/>
              </w:rPr>
              <w:t>万，占总投资的</w:t>
            </w:r>
            <w:r>
              <w:rPr>
                <w:rFonts w:hint="eastAsia" w:cs="Times New Roman"/>
                <w:color w:val="auto"/>
                <w:kern w:val="2"/>
                <w:sz w:val="24"/>
                <w:szCs w:val="24"/>
                <w:lang w:val="en-US" w:eastAsia="zh-CN" w:bidi="ar-SA"/>
              </w:rPr>
              <w:t>1.95%</w:t>
            </w:r>
            <w:r>
              <w:rPr>
                <w:rFonts w:hint="eastAsia" w:ascii="Times New Roman" w:hAnsi="Times New Roman" w:eastAsia="宋体" w:cs="Times New Roman"/>
                <w:color w:val="auto"/>
                <w:kern w:val="2"/>
                <w:sz w:val="24"/>
                <w:szCs w:val="24"/>
                <w:lang w:val="en-US" w:eastAsia="zh-CN" w:bidi="ar-SA"/>
              </w:rPr>
              <w:t>。环保投资用于废气、废水、固废、噪声的治理，项目年运行</w:t>
            </w:r>
            <w:r>
              <w:rPr>
                <w:rFonts w:hint="eastAsia" w:cs="Times New Roman"/>
                <w:color w:val="auto"/>
                <w:kern w:val="2"/>
                <w:sz w:val="24"/>
                <w:szCs w:val="24"/>
                <w:lang w:val="en-US" w:eastAsia="zh-CN" w:bidi="ar-SA"/>
              </w:rPr>
              <w:t>300</w:t>
            </w:r>
            <w:r>
              <w:rPr>
                <w:rFonts w:hint="eastAsia" w:ascii="Times New Roman" w:hAnsi="Times New Roman" w:eastAsia="宋体" w:cs="Times New Roman"/>
                <w:color w:val="auto"/>
                <w:kern w:val="2"/>
                <w:sz w:val="24"/>
                <w:szCs w:val="24"/>
                <w:lang w:val="en-US" w:eastAsia="zh-CN" w:bidi="ar-SA"/>
              </w:rPr>
              <w:t>天，每天工作</w:t>
            </w:r>
            <w:r>
              <w:rPr>
                <w:rFonts w:hint="eastAsia" w:cs="Times New Roman"/>
                <w:color w:val="auto"/>
                <w:kern w:val="2"/>
                <w:sz w:val="24"/>
                <w:szCs w:val="24"/>
                <w:lang w:val="en-US" w:eastAsia="zh-CN" w:bidi="ar-SA"/>
              </w:rPr>
              <w:t>8</w:t>
            </w:r>
            <w:r>
              <w:rPr>
                <w:rFonts w:hint="eastAsia" w:ascii="Times New Roman" w:hAnsi="Times New Roman" w:eastAsia="宋体" w:cs="Times New Roman"/>
                <w:color w:val="auto"/>
                <w:kern w:val="2"/>
                <w:sz w:val="24"/>
                <w:szCs w:val="24"/>
                <w:lang w:val="en-US" w:eastAsia="zh-CN" w:bidi="ar-SA"/>
              </w:rPr>
              <w:t>小时，劳动定员为</w:t>
            </w:r>
            <w:r>
              <w:rPr>
                <w:rFonts w:hint="eastAsia" w:cs="Times New Roman"/>
                <w:color w:val="auto"/>
                <w:kern w:val="2"/>
                <w:sz w:val="24"/>
                <w:szCs w:val="24"/>
                <w:lang w:val="en-US" w:eastAsia="zh-CN" w:bidi="ar-SA"/>
              </w:rPr>
              <w:t>20</w:t>
            </w:r>
            <w:r>
              <w:rPr>
                <w:rFonts w:hint="eastAsia" w:ascii="Times New Roman" w:hAnsi="Times New Roman" w:eastAsia="宋体" w:cs="Times New Roman"/>
                <w:color w:val="auto"/>
                <w:kern w:val="2"/>
                <w:sz w:val="24"/>
                <w:szCs w:val="24"/>
                <w:lang w:val="en-US" w:eastAsia="zh-CN" w:bidi="ar-SA"/>
              </w:rPr>
              <w:t>人。根据有关法律法规要求，对本项目的环境影响进行评价，评价结果与建议如下：</w:t>
            </w:r>
          </w:p>
          <w:p>
            <w:pPr>
              <w:spacing w:line="360" w:lineRule="auto"/>
              <w:ind w:firstLine="482" w:firstLineChars="200"/>
              <w:jc w:val="both"/>
              <w:outlineLvl w:val="1"/>
              <w:rPr>
                <w:rFonts w:ascii="Times New Roman" w:hAnsi="Times New Roman"/>
                <w:b/>
                <w:bCs/>
                <w:color w:val="000000"/>
                <w:sz w:val="24"/>
                <w:szCs w:val="24"/>
              </w:rPr>
            </w:pPr>
            <w:bookmarkStart w:id="141" w:name="_Toc7725"/>
            <w:bookmarkStart w:id="142" w:name="_Toc3393"/>
            <w:r>
              <w:rPr>
                <w:rFonts w:ascii="Times New Roman" w:hAnsi="Times New Roman"/>
                <w:b/>
                <w:bCs/>
                <w:color w:val="000000"/>
                <w:sz w:val="24"/>
                <w:szCs w:val="24"/>
              </w:rPr>
              <w:t>1、产业政策符合性结论</w:t>
            </w:r>
            <w:bookmarkEnd w:id="141"/>
            <w:bookmarkEnd w:id="142"/>
          </w:p>
          <w:p>
            <w:pPr>
              <w:spacing w:line="360" w:lineRule="auto"/>
              <w:ind w:firstLine="480" w:firstLineChars="200"/>
              <w:jc w:val="both"/>
              <w:outlineLvl w:val="1"/>
              <w:rPr>
                <w:rFonts w:hint="default" w:ascii="Times New Roman" w:hAnsi="Times New Roman" w:cs="Times New Roman"/>
                <w:b w:val="0"/>
                <w:bCs w:val="0"/>
                <w:color w:val="auto"/>
                <w:sz w:val="24"/>
              </w:rPr>
            </w:pPr>
            <w:r>
              <w:rPr>
                <w:rFonts w:hint="eastAsia"/>
                <w:sz w:val="24"/>
                <w:szCs w:val="24"/>
                <w:lang w:val="en-US" w:eastAsia="zh-CN"/>
              </w:rPr>
              <w:t>本项目为</w:t>
            </w:r>
            <w:r>
              <w:rPr>
                <w:rFonts w:hint="eastAsia"/>
                <w:color w:val="auto"/>
                <w:sz w:val="24"/>
                <w:szCs w:val="24"/>
                <w:lang w:val="en-US" w:eastAsia="zh-CN"/>
              </w:rPr>
              <w:t>昆明银华工贸有限公司路桥分公司装配式钢结构项目</w:t>
            </w:r>
            <w:r>
              <w:rPr>
                <w:rFonts w:hint="eastAsia"/>
                <w:sz w:val="24"/>
                <w:szCs w:val="24"/>
                <w:lang w:val="en-US" w:eastAsia="zh-CN"/>
              </w:rPr>
              <w:t>。对照《产业结构调整指导目录（2019年本）》，</w:t>
            </w:r>
            <w:r>
              <w:rPr>
                <w:color w:val="auto"/>
                <w:spacing w:val="-6"/>
                <w:sz w:val="24"/>
              </w:rPr>
              <w:t>依照国家《产业结构调整指导目录</w:t>
            </w:r>
            <w:r>
              <w:rPr>
                <w:color w:val="auto"/>
                <w:sz w:val="24"/>
              </w:rPr>
              <w:t>（</w:t>
            </w:r>
            <w:r>
              <w:rPr>
                <w:rFonts w:ascii="Times New Roman" w:hAnsi="Times New Roman" w:eastAsia="Times New Roman"/>
                <w:color w:val="auto"/>
                <w:sz w:val="24"/>
              </w:rPr>
              <w:t>20</w:t>
            </w:r>
            <w:r>
              <w:rPr>
                <w:rFonts w:hint="eastAsia" w:eastAsia="宋体"/>
                <w:color w:val="auto"/>
                <w:sz w:val="24"/>
                <w:lang w:val="en-US" w:eastAsia="zh-CN"/>
              </w:rPr>
              <w:t>19</w:t>
            </w:r>
            <w:r>
              <w:rPr>
                <w:rFonts w:ascii="Times New Roman" w:hAnsi="Times New Roman" w:eastAsia="Times New Roman"/>
                <w:color w:val="auto"/>
                <w:sz w:val="24"/>
              </w:rPr>
              <w:t xml:space="preserve"> </w:t>
            </w:r>
            <w:r>
              <w:rPr>
                <w:color w:val="auto"/>
                <w:sz w:val="24"/>
              </w:rPr>
              <w:t>年本</w:t>
            </w:r>
            <w:r>
              <w:rPr>
                <w:color w:val="auto"/>
                <w:spacing w:val="-10"/>
                <w:sz w:val="24"/>
              </w:rPr>
              <w:t>）</w:t>
            </w:r>
            <w:r>
              <w:rPr>
                <w:color w:val="auto"/>
                <w:spacing w:val="-5"/>
                <w:sz w:val="24"/>
              </w:rPr>
              <w:t>》，项目属于鼓励类的第</w:t>
            </w:r>
            <w:r>
              <w:rPr>
                <w:rFonts w:hint="eastAsia"/>
                <w:color w:val="auto"/>
                <w:spacing w:val="-5"/>
                <w:sz w:val="24"/>
                <w:lang w:eastAsia="zh-CN"/>
              </w:rPr>
              <w:t>二十一</w:t>
            </w:r>
            <w:r>
              <w:rPr>
                <w:color w:val="auto"/>
                <w:spacing w:val="-4"/>
                <w:sz w:val="24"/>
              </w:rPr>
              <w:t>类“</w:t>
            </w:r>
            <w:r>
              <w:rPr>
                <w:rFonts w:hint="eastAsia"/>
                <w:color w:val="auto"/>
                <w:spacing w:val="-4"/>
                <w:sz w:val="24"/>
                <w:lang w:eastAsia="zh-CN"/>
              </w:rPr>
              <w:t>建筑</w:t>
            </w:r>
            <w:r>
              <w:rPr>
                <w:color w:val="auto"/>
                <w:spacing w:val="-4"/>
                <w:sz w:val="24"/>
              </w:rPr>
              <w:t>”中第</w:t>
            </w:r>
            <w:r>
              <w:rPr>
                <w:rFonts w:hint="eastAsia"/>
                <w:color w:val="auto"/>
                <w:spacing w:val="-4"/>
                <w:sz w:val="24"/>
                <w:lang w:eastAsia="zh-CN"/>
              </w:rPr>
              <w:t>十三</w:t>
            </w:r>
            <w:r>
              <w:rPr>
                <w:color w:val="auto"/>
                <w:spacing w:val="-4"/>
                <w:sz w:val="24"/>
              </w:rPr>
              <w:t>点</w:t>
            </w:r>
            <w:r>
              <w:rPr>
                <w:rFonts w:hint="eastAsia"/>
                <w:color w:val="auto"/>
                <w:spacing w:val="-4"/>
                <w:sz w:val="24"/>
                <w:lang w:eastAsia="zh-CN"/>
              </w:rPr>
              <w:t>“装配式钢结构绿色建筑体系的研发及推广</w:t>
            </w:r>
            <w:r>
              <w:rPr>
                <w:rFonts w:hint="eastAsia"/>
                <w:color w:val="auto"/>
                <w:spacing w:val="-1"/>
                <w:sz w:val="24"/>
                <w:lang w:eastAsia="zh-CN"/>
              </w:rPr>
              <w:t>”</w:t>
            </w:r>
            <w:r>
              <w:rPr>
                <w:color w:val="auto"/>
                <w:spacing w:val="-1"/>
                <w:sz w:val="24"/>
              </w:rPr>
              <w:t>的项目</w:t>
            </w:r>
            <w:r>
              <w:rPr>
                <w:color w:val="auto"/>
                <w:sz w:val="24"/>
              </w:rPr>
              <w:t>，</w:t>
            </w:r>
            <w:r>
              <w:rPr>
                <w:rFonts w:hint="eastAsia"/>
                <w:color w:val="auto"/>
                <w:sz w:val="24"/>
                <w:lang w:eastAsia="zh-CN"/>
              </w:rPr>
              <w:t>所以</w:t>
            </w:r>
            <w:r>
              <w:rPr>
                <w:color w:val="auto"/>
                <w:sz w:val="24"/>
              </w:rPr>
              <w:t>本项目符合国家的产业政策。</w:t>
            </w:r>
          </w:p>
          <w:p>
            <w:pPr>
              <w:spacing w:line="360" w:lineRule="auto"/>
              <w:ind w:firstLine="480"/>
              <w:jc w:val="both"/>
              <w:outlineLvl w:val="1"/>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因此，项目的建设符合国家现行的产业政策。</w:t>
            </w:r>
          </w:p>
          <w:p>
            <w:pPr>
              <w:spacing w:line="360" w:lineRule="auto"/>
              <w:ind w:firstLine="482" w:firstLineChars="200"/>
              <w:jc w:val="both"/>
              <w:outlineLvl w:val="1"/>
              <w:rPr>
                <w:rFonts w:hint="eastAsia" w:ascii="Times New Roman" w:hAnsi="Times New Roman"/>
                <w:color w:val="000000"/>
                <w:sz w:val="24"/>
                <w:szCs w:val="24"/>
                <w:lang w:val="en-US" w:eastAsia="zh-CN"/>
              </w:rPr>
            </w:pPr>
            <w:bookmarkStart w:id="143" w:name="_Toc19256"/>
            <w:bookmarkStart w:id="144" w:name="_Toc7035"/>
            <w:r>
              <w:rPr>
                <w:rFonts w:ascii="Times New Roman" w:hAnsi="Times New Roman"/>
                <w:b/>
                <w:bCs/>
                <w:color w:val="000000"/>
                <w:sz w:val="24"/>
                <w:szCs w:val="24"/>
              </w:rPr>
              <w:t>2、选址合理性结论</w:t>
            </w:r>
            <w:bookmarkEnd w:id="143"/>
            <w:bookmarkEnd w:id="144"/>
          </w:p>
          <w:p>
            <w:pPr>
              <w:spacing w:line="360" w:lineRule="auto"/>
              <w:ind w:firstLine="480"/>
              <w:jc w:val="both"/>
              <w:outlineLvl w:val="1"/>
              <w:rPr>
                <w:rFonts w:hint="eastAsia"/>
                <w:color w:val="auto"/>
                <w:sz w:val="24"/>
                <w:szCs w:val="24"/>
                <w:lang w:val="en-US" w:eastAsia="zh-CN"/>
              </w:rPr>
            </w:pPr>
            <w:r>
              <w:rPr>
                <w:rFonts w:hint="eastAsia"/>
                <w:color w:val="auto"/>
                <w:sz w:val="24"/>
                <w:szCs w:val="24"/>
                <w:lang w:val="en-US" w:eastAsia="zh-CN"/>
              </w:rPr>
              <w:t>本项目选址位于昆明市富民县工业园哨箐片区内，项目所在区为城市工业园区，不涉及饮用水源保护区、自然保护区、风景名胜区、基本农田保护区等需要特殊保护的区域，不涉及国家和地方文物保护单位。项目租用已建好的厂房，不涉及土建施工，营运期产生的各类污染物采取相应的防治措施后，对项目所在区域的环境质量及环境保护目标影响较小，因此，项目选址合理。</w:t>
            </w:r>
          </w:p>
          <w:p>
            <w:pPr>
              <w:spacing w:line="360" w:lineRule="auto"/>
              <w:ind w:firstLine="482" w:firstLineChars="200"/>
              <w:jc w:val="both"/>
              <w:outlineLvl w:val="1"/>
              <w:rPr>
                <w:rFonts w:ascii="Times New Roman" w:hAnsi="Times New Roman"/>
                <w:b/>
                <w:bCs/>
                <w:color w:val="000000"/>
                <w:sz w:val="24"/>
                <w:szCs w:val="24"/>
              </w:rPr>
            </w:pPr>
            <w:bookmarkStart w:id="145" w:name="_Toc10141"/>
            <w:bookmarkStart w:id="146" w:name="_Toc3797"/>
            <w:r>
              <w:rPr>
                <w:rFonts w:ascii="Times New Roman" w:hAnsi="Times New Roman"/>
                <w:b/>
                <w:bCs/>
                <w:color w:val="000000"/>
                <w:sz w:val="24"/>
                <w:szCs w:val="24"/>
              </w:rPr>
              <w:t>3、环境</w:t>
            </w:r>
            <w:r>
              <w:rPr>
                <w:rFonts w:hint="eastAsia"/>
                <w:b/>
                <w:bCs/>
                <w:color w:val="000000"/>
                <w:sz w:val="24"/>
                <w:szCs w:val="24"/>
                <w:lang w:eastAsia="zh-CN"/>
              </w:rPr>
              <w:t>质量</w:t>
            </w:r>
            <w:r>
              <w:rPr>
                <w:rFonts w:ascii="Times New Roman" w:hAnsi="Times New Roman"/>
                <w:b/>
                <w:bCs/>
                <w:color w:val="000000"/>
                <w:sz w:val="24"/>
                <w:szCs w:val="24"/>
              </w:rPr>
              <w:t>现状</w:t>
            </w:r>
            <w:r>
              <w:rPr>
                <w:rFonts w:hint="eastAsia"/>
                <w:b/>
                <w:bCs/>
                <w:color w:val="000000"/>
                <w:sz w:val="24"/>
                <w:szCs w:val="24"/>
                <w:lang w:eastAsia="zh-CN"/>
              </w:rPr>
              <w:t>分析</w:t>
            </w:r>
            <w:r>
              <w:rPr>
                <w:rFonts w:ascii="Times New Roman" w:hAnsi="Times New Roman"/>
                <w:b/>
                <w:bCs/>
                <w:color w:val="000000"/>
                <w:sz w:val="24"/>
                <w:szCs w:val="24"/>
              </w:rPr>
              <w:t>结论</w:t>
            </w:r>
            <w:bookmarkEnd w:id="145"/>
            <w:bookmarkEnd w:id="146"/>
          </w:p>
          <w:p>
            <w:pPr>
              <w:autoSpaceDE w:val="0"/>
              <w:autoSpaceDN w:val="0"/>
              <w:adjustRightInd w:val="0"/>
              <w:spacing w:line="360" w:lineRule="auto"/>
              <w:ind w:firstLine="480" w:firstLineChars="200"/>
              <w:jc w:val="both"/>
              <w:outlineLvl w:val="1"/>
              <w:rPr>
                <w:rFonts w:hint="default" w:ascii="Times New Roman" w:hAnsi="Times New Roman"/>
                <w:color w:val="000000"/>
                <w:sz w:val="24"/>
                <w:szCs w:val="24"/>
              </w:rPr>
            </w:pPr>
            <w:r>
              <w:rPr>
                <w:rFonts w:hint="default" w:ascii="Times New Roman" w:hAnsi="Times New Roman"/>
                <w:color w:val="000000"/>
                <w:sz w:val="24"/>
                <w:szCs w:val="24"/>
              </w:rPr>
              <w:t>（1）环境空气：</w:t>
            </w:r>
            <w:r>
              <w:rPr>
                <w:rFonts w:hint="eastAsia"/>
                <w:color w:val="000000"/>
                <w:sz w:val="24"/>
                <w:szCs w:val="24"/>
                <w:lang w:val="en-US" w:eastAsia="zh-CN"/>
              </w:rPr>
              <w:t>根据</w:t>
            </w:r>
            <w:r>
              <w:rPr>
                <w:rFonts w:hint="eastAsia" w:ascii="Times New Roman" w:hAnsi="Times New Roman"/>
                <w:color w:val="000000"/>
                <w:sz w:val="24"/>
                <w:szCs w:val="24"/>
                <w:lang w:eastAsia="zh-CN"/>
              </w:rPr>
              <w:t>“</w:t>
            </w:r>
            <w:r>
              <w:rPr>
                <w:rFonts w:hint="eastAsia" w:ascii="Times New Roman" w:hAnsi="Times New Roman"/>
                <w:color w:val="auto"/>
                <w:sz w:val="24"/>
                <w:szCs w:val="24"/>
                <w:lang w:eastAsia="zh-CN"/>
              </w:rPr>
              <w:t>富民县环境空气站点AQI日报（201</w:t>
            </w:r>
            <w:r>
              <w:rPr>
                <w:rFonts w:hint="eastAsia"/>
                <w:color w:val="auto"/>
                <w:sz w:val="24"/>
                <w:szCs w:val="24"/>
                <w:lang w:val="en-US" w:eastAsia="zh-CN"/>
              </w:rPr>
              <w:t>9</w:t>
            </w:r>
            <w:r>
              <w:rPr>
                <w:rFonts w:hint="eastAsia" w:ascii="Times New Roman" w:hAnsi="Times New Roman"/>
                <w:color w:val="auto"/>
                <w:sz w:val="24"/>
                <w:szCs w:val="24"/>
                <w:lang w:eastAsia="zh-CN"/>
              </w:rPr>
              <w:t>年）</w:t>
            </w:r>
            <w:r>
              <w:rPr>
                <w:rFonts w:hint="eastAsia" w:ascii="Times New Roman" w:hAnsi="Times New Roman"/>
                <w:color w:val="000000"/>
                <w:sz w:val="24"/>
                <w:szCs w:val="24"/>
                <w:lang w:eastAsia="zh-CN"/>
              </w:rPr>
              <w:t>”</w:t>
            </w:r>
            <w:r>
              <w:rPr>
                <w:rFonts w:hint="eastAsia" w:ascii="Times New Roman" w:hAnsi="Times New Roman"/>
                <w:color w:val="000000"/>
                <w:sz w:val="24"/>
                <w:szCs w:val="24"/>
                <w:lang w:val="en-US" w:eastAsia="zh-CN"/>
              </w:rPr>
              <w:t>及现场调查，项目所在区域环境空气质量</w:t>
            </w:r>
            <w:r>
              <w:rPr>
                <w:rFonts w:hint="default" w:ascii="Times New Roman" w:hAnsi="Times New Roman"/>
                <w:color w:val="000000"/>
                <w:sz w:val="24"/>
                <w:szCs w:val="24"/>
              </w:rPr>
              <w:t>满足《环境空气质量标准》（GB3095-</w:t>
            </w:r>
            <w:r>
              <w:rPr>
                <w:rFonts w:hint="default" w:ascii="Times New Roman" w:hAnsi="Times New Roman"/>
                <w:color w:val="000000"/>
                <w:sz w:val="24"/>
                <w:szCs w:val="24"/>
                <w:lang w:val="en-US" w:eastAsia="zh-CN"/>
              </w:rPr>
              <w:t>2012</w:t>
            </w:r>
            <w:r>
              <w:rPr>
                <w:rFonts w:hint="default" w:ascii="Times New Roman" w:hAnsi="Times New Roman"/>
                <w:color w:val="000000"/>
                <w:sz w:val="24"/>
                <w:szCs w:val="24"/>
              </w:rPr>
              <w:t>）二级标准要求。</w:t>
            </w:r>
          </w:p>
          <w:p>
            <w:pPr>
              <w:autoSpaceDE w:val="0"/>
              <w:autoSpaceDN w:val="0"/>
              <w:adjustRightInd w:val="0"/>
              <w:spacing w:line="360" w:lineRule="auto"/>
              <w:ind w:firstLine="480" w:firstLineChars="200"/>
              <w:jc w:val="both"/>
              <w:outlineLvl w:val="1"/>
              <w:rPr>
                <w:rFonts w:ascii="Times New Roman" w:hAnsi="Times New Roman"/>
                <w:color w:val="000000"/>
                <w:sz w:val="24"/>
                <w:szCs w:val="24"/>
              </w:rPr>
            </w:pPr>
            <w:r>
              <w:rPr>
                <w:rFonts w:hint="default" w:ascii="Times New Roman" w:hAnsi="Times New Roman"/>
                <w:color w:val="000000"/>
                <w:sz w:val="24"/>
                <w:szCs w:val="24"/>
              </w:rPr>
              <w:t>（2）声环境</w:t>
            </w:r>
            <w:r>
              <w:rPr>
                <w:rFonts w:hint="eastAsia" w:ascii="Times New Roman" w:hAnsi="Times New Roman"/>
                <w:color w:val="000000"/>
                <w:sz w:val="24"/>
                <w:szCs w:val="24"/>
                <w:lang w:eastAsia="zh-CN"/>
              </w:rPr>
              <w:t>：</w:t>
            </w:r>
            <w:r>
              <w:rPr>
                <w:rFonts w:ascii="Times New Roman" w:hAnsi="Times New Roman"/>
                <w:color w:val="000000"/>
                <w:sz w:val="24"/>
                <w:szCs w:val="24"/>
              </w:rPr>
              <w:t>根据现场</w:t>
            </w:r>
            <w:r>
              <w:rPr>
                <w:rFonts w:hint="eastAsia"/>
                <w:color w:val="000000"/>
                <w:sz w:val="24"/>
                <w:szCs w:val="24"/>
                <w:lang w:eastAsia="zh-CN"/>
              </w:rPr>
              <w:t>调查</w:t>
            </w:r>
            <w:r>
              <w:rPr>
                <w:rFonts w:ascii="Times New Roman" w:hAnsi="Times New Roman"/>
                <w:color w:val="000000"/>
                <w:sz w:val="24"/>
                <w:szCs w:val="24"/>
              </w:rPr>
              <w:t>，</w:t>
            </w:r>
            <w:r>
              <w:rPr>
                <w:rFonts w:hint="eastAsia"/>
                <w:color w:val="000000"/>
                <w:sz w:val="24"/>
                <w:szCs w:val="24"/>
                <w:lang w:eastAsia="zh-CN"/>
              </w:rPr>
              <w:t>项目所在区域为工业园区，主要噪声源为项目</w:t>
            </w:r>
            <w:r>
              <w:rPr>
                <w:rFonts w:hint="eastAsia"/>
                <w:color w:val="000000"/>
                <w:sz w:val="24"/>
                <w:szCs w:val="24"/>
                <w:lang w:val="en-US" w:eastAsia="zh-CN"/>
              </w:rPr>
              <w:t>周边道路</w:t>
            </w:r>
            <w:r>
              <w:rPr>
                <w:rFonts w:hint="eastAsia"/>
                <w:color w:val="000000"/>
                <w:sz w:val="24"/>
                <w:szCs w:val="24"/>
                <w:lang w:eastAsia="zh-CN"/>
              </w:rPr>
              <w:t>交通噪声，</w:t>
            </w:r>
            <w:r>
              <w:rPr>
                <w:rFonts w:ascii="Times New Roman" w:hAnsi="Times New Roman"/>
                <w:color w:val="000000"/>
                <w:sz w:val="24"/>
                <w:szCs w:val="24"/>
              </w:rPr>
              <w:t>区域</w:t>
            </w:r>
            <w:r>
              <w:rPr>
                <w:rFonts w:hint="eastAsia"/>
                <w:color w:val="000000"/>
                <w:sz w:val="24"/>
                <w:szCs w:val="24"/>
                <w:lang w:eastAsia="zh-CN"/>
              </w:rPr>
              <w:t>内无较大工业噪声源，</w:t>
            </w:r>
            <w:r>
              <w:rPr>
                <w:rFonts w:hint="eastAsia" w:ascii="Times New Roman" w:hAnsi="Times New Roman"/>
                <w:color w:val="000000"/>
                <w:sz w:val="24"/>
                <w:szCs w:val="24"/>
              </w:rPr>
              <w:t>声环境质量</w:t>
            </w:r>
            <w:r>
              <w:rPr>
                <w:rFonts w:hint="eastAsia" w:ascii="Times New Roman" w:hAnsi="Times New Roman"/>
                <w:color w:val="000000"/>
                <w:sz w:val="24"/>
                <w:szCs w:val="24"/>
                <w:lang w:eastAsia="zh-CN"/>
              </w:rPr>
              <w:t>现状</w:t>
            </w:r>
            <w:r>
              <w:rPr>
                <w:rFonts w:ascii="Times New Roman" w:hAnsi="Times New Roman"/>
                <w:color w:val="000000"/>
                <w:sz w:val="24"/>
                <w:szCs w:val="24"/>
              </w:rPr>
              <w:t>能满足《声环境质量标准》（GB3096-2008）标准中</w:t>
            </w:r>
            <w:r>
              <w:rPr>
                <w:rFonts w:hint="eastAsia"/>
                <w:color w:val="000000"/>
                <w:sz w:val="24"/>
                <w:szCs w:val="24"/>
                <w:lang w:val="en-US" w:eastAsia="zh-CN"/>
              </w:rPr>
              <w:t>3</w:t>
            </w:r>
            <w:r>
              <w:rPr>
                <w:rFonts w:hint="eastAsia"/>
                <w:sz w:val="24"/>
                <w:szCs w:val="24"/>
                <w:lang w:eastAsia="zh-CN"/>
              </w:rPr>
              <w:t>类</w:t>
            </w:r>
            <w:r>
              <w:rPr>
                <w:rFonts w:ascii="Times New Roman" w:hAnsi="Times New Roman"/>
                <w:color w:val="000000"/>
                <w:sz w:val="24"/>
                <w:szCs w:val="24"/>
              </w:rPr>
              <w:t>标准。</w:t>
            </w:r>
          </w:p>
          <w:p>
            <w:pPr>
              <w:spacing w:line="360" w:lineRule="auto"/>
              <w:ind w:firstLine="480" w:firstLineChars="200"/>
              <w:outlineLvl w:val="1"/>
              <w:rPr>
                <w:rFonts w:hint="default" w:ascii="Times New Roman" w:hAnsi="Times New Roman"/>
                <w:color w:val="000000"/>
                <w:sz w:val="24"/>
                <w:szCs w:val="24"/>
              </w:rPr>
            </w:pPr>
            <w:r>
              <w:rPr>
                <w:rFonts w:hint="default" w:ascii="Times New Roman" w:hAnsi="Times New Roman"/>
                <w:color w:val="000000"/>
                <w:sz w:val="24"/>
                <w:szCs w:val="24"/>
              </w:rPr>
              <w:t>（3）地表水：</w:t>
            </w:r>
            <w:r>
              <w:rPr>
                <w:rFonts w:ascii="Times New Roman" w:hAnsi="Times New Roman"/>
                <w:color w:val="000000"/>
                <w:sz w:val="24"/>
                <w:szCs w:val="24"/>
              </w:rPr>
              <w:t>根据现场</w:t>
            </w:r>
            <w:r>
              <w:rPr>
                <w:rFonts w:hint="eastAsia"/>
                <w:color w:val="000000"/>
                <w:sz w:val="24"/>
                <w:szCs w:val="24"/>
                <w:lang w:eastAsia="zh-CN"/>
              </w:rPr>
              <w:t>调查</w:t>
            </w:r>
            <w:r>
              <w:rPr>
                <w:rFonts w:ascii="Times New Roman" w:hAnsi="Times New Roman"/>
                <w:color w:val="000000"/>
                <w:sz w:val="24"/>
                <w:szCs w:val="24"/>
              </w:rPr>
              <w:t>，</w:t>
            </w:r>
            <w:r>
              <w:rPr>
                <w:rFonts w:hint="eastAsia" w:ascii="Times New Roman" w:hAnsi="Times New Roman"/>
                <w:color w:val="000000"/>
                <w:sz w:val="24"/>
                <w:szCs w:val="24"/>
                <w:lang w:eastAsia="zh-CN"/>
              </w:rPr>
              <w:t>距离</w:t>
            </w:r>
            <w:r>
              <w:rPr>
                <w:rFonts w:hint="eastAsia"/>
                <w:color w:val="000000"/>
                <w:sz w:val="24"/>
                <w:szCs w:val="24"/>
                <w:lang w:eastAsia="zh-CN"/>
              </w:rPr>
              <w:t>项目所在区域最近的水体为项目区南面的哨箐，属于螳螂川支流。</w:t>
            </w:r>
            <w:r>
              <w:rPr>
                <w:rFonts w:hint="default" w:ascii="Times New Roman" w:hAnsi="Times New Roman" w:eastAsia="宋体" w:cs="Times New Roman"/>
                <w:color w:val="auto"/>
                <w:kern w:val="0"/>
                <w:sz w:val="24"/>
              </w:rPr>
              <w:t>根据</w:t>
            </w:r>
            <w:r>
              <w:rPr>
                <w:rFonts w:hint="default" w:ascii="Times New Roman" w:hAnsi="Times New Roman" w:cs="Times New Roman"/>
                <w:color w:val="auto"/>
                <w:kern w:val="0"/>
                <w:sz w:val="24"/>
                <w:lang w:eastAsia="zh-CN"/>
              </w:rPr>
              <w:t>富民县环境监测站</w:t>
            </w:r>
            <w:r>
              <w:rPr>
                <w:rFonts w:hint="default" w:ascii="Times New Roman" w:hAnsi="Times New Roman" w:cs="Times New Roman"/>
                <w:color w:val="auto"/>
                <w:kern w:val="0"/>
                <w:sz w:val="24"/>
                <w:lang w:val="en-US" w:eastAsia="zh-CN"/>
              </w:rPr>
              <w:t>2018年1</w:t>
            </w:r>
            <w:r>
              <w:rPr>
                <w:rFonts w:hint="default" w:ascii="Times New Roman" w:hAnsi="Times New Roman" w:eastAsia="宋体" w:cs="Times New Roman"/>
                <w:color w:val="auto"/>
                <w:kern w:val="0"/>
                <w:szCs w:val="21"/>
              </w:rPr>
              <w:t>～</w:t>
            </w:r>
            <w:r>
              <w:rPr>
                <w:rFonts w:hint="default" w:ascii="Times New Roman" w:hAnsi="Times New Roman" w:cs="Times New Roman"/>
                <w:color w:val="auto"/>
                <w:kern w:val="0"/>
                <w:sz w:val="24"/>
                <w:lang w:val="en-US" w:eastAsia="zh-CN"/>
              </w:rPr>
              <w:t>12月螳螂川富民大桥断面每月的水质例行监测数据</w:t>
            </w:r>
            <w:r>
              <w:rPr>
                <w:rFonts w:hint="eastAsia" w:ascii="Times New Roman" w:hAnsi="Times New Roman" w:cs="Times New Roman"/>
                <w:color w:val="auto"/>
                <w:kern w:val="0"/>
                <w:sz w:val="24"/>
                <w:lang w:val="en-US" w:eastAsia="zh-CN"/>
              </w:rPr>
              <w:t>，</w:t>
            </w:r>
            <w:r>
              <w:rPr>
                <w:rFonts w:hint="default" w:ascii="Times New Roman" w:hAnsi="Times New Roman" w:cs="Times New Roman"/>
                <w:b w:val="0"/>
                <w:bCs w:val="0"/>
                <w:color w:val="auto"/>
                <w:kern w:val="0"/>
                <w:sz w:val="24"/>
                <w:szCs w:val="24"/>
                <w:lang w:val="en-US" w:eastAsia="zh-CN"/>
              </w:rPr>
              <w:t>螳螂川富民大桥断面水质</w:t>
            </w:r>
            <w:r>
              <w:rPr>
                <w:rFonts w:hint="default" w:ascii="Times New Roman" w:hAnsi="Times New Roman" w:cs="Times New Roman"/>
                <w:color w:val="auto"/>
                <w:kern w:val="0"/>
                <w:sz w:val="24"/>
                <w:szCs w:val="24"/>
                <w:lang w:eastAsia="zh-CN"/>
              </w:rPr>
              <w:t>除</w:t>
            </w:r>
            <w:r>
              <w:rPr>
                <w:rFonts w:hint="default" w:ascii="Times New Roman" w:hAnsi="Times New Roman" w:cs="Times New Roman"/>
                <w:color w:val="auto"/>
                <w:kern w:val="0"/>
                <w:sz w:val="24"/>
                <w:szCs w:val="24"/>
                <w:lang w:val="en-US" w:eastAsia="zh-CN"/>
              </w:rPr>
              <w:t>COD、BOD</w:t>
            </w:r>
            <w:r>
              <w:rPr>
                <w:rFonts w:hint="default" w:ascii="Times New Roman" w:hAnsi="Times New Roman" w:cs="Times New Roman"/>
                <w:color w:val="auto"/>
                <w:kern w:val="0"/>
                <w:sz w:val="24"/>
                <w:szCs w:val="24"/>
                <w:vertAlign w:val="subscript"/>
                <w:lang w:val="en-US" w:eastAsia="zh-CN"/>
              </w:rPr>
              <w:t>5</w:t>
            </w:r>
            <w:r>
              <w:rPr>
                <w:rFonts w:hint="default" w:ascii="Times New Roman" w:hAnsi="Times New Roman" w:cs="Times New Roman"/>
                <w:color w:val="auto"/>
                <w:kern w:val="0"/>
                <w:sz w:val="24"/>
                <w:szCs w:val="24"/>
                <w:lang w:val="en-US" w:eastAsia="zh-CN"/>
              </w:rPr>
              <w:t>、氨氮、总磷</w:t>
            </w:r>
            <w:r>
              <w:rPr>
                <w:rFonts w:hint="default" w:ascii="Times New Roman" w:hAnsi="Times New Roman" w:cs="Times New Roman"/>
                <w:b w:val="0"/>
                <w:bCs w:val="0"/>
                <w:color w:val="auto"/>
                <w:kern w:val="0"/>
                <w:sz w:val="24"/>
                <w:szCs w:val="24"/>
                <w:lang w:val="en-US" w:eastAsia="zh-CN"/>
              </w:rPr>
              <w:t>不能达到</w:t>
            </w:r>
            <w:r>
              <w:rPr>
                <w:rFonts w:hint="default" w:ascii="Times New Roman" w:hAnsi="Times New Roman" w:eastAsia="宋体" w:cs="Times New Roman"/>
                <w:color w:val="auto"/>
                <w:kern w:val="0"/>
                <w:sz w:val="24"/>
                <w:szCs w:val="24"/>
              </w:rPr>
              <w:t>《地表水环境质量标准》</w:t>
            </w:r>
            <w:r>
              <w:rPr>
                <w:rFonts w:hint="default" w:ascii="Times New Roman" w:hAnsi="Times New Roman" w:eastAsia="宋体" w:cs="Times New Roman"/>
                <w:color w:val="auto"/>
                <w:sz w:val="24"/>
                <w:szCs w:val="24"/>
              </w:rPr>
              <w:t>（GB3838-2002）</w:t>
            </w:r>
            <w:r>
              <w:rPr>
                <w:rFonts w:hint="default" w:ascii="Times New Roman" w:hAnsi="Times New Roman" w:eastAsia="宋体" w:cs="Times New Roman"/>
                <w:bCs/>
                <w:snapToGrid w:val="0"/>
                <w:color w:val="auto"/>
                <w:sz w:val="24"/>
                <w:szCs w:val="24"/>
              </w:rPr>
              <w:t>Ⅳ</w:t>
            </w:r>
            <w:r>
              <w:rPr>
                <w:rFonts w:hint="default" w:ascii="Times New Roman" w:hAnsi="Times New Roman" w:eastAsia="宋体" w:cs="Times New Roman"/>
                <w:color w:val="auto"/>
                <w:kern w:val="0"/>
                <w:sz w:val="24"/>
                <w:szCs w:val="24"/>
              </w:rPr>
              <w:t>类</w:t>
            </w:r>
            <w:r>
              <w:rPr>
                <w:rFonts w:hint="default" w:ascii="Times New Roman" w:hAnsi="Times New Roman" w:cs="Times New Roman"/>
                <w:color w:val="auto"/>
                <w:kern w:val="0"/>
                <w:sz w:val="24"/>
                <w:szCs w:val="24"/>
                <w:lang w:eastAsia="zh-CN"/>
              </w:rPr>
              <w:t>水</w:t>
            </w:r>
            <w:r>
              <w:rPr>
                <w:rFonts w:hint="default" w:ascii="Times New Roman" w:hAnsi="Times New Roman" w:eastAsia="宋体" w:cs="Times New Roman"/>
                <w:color w:val="auto"/>
                <w:kern w:val="0"/>
                <w:sz w:val="24"/>
                <w:szCs w:val="24"/>
              </w:rPr>
              <w:t>标准</w:t>
            </w:r>
            <w:r>
              <w:rPr>
                <w:rFonts w:hint="default" w:ascii="Times New Roman" w:hAnsi="Times New Roman" w:cs="Times New Roman"/>
                <w:color w:val="auto"/>
                <w:kern w:val="0"/>
                <w:sz w:val="24"/>
                <w:szCs w:val="24"/>
                <w:lang w:eastAsia="zh-CN"/>
              </w:rPr>
              <w:t>要求，其余指标均达标，超标原因主要是河流沿线有居民居住，存在一定的面源污染</w:t>
            </w:r>
            <w:r>
              <w:rPr>
                <w:rFonts w:hint="eastAsia" w:ascii="Times New Roman" w:hAnsi="Times New Roman" w:cs="Times New Roman"/>
                <w:color w:val="auto"/>
                <w:kern w:val="0"/>
                <w:sz w:val="24"/>
                <w:szCs w:val="24"/>
                <w:lang w:eastAsia="zh-CN"/>
              </w:rPr>
              <w:t>，螳螂川在进入富民境内已超标</w:t>
            </w:r>
            <w:r>
              <w:rPr>
                <w:rFonts w:hint="default" w:ascii="Times New Roman" w:hAnsi="Times New Roman" w:cs="Times New Roman"/>
                <w:color w:val="auto"/>
                <w:kern w:val="0"/>
                <w:sz w:val="24"/>
                <w:szCs w:val="24"/>
                <w:lang w:val="en-US" w:eastAsia="zh-CN"/>
              </w:rPr>
              <w:t>。</w:t>
            </w:r>
          </w:p>
          <w:p>
            <w:pPr>
              <w:autoSpaceDE w:val="0"/>
              <w:autoSpaceDN w:val="0"/>
              <w:adjustRightInd w:val="0"/>
              <w:spacing w:line="360" w:lineRule="auto"/>
              <w:ind w:firstLine="480" w:firstLineChars="200"/>
              <w:jc w:val="both"/>
              <w:outlineLvl w:val="1"/>
              <w:rPr>
                <w:rFonts w:hint="eastAsia"/>
                <w:lang w:eastAsia="zh-CN"/>
              </w:rPr>
            </w:pPr>
            <w:r>
              <w:rPr>
                <w:rFonts w:hint="default" w:ascii="Times New Roman" w:hAnsi="Times New Roman"/>
                <w:color w:val="000000"/>
                <w:sz w:val="24"/>
                <w:szCs w:val="24"/>
              </w:rPr>
              <w:t>（4）生态环境：</w:t>
            </w:r>
            <w:r>
              <w:rPr>
                <w:rFonts w:hint="default" w:ascii="Times New Roman" w:hAnsi="Times New Roman" w:cs="Times New Roman"/>
                <w:color w:val="auto"/>
                <w:sz w:val="24"/>
                <w:szCs w:val="24"/>
                <w:lang w:val="en-US" w:eastAsia="zh-CN"/>
              </w:rPr>
              <w:t>本项目</w:t>
            </w:r>
            <w:r>
              <w:rPr>
                <w:rFonts w:hint="eastAsia" w:ascii="Times New Roman" w:hAnsi="Times New Roman" w:cs="Times New Roman"/>
                <w:color w:val="auto"/>
                <w:sz w:val="24"/>
                <w:szCs w:val="24"/>
                <w:lang w:val="en-US" w:eastAsia="zh-CN"/>
              </w:rPr>
              <w:t>位于</w:t>
            </w:r>
            <w:r>
              <w:rPr>
                <w:rFonts w:hint="eastAsia" w:cs="Times New Roman"/>
                <w:color w:val="000000"/>
                <w:kern w:val="2"/>
                <w:sz w:val="24"/>
                <w:szCs w:val="24"/>
                <w:lang w:val="en-US" w:eastAsia="zh-CN" w:bidi="ar-SA"/>
              </w:rPr>
              <w:t>富民县工业园区哨箐片区</w:t>
            </w:r>
            <w:r>
              <w:rPr>
                <w:rFonts w:hint="eastAsia" w:ascii="Times New Roman" w:hAnsi="Times New Roman"/>
                <w:color w:val="000000"/>
                <w:sz w:val="24"/>
                <w:szCs w:val="24"/>
                <w:lang w:eastAsia="zh-CN"/>
              </w:rPr>
              <w:t>，</w:t>
            </w:r>
            <w:r>
              <w:rPr>
                <w:rFonts w:hint="eastAsia"/>
                <w:color w:val="auto"/>
                <w:sz w:val="24"/>
                <w:szCs w:val="24"/>
              </w:rPr>
              <w:t>根据现场调查，</w:t>
            </w:r>
            <w:r>
              <w:rPr>
                <w:rFonts w:hint="eastAsia"/>
                <w:color w:val="auto"/>
                <w:sz w:val="24"/>
                <w:szCs w:val="24"/>
                <w:lang w:eastAsia="zh-CN"/>
              </w:rPr>
              <w:t>项目区域内</w:t>
            </w:r>
            <w:r>
              <w:rPr>
                <w:rFonts w:hint="eastAsia"/>
                <w:color w:val="auto"/>
                <w:sz w:val="24"/>
                <w:szCs w:val="24"/>
              </w:rPr>
              <w:t>主要</w:t>
            </w:r>
            <w:r>
              <w:rPr>
                <w:rFonts w:hint="eastAsia"/>
                <w:color w:val="auto"/>
                <w:sz w:val="24"/>
                <w:szCs w:val="24"/>
                <w:lang w:eastAsia="zh-CN"/>
              </w:rPr>
              <w:t>植被类型为</w:t>
            </w:r>
            <w:r>
              <w:rPr>
                <w:rFonts w:hint="eastAsia"/>
                <w:color w:val="000000"/>
                <w:sz w:val="24"/>
                <w:szCs w:val="24"/>
                <w:lang w:eastAsia="zh-CN"/>
              </w:rPr>
              <w:t>城市绿化带</w:t>
            </w:r>
            <w:r>
              <w:rPr>
                <w:rFonts w:hint="eastAsia"/>
                <w:color w:val="auto"/>
                <w:sz w:val="24"/>
                <w:szCs w:val="24"/>
              </w:rPr>
              <w:t>，</w:t>
            </w:r>
            <w:r>
              <w:rPr>
                <w:rFonts w:ascii="New Times Romes" w:hAnsi="New Times Romes"/>
                <w:sz w:val="24"/>
                <w:szCs w:val="24"/>
              </w:rPr>
              <w:t>无原生植被、天然植被分布</w:t>
            </w:r>
            <w:r>
              <w:rPr>
                <w:rFonts w:hint="eastAsia" w:ascii="New Times Romes" w:hAnsi="New Times Romes"/>
                <w:sz w:val="24"/>
                <w:szCs w:val="24"/>
                <w:lang w:eastAsia="zh-CN"/>
              </w:rPr>
              <w:t>；</w:t>
            </w:r>
            <w:r>
              <w:rPr>
                <w:rFonts w:hint="eastAsia" w:ascii="宋体" w:hAnsi="宋体"/>
                <w:color w:val="000000"/>
                <w:sz w:val="24"/>
                <w:szCs w:val="24"/>
                <w:lang w:eastAsia="zh-CN"/>
              </w:rPr>
              <w:t>动物以适应人类活动的小型动物为主，</w:t>
            </w:r>
            <w:r>
              <w:rPr>
                <w:rFonts w:hint="eastAsia"/>
                <w:color w:val="auto"/>
                <w:sz w:val="24"/>
                <w:szCs w:val="24"/>
              </w:rPr>
              <w:t>项目区</w:t>
            </w:r>
            <w:r>
              <w:rPr>
                <w:rFonts w:hint="eastAsia"/>
                <w:color w:val="auto"/>
                <w:sz w:val="24"/>
                <w:szCs w:val="24"/>
                <w:lang w:eastAsia="zh-CN"/>
              </w:rPr>
              <w:t>域</w:t>
            </w:r>
            <w:r>
              <w:rPr>
                <w:rFonts w:hint="eastAsia"/>
                <w:color w:val="auto"/>
                <w:sz w:val="24"/>
                <w:szCs w:val="24"/>
              </w:rPr>
              <w:t>内不涉及国家级和省级重点保护物种、珍稀濒危物种，以及狭域分布物种；</w:t>
            </w:r>
            <w:r>
              <w:rPr>
                <w:rFonts w:hint="eastAsia"/>
                <w:color w:val="auto"/>
                <w:sz w:val="24"/>
                <w:szCs w:val="24"/>
                <w:lang w:eastAsia="zh-CN"/>
              </w:rPr>
              <w:t>区域</w:t>
            </w:r>
            <w:r>
              <w:rPr>
                <w:rFonts w:hint="eastAsia"/>
                <w:color w:val="auto"/>
                <w:sz w:val="24"/>
                <w:szCs w:val="24"/>
              </w:rPr>
              <w:t>内人为干扰较大，生物多样性单一，生态系统结构简单</w:t>
            </w:r>
            <w:r>
              <w:rPr>
                <w:rFonts w:hint="eastAsia"/>
                <w:color w:val="auto"/>
                <w:sz w:val="24"/>
                <w:szCs w:val="24"/>
                <w:lang w:eastAsia="zh-CN"/>
              </w:rPr>
              <w:t>。</w:t>
            </w:r>
            <w:r>
              <w:rPr>
                <w:rFonts w:ascii="Times New Roman" w:hAnsi="Times New Roman"/>
                <w:color w:val="000000"/>
                <w:sz w:val="24"/>
                <w:szCs w:val="24"/>
              </w:rPr>
              <w:t>从总体上来看，该项目所在区域生态环境一般</w:t>
            </w:r>
            <w:r>
              <w:rPr>
                <w:rFonts w:hint="eastAsia" w:ascii="Times New Roman" w:hAnsi="Times New Roman"/>
                <w:color w:val="000000"/>
                <w:sz w:val="24"/>
                <w:szCs w:val="24"/>
                <w:lang w:eastAsia="zh-CN"/>
              </w:rPr>
              <w:t>。</w:t>
            </w:r>
          </w:p>
          <w:p>
            <w:pPr>
              <w:numPr>
                <w:ilvl w:val="0"/>
                <w:numId w:val="0"/>
              </w:numPr>
              <w:spacing w:line="360" w:lineRule="auto"/>
              <w:ind w:firstLine="482" w:firstLineChars="200"/>
              <w:jc w:val="both"/>
              <w:outlineLvl w:val="1"/>
              <w:rPr>
                <w:rFonts w:ascii="Times New Roman" w:hAnsi="Times New Roman"/>
                <w:b/>
                <w:bCs/>
                <w:color w:val="000000"/>
                <w:sz w:val="24"/>
                <w:szCs w:val="24"/>
              </w:rPr>
            </w:pPr>
            <w:bookmarkStart w:id="147" w:name="_Toc19496"/>
            <w:bookmarkStart w:id="148" w:name="_Toc27907"/>
            <w:r>
              <w:rPr>
                <w:rFonts w:hint="eastAsia" w:ascii="Times New Roman" w:hAnsi="Times New Roman"/>
                <w:b/>
                <w:bCs/>
                <w:color w:val="000000"/>
                <w:sz w:val="24"/>
                <w:szCs w:val="24"/>
                <w:lang w:val="en-US" w:eastAsia="zh-CN"/>
              </w:rPr>
              <w:t>4、</w:t>
            </w:r>
            <w:r>
              <w:rPr>
                <w:rFonts w:ascii="Times New Roman" w:hAnsi="Times New Roman"/>
                <w:b/>
                <w:bCs/>
                <w:color w:val="000000"/>
                <w:sz w:val="24"/>
                <w:szCs w:val="24"/>
              </w:rPr>
              <w:t>环境影响分析结论</w:t>
            </w:r>
            <w:bookmarkEnd w:id="147"/>
            <w:bookmarkEnd w:id="148"/>
          </w:p>
          <w:p>
            <w:pPr>
              <w:pStyle w:val="18"/>
              <w:spacing w:line="360" w:lineRule="auto"/>
              <w:ind w:firstLine="482" w:firstLineChars="200"/>
              <w:jc w:val="both"/>
              <w:outlineLvl w:val="1"/>
              <w:rPr>
                <w:rFonts w:hint="eastAsia" w:ascii="宋体" w:hAnsi="宋体" w:cs="Times New Roman"/>
                <w:b/>
                <w:bCs/>
                <w:kern w:val="2"/>
                <w:sz w:val="24"/>
                <w:szCs w:val="24"/>
                <w:lang w:val="en-US" w:eastAsia="zh-CN" w:bidi="ar-SA"/>
              </w:rPr>
            </w:pPr>
            <w:r>
              <w:rPr>
                <w:rFonts w:hint="eastAsia" w:ascii="宋体" w:hAnsi="宋体" w:cs="Times New Roman"/>
                <w:b/>
                <w:bCs/>
                <w:kern w:val="2"/>
                <w:sz w:val="24"/>
                <w:szCs w:val="24"/>
                <w:lang w:val="en-US" w:eastAsia="zh-CN" w:bidi="ar-SA"/>
              </w:rPr>
              <w:t>施工期</w:t>
            </w:r>
          </w:p>
          <w:p>
            <w:pPr>
              <w:spacing w:line="360" w:lineRule="auto"/>
              <w:ind w:firstLine="480"/>
              <w:jc w:val="both"/>
              <w:outlineLvl w:val="1"/>
              <w:rPr>
                <w:rFonts w:hint="default" w:ascii="Times New Roman" w:hAnsi="Times New Roman" w:eastAsia="宋体" w:cs="Times New Roman"/>
                <w:bCs/>
                <w:sz w:val="24"/>
                <w:szCs w:val="20"/>
                <w:lang w:val="zh-CN" w:bidi="ar"/>
              </w:rPr>
            </w:pPr>
            <w:r>
              <w:rPr>
                <w:rFonts w:hint="default" w:ascii="Times New Roman" w:hAnsi="Times New Roman" w:eastAsia="宋体" w:cs="Times New Roman"/>
                <w:sz w:val="24"/>
              </w:rPr>
              <w:t>项目已建设完成，现为</w:t>
            </w:r>
            <w:r>
              <w:rPr>
                <w:rFonts w:hint="default" w:ascii="Times New Roman" w:hAnsi="Times New Roman" w:eastAsia="宋体" w:cs="Times New Roman"/>
                <w:sz w:val="24"/>
                <w:szCs w:val="24"/>
              </w:rPr>
              <w:t>完善环保手续</w:t>
            </w:r>
            <w:r>
              <w:rPr>
                <w:rFonts w:hint="default" w:ascii="Times New Roman" w:hAnsi="Times New Roman" w:eastAsia="宋体" w:cs="Times New Roman"/>
                <w:sz w:val="24"/>
              </w:rPr>
              <w:t>，据了解，项目建设过程中未收到附近居民的投诉，也未发生过环境污染事件。</w:t>
            </w:r>
            <w:r>
              <w:rPr>
                <w:rFonts w:hint="default" w:ascii="Times New Roman" w:hAnsi="Times New Roman" w:eastAsia="宋体" w:cs="Times New Roman"/>
                <w:bCs/>
                <w:sz w:val="24"/>
                <w:szCs w:val="20"/>
                <w:lang w:val="zh-CN" w:bidi="ar"/>
              </w:rPr>
              <w:t>本次评价后续施工主要为</w:t>
            </w:r>
            <w:r>
              <w:rPr>
                <w:rFonts w:hint="default" w:ascii="Times New Roman" w:hAnsi="Times New Roman" w:eastAsia="宋体" w:cs="Times New Roman"/>
                <w:sz w:val="24"/>
                <w:szCs w:val="24"/>
              </w:rPr>
              <w:t>废气收集处置措施（集气罩、活性炭装置）、排气筒及危废暂存间等环保设施的施工</w:t>
            </w:r>
            <w:r>
              <w:rPr>
                <w:rFonts w:hint="default" w:ascii="Times New Roman" w:hAnsi="Times New Roman" w:eastAsia="宋体" w:cs="Times New Roman"/>
                <w:bCs/>
                <w:sz w:val="24"/>
                <w:szCs w:val="20"/>
                <w:lang w:val="zh-CN" w:bidi="ar"/>
              </w:rPr>
              <w:t>，施工期较短，施工期产生的环境影响随施工结束而消失</w:t>
            </w:r>
            <w:r>
              <w:rPr>
                <w:rFonts w:hint="eastAsia" w:ascii="Times New Roman" w:hAnsi="Times New Roman" w:eastAsia="宋体" w:cs="Times New Roman"/>
                <w:bCs/>
                <w:sz w:val="24"/>
                <w:szCs w:val="20"/>
                <w:lang w:val="zh-CN" w:bidi="ar"/>
              </w:rPr>
              <w:t>。</w:t>
            </w:r>
          </w:p>
          <w:p>
            <w:pPr>
              <w:spacing w:line="360" w:lineRule="auto"/>
              <w:ind w:firstLine="480"/>
              <w:jc w:val="both"/>
              <w:outlineLvl w:val="1"/>
              <w:rPr>
                <w:rFonts w:hint="default" w:ascii="宋体" w:hAnsi="宋体" w:eastAsia="宋体" w:cs="Times New Roman"/>
                <w:b/>
                <w:bCs/>
                <w:kern w:val="2"/>
                <w:sz w:val="24"/>
                <w:szCs w:val="24"/>
                <w:lang w:val="en-US" w:eastAsia="zh-CN" w:bidi="ar-SA"/>
              </w:rPr>
            </w:pPr>
            <w:r>
              <w:rPr>
                <w:rFonts w:hint="eastAsia" w:ascii="宋体" w:hAnsi="宋体" w:cs="Times New Roman"/>
                <w:b/>
                <w:bCs/>
                <w:kern w:val="2"/>
                <w:sz w:val="24"/>
                <w:szCs w:val="24"/>
                <w:lang w:val="en-US" w:eastAsia="zh-CN" w:bidi="ar-SA"/>
              </w:rPr>
              <w:t>营运期</w:t>
            </w:r>
          </w:p>
          <w:p>
            <w:pPr>
              <w:pStyle w:val="18"/>
              <w:spacing w:line="360" w:lineRule="auto"/>
              <w:ind w:firstLine="482" w:firstLineChars="200"/>
              <w:jc w:val="both"/>
              <w:outlineLvl w:val="1"/>
              <w:rPr>
                <w:rFonts w:hint="default" w:ascii="宋体" w:hAnsi="宋体" w:eastAsia="宋体" w:cs="Times New Roman"/>
                <w:kern w:val="2"/>
                <w:sz w:val="24"/>
                <w:szCs w:val="24"/>
                <w:lang w:val="en-US" w:eastAsia="zh-CN" w:bidi="ar-SA"/>
              </w:rPr>
            </w:pPr>
            <w:r>
              <w:rPr>
                <w:rFonts w:hint="eastAsia"/>
                <w:b/>
                <w:bCs/>
                <w:color w:val="000000"/>
                <w:sz w:val="24"/>
                <w:szCs w:val="24"/>
                <w:lang w:eastAsia="zh-CN"/>
              </w:rPr>
              <w:t>（</w:t>
            </w:r>
            <w:r>
              <w:rPr>
                <w:rFonts w:hint="eastAsia"/>
                <w:b/>
                <w:bCs/>
                <w:color w:val="000000"/>
                <w:sz w:val="24"/>
                <w:szCs w:val="24"/>
                <w:lang w:val="en-US" w:eastAsia="zh-CN"/>
              </w:rPr>
              <w:t>1）</w:t>
            </w:r>
            <w:r>
              <w:rPr>
                <w:rFonts w:hint="eastAsia" w:ascii="Times New Roman" w:hAnsi="Times New Roman"/>
                <w:b/>
                <w:bCs/>
                <w:color w:val="000000"/>
                <w:sz w:val="24"/>
                <w:szCs w:val="24"/>
                <w:lang w:eastAsia="zh-CN"/>
              </w:rPr>
              <w:t>大气环境影响分析结论</w:t>
            </w:r>
          </w:p>
          <w:p>
            <w:pPr>
              <w:spacing w:line="360" w:lineRule="auto"/>
              <w:ind w:firstLine="480" w:firstLineChars="200"/>
              <w:outlineLvl w:val="1"/>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运营期废气主要为喷漆工序产生的</w:t>
            </w:r>
            <w:r>
              <w:rPr>
                <w:rFonts w:hint="eastAsia" w:cs="Times New Roman"/>
                <w:color w:val="auto"/>
                <w:sz w:val="24"/>
                <w:szCs w:val="24"/>
                <w:lang w:val="en-US" w:eastAsia="zh-CN"/>
              </w:rPr>
              <w:t>VOCs</w:t>
            </w:r>
            <w:r>
              <w:rPr>
                <w:rFonts w:hint="default" w:ascii="Times New Roman" w:hAnsi="Times New Roman" w:eastAsia="宋体" w:cs="Times New Roman"/>
                <w:color w:val="auto"/>
                <w:sz w:val="24"/>
                <w:szCs w:val="24"/>
                <w:lang w:val="en-US" w:eastAsia="zh-CN"/>
              </w:rPr>
              <w:t>、焊接工序产生焊接烟尘、机加工过程产生的金属粉尘。</w:t>
            </w:r>
          </w:p>
          <w:p>
            <w:pPr>
              <w:spacing w:line="360" w:lineRule="auto"/>
              <w:ind w:firstLine="480" w:firstLineChars="200"/>
              <w:outlineLvl w:val="1"/>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项目调漆、喷漆、晾干等过程均在负压密闭的喷漆室内进行，</w:t>
            </w:r>
            <w:r>
              <w:rPr>
                <w:rFonts w:hint="eastAsia" w:cs="Times New Roman"/>
                <w:color w:val="auto"/>
                <w:sz w:val="24"/>
                <w:szCs w:val="24"/>
                <w:lang w:val="en-US" w:eastAsia="zh-CN"/>
              </w:rPr>
              <w:t>VOCs</w:t>
            </w:r>
            <w:r>
              <w:rPr>
                <w:rFonts w:hint="default" w:ascii="Times New Roman" w:hAnsi="Times New Roman" w:eastAsia="宋体" w:cs="Times New Roman"/>
                <w:color w:val="auto"/>
                <w:sz w:val="24"/>
                <w:szCs w:val="24"/>
                <w:lang w:val="en-US" w:eastAsia="zh-CN"/>
              </w:rPr>
              <w:t>废气经收集后通过</w:t>
            </w:r>
            <w:r>
              <w:rPr>
                <w:rFonts w:hint="eastAsia" w:cs="Times New Roman"/>
                <w:color w:val="auto"/>
                <w:sz w:val="24"/>
                <w:szCs w:val="24"/>
                <w:lang w:val="en-US" w:eastAsia="zh-CN"/>
              </w:rPr>
              <w:t>过滤棉+活性炭</w:t>
            </w:r>
            <w:r>
              <w:rPr>
                <w:rFonts w:hint="default" w:ascii="Times New Roman" w:hAnsi="Times New Roman" w:eastAsia="宋体" w:cs="Times New Roman"/>
                <w:color w:val="auto"/>
                <w:sz w:val="24"/>
                <w:szCs w:val="24"/>
                <w:lang w:val="en-US" w:eastAsia="zh-CN"/>
              </w:rPr>
              <w:t>吸附处理装置处理后由</w:t>
            </w:r>
            <w:r>
              <w:rPr>
                <w:rFonts w:hint="eastAsia" w:eastAsia="宋体"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根15m高排气筒排放，少部分未被收集的废气无组织排放</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焊接烟尘</w:t>
            </w:r>
            <w:r>
              <w:rPr>
                <w:rFonts w:hint="eastAsia" w:eastAsia="宋体" w:cs="Times New Roman"/>
                <w:color w:val="auto"/>
                <w:sz w:val="24"/>
                <w:szCs w:val="24"/>
                <w:lang w:val="en-US" w:eastAsia="zh-CN"/>
              </w:rPr>
              <w:t>，</w:t>
            </w:r>
            <w:r>
              <w:rPr>
                <w:rFonts w:hint="eastAsia" w:cs="Times New Roman"/>
                <w:color w:val="auto"/>
                <w:sz w:val="24"/>
                <w:szCs w:val="24"/>
                <w:lang w:val="en-US" w:eastAsia="zh-CN"/>
              </w:rPr>
              <w:t>打磨粉尘</w:t>
            </w:r>
            <w:r>
              <w:rPr>
                <w:rFonts w:hint="eastAsia" w:eastAsia="宋体" w:cs="Times New Roman"/>
                <w:color w:val="auto"/>
                <w:sz w:val="24"/>
                <w:szCs w:val="24"/>
                <w:lang w:val="en-US" w:eastAsia="zh-CN"/>
              </w:rPr>
              <w:t>经过</w:t>
            </w:r>
            <w:r>
              <w:rPr>
                <w:rFonts w:hint="eastAsia" w:cs="Times New Roman"/>
                <w:color w:val="auto"/>
                <w:sz w:val="24"/>
                <w:szCs w:val="24"/>
                <w:lang w:val="en-US" w:eastAsia="zh-CN"/>
              </w:rPr>
              <w:t>移动式烟尘净化器处理后，再经过</w:t>
            </w:r>
            <w:r>
              <w:rPr>
                <w:rFonts w:hint="eastAsia" w:eastAsia="宋体" w:cs="Times New Roman"/>
                <w:color w:val="auto"/>
                <w:sz w:val="24"/>
                <w:szCs w:val="24"/>
                <w:lang w:val="en-US" w:eastAsia="zh-CN"/>
              </w:rPr>
              <w:t>车间自然沉降后以无组织形式排放</w:t>
            </w:r>
            <w:r>
              <w:rPr>
                <w:rFonts w:hint="default" w:ascii="Times New Roman" w:hAnsi="Times New Roman" w:eastAsia="宋体" w:cs="Times New Roman"/>
                <w:color w:val="auto"/>
                <w:sz w:val="24"/>
                <w:szCs w:val="24"/>
                <w:lang w:val="en-US" w:eastAsia="zh-CN"/>
              </w:rPr>
              <w:t>。经预测分析，</w:t>
            </w:r>
            <w:r>
              <w:rPr>
                <w:rFonts w:hint="eastAsia"/>
                <w:color w:val="auto"/>
                <w:sz w:val="24"/>
                <w:szCs w:val="24"/>
                <w:lang w:eastAsia="zh-CN"/>
              </w:rPr>
              <w:t>有</w:t>
            </w:r>
            <w:r>
              <w:rPr>
                <w:rFonts w:hint="default"/>
                <w:color w:val="auto"/>
                <w:sz w:val="24"/>
                <w:szCs w:val="24"/>
              </w:rPr>
              <w:t>组织废气</w:t>
            </w:r>
            <w:r>
              <w:rPr>
                <w:rFonts w:hint="default"/>
                <w:color w:val="auto"/>
                <w:sz w:val="24"/>
                <w:szCs w:val="24"/>
                <w:lang w:eastAsia="zh-CN"/>
              </w:rPr>
              <w:t>排放的</w:t>
            </w:r>
            <w:r>
              <w:rPr>
                <w:rFonts w:hint="default"/>
                <w:color w:val="auto"/>
                <w:sz w:val="24"/>
                <w:szCs w:val="24"/>
                <w:lang w:val="en-US" w:eastAsia="zh-CN"/>
              </w:rPr>
              <w:t>TSP、</w:t>
            </w:r>
            <w:r>
              <w:rPr>
                <w:rFonts w:hint="eastAsia"/>
                <w:color w:val="auto"/>
                <w:sz w:val="24"/>
                <w:szCs w:val="24"/>
                <w:lang w:val="en-US" w:eastAsia="zh-CN"/>
              </w:rPr>
              <w:t>VOCs</w:t>
            </w:r>
            <w:r>
              <w:rPr>
                <w:rFonts w:hint="default"/>
                <w:color w:val="auto"/>
                <w:sz w:val="24"/>
                <w:szCs w:val="24"/>
                <w:lang w:eastAsia="zh-CN"/>
              </w:rPr>
              <w:t>；最大落地浓度</w:t>
            </w:r>
            <w:r>
              <w:rPr>
                <w:rFonts w:hint="default"/>
                <w:color w:val="auto"/>
                <w:sz w:val="24"/>
                <w:szCs w:val="24"/>
              </w:rPr>
              <w:t>为</w:t>
            </w:r>
            <w:r>
              <w:rPr>
                <w:rFonts w:hint="eastAsia"/>
                <w:color w:val="auto"/>
                <w:sz w:val="24"/>
                <w:szCs w:val="24"/>
                <w:lang w:val="en-US" w:eastAsia="zh-CN"/>
              </w:rPr>
              <w:t>18.018</w:t>
            </w:r>
            <w:r>
              <w:rPr>
                <w:rFonts w:hint="default"/>
                <w:color w:val="auto"/>
                <w:sz w:val="24"/>
                <w:szCs w:val="24"/>
                <w:lang w:val="en-US" w:eastAsia="zh-CN"/>
              </w:rPr>
              <w:t>u</w:t>
            </w:r>
            <w:r>
              <w:rPr>
                <w:rFonts w:hint="default"/>
                <w:color w:val="auto"/>
                <w:sz w:val="24"/>
                <w:szCs w:val="24"/>
              </w:rPr>
              <w:t>g/</w:t>
            </w:r>
            <w:r>
              <w:rPr>
                <w:rFonts w:hint="eastAsia"/>
                <w:color w:val="auto"/>
                <w:sz w:val="24"/>
                <w:szCs w:val="24"/>
                <w:lang w:val="en-US" w:eastAsia="zh-CN"/>
              </w:rPr>
              <w:t>m</w:t>
            </w:r>
            <w:r>
              <w:rPr>
                <w:rFonts w:hint="eastAsia"/>
                <w:color w:val="auto"/>
                <w:sz w:val="24"/>
                <w:szCs w:val="24"/>
                <w:vertAlign w:val="superscript"/>
                <w:lang w:val="en-US" w:eastAsia="zh-CN"/>
              </w:rPr>
              <w:t>3</w:t>
            </w:r>
            <w:r>
              <w:rPr>
                <w:rFonts w:hint="default"/>
                <w:color w:val="auto"/>
                <w:sz w:val="24"/>
                <w:szCs w:val="24"/>
              </w:rPr>
              <w:t>、</w:t>
            </w:r>
            <w:r>
              <w:rPr>
                <w:rFonts w:hint="eastAsia"/>
                <w:color w:val="auto"/>
                <w:sz w:val="24"/>
                <w:szCs w:val="24"/>
                <w:lang w:val="en-US" w:eastAsia="zh-CN"/>
              </w:rPr>
              <w:t>4.505</w:t>
            </w:r>
            <w:r>
              <w:rPr>
                <w:rFonts w:hint="default"/>
                <w:color w:val="auto"/>
                <w:sz w:val="24"/>
                <w:szCs w:val="24"/>
                <w:lang w:val="en-US" w:eastAsia="zh-CN"/>
              </w:rPr>
              <w:t>u</w:t>
            </w:r>
            <w:r>
              <w:rPr>
                <w:rFonts w:hint="default"/>
                <w:color w:val="auto"/>
                <w:sz w:val="24"/>
                <w:szCs w:val="24"/>
              </w:rPr>
              <w:t>g/</w:t>
            </w:r>
            <w:r>
              <w:rPr>
                <w:rFonts w:hint="eastAsia"/>
                <w:color w:val="auto"/>
                <w:sz w:val="24"/>
                <w:szCs w:val="24"/>
                <w:lang w:val="en-US" w:eastAsia="zh-CN"/>
              </w:rPr>
              <w:t>m</w:t>
            </w:r>
            <w:r>
              <w:rPr>
                <w:rFonts w:hint="eastAsia"/>
                <w:color w:val="auto"/>
                <w:sz w:val="24"/>
                <w:szCs w:val="24"/>
                <w:vertAlign w:val="superscript"/>
                <w:lang w:val="en-US" w:eastAsia="zh-CN"/>
              </w:rPr>
              <w:t>3</w:t>
            </w:r>
            <w:r>
              <w:rPr>
                <w:rFonts w:hint="default"/>
                <w:color w:val="auto"/>
                <w:sz w:val="24"/>
                <w:szCs w:val="24"/>
                <w:lang w:eastAsia="zh-CN"/>
              </w:rPr>
              <w:t>分别满足</w:t>
            </w:r>
            <w:r>
              <w:rPr>
                <w:rFonts w:hint="default"/>
                <w:color w:val="auto"/>
                <w:sz w:val="24"/>
                <w:szCs w:val="24"/>
              </w:rPr>
              <w:t>《环境空气质量标准》</w:t>
            </w:r>
            <w:r>
              <w:rPr>
                <w:rFonts w:hint="eastAsia"/>
                <w:color w:val="auto"/>
                <w:sz w:val="24"/>
                <w:szCs w:val="24"/>
                <w:lang w:eastAsia="zh-CN"/>
              </w:rPr>
              <w:t>（</w:t>
            </w:r>
            <w:r>
              <w:rPr>
                <w:rFonts w:hint="default"/>
                <w:color w:val="auto"/>
                <w:sz w:val="24"/>
                <w:szCs w:val="24"/>
              </w:rPr>
              <w:t>GB3095-2012</w:t>
            </w:r>
            <w:r>
              <w:rPr>
                <w:rFonts w:hint="eastAsia"/>
                <w:color w:val="auto"/>
                <w:sz w:val="24"/>
                <w:szCs w:val="24"/>
                <w:lang w:eastAsia="zh-CN"/>
              </w:rPr>
              <w:t>）</w:t>
            </w:r>
            <w:r>
              <w:rPr>
                <w:rFonts w:hint="default"/>
                <w:color w:val="auto"/>
                <w:sz w:val="24"/>
                <w:szCs w:val="24"/>
              </w:rPr>
              <w:t>二级浓度限值</w:t>
            </w:r>
            <w:r>
              <w:rPr>
                <w:rFonts w:hint="default"/>
                <w:color w:val="auto"/>
                <w:sz w:val="24"/>
                <w:szCs w:val="24"/>
                <w:lang w:eastAsia="zh-CN"/>
              </w:rPr>
              <w:t>（TSP≤900ug/</w:t>
            </w:r>
            <w:r>
              <w:rPr>
                <w:rFonts w:hint="eastAsia"/>
                <w:color w:val="auto"/>
                <w:sz w:val="24"/>
                <w:szCs w:val="24"/>
                <w:lang w:val="en-US" w:eastAsia="zh-CN"/>
              </w:rPr>
              <w:t>m</w:t>
            </w:r>
            <w:r>
              <w:rPr>
                <w:rFonts w:hint="eastAsia"/>
                <w:color w:val="auto"/>
                <w:sz w:val="24"/>
                <w:szCs w:val="24"/>
                <w:vertAlign w:val="superscript"/>
                <w:lang w:val="en-US" w:eastAsia="zh-CN"/>
              </w:rPr>
              <w:t>3</w:t>
            </w:r>
            <w:r>
              <w:rPr>
                <w:rFonts w:hint="default"/>
                <w:color w:val="auto"/>
                <w:sz w:val="24"/>
                <w:szCs w:val="24"/>
                <w:lang w:eastAsia="zh-CN"/>
              </w:rPr>
              <w:t>）</w:t>
            </w:r>
            <w:r>
              <w:rPr>
                <w:rFonts w:hint="eastAsia"/>
                <w:color w:val="auto"/>
                <w:sz w:val="24"/>
                <w:szCs w:val="24"/>
                <w:lang w:eastAsia="zh-CN"/>
              </w:rPr>
              <w:t>、</w:t>
            </w:r>
            <w:r>
              <w:rPr>
                <w:rFonts w:hint="eastAsia"/>
                <w:color w:val="auto"/>
                <w:sz w:val="24"/>
                <w:szCs w:val="24"/>
                <w:lang w:val="en-US" w:eastAsia="zh-CN"/>
              </w:rPr>
              <w:t>《环境影响评价技术导则-大气环境》HJ2.2-2018附录D中关于TVOC限值要求</w:t>
            </w:r>
            <w:r>
              <w:rPr>
                <w:rFonts w:hint="default"/>
                <w:color w:val="auto"/>
                <w:sz w:val="24"/>
                <w:szCs w:val="24"/>
                <w:lang w:eastAsia="zh-CN"/>
              </w:rPr>
              <w:t>（T</w:t>
            </w:r>
            <w:r>
              <w:rPr>
                <w:rFonts w:hint="eastAsia"/>
                <w:color w:val="auto"/>
                <w:sz w:val="24"/>
                <w:szCs w:val="24"/>
                <w:lang w:val="en-US" w:eastAsia="zh-CN"/>
              </w:rPr>
              <w:t>VOC</w:t>
            </w:r>
            <w:r>
              <w:rPr>
                <w:rFonts w:hint="default"/>
                <w:color w:val="auto"/>
                <w:sz w:val="24"/>
                <w:szCs w:val="24"/>
                <w:lang w:eastAsia="zh-CN"/>
              </w:rPr>
              <w:t>≤</w:t>
            </w:r>
            <w:r>
              <w:rPr>
                <w:rFonts w:hint="eastAsia"/>
                <w:color w:val="auto"/>
                <w:sz w:val="24"/>
                <w:szCs w:val="24"/>
                <w:lang w:val="en-US" w:eastAsia="zh-CN"/>
              </w:rPr>
              <w:t>600</w:t>
            </w:r>
            <w:r>
              <w:rPr>
                <w:rFonts w:hint="default"/>
                <w:color w:val="auto"/>
                <w:sz w:val="24"/>
                <w:szCs w:val="24"/>
                <w:lang w:eastAsia="zh-CN"/>
              </w:rPr>
              <w:t>ug/</w:t>
            </w:r>
            <w:r>
              <w:rPr>
                <w:rFonts w:hint="eastAsia"/>
                <w:color w:val="auto"/>
                <w:sz w:val="24"/>
                <w:szCs w:val="24"/>
                <w:lang w:val="en-US" w:eastAsia="zh-CN"/>
              </w:rPr>
              <w:t>m</w:t>
            </w:r>
            <w:r>
              <w:rPr>
                <w:rFonts w:hint="eastAsia"/>
                <w:color w:val="auto"/>
                <w:sz w:val="24"/>
                <w:szCs w:val="24"/>
                <w:vertAlign w:val="superscript"/>
                <w:lang w:val="en-US" w:eastAsia="zh-CN"/>
              </w:rPr>
              <w:t>3</w:t>
            </w:r>
            <w:r>
              <w:rPr>
                <w:rFonts w:hint="default"/>
                <w:color w:val="auto"/>
                <w:sz w:val="24"/>
                <w:szCs w:val="24"/>
                <w:lang w:eastAsia="zh-CN"/>
              </w:rPr>
              <w:t>）</w:t>
            </w:r>
            <w:r>
              <w:rPr>
                <w:rFonts w:hint="eastAsia"/>
                <w:color w:val="auto"/>
                <w:sz w:val="24"/>
                <w:szCs w:val="24"/>
                <w:lang w:eastAsia="zh-CN"/>
              </w:rPr>
              <w:t>，无组织排放的</w:t>
            </w:r>
            <w:r>
              <w:rPr>
                <w:rFonts w:hint="default"/>
                <w:color w:val="auto"/>
                <w:sz w:val="24"/>
                <w:szCs w:val="24"/>
                <w:lang w:val="en-US" w:eastAsia="zh-CN"/>
              </w:rPr>
              <w:t>TSP、</w:t>
            </w:r>
            <w:r>
              <w:rPr>
                <w:rFonts w:hint="eastAsia"/>
                <w:color w:val="auto"/>
                <w:sz w:val="24"/>
                <w:szCs w:val="24"/>
                <w:lang w:val="en-US" w:eastAsia="zh-CN"/>
              </w:rPr>
              <w:t>VOCs</w:t>
            </w:r>
            <w:r>
              <w:rPr>
                <w:rFonts w:hint="default"/>
                <w:color w:val="auto"/>
                <w:sz w:val="24"/>
                <w:szCs w:val="24"/>
              </w:rPr>
              <w:t>下风向最大落地浓度为</w:t>
            </w:r>
            <w:r>
              <w:rPr>
                <w:rFonts w:hint="eastAsia"/>
                <w:color w:val="auto"/>
                <w:sz w:val="24"/>
                <w:szCs w:val="24"/>
                <w:lang w:val="en-US" w:eastAsia="zh-CN"/>
              </w:rPr>
              <w:t>65.67</w:t>
            </w:r>
            <w:r>
              <w:rPr>
                <w:rFonts w:hint="default"/>
                <w:color w:val="auto"/>
                <w:sz w:val="24"/>
                <w:szCs w:val="24"/>
                <w:lang w:val="en-US" w:eastAsia="zh-CN"/>
              </w:rPr>
              <w:t>u</w:t>
            </w:r>
            <w:r>
              <w:rPr>
                <w:rFonts w:hint="default"/>
                <w:color w:val="auto"/>
                <w:sz w:val="24"/>
                <w:szCs w:val="24"/>
              </w:rPr>
              <w:t>g/</w:t>
            </w:r>
            <w:r>
              <w:rPr>
                <w:rFonts w:hint="eastAsia"/>
                <w:color w:val="auto"/>
                <w:sz w:val="24"/>
                <w:szCs w:val="24"/>
                <w:lang w:val="en-US" w:eastAsia="zh-CN"/>
              </w:rPr>
              <w:t>m</w:t>
            </w:r>
            <w:r>
              <w:rPr>
                <w:rFonts w:hint="eastAsia"/>
                <w:color w:val="auto"/>
                <w:sz w:val="24"/>
                <w:szCs w:val="24"/>
                <w:vertAlign w:val="superscript"/>
                <w:lang w:val="en-US" w:eastAsia="zh-CN"/>
              </w:rPr>
              <w:t>3</w:t>
            </w:r>
            <w:r>
              <w:rPr>
                <w:rFonts w:hint="default"/>
                <w:color w:val="auto"/>
                <w:sz w:val="24"/>
                <w:szCs w:val="24"/>
              </w:rPr>
              <w:t>、</w:t>
            </w:r>
            <w:r>
              <w:rPr>
                <w:rFonts w:hint="eastAsia"/>
                <w:color w:val="auto"/>
                <w:sz w:val="24"/>
                <w:szCs w:val="24"/>
                <w:lang w:val="en-US" w:eastAsia="zh-CN"/>
              </w:rPr>
              <w:t>46.32</w:t>
            </w:r>
            <w:r>
              <w:rPr>
                <w:rFonts w:hint="default"/>
                <w:color w:val="auto"/>
                <w:sz w:val="24"/>
                <w:szCs w:val="24"/>
                <w:lang w:val="en-US" w:eastAsia="zh-CN"/>
              </w:rPr>
              <w:t>u</w:t>
            </w:r>
            <w:r>
              <w:rPr>
                <w:rFonts w:hint="default"/>
                <w:color w:val="auto"/>
                <w:sz w:val="24"/>
                <w:szCs w:val="24"/>
              </w:rPr>
              <w:t>g/</w:t>
            </w:r>
            <w:r>
              <w:rPr>
                <w:rFonts w:hint="eastAsia"/>
                <w:color w:val="auto"/>
                <w:sz w:val="24"/>
                <w:szCs w:val="24"/>
                <w:lang w:val="en-US" w:eastAsia="zh-CN"/>
              </w:rPr>
              <w:t>m</w:t>
            </w:r>
            <w:r>
              <w:rPr>
                <w:rFonts w:hint="eastAsia"/>
                <w:color w:val="auto"/>
                <w:sz w:val="24"/>
                <w:szCs w:val="24"/>
                <w:vertAlign w:val="superscript"/>
                <w:lang w:val="en-US" w:eastAsia="zh-CN"/>
              </w:rPr>
              <w:t>3</w:t>
            </w:r>
            <w:r>
              <w:rPr>
                <w:rFonts w:hint="default"/>
                <w:color w:val="auto"/>
                <w:sz w:val="24"/>
                <w:szCs w:val="24"/>
                <w:lang w:eastAsia="zh-CN"/>
              </w:rPr>
              <w:t>；最大地面落地浓度分别满足《环境空气质量标准》(GB3095-2012)二级标准要求（TSP≤900ug/</w:t>
            </w:r>
            <w:r>
              <w:rPr>
                <w:rFonts w:hint="eastAsia"/>
                <w:color w:val="auto"/>
                <w:sz w:val="24"/>
                <w:szCs w:val="24"/>
                <w:lang w:val="en-US" w:eastAsia="zh-CN"/>
              </w:rPr>
              <w:t>m</w:t>
            </w:r>
            <w:r>
              <w:rPr>
                <w:rFonts w:hint="eastAsia"/>
                <w:color w:val="auto"/>
                <w:sz w:val="24"/>
                <w:szCs w:val="24"/>
                <w:vertAlign w:val="superscript"/>
                <w:lang w:val="en-US" w:eastAsia="zh-CN"/>
              </w:rPr>
              <w:t>3</w:t>
            </w:r>
            <w:r>
              <w:rPr>
                <w:rFonts w:hint="default"/>
                <w:color w:val="auto"/>
                <w:sz w:val="24"/>
                <w:szCs w:val="24"/>
                <w:lang w:eastAsia="zh-CN"/>
              </w:rPr>
              <w:t>）、</w:t>
            </w:r>
            <w:r>
              <w:rPr>
                <w:rFonts w:hint="eastAsia"/>
                <w:color w:val="auto"/>
                <w:sz w:val="24"/>
                <w:szCs w:val="24"/>
                <w:lang w:val="en-US" w:eastAsia="zh-CN"/>
              </w:rPr>
              <w:t>《环境影响评价技术导则-大气环境》HJ2.2-2018附录D中关于TVOC限值要求</w:t>
            </w:r>
            <w:r>
              <w:rPr>
                <w:rFonts w:hint="default"/>
                <w:color w:val="auto"/>
                <w:sz w:val="24"/>
                <w:szCs w:val="24"/>
                <w:lang w:eastAsia="zh-CN"/>
              </w:rPr>
              <w:t>（T</w:t>
            </w:r>
            <w:r>
              <w:rPr>
                <w:rFonts w:hint="eastAsia"/>
                <w:color w:val="auto"/>
                <w:sz w:val="24"/>
                <w:szCs w:val="24"/>
                <w:lang w:val="en-US" w:eastAsia="zh-CN"/>
              </w:rPr>
              <w:t>VOC</w:t>
            </w:r>
            <w:r>
              <w:rPr>
                <w:rFonts w:hint="default"/>
                <w:color w:val="auto"/>
                <w:sz w:val="24"/>
                <w:szCs w:val="24"/>
                <w:lang w:eastAsia="zh-CN"/>
              </w:rPr>
              <w:t>≤</w:t>
            </w:r>
            <w:r>
              <w:rPr>
                <w:rFonts w:hint="eastAsia"/>
                <w:color w:val="auto"/>
                <w:sz w:val="24"/>
                <w:szCs w:val="24"/>
                <w:lang w:val="en-US" w:eastAsia="zh-CN"/>
              </w:rPr>
              <w:t>600</w:t>
            </w:r>
            <w:r>
              <w:rPr>
                <w:rFonts w:hint="default"/>
                <w:color w:val="auto"/>
                <w:sz w:val="24"/>
                <w:szCs w:val="24"/>
                <w:lang w:eastAsia="zh-CN"/>
              </w:rPr>
              <w:t>ug/</w:t>
            </w:r>
            <w:r>
              <w:rPr>
                <w:rFonts w:hint="eastAsia"/>
                <w:color w:val="auto"/>
                <w:sz w:val="24"/>
                <w:szCs w:val="24"/>
                <w:lang w:val="en-US" w:eastAsia="zh-CN"/>
              </w:rPr>
              <w:t>m</w:t>
            </w:r>
            <w:r>
              <w:rPr>
                <w:rFonts w:hint="eastAsia"/>
                <w:color w:val="auto"/>
                <w:sz w:val="24"/>
                <w:szCs w:val="24"/>
                <w:vertAlign w:val="superscript"/>
                <w:lang w:val="en-US" w:eastAsia="zh-CN"/>
              </w:rPr>
              <w:t>3</w:t>
            </w:r>
            <w:r>
              <w:rPr>
                <w:rFonts w:hint="default"/>
                <w:color w:val="auto"/>
                <w:sz w:val="24"/>
                <w:szCs w:val="24"/>
                <w:lang w:eastAsia="zh-CN"/>
              </w:rPr>
              <w:t>）</w:t>
            </w:r>
            <w:r>
              <w:rPr>
                <w:rFonts w:hint="default" w:ascii="Times New Roman" w:hAnsi="Times New Roman" w:eastAsia="宋体" w:cs="Times New Roman"/>
                <w:color w:val="auto"/>
                <w:sz w:val="24"/>
                <w:szCs w:val="24"/>
                <w:lang w:val="en-US" w:eastAsia="zh-CN"/>
              </w:rPr>
              <w:t>。最大占标率均在10%以下，对周围环境影响较小。</w:t>
            </w:r>
          </w:p>
          <w:p>
            <w:pPr>
              <w:autoSpaceDE w:val="0"/>
              <w:autoSpaceDN w:val="0"/>
              <w:adjustRightInd w:val="0"/>
              <w:spacing w:line="360" w:lineRule="auto"/>
              <w:ind w:firstLine="482" w:firstLineChars="200"/>
              <w:jc w:val="both"/>
              <w:outlineLvl w:val="1"/>
              <w:rPr>
                <w:rFonts w:ascii="Times New Roman" w:hAnsi="Times New Roman"/>
                <w:b/>
                <w:bCs/>
                <w:color w:val="000000"/>
                <w:sz w:val="24"/>
                <w:szCs w:val="24"/>
              </w:rPr>
            </w:pPr>
            <w:r>
              <w:rPr>
                <w:rFonts w:hint="eastAsia"/>
                <w:b/>
                <w:bCs/>
                <w:color w:val="000000"/>
                <w:sz w:val="24"/>
                <w:szCs w:val="24"/>
                <w:lang w:eastAsia="zh-CN"/>
              </w:rPr>
              <w:t>（</w:t>
            </w:r>
            <w:r>
              <w:rPr>
                <w:rFonts w:hint="eastAsia"/>
                <w:b/>
                <w:bCs/>
                <w:color w:val="000000"/>
                <w:sz w:val="24"/>
                <w:szCs w:val="24"/>
                <w:lang w:val="en-US" w:eastAsia="zh-CN"/>
              </w:rPr>
              <w:t>2</w:t>
            </w:r>
            <w:r>
              <w:rPr>
                <w:rFonts w:hint="eastAsia"/>
                <w:b/>
                <w:bCs/>
                <w:color w:val="000000"/>
                <w:sz w:val="24"/>
                <w:szCs w:val="24"/>
                <w:lang w:eastAsia="zh-CN"/>
              </w:rPr>
              <w:t>）</w:t>
            </w:r>
            <w:r>
              <w:rPr>
                <w:rFonts w:hint="eastAsia" w:ascii="Times New Roman" w:hAnsi="Times New Roman"/>
                <w:b/>
                <w:bCs/>
                <w:color w:val="000000"/>
                <w:sz w:val="24"/>
                <w:szCs w:val="24"/>
                <w:lang w:eastAsia="zh-CN"/>
              </w:rPr>
              <w:t>水环境影响分析结论</w:t>
            </w:r>
          </w:p>
          <w:p>
            <w:pPr>
              <w:pStyle w:val="18"/>
              <w:spacing w:line="360" w:lineRule="auto"/>
              <w:ind w:firstLine="480" w:firstLineChars="200"/>
              <w:jc w:val="both"/>
              <w:outlineLvl w:val="1"/>
              <w:rPr>
                <w:rFonts w:hint="default" w:ascii="Times New Roman" w:hAnsi="Times New Roman"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根据工程分析可知，项目</w:t>
            </w:r>
            <w:r>
              <w:rPr>
                <w:rFonts w:hint="eastAsia" w:ascii="Times New Roman" w:hAnsi="Times New Roman" w:cs="Times New Roman"/>
                <w:color w:val="000000"/>
                <w:kern w:val="2"/>
                <w:sz w:val="24"/>
                <w:szCs w:val="24"/>
                <w:lang w:val="en-US" w:eastAsia="zh-CN" w:bidi="ar-SA"/>
              </w:rPr>
              <w:t>营运期</w:t>
            </w:r>
            <w:r>
              <w:rPr>
                <w:rFonts w:hint="eastAsia" w:ascii="Times New Roman" w:hAnsi="Times New Roman" w:eastAsia="宋体" w:cs="Times New Roman"/>
                <w:color w:val="000000"/>
                <w:kern w:val="2"/>
                <w:sz w:val="24"/>
                <w:szCs w:val="24"/>
                <w:lang w:val="en-US" w:eastAsia="zh-CN" w:bidi="ar-SA"/>
              </w:rPr>
              <w:t>废水主要来源于</w:t>
            </w:r>
            <w:r>
              <w:rPr>
                <w:rFonts w:hint="eastAsia" w:cs="Times New Roman"/>
                <w:color w:val="000000"/>
                <w:kern w:val="2"/>
                <w:sz w:val="24"/>
                <w:szCs w:val="24"/>
                <w:lang w:val="en-US" w:eastAsia="zh-CN" w:bidi="ar-SA"/>
              </w:rPr>
              <w:t>生活污水</w:t>
            </w:r>
            <w:r>
              <w:rPr>
                <w:rFonts w:hint="eastAsia" w:ascii="Times New Roman" w:hAnsi="Times New Roman" w:cs="Times New Roman"/>
                <w:color w:val="000000"/>
                <w:kern w:val="2"/>
                <w:sz w:val="24"/>
                <w:szCs w:val="24"/>
                <w:lang w:val="en-US" w:eastAsia="zh-CN" w:bidi="ar-SA"/>
              </w:rPr>
              <w:t>，</w:t>
            </w:r>
            <w:r>
              <w:rPr>
                <w:rFonts w:hint="eastAsia" w:cs="Times New Roman"/>
                <w:color w:val="000000"/>
                <w:kern w:val="2"/>
                <w:sz w:val="24"/>
                <w:szCs w:val="24"/>
                <w:lang w:val="en-US" w:eastAsia="zh-CN" w:bidi="ar-SA"/>
              </w:rPr>
              <w:t>无</w:t>
            </w:r>
            <w:r>
              <w:rPr>
                <w:rFonts w:hint="eastAsia" w:ascii="Times New Roman" w:hAnsi="Times New Roman" w:cs="Times New Roman"/>
                <w:color w:val="000000"/>
                <w:kern w:val="2"/>
                <w:sz w:val="24"/>
                <w:szCs w:val="24"/>
                <w:lang w:val="en-US" w:eastAsia="zh-CN" w:bidi="ar-SA"/>
              </w:rPr>
              <w:t>生产废水</w:t>
            </w:r>
            <w:r>
              <w:rPr>
                <w:rFonts w:hint="eastAsia" w:cs="Times New Roman"/>
                <w:color w:val="000000"/>
                <w:kern w:val="2"/>
                <w:sz w:val="24"/>
                <w:szCs w:val="24"/>
                <w:lang w:val="en-US" w:eastAsia="zh-CN" w:bidi="ar-SA"/>
              </w:rPr>
              <w:t>产生</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项目营运期采用雨污分流制排水系统，项目不产生生产废水，雨水经厂区截排水沟收集后排入园区污水处理厂管网，生活污水经化粪池处理达到《污水排入城镇下水道水质标准》（GB/T31962-2015）表1中</w:t>
            </w:r>
            <w:r>
              <w:rPr>
                <w:rFonts w:hint="eastAsia" w:cs="Times New Roman"/>
                <w:color w:val="auto"/>
                <w:kern w:val="2"/>
                <w:sz w:val="24"/>
                <w:szCs w:val="24"/>
                <w:lang w:val="en-US" w:eastAsia="zh-CN" w:bidi="ar-SA"/>
              </w:rPr>
              <w:t>A级标准</w:t>
            </w:r>
            <w:r>
              <w:rPr>
                <w:rFonts w:hint="eastAsia" w:ascii="Times New Roman" w:hAnsi="Times New Roman" w:eastAsia="宋体" w:cs="Times New Roman"/>
                <w:color w:val="auto"/>
                <w:kern w:val="2"/>
                <w:sz w:val="24"/>
                <w:szCs w:val="24"/>
                <w:lang w:val="en-US" w:eastAsia="zh-CN" w:bidi="ar-SA"/>
              </w:rPr>
              <w:t>后排入园区污水管网。因此，项目营运期产生的废水不会进入外环境，对项目所在区域的地表水环境影响较小。</w:t>
            </w:r>
            <w:r>
              <w:rPr>
                <w:rFonts w:hint="eastAsia" w:ascii="Times New Roman" w:hAnsi="Times New Roman" w:cs="Times New Roman"/>
                <w:color w:val="000000"/>
                <w:kern w:val="2"/>
                <w:sz w:val="24"/>
                <w:szCs w:val="24"/>
                <w:lang w:val="en-US" w:eastAsia="zh-CN" w:bidi="ar-SA"/>
              </w:rPr>
              <w:t>综上所述，项目营运期产生废水经处理后达标排放，对项目所在区域的水环境影响较小。</w:t>
            </w:r>
          </w:p>
          <w:p>
            <w:pPr>
              <w:pStyle w:val="18"/>
              <w:spacing w:line="360" w:lineRule="auto"/>
              <w:ind w:firstLine="482" w:firstLineChars="200"/>
              <w:jc w:val="both"/>
              <w:outlineLvl w:val="1"/>
              <w:rPr>
                <w:rFonts w:hint="eastAsia"/>
                <w:b/>
                <w:bCs/>
                <w:color w:val="000000"/>
                <w:sz w:val="24"/>
                <w:szCs w:val="24"/>
                <w:lang w:eastAsia="zh-CN"/>
              </w:rPr>
            </w:pPr>
            <w:r>
              <w:rPr>
                <w:rFonts w:hint="eastAsia"/>
                <w:b/>
                <w:bCs/>
                <w:color w:val="000000"/>
                <w:sz w:val="24"/>
                <w:szCs w:val="24"/>
                <w:lang w:eastAsia="zh-CN"/>
              </w:rPr>
              <w:t>（</w:t>
            </w:r>
            <w:r>
              <w:rPr>
                <w:rFonts w:hint="eastAsia"/>
                <w:b/>
                <w:bCs/>
                <w:color w:val="000000"/>
                <w:sz w:val="24"/>
                <w:szCs w:val="24"/>
                <w:lang w:val="en-US" w:eastAsia="zh-CN"/>
              </w:rPr>
              <w:t>3）</w:t>
            </w:r>
            <w:r>
              <w:rPr>
                <w:rFonts w:ascii="Times New Roman" w:hAnsi="Times New Roman"/>
                <w:b/>
                <w:bCs/>
                <w:color w:val="000000"/>
                <w:sz w:val="24"/>
                <w:szCs w:val="24"/>
              </w:rPr>
              <w:t>声</w:t>
            </w:r>
            <w:r>
              <w:rPr>
                <w:rFonts w:hint="eastAsia" w:ascii="Times New Roman" w:hAnsi="Times New Roman"/>
                <w:b/>
                <w:bCs/>
                <w:color w:val="000000"/>
                <w:sz w:val="24"/>
                <w:szCs w:val="24"/>
                <w:lang w:eastAsia="zh-CN"/>
              </w:rPr>
              <w:t>环境影响分析结论</w:t>
            </w:r>
          </w:p>
          <w:p>
            <w:pPr>
              <w:spacing w:line="360" w:lineRule="auto"/>
              <w:ind w:firstLine="480"/>
              <w:jc w:val="both"/>
              <w:outlineLvl w:val="1"/>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项目产生的噪声在经过基础减震、车间阻隔、距离衰减、合理布局</w:t>
            </w:r>
            <w:r>
              <w:rPr>
                <w:rFonts w:hint="eastAsia" w:ascii="Times New Roman" w:hAnsi="Times New Roman" w:cs="Times New Roman"/>
                <w:color w:val="000000"/>
                <w:kern w:val="2"/>
                <w:sz w:val="24"/>
                <w:szCs w:val="24"/>
                <w:lang w:val="en-US" w:eastAsia="zh-CN" w:bidi="ar-SA"/>
              </w:rPr>
              <w:t>后</w:t>
            </w:r>
            <w:r>
              <w:rPr>
                <w:rFonts w:hint="eastAsia" w:ascii="Times New Roman" w:hAnsi="Times New Roman" w:eastAsia="宋体" w:cs="Times New Roman"/>
                <w:color w:val="000000"/>
                <w:kern w:val="2"/>
                <w:sz w:val="24"/>
                <w:szCs w:val="24"/>
                <w:lang w:val="en-US" w:eastAsia="zh-CN" w:bidi="ar-SA"/>
              </w:rPr>
              <w:t>，厂界</w:t>
            </w:r>
            <w:r>
              <w:rPr>
                <w:rFonts w:hint="eastAsia" w:ascii="Times New Roman" w:hAnsi="Times New Roman" w:cs="Times New Roman"/>
                <w:color w:val="000000"/>
                <w:kern w:val="2"/>
                <w:sz w:val="24"/>
                <w:szCs w:val="24"/>
                <w:lang w:val="en-US" w:eastAsia="zh-CN" w:bidi="ar-SA"/>
              </w:rPr>
              <w:t>噪声</w:t>
            </w:r>
            <w:r>
              <w:rPr>
                <w:rFonts w:hint="eastAsia" w:ascii="Times New Roman" w:hAnsi="Times New Roman" w:eastAsia="宋体" w:cs="Times New Roman"/>
                <w:color w:val="000000"/>
                <w:kern w:val="2"/>
                <w:sz w:val="24"/>
                <w:szCs w:val="24"/>
                <w:lang w:val="en-US" w:eastAsia="zh-CN" w:bidi="ar-SA"/>
              </w:rPr>
              <w:t>可满足《工业企业厂界环境噪声排放标准》（</w:t>
            </w:r>
            <w:r>
              <w:rPr>
                <w:rFonts w:hint="default" w:ascii="Times New Roman" w:hAnsi="Times New Roman" w:eastAsia="宋体" w:cs="Times New Roman"/>
                <w:color w:val="000000"/>
                <w:kern w:val="2"/>
                <w:sz w:val="24"/>
                <w:szCs w:val="24"/>
                <w:lang w:val="en-US" w:eastAsia="zh-CN" w:bidi="ar-SA"/>
              </w:rPr>
              <w:t>GB12348-2008</w:t>
            </w:r>
            <w:r>
              <w:rPr>
                <w:rFonts w:hint="eastAsia" w:ascii="Times New Roman" w:hAnsi="Times New Roman" w:eastAsia="宋体" w:cs="Times New Roman"/>
                <w:color w:val="000000"/>
                <w:kern w:val="2"/>
                <w:sz w:val="24"/>
                <w:szCs w:val="24"/>
                <w:lang w:val="en-US" w:eastAsia="zh-CN" w:bidi="ar-SA"/>
              </w:rPr>
              <w:t>）中</w:t>
            </w:r>
            <w:r>
              <w:rPr>
                <w:rFonts w:hint="eastAsia" w:cs="Times New Roman"/>
                <w:color w:val="000000"/>
                <w:kern w:val="2"/>
                <w:sz w:val="24"/>
                <w:szCs w:val="24"/>
                <w:lang w:val="en-US" w:eastAsia="zh-CN" w:bidi="ar-SA"/>
              </w:rPr>
              <w:t>3</w:t>
            </w:r>
            <w:r>
              <w:rPr>
                <w:rFonts w:hint="eastAsia" w:ascii="Times New Roman" w:hAnsi="Times New Roman" w:eastAsia="宋体" w:cs="Times New Roman"/>
                <w:color w:val="000000"/>
                <w:kern w:val="2"/>
                <w:sz w:val="24"/>
                <w:szCs w:val="24"/>
                <w:lang w:val="en-US" w:eastAsia="zh-CN" w:bidi="ar-SA"/>
              </w:rPr>
              <w:t>类标准，即：昼间</w:t>
            </w:r>
            <w:r>
              <w:rPr>
                <w:rFonts w:hint="default" w:ascii="Times New Roman" w:hAnsi="Times New Roman" w:eastAsia="宋体" w:cs="Times New Roman"/>
                <w:color w:val="000000"/>
                <w:kern w:val="2"/>
                <w:sz w:val="24"/>
                <w:szCs w:val="24"/>
                <w:lang w:val="en-US" w:eastAsia="zh-CN" w:bidi="ar-SA"/>
              </w:rPr>
              <w:t>≤60dB(A)</w:t>
            </w:r>
            <w:r>
              <w:rPr>
                <w:rFonts w:hint="eastAsia" w:ascii="Times New Roman" w:hAnsi="Times New Roman" w:eastAsia="宋体" w:cs="Times New Roman"/>
                <w:color w:val="000000"/>
                <w:kern w:val="2"/>
                <w:sz w:val="24"/>
                <w:szCs w:val="24"/>
                <w:lang w:val="en-US" w:eastAsia="zh-CN" w:bidi="ar-SA"/>
              </w:rPr>
              <w:t>，夜间不进行维修，对周围环境影响小。</w:t>
            </w:r>
          </w:p>
          <w:p>
            <w:pPr>
              <w:autoSpaceDE w:val="0"/>
              <w:autoSpaceDN w:val="0"/>
              <w:adjustRightInd w:val="0"/>
              <w:spacing w:line="360" w:lineRule="auto"/>
              <w:ind w:firstLine="482" w:firstLineChars="200"/>
              <w:jc w:val="both"/>
              <w:outlineLvl w:val="1"/>
              <w:rPr>
                <w:rFonts w:ascii="Times New Roman" w:hAnsi="Times New Roman"/>
                <w:b/>
                <w:bCs/>
                <w:color w:val="000000"/>
                <w:sz w:val="24"/>
                <w:szCs w:val="24"/>
              </w:rPr>
            </w:pPr>
            <w:r>
              <w:rPr>
                <w:rFonts w:hint="eastAsia"/>
                <w:b/>
                <w:bCs/>
                <w:color w:val="000000"/>
                <w:sz w:val="24"/>
                <w:szCs w:val="24"/>
                <w:lang w:eastAsia="zh-CN"/>
              </w:rPr>
              <w:t>（</w:t>
            </w:r>
            <w:r>
              <w:rPr>
                <w:rFonts w:hint="eastAsia"/>
                <w:b/>
                <w:bCs/>
                <w:color w:val="000000"/>
                <w:sz w:val="24"/>
                <w:szCs w:val="24"/>
                <w:lang w:val="en-US" w:eastAsia="zh-CN"/>
              </w:rPr>
              <w:t>4）</w:t>
            </w:r>
            <w:r>
              <w:rPr>
                <w:rFonts w:ascii="Times New Roman" w:hAnsi="Times New Roman"/>
                <w:b/>
                <w:bCs/>
                <w:color w:val="000000"/>
                <w:sz w:val="24"/>
                <w:szCs w:val="24"/>
              </w:rPr>
              <w:t>固体废物</w:t>
            </w:r>
            <w:r>
              <w:rPr>
                <w:rFonts w:hint="eastAsia" w:ascii="Times New Roman" w:hAnsi="Times New Roman"/>
                <w:b/>
                <w:bCs/>
                <w:color w:val="000000"/>
                <w:sz w:val="24"/>
                <w:szCs w:val="24"/>
                <w:lang w:eastAsia="zh-CN"/>
              </w:rPr>
              <w:t>影响分析结论</w:t>
            </w:r>
          </w:p>
          <w:p>
            <w:pPr>
              <w:spacing w:line="360" w:lineRule="auto"/>
              <w:ind w:firstLine="480"/>
              <w:jc w:val="both"/>
              <w:outlineLvl w:val="1"/>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根据工程分析及影响分析可知，项目产生的固废主要有边角废料、收集的</w:t>
            </w:r>
            <w:r>
              <w:rPr>
                <w:rFonts w:hint="eastAsia" w:cs="Times New Roman"/>
                <w:color w:val="000000"/>
                <w:kern w:val="2"/>
                <w:sz w:val="24"/>
                <w:szCs w:val="24"/>
                <w:lang w:val="en-US" w:eastAsia="zh-CN" w:bidi="ar-SA"/>
              </w:rPr>
              <w:t>打磨粉尘</w:t>
            </w:r>
            <w:r>
              <w:rPr>
                <w:rFonts w:hint="eastAsia" w:ascii="Times New Roman" w:hAnsi="Times New Roman" w:eastAsia="宋体" w:cs="Times New Roman"/>
                <w:color w:val="000000"/>
                <w:kern w:val="2"/>
                <w:sz w:val="24"/>
                <w:szCs w:val="24"/>
                <w:lang w:val="en-US" w:eastAsia="zh-CN" w:bidi="ar-SA"/>
              </w:rPr>
              <w:t>、焊接焊渣、废包装材料、废矿物油、废过滤棉、废活性炭、废原料桶、生活垃圾</w:t>
            </w:r>
            <w:r>
              <w:rPr>
                <w:rFonts w:hint="eastAsia" w:cs="Times New Roman"/>
                <w:color w:val="000000"/>
                <w:kern w:val="2"/>
                <w:sz w:val="24"/>
                <w:szCs w:val="24"/>
                <w:lang w:val="en-US" w:eastAsia="zh-CN" w:bidi="ar-SA"/>
              </w:rPr>
              <w:t>等</w:t>
            </w:r>
            <w:r>
              <w:rPr>
                <w:rFonts w:hint="eastAsia" w:ascii="Times New Roman" w:hAnsi="Times New Roman" w:eastAsia="宋体" w:cs="Times New Roman"/>
                <w:color w:val="000000"/>
                <w:kern w:val="2"/>
                <w:sz w:val="24"/>
                <w:szCs w:val="24"/>
                <w:lang w:val="en-US" w:eastAsia="zh-CN" w:bidi="ar-SA"/>
              </w:rPr>
              <w:t>。</w:t>
            </w:r>
          </w:p>
          <w:p>
            <w:pPr>
              <w:spacing w:line="360" w:lineRule="auto"/>
              <w:ind w:firstLine="480"/>
              <w:jc w:val="both"/>
              <w:outlineLvl w:val="1"/>
              <w:rPr>
                <w:rFonts w:hint="default"/>
                <w:lang w:val="en-US" w:eastAsia="zh-CN"/>
              </w:rPr>
            </w:pPr>
            <w:r>
              <w:rPr>
                <w:rFonts w:hint="eastAsia" w:cs="Times New Roman"/>
                <w:sz w:val="24"/>
                <w:szCs w:val="24"/>
                <w:lang w:val="en-US" w:eastAsia="zh-CN"/>
              </w:rPr>
              <w:t>一般工业固废：</w:t>
            </w:r>
            <w:r>
              <w:rPr>
                <w:rFonts w:hint="default" w:ascii="Times New Roman" w:hAnsi="Times New Roman" w:cs="Times New Roman"/>
                <w:sz w:val="24"/>
                <w:szCs w:val="24"/>
                <w:lang w:val="en-US" w:eastAsia="zh-CN"/>
              </w:rPr>
              <w:t>项目生产过程产生的角废料、焊渣、机加工过程回收的粉尘、</w:t>
            </w:r>
            <w:r>
              <w:rPr>
                <w:rFonts w:hint="eastAsia" w:ascii="Times New Roman" w:hAnsi="Times New Roman" w:cs="Times New Roman"/>
                <w:sz w:val="24"/>
                <w:szCs w:val="24"/>
                <w:lang w:val="en-US" w:eastAsia="zh-CN"/>
              </w:rPr>
              <w:t>废弃包装材料</w:t>
            </w:r>
            <w:r>
              <w:rPr>
                <w:rFonts w:hint="default" w:ascii="Times New Roman" w:hAnsi="Times New Roman" w:cs="Times New Roman"/>
                <w:sz w:val="24"/>
                <w:szCs w:val="24"/>
                <w:lang w:val="en-US" w:eastAsia="zh-CN"/>
              </w:rPr>
              <w:t>等</w:t>
            </w:r>
            <w:r>
              <w:rPr>
                <w:rFonts w:hint="eastAsia" w:ascii="Times New Roman" w:hAnsi="Times New Roman" w:cs="Times New Roman"/>
                <w:sz w:val="24"/>
                <w:szCs w:val="24"/>
                <w:lang w:val="en-US" w:eastAsia="zh-CN"/>
              </w:rPr>
              <w:t>可回收</w:t>
            </w:r>
            <w:r>
              <w:rPr>
                <w:rFonts w:hint="default" w:ascii="Times New Roman" w:hAnsi="Times New Roman" w:cs="Times New Roman"/>
                <w:sz w:val="24"/>
                <w:szCs w:val="24"/>
                <w:lang w:val="en-US" w:eastAsia="zh-CN"/>
              </w:rPr>
              <w:t>固废主要成分为金属</w:t>
            </w:r>
            <w:r>
              <w:rPr>
                <w:rFonts w:hint="eastAsia" w:ascii="Times New Roman" w:hAnsi="Times New Roman" w:cs="Times New Roman"/>
                <w:sz w:val="24"/>
                <w:szCs w:val="24"/>
                <w:lang w:val="en-US" w:eastAsia="zh-CN"/>
              </w:rPr>
              <w:t>，收集后外售</w:t>
            </w:r>
            <w:r>
              <w:rPr>
                <w:rFonts w:hint="eastAsia" w:cs="Times New Roman"/>
                <w:sz w:val="24"/>
                <w:szCs w:val="24"/>
                <w:lang w:val="en-US" w:eastAsia="zh-CN"/>
              </w:rPr>
              <w:t>。</w:t>
            </w:r>
            <w:r>
              <w:rPr>
                <w:rFonts w:hint="default" w:ascii="Times New Roman" w:hAnsi="Times New Roman" w:cs="Times New Roman"/>
                <w:sz w:val="24"/>
                <w:szCs w:val="24"/>
                <w:lang w:val="en-US" w:eastAsia="zh-CN"/>
              </w:rPr>
              <w:t>生活垃圾集中收集于垃圾桶内，定期由环卫部门清运处置</w:t>
            </w:r>
            <w:r>
              <w:rPr>
                <w:rFonts w:hint="eastAsia" w:cs="Times New Roman"/>
                <w:sz w:val="24"/>
                <w:szCs w:val="24"/>
                <w:lang w:val="en-US" w:eastAsia="zh-CN"/>
              </w:rPr>
              <w:t>。</w:t>
            </w:r>
          </w:p>
          <w:p>
            <w:pPr>
              <w:spacing w:line="360" w:lineRule="auto"/>
              <w:ind w:firstLine="480"/>
              <w:jc w:val="both"/>
              <w:outlineLvl w:val="1"/>
              <w:rPr>
                <w:rFonts w:hint="eastAsia" w:ascii="Times New Roman" w:hAnsi="Times New Roman"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危险废物：</w:t>
            </w:r>
            <w:r>
              <w:rPr>
                <w:rFonts w:hint="default" w:ascii="Times New Roman" w:hAnsi="Times New Roman" w:cs="Times New Roman"/>
                <w:sz w:val="24"/>
                <w:szCs w:val="24"/>
                <w:lang w:val="en-US" w:eastAsia="zh-CN"/>
              </w:rPr>
              <w:t>废</w:t>
            </w:r>
            <w:r>
              <w:rPr>
                <w:rFonts w:hint="eastAsia" w:ascii="Times New Roman" w:hAnsi="Times New Roman" w:cs="Times New Roman"/>
                <w:sz w:val="24"/>
                <w:szCs w:val="24"/>
                <w:lang w:val="en-US" w:eastAsia="zh-CN"/>
              </w:rPr>
              <w:t>机</w:t>
            </w:r>
            <w:r>
              <w:rPr>
                <w:rFonts w:hint="default" w:ascii="Times New Roman" w:hAnsi="Times New Roman" w:cs="Times New Roman"/>
                <w:sz w:val="24"/>
                <w:szCs w:val="24"/>
                <w:lang w:val="en-US" w:eastAsia="zh-CN"/>
              </w:rPr>
              <w:t>油、废漆料桶、喷漆废气处理设施产生的废</w:t>
            </w:r>
            <w:r>
              <w:rPr>
                <w:rFonts w:hint="eastAsia" w:ascii="Times New Roman" w:hAnsi="Times New Roman" w:cs="Times New Roman"/>
                <w:sz w:val="24"/>
                <w:szCs w:val="24"/>
                <w:lang w:val="en-US" w:eastAsia="zh-CN"/>
              </w:rPr>
              <w:t>过滤棉、废活性炭</w:t>
            </w:r>
            <w:r>
              <w:rPr>
                <w:rFonts w:hint="default" w:ascii="Times New Roman" w:hAnsi="Times New Roman" w:cs="Times New Roman"/>
                <w:sz w:val="24"/>
                <w:szCs w:val="24"/>
                <w:lang w:val="en-US" w:eastAsia="zh-CN"/>
              </w:rPr>
              <w:t>均属于危险废物，拟分类、分区收集暂存于危险废物暂存间，</w:t>
            </w:r>
            <w:r>
              <w:rPr>
                <w:rFonts w:hint="eastAsia" w:ascii="Times New Roman" w:hAnsi="Times New Roman" w:cs="Times New Roman"/>
                <w:sz w:val="24"/>
                <w:szCs w:val="24"/>
                <w:lang w:val="en-US" w:eastAsia="zh-CN"/>
              </w:rPr>
              <w:t>其中废过滤棉、废活性炭交由有资质的单位进行处理；废机油收集后作为设备润滑使用；废原料桶交由有资质的单位进行处理</w:t>
            </w:r>
            <w:r>
              <w:rPr>
                <w:rFonts w:hint="default" w:ascii="Times New Roman" w:hAnsi="Times New Roman" w:cs="Times New Roman"/>
                <w:sz w:val="24"/>
                <w:szCs w:val="24"/>
                <w:lang w:val="en-US" w:eastAsia="zh-CN"/>
              </w:rPr>
              <w:t>。</w:t>
            </w:r>
          </w:p>
          <w:p>
            <w:pPr>
              <w:spacing w:line="360" w:lineRule="auto"/>
              <w:ind w:firstLine="480"/>
              <w:jc w:val="both"/>
              <w:outlineLvl w:val="1"/>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 xml:space="preserve">项目产生的固体废物处置率 </w:t>
            </w:r>
            <w:r>
              <w:rPr>
                <w:rFonts w:hint="default" w:ascii="Times New Roman" w:hAnsi="Times New Roman" w:eastAsia="宋体" w:cs="Times New Roman"/>
                <w:color w:val="000000"/>
                <w:kern w:val="2"/>
                <w:sz w:val="24"/>
                <w:szCs w:val="24"/>
                <w:lang w:val="en-US" w:eastAsia="zh-CN" w:bidi="ar-SA"/>
              </w:rPr>
              <w:t>100%</w:t>
            </w:r>
            <w:r>
              <w:rPr>
                <w:rFonts w:hint="eastAsia" w:ascii="Times New Roman" w:hAnsi="Times New Roman" w:eastAsia="宋体" w:cs="Times New Roman"/>
                <w:color w:val="000000"/>
                <w:kern w:val="2"/>
                <w:sz w:val="24"/>
                <w:szCs w:val="24"/>
                <w:lang w:val="en-US" w:eastAsia="zh-CN" w:bidi="ar-SA"/>
              </w:rPr>
              <w:t>。则项目产生的固体废物对环境影响较小。</w:t>
            </w:r>
          </w:p>
          <w:p>
            <w:pPr>
              <w:spacing w:line="360" w:lineRule="auto"/>
              <w:jc w:val="both"/>
              <w:outlineLvl w:val="1"/>
              <w:rPr>
                <w:rFonts w:ascii="Times New Roman" w:hAnsi="Times New Roman"/>
                <w:b/>
                <w:bCs/>
                <w:color w:val="000000"/>
                <w:sz w:val="24"/>
                <w:szCs w:val="24"/>
              </w:rPr>
            </w:pPr>
            <w:r>
              <w:rPr>
                <w:rFonts w:hint="eastAsia" w:ascii="Times New Roman" w:hAnsi="Times New Roman"/>
                <w:b/>
                <w:bCs/>
                <w:color w:val="000000"/>
                <w:sz w:val="24"/>
                <w:szCs w:val="24"/>
                <w:lang w:eastAsia="zh-CN"/>
              </w:rPr>
              <w:t>二</w:t>
            </w:r>
            <w:r>
              <w:rPr>
                <w:rFonts w:ascii="Times New Roman" w:hAnsi="Times New Roman"/>
                <w:b/>
                <w:bCs/>
                <w:color w:val="000000"/>
                <w:sz w:val="24"/>
                <w:szCs w:val="24"/>
              </w:rPr>
              <w:t>、总结论</w:t>
            </w:r>
          </w:p>
          <w:p>
            <w:pPr>
              <w:spacing w:line="360" w:lineRule="auto"/>
              <w:ind w:firstLine="480" w:firstLineChars="200"/>
              <w:jc w:val="both"/>
              <w:outlineLvl w:val="1"/>
              <w:rPr>
                <w:rFonts w:hint="eastAsia" w:ascii="Times New Roman" w:hAnsi="Times New Roman"/>
                <w:color w:val="000000"/>
                <w:sz w:val="24"/>
                <w:szCs w:val="24"/>
                <w:lang w:val="en-GB" w:eastAsia="zh-CN"/>
              </w:rPr>
            </w:pPr>
            <w:r>
              <w:rPr>
                <w:rFonts w:hint="eastAsia" w:ascii="Times New Roman" w:hAnsi="Times New Roman"/>
                <w:b w:val="0"/>
                <w:bCs w:val="0"/>
                <w:color w:val="auto"/>
                <w:sz w:val="24"/>
                <w:szCs w:val="24"/>
                <w:lang w:val="en-GB" w:eastAsia="zh-CN"/>
              </w:rPr>
              <w:t>昆明银华工贸有限公司路桥分公司装配式钢结构项目</w:t>
            </w:r>
            <w:r>
              <w:rPr>
                <w:rFonts w:ascii="Times New Roman" w:hAnsi="Times New Roman"/>
                <w:b w:val="0"/>
                <w:bCs w:val="0"/>
                <w:color w:val="auto"/>
                <w:sz w:val="24"/>
                <w:szCs w:val="24"/>
                <w:lang w:val="en-GB"/>
              </w:rPr>
              <w:t>符合</w:t>
            </w:r>
            <w:r>
              <w:rPr>
                <w:rFonts w:ascii="Times New Roman" w:hAnsi="Times New Roman"/>
                <w:b w:val="0"/>
                <w:bCs w:val="0"/>
                <w:color w:val="000000"/>
                <w:sz w:val="24"/>
                <w:szCs w:val="24"/>
                <w:lang w:val="en-GB"/>
              </w:rPr>
              <w:t>国家产业政策</w:t>
            </w:r>
            <w:r>
              <w:rPr>
                <w:rFonts w:hint="eastAsia"/>
                <w:b w:val="0"/>
                <w:bCs w:val="0"/>
                <w:color w:val="000000"/>
                <w:sz w:val="24"/>
                <w:szCs w:val="24"/>
                <w:lang w:val="en-GB" w:eastAsia="zh-CN"/>
              </w:rPr>
              <w:t>，</w:t>
            </w:r>
            <w:r>
              <w:rPr>
                <w:rFonts w:hint="eastAsia" w:ascii="Times New Roman" w:hAnsi="Times New Roman"/>
                <w:b w:val="0"/>
                <w:bCs w:val="0"/>
                <w:color w:val="000000"/>
                <w:sz w:val="24"/>
                <w:szCs w:val="24"/>
                <w:lang w:val="en-GB" w:eastAsia="zh-CN"/>
              </w:rPr>
              <w:t>选址合理。</w:t>
            </w:r>
            <w:r>
              <w:rPr>
                <w:rFonts w:ascii="Times New Roman" w:hAnsi="Times New Roman"/>
                <w:b w:val="0"/>
                <w:bCs w:val="0"/>
                <w:color w:val="000000"/>
                <w:sz w:val="24"/>
                <w:szCs w:val="24"/>
                <w:lang w:val="en-GB"/>
              </w:rPr>
              <w:t>项目营运期产生的各项污染物通过采取</w:t>
            </w:r>
            <w:r>
              <w:rPr>
                <w:rFonts w:hint="eastAsia" w:ascii="Times New Roman" w:hAnsi="Times New Roman"/>
                <w:b w:val="0"/>
                <w:bCs w:val="0"/>
                <w:color w:val="000000"/>
                <w:sz w:val="24"/>
                <w:szCs w:val="24"/>
                <w:lang w:val="en-GB" w:eastAsia="zh-CN"/>
              </w:rPr>
              <w:t>本报告提出的</w:t>
            </w:r>
            <w:r>
              <w:rPr>
                <w:rFonts w:ascii="Times New Roman" w:hAnsi="Times New Roman"/>
                <w:b w:val="0"/>
                <w:bCs w:val="0"/>
                <w:color w:val="000000"/>
                <w:sz w:val="24"/>
                <w:szCs w:val="24"/>
                <w:lang w:val="en-GB"/>
              </w:rPr>
              <w:t>污染防治措施</w:t>
            </w:r>
            <w:r>
              <w:rPr>
                <w:rFonts w:hint="eastAsia" w:ascii="Times New Roman" w:hAnsi="Times New Roman"/>
                <w:b w:val="0"/>
                <w:bCs w:val="0"/>
                <w:color w:val="000000"/>
                <w:sz w:val="24"/>
                <w:szCs w:val="24"/>
                <w:lang w:val="en-GB" w:eastAsia="zh-CN"/>
              </w:rPr>
              <w:t>进行治理、控制</w:t>
            </w:r>
            <w:r>
              <w:rPr>
                <w:rFonts w:ascii="Times New Roman" w:hAnsi="Times New Roman"/>
                <w:b w:val="0"/>
                <w:bCs w:val="0"/>
                <w:color w:val="000000"/>
                <w:sz w:val="24"/>
                <w:szCs w:val="24"/>
                <w:lang w:val="en-GB"/>
              </w:rPr>
              <w:t>，</w:t>
            </w:r>
            <w:r>
              <w:rPr>
                <w:rFonts w:hint="eastAsia" w:ascii="Times New Roman" w:hAnsi="Times New Roman"/>
                <w:b w:val="0"/>
                <w:bCs w:val="0"/>
                <w:color w:val="000000"/>
                <w:sz w:val="24"/>
                <w:szCs w:val="24"/>
                <w:lang w:val="en-GB" w:eastAsia="zh-CN"/>
              </w:rPr>
              <w:t>并加强内部管理</w:t>
            </w:r>
            <w:r>
              <w:rPr>
                <w:rFonts w:ascii="Times New Roman" w:hAnsi="Times New Roman"/>
                <w:b w:val="0"/>
                <w:bCs w:val="0"/>
                <w:color w:val="000000"/>
                <w:sz w:val="24"/>
                <w:szCs w:val="24"/>
                <w:lang w:val="en-GB"/>
              </w:rPr>
              <w:t>，</w:t>
            </w:r>
            <w:r>
              <w:rPr>
                <w:rFonts w:hint="eastAsia" w:ascii="Times New Roman" w:hAnsi="Times New Roman"/>
                <w:b w:val="0"/>
                <w:bCs w:val="0"/>
                <w:color w:val="000000"/>
                <w:sz w:val="24"/>
                <w:szCs w:val="24"/>
                <w:lang w:val="en-GB" w:eastAsia="zh-CN"/>
              </w:rPr>
              <w:t>实现环保设施的稳定运行，确保各项污染物达标排放的前提下，项目对周围环境产生的影响较小。因此，从环境影响的角度分析，本项目的建设是可行的</w:t>
            </w:r>
            <w:r>
              <w:rPr>
                <w:rFonts w:hint="eastAsia" w:ascii="Times New Roman" w:hAnsi="Times New Roman"/>
                <w:b/>
                <w:bCs/>
                <w:color w:val="000000"/>
                <w:sz w:val="24"/>
                <w:szCs w:val="24"/>
                <w:lang w:val="en-GB" w:eastAsia="zh-CN"/>
              </w:rPr>
              <w:t>。</w:t>
            </w:r>
          </w:p>
          <w:p>
            <w:pPr>
              <w:spacing w:line="360" w:lineRule="auto"/>
              <w:jc w:val="both"/>
              <w:outlineLvl w:val="1"/>
              <w:rPr>
                <w:rFonts w:ascii="Times New Roman" w:hAnsi="Times New Roman"/>
                <w:b/>
                <w:bCs/>
                <w:color w:val="000000"/>
                <w:sz w:val="24"/>
                <w:szCs w:val="24"/>
              </w:rPr>
            </w:pPr>
            <w:r>
              <w:rPr>
                <w:rFonts w:hint="eastAsia" w:ascii="Times New Roman" w:hAnsi="Times New Roman"/>
                <w:b/>
                <w:bCs/>
                <w:color w:val="000000"/>
                <w:sz w:val="24"/>
                <w:szCs w:val="24"/>
                <w:lang w:eastAsia="zh-CN"/>
              </w:rPr>
              <w:t>三</w:t>
            </w:r>
            <w:r>
              <w:rPr>
                <w:rFonts w:ascii="Times New Roman" w:hAnsi="Times New Roman"/>
                <w:b/>
                <w:bCs/>
                <w:color w:val="000000"/>
                <w:sz w:val="24"/>
                <w:szCs w:val="24"/>
              </w:rPr>
              <w:t>、建议</w:t>
            </w:r>
          </w:p>
          <w:p>
            <w:pPr>
              <w:spacing w:line="360" w:lineRule="auto"/>
              <w:ind w:firstLine="480" w:firstLineChars="200"/>
              <w:jc w:val="both"/>
              <w:outlineLvl w:val="1"/>
              <w:rPr>
                <w:rFonts w:hint="eastAsia" w:ascii="Times New Roman" w:hAnsi="Times New Roman" w:eastAsia="宋体"/>
                <w:color w:val="000000"/>
                <w:sz w:val="24"/>
                <w:szCs w:val="24"/>
                <w:lang w:eastAsia="zh-CN"/>
              </w:rPr>
            </w:pPr>
            <w:r>
              <w:rPr>
                <w:rFonts w:ascii="Times New Roman" w:hAnsi="Times New Roman"/>
                <w:color w:val="000000"/>
                <w:sz w:val="24"/>
                <w:szCs w:val="24"/>
              </w:rPr>
              <w:t>1、</w:t>
            </w:r>
            <w:r>
              <w:rPr>
                <w:rFonts w:hAnsi="宋体"/>
                <w:sz w:val="24"/>
                <w:szCs w:val="24"/>
              </w:rPr>
              <w:t>项目在</w:t>
            </w:r>
            <w:r>
              <w:rPr>
                <w:rFonts w:hint="eastAsia" w:hAnsi="宋体"/>
                <w:sz w:val="24"/>
                <w:szCs w:val="24"/>
              </w:rPr>
              <w:t>运营</w:t>
            </w:r>
            <w:r>
              <w:rPr>
                <w:rFonts w:hAnsi="宋体"/>
                <w:sz w:val="24"/>
                <w:szCs w:val="24"/>
              </w:rPr>
              <w:t>过程中，必须严格按照国家有关建设项目环保管理规定，执行建设项目须配套建设的环境保护设施</w:t>
            </w:r>
            <w:r>
              <w:rPr>
                <w:rFonts w:hint="eastAsia" w:hAnsi="宋体"/>
                <w:sz w:val="24"/>
                <w:szCs w:val="24"/>
                <w:lang w:eastAsia="zh-CN"/>
              </w:rPr>
              <w:t>。</w:t>
            </w:r>
          </w:p>
          <w:p>
            <w:pPr>
              <w:spacing w:line="360" w:lineRule="auto"/>
              <w:ind w:firstLine="480" w:firstLineChars="200"/>
              <w:jc w:val="both"/>
              <w:outlineLvl w:val="1"/>
              <w:rPr>
                <w:rFonts w:hint="eastAsia" w:ascii="宋体" w:hAnsi="宋体" w:eastAsia="宋体" w:cs="宋体"/>
                <w:sz w:val="24"/>
                <w:szCs w:val="24"/>
              </w:rPr>
            </w:pPr>
            <w:r>
              <w:rPr>
                <w:rFonts w:ascii="Times New Roman" w:hAnsi="Times New Roman"/>
                <w:color w:val="000000"/>
                <w:sz w:val="24"/>
                <w:szCs w:val="24"/>
              </w:rPr>
              <w:t>2、</w:t>
            </w:r>
            <w:r>
              <w:rPr>
                <w:rFonts w:hint="eastAsia"/>
                <w:color w:val="000000"/>
                <w:sz w:val="24"/>
                <w:szCs w:val="24"/>
                <w:lang w:eastAsia="zh-CN"/>
              </w:rPr>
              <w:t>加强</w:t>
            </w:r>
            <w:r>
              <w:rPr>
                <w:rFonts w:hint="eastAsia" w:ascii="宋体" w:hAnsi="宋体" w:eastAsia="宋体" w:cs="宋体"/>
                <w:sz w:val="24"/>
                <w:szCs w:val="24"/>
                <w:lang w:eastAsia="zh-CN"/>
              </w:rPr>
              <w:t>项目</w:t>
            </w:r>
            <w:r>
              <w:rPr>
                <w:rFonts w:hint="eastAsia" w:ascii="宋体" w:hAnsi="宋体" w:cs="宋体"/>
                <w:sz w:val="24"/>
                <w:szCs w:val="24"/>
                <w:lang w:eastAsia="zh-CN"/>
              </w:rPr>
              <w:t>厂</w:t>
            </w:r>
            <w:r>
              <w:rPr>
                <w:rFonts w:hint="eastAsia" w:ascii="宋体" w:hAnsi="宋体" w:eastAsia="宋体" w:cs="宋体"/>
                <w:sz w:val="24"/>
                <w:szCs w:val="24"/>
                <w:lang w:eastAsia="zh-CN"/>
              </w:rPr>
              <w:t>区</w:t>
            </w:r>
            <w:r>
              <w:rPr>
                <w:rFonts w:hint="eastAsia" w:ascii="宋体" w:hAnsi="宋体" w:cs="宋体"/>
                <w:sz w:val="24"/>
                <w:szCs w:val="24"/>
                <w:lang w:eastAsia="zh-CN"/>
              </w:rPr>
              <w:t>绿化</w:t>
            </w:r>
            <w:r>
              <w:rPr>
                <w:rFonts w:hint="eastAsia" w:ascii="宋体" w:hAnsi="宋体" w:eastAsia="宋体" w:cs="宋体"/>
                <w:sz w:val="24"/>
                <w:szCs w:val="24"/>
                <w:lang w:eastAsia="zh-CN"/>
              </w:rPr>
              <w:t>，进一步</w:t>
            </w:r>
            <w:r>
              <w:rPr>
                <w:rFonts w:hint="eastAsia" w:ascii="宋体" w:hAnsi="宋体" w:cs="宋体"/>
                <w:sz w:val="24"/>
                <w:szCs w:val="24"/>
                <w:lang w:eastAsia="zh-CN"/>
              </w:rPr>
              <w:t>减小噪声、粉尘及喷漆废气</w:t>
            </w:r>
            <w:r>
              <w:rPr>
                <w:rFonts w:hint="eastAsia" w:ascii="宋体" w:hAnsi="宋体" w:eastAsia="宋体" w:cs="宋体"/>
                <w:sz w:val="24"/>
                <w:szCs w:val="24"/>
                <w:lang w:eastAsia="zh-CN"/>
              </w:rPr>
              <w:t>对周围环境的影响</w:t>
            </w:r>
            <w:r>
              <w:rPr>
                <w:rFonts w:hint="eastAsia" w:ascii="宋体" w:hAnsi="宋体" w:eastAsia="宋体" w:cs="宋体"/>
                <w:sz w:val="24"/>
                <w:szCs w:val="24"/>
              </w:rPr>
              <w:t>。</w:t>
            </w:r>
          </w:p>
          <w:p>
            <w:pPr>
              <w:spacing w:line="360" w:lineRule="auto"/>
              <w:ind w:firstLine="480" w:firstLineChars="200"/>
              <w:jc w:val="both"/>
              <w:outlineLvl w:val="1"/>
              <w:rPr>
                <w:rFonts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3、</w:t>
            </w:r>
            <w:r>
              <w:rPr>
                <w:rFonts w:hint="eastAsia" w:ascii="Times New Roman" w:hAnsi="Times New Roman" w:cs="Times New Roman"/>
                <w:color w:val="000000"/>
                <w:sz w:val="24"/>
                <w:szCs w:val="24"/>
              </w:rPr>
              <w:t>加强对员工的环保教育工作，增强员工的环境保护意识。</w:t>
            </w:r>
          </w:p>
          <w:p>
            <w:pPr>
              <w:pStyle w:val="18"/>
              <w:jc w:val="both"/>
              <w:outlineLvl w:val="1"/>
              <w:rPr>
                <w:rFonts w:ascii="Times New Roman" w:hAnsi="Times New Roman"/>
                <w:color w:val="000000"/>
              </w:rPr>
            </w:pPr>
          </w:p>
          <w:p>
            <w:pPr>
              <w:outlineLvl w:val="1"/>
              <w:rPr>
                <w:rFonts w:ascii="Times New Roman" w:hAnsi="Times New Roman"/>
                <w:color w:val="000000"/>
              </w:rPr>
            </w:pPr>
          </w:p>
          <w:p>
            <w:pPr>
              <w:pStyle w:val="18"/>
              <w:outlineLvl w:val="1"/>
              <w:rPr>
                <w:rFonts w:ascii="Times New Roman" w:hAnsi="Times New Roman"/>
                <w:color w:val="000000"/>
              </w:rPr>
            </w:pPr>
          </w:p>
          <w:p>
            <w:pPr>
              <w:outlineLvl w:val="1"/>
              <w:rPr>
                <w:rFonts w:ascii="Times New Roman" w:hAnsi="Times New Roman"/>
                <w:color w:val="000000"/>
              </w:rPr>
            </w:pPr>
          </w:p>
          <w:p>
            <w:pPr>
              <w:pStyle w:val="18"/>
              <w:outlineLvl w:val="1"/>
              <w:rPr>
                <w:rFonts w:ascii="Times New Roman" w:hAnsi="Times New Roman"/>
                <w:color w:val="000000"/>
              </w:rPr>
            </w:pPr>
          </w:p>
          <w:p>
            <w:pPr>
              <w:outlineLvl w:val="1"/>
              <w:rPr>
                <w:rFonts w:ascii="Times New Roman" w:hAnsi="Times New Roman"/>
                <w:color w:val="000000"/>
              </w:rPr>
            </w:pPr>
          </w:p>
          <w:p>
            <w:pPr>
              <w:pStyle w:val="18"/>
              <w:outlineLvl w:val="1"/>
              <w:rPr>
                <w:rFonts w:ascii="Times New Roman" w:hAnsi="Times New Roman"/>
                <w:color w:val="000000"/>
              </w:rPr>
            </w:pPr>
          </w:p>
          <w:p>
            <w:pPr>
              <w:outlineLvl w:val="1"/>
              <w:rPr>
                <w:rFonts w:ascii="Times New Roman" w:hAnsi="Times New Roman"/>
                <w:color w:val="000000"/>
              </w:rPr>
            </w:pPr>
          </w:p>
          <w:p>
            <w:pPr>
              <w:pStyle w:val="18"/>
              <w:outlineLvl w:val="1"/>
              <w:rPr>
                <w:rFonts w:ascii="Times New Roman" w:hAnsi="Times New Roman"/>
                <w:color w:val="000000"/>
              </w:rPr>
            </w:pPr>
          </w:p>
          <w:p>
            <w:pPr>
              <w:outlineLvl w:val="1"/>
              <w:rPr>
                <w:rFonts w:ascii="Times New Roman" w:hAnsi="Times New Roman"/>
                <w:color w:val="000000"/>
              </w:rPr>
            </w:pPr>
          </w:p>
          <w:p>
            <w:pPr>
              <w:pStyle w:val="18"/>
              <w:outlineLvl w:val="1"/>
              <w:rPr>
                <w:rFonts w:ascii="Times New Roman" w:hAnsi="Times New Roman"/>
                <w:color w:val="000000"/>
              </w:rPr>
            </w:pPr>
          </w:p>
          <w:p>
            <w:pPr>
              <w:outlineLvl w:val="1"/>
              <w:rPr>
                <w:rFonts w:ascii="Times New Roman" w:hAnsi="Times New Roman"/>
                <w:color w:val="000000"/>
              </w:rPr>
            </w:pPr>
          </w:p>
          <w:p>
            <w:pPr>
              <w:pStyle w:val="18"/>
              <w:outlineLvl w:val="1"/>
              <w:rPr>
                <w:rFonts w:ascii="Times New Roman" w:hAnsi="Times New Roman"/>
                <w:color w:val="000000"/>
              </w:rPr>
            </w:pPr>
          </w:p>
          <w:p>
            <w:pPr>
              <w:outlineLvl w:val="1"/>
              <w:rPr>
                <w:rFonts w:ascii="Times New Roman" w:hAnsi="Times New Roman"/>
                <w:color w:val="000000"/>
              </w:rPr>
            </w:pPr>
          </w:p>
          <w:p>
            <w:pPr>
              <w:pStyle w:val="18"/>
              <w:outlineLvl w:val="1"/>
              <w:rPr>
                <w:rFonts w:ascii="Times New Roman" w:hAnsi="Times New Roman"/>
                <w:color w:val="000000"/>
              </w:rPr>
            </w:pPr>
          </w:p>
          <w:p>
            <w:pPr>
              <w:outlineLvl w:val="1"/>
              <w:rPr>
                <w:rFonts w:ascii="Times New Roman" w:hAnsi="Times New Roman"/>
                <w:color w:val="000000"/>
              </w:rPr>
            </w:pPr>
          </w:p>
          <w:p>
            <w:pPr>
              <w:pStyle w:val="18"/>
              <w:outlineLvl w:val="1"/>
              <w:rPr>
                <w:rFonts w:ascii="Times New Roman" w:hAnsi="Times New Roman"/>
                <w:color w:val="000000"/>
              </w:rPr>
            </w:pPr>
          </w:p>
          <w:p>
            <w:pPr>
              <w:outlineLvl w:val="1"/>
              <w:rPr>
                <w:rFonts w:ascii="Times New Roman" w:hAnsi="Times New Roman"/>
                <w:color w:val="000000"/>
              </w:rPr>
            </w:pPr>
          </w:p>
          <w:p>
            <w:pPr>
              <w:pStyle w:val="18"/>
              <w:outlineLvl w:val="1"/>
              <w:rPr>
                <w:rFonts w:ascii="Times New Roman" w:hAnsi="Times New Roman"/>
                <w:color w:val="000000"/>
              </w:rPr>
            </w:pPr>
          </w:p>
          <w:p>
            <w:pPr>
              <w:outlineLvl w:val="1"/>
              <w:rPr>
                <w:rFonts w:ascii="Times New Roman" w:hAnsi="Times New Roman"/>
                <w:color w:val="000000"/>
              </w:rPr>
            </w:pPr>
          </w:p>
          <w:p>
            <w:pPr>
              <w:pStyle w:val="18"/>
              <w:outlineLvl w:val="1"/>
              <w:rPr>
                <w:rFonts w:ascii="Times New Roman" w:hAnsi="Times New Roman"/>
                <w:color w:val="000000"/>
              </w:rPr>
            </w:pPr>
          </w:p>
          <w:p>
            <w:pPr>
              <w:outlineLvl w:val="1"/>
              <w:rPr>
                <w:rFonts w:ascii="Times New Roman" w:hAnsi="Times New Roman"/>
                <w:color w:val="000000"/>
              </w:rPr>
            </w:pPr>
          </w:p>
          <w:p>
            <w:pPr>
              <w:pStyle w:val="18"/>
              <w:outlineLvl w:val="1"/>
              <w:rPr>
                <w:rFonts w:ascii="Times New Roman" w:hAnsi="Times New Roman"/>
                <w:color w:val="000000"/>
              </w:rPr>
            </w:pPr>
          </w:p>
          <w:p>
            <w:pPr>
              <w:outlineLvl w:val="1"/>
              <w:rPr>
                <w:rFonts w:ascii="Times New Roman" w:hAnsi="Times New Roman"/>
                <w:color w:val="000000"/>
              </w:rPr>
            </w:pPr>
          </w:p>
          <w:p>
            <w:pPr>
              <w:pStyle w:val="2"/>
            </w:pPr>
          </w:p>
          <w:p>
            <w:pPr>
              <w:pStyle w:val="18"/>
              <w:outlineLvl w:val="1"/>
              <w:rPr>
                <w:rFonts w:ascii="Times New Roman" w:hAnsi="Times New Roman"/>
                <w:color w:val="000000"/>
              </w:rPr>
            </w:pPr>
          </w:p>
          <w:p>
            <w:pPr>
              <w:pStyle w:val="18"/>
              <w:jc w:val="both"/>
              <w:outlineLvl w:val="1"/>
              <w:rPr>
                <w:rFonts w:ascii="Times New Roman" w:hAnsi="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2" w:type="dxa"/>
            <w:vAlign w:val="top"/>
          </w:tcPr>
          <w:p>
            <w:pPr>
              <w:spacing w:line="360" w:lineRule="auto"/>
              <w:rPr>
                <w:rFonts w:hint="eastAsia" w:ascii="宋体" w:hAnsi="宋体"/>
                <w:b/>
                <w:bCs/>
                <w:color w:val="auto"/>
                <w:sz w:val="30"/>
                <w:szCs w:val="30"/>
              </w:rPr>
            </w:pPr>
            <w:r>
              <w:rPr>
                <w:rFonts w:hint="eastAsia" w:ascii="宋体" w:hAnsi="宋体"/>
                <w:b/>
                <w:bCs/>
                <w:color w:val="auto"/>
                <w:sz w:val="30"/>
                <w:szCs w:val="30"/>
              </w:rPr>
              <w:t>下</w:t>
            </w:r>
            <w:r>
              <w:rPr>
                <w:rFonts w:hint="eastAsia" w:ascii="宋体" w:hAnsi="宋体"/>
                <w:b/>
                <w:bCs/>
                <w:color w:val="auto"/>
                <w:sz w:val="30"/>
                <w:szCs w:val="30"/>
                <w:lang w:eastAsia="zh-CN"/>
              </w:rPr>
              <w:t>一</w:t>
            </w:r>
            <w:r>
              <w:rPr>
                <w:rFonts w:hint="eastAsia" w:ascii="宋体" w:hAnsi="宋体"/>
                <w:b/>
                <w:bCs/>
                <w:color w:val="auto"/>
                <w:sz w:val="30"/>
                <w:szCs w:val="30"/>
              </w:rPr>
              <w:t>级环境保护行政主管部门审查意见：</w:t>
            </w: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pStyle w:val="18"/>
              <w:rPr>
                <w:rFonts w:ascii="Times New Roman" w:hAnsi="Times New Roman"/>
                <w:color w:val="000000"/>
              </w:rPr>
            </w:pPr>
          </w:p>
          <w:p>
            <w:pPr>
              <w:pStyle w:val="18"/>
              <w:rPr>
                <w:rFonts w:ascii="Times New Roman" w:hAnsi="Times New Roman"/>
                <w:color w:val="000000"/>
              </w:rPr>
            </w:pPr>
          </w:p>
          <w:p>
            <w:pPr>
              <w:pStyle w:val="18"/>
              <w:rPr>
                <w:rFonts w:ascii="Times New Roman" w:hAnsi="Times New Roman"/>
                <w:color w:val="000000"/>
              </w:rPr>
            </w:pPr>
          </w:p>
          <w:p>
            <w:pPr>
              <w:pStyle w:val="18"/>
              <w:rPr>
                <w:rFonts w:ascii="Times New Roman" w:hAnsi="Times New Roman"/>
                <w:color w:val="000000"/>
              </w:rPr>
            </w:pPr>
          </w:p>
          <w:p>
            <w:pPr>
              <w:pStyle w:val="18"/>
              <w:rPr>
                <w:rFonts w:ascii="Times New Roman" w:hAnsi="Times New Roman"/>
                <w:color w:val="000000"/>
              </w:rPr>
            </w:pPr>
          </w:p>
          <w:p>
            <w:pPr>
              <w:pStyle w:val="18"/>
              <w:rPr>
                <w:rFonts w:ascii="Times New Roman" w:hAnsi="Times New Roman"/>
                <w:color w:val="000000"/>
              </w:rPr>
            </w:pPr>
          </w:p>
          <w:p>
            <w:pPr>
              <w:pStyle w:val="18"/>
              <w:rPr>
                <w:rFonts w:ascii="Times New Roman" w:hAnsi="Times New Roman"/>
                <w:color w:val="000000"/>
              </w:rPr>
            </w:pPr>
          </w:p>
          <w:p>
            <w:pPr>
              <w:pStyle w:val="18"/>
              <w:rPr>
                <w:rFonts w:ascii="Times New Roman" w:hAnsi="Times New Roman"/>
                <w:color w:val="000000"/>
              </w:rPr>
            </w:pPr>
          </w:p>
          <w:p>
            <w:pPr>
              <w:pStyle w:val="18"/>
              <w:rPr>
                <w:rFonts w:ascii="Times New Roman" w:hAnsi="Times New Roman"/>
                <w:color w:val="000000"/>
              </w:rPr>
            </w:pPr>
          </w:p>
          <w:p>
            <w:pPr>
              <w:pStyle w:val="18"/>
              <w:rPr>
                <w:rFonts w:ascii="Times New Roman" w:hAnsi="Times New Roman"/>
                <w:color w:val="000000"/>
              </w:rPr>
            </w:pPr>
          </w:p>
          <w:p>
            <w:pPr>
              <w:pStyle w:val="18"/>
              <w:rPr>
                <w:rFonts w:ascii="Times New Roman" w:hAnsi="Times New Roman"/>
                <w:color w:val="000000"/>
              </w:rPr>
            </w:pPr>
          </w:p>
          <w:p>
            <w:pPr>
              <w:pStyle w:val="18"/>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rPr>
                <w:rFonts w:ascii="Times New Roman" w:hAnsi="Times New Roman"/>
                <w:color w:val="000000"/>
              </w:rPr>
            </w:pPr>
          </w:p>
          <w:p>
            <w:pPr>
              <w:tabs>
                <w:tab w:val="left" w:pos="2395"/>
              </w:tabs>
              <w:spacing w:line="360" w:lineRule="auto"/>
              <w:rPr>
                <w:rFonts w:ascii="Times New Roman" w:hAnsi="Times New Roman"/>
                <w:b/>
                <w:bCs/>
                <w:color w:val="000000"/>
                <w:sz w:val="24"/>
                <w:szCs w:val="24"/>
              </w:rPr>
            </w:pPr>
            <w:r>
              <w:rPr>
                <w:rFonts w:ascii="Times New Roman" w:hAnsi="Times New Roman"/>
                <w:color w:val="000000"/>
              </w:rPr>
              <w:t xml:space="preserve">           </w:t>
            </w:r>
            <w:r>
              <w:rPr>
                <w:rFonts w:ascii="Times New Roman" w:hAnsi="Times New Roman"/>
                <w:b/>
                <w:bCs/>
                <w:color w:val="000000"/>
                <w:sz w:val="24"/>
                <w:szCs w:val="24"/>
              </w:rPr>
              <w:t xml:space="preserve">                                       公  章</w:t>
            </w:r>
          </w:p>
          <w:p>
            <w:pPr>
              <w:spacing w:line="360" w:lineRule="auto"/>
              <w:rPr>
                <w:rFonts w:ascii="Times New Roman" w:hAnsi="Times New Roman"/>
                <w:b/>
                <w:bCs/>
                <w:color w:val="000000"/>
                <w:sz w:val="24"/>
                <w:szCs w:val="24"/>
              </w:rPr>
            </w:pPr>
            <w:r>
              <w:rPr>
                <w:rFonts w:ascii="Times New Roman" w:hAnsi="Times New Roman"/>
                <w:b/>
                <w:bCs/>
                <w:color w:val="000000"/>
                <w:sz w:val="24"/>
                <w:szCs w:val="24"/>
              </w:rPr>
              <w:t xml:space="preserve"> </w:t>
            </w:r>
          </w:p>
          <w:p>
            <w:pPr>
              <w:spacing w:line="360" w:lineRule="auto"/>
              <w:rPr>
                <w:rFonts w:ascii="Times New Roman" w:hAnsi="Times New Roman"/>
                <w:b/>
                <w:bCs/>
                <w:color w:val="000000"/>
                <w:sz w:val="24"/>
                <w:szCs w:val="24"/>
              </w:rPr>
            </w:pPr>
            <w:r>
              <w:rPr>
                <w:rFonts w:ascii="Times New Roman" w:hAnsi="Times New Roman"/>
                <w:b/>
                <w:bCs/>
                <w:color w:val="000000"/>
                <w:sz w:val="24"/>
                <w:szCs w:val="24"/>
              </w:rPr>
              <w:t xml:space="preserve">经办人：                                        年  </w:t>
            </w:r>
            <w:r>
              <w:rPr>
                <w:rFonts w:hint="eastAsia"/>
                <w:b/>
                <w:bCs/>
                <w:color w:val="000000"/>
                <w:sz w:val="24"/>
                <w:szCs w:val="24"/>
                <w:lang w:val="en-US" w:eastAsia="zh-CN"/>
              </w:rPr>
              <w:t xml:space="preserve"> </w:t>
            </w:r>
            <w:r>
              <w:rPr>
                <w:rFonts w:ascii="Times New Roman" w:hAnsi="Times New Roman"/>
                <w:b/>
                <w:bCs/>
                <w:color w:val="000000"/>
                <w:sz w:val="24"/>
                <w:szCs w:val="24"/>
              </w:rPr>
              <w:t xml:space="preserve">月 </w:t>
            </w:r>
            <w:r>
              <w:rPr>
                <w:rFonts w:hint="eastAsia"/>
                <w:b/>
                <w:bCs/>
                <w:color w:val="000000"/>
                <w:sz w:val="24"/>
                <w:szCs w:val="24"/>
                <w:lang w:val="en-US" w:eastAsia="zh-CN"/>
              </w:rPr>
              <w:t xml:space="preserve"> </w:t>
            </w:r>
            <w:r>
              <w:rPr>
                <w:rFonts w:ascii="Times New Roman" w:hAnsi="Times New Roman"/>
                <w:b/>
                <w:bCs/>
                <w:color w:val="000000"/>
                <w:sz w:val="24"/>
                <w:szCs w:val="24"/>
              </w:rPr>
              <w:t xml:space="preserve"> 日</w:t>
            </w:r>
          </w:p>
          <w:p>
            <w:pPr>
              <w:pStyle w:val="18"/>
              <w:rPr>
                <w:rFonts w:ascii="Times New Roman" w:hAnsi="Times New Roman"/>
                <w:color w:val="000000"/>
              </w:rPr>
            </w:pPr>
          </w:p>
          <w:p>
            <w:pPr>
              <w:pStyle w:val="18"/>
              <w:jc w:val="both"/>
              <w:rPr>
                <w:rFonts w:ascii="Times New Roman" w:hAnsi="Times New Roman"/>
                <w:color w:val="000000"/>
              </w:rPr>
            </w:pPr>
          </w:p>
        </w:tc>
      </w:tr>
    </w:tbl>
    <w:p>
      <w:pPr>
        <w:rPr>
          <w:rFonts w:ascii="Times New Roman" w:hAnsi="Times New Roman"/>
          <w:color w:val="000000"/>
          <w:sz w:val="24"/>
          <w:szCs w:val="24"/>
        </w:rPr>
      </w:pPr>
    </w:p>
    <w:p>
      <w:pPr>
        <w:pStyle w:val="18"/>
        <w:rPr>
          <w:rFonts w:ascii="Times New Roman" w:hAnsi="Times New Roman"/>
          <w:color w:val="000000"/>
          <w:sz w:val="24"/>
          <w:szCs w:val="24"/>
        </w:rPr>
      </w:pPr>
    </w:p>
    <w:tbl>
      <w:tblPr>
        <w:tblStyle w:val="3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rPr>
                <w:rFonts w:hint="eastAsia" w:ascii="宋体" w:hAnsi="宋体"/>
                <w:b/>
                <w:bCs/>
                <w:color w:val="auto"/>
                <w:sz w:val="30"/>
                <w:szCs w:val="30"/>
              </w:rPr>
            </w:pPr>
            <w:r>
              <w:rPr>
                <w:rFonts w:hint="eastAsia" w:ascii="宋体" w:hAnsi="宋体"/>
                <w:b/>
                <w:bCs/>
                <w:color w:val="auto"/>
                <w:sz w:val="30"/>
                <w:szCs w:val="30"/>
              </w:rPr>
              <w:t>审批意见：</w:t>
            </w: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pStyle w:val="18"/>
              <w:rPr>
                <w:rFonts w:ascii="Times New Roman" w:hAnsi="Times New Roman"/>
                <w:color w:val="000000"/>
              </w:rPr>
            </w:pPr>
          </w:p>
          <w:p>
            <w:pPr>
              <w:pStyle w:val="18"/>
              <w:rPr>
                <w:rFonts w:ascii="Times New Roman" w:hAnsi="Times New Roman"/>
                <w:color w:val="000000"/>
              </w:rPr>
            </w:pPr>
          </w:p>
          <w:p>
            <w:pPr>
              <w:pStyle w:val="18"/>
              <w:rPr>
                <w:rFonts w:ascii="Times New Roman" w:hAnsi="Times New Roman"/>
                <w:color w:val="000000"/>
              </w:rPr>
            </w:pPr>
          </w:p>
          <w:p>
            <w:pPr>
              <w:pStyle w:val="18"/>
              <w:rPr>
                <w:rFonts w:ascii="Times New Roman" w:hAnsi="Times New Roman"/>
                <w:color w:val="000000"/>
              </w:rPr>
            </w:pPr>
          </w:p>
          <w:p>
            <w:pPr>
              <w:pStyle w:val="18"/>
              <w:rPr>
                <w:rFonts w:ascii="Times New Roman" w:hAnsi="Times New Roman"/>
                <w:color w:val="000000"/>
              </w:rPr>
            </w:pPr>
          </w:p>
          <w:p>
            <w:pPr>
              <w:pStyle w:val="18"/>
              <w:rPr>
                <w:rFonts w:ascii="Times New Roman" w:hAnsi="Times New Roman"/>
                <w:color w:val="000000"/>
              </w:rPr>
            </w:pPr>
          </w:p>
          <w:p>
            <w:pPr>
              <w:pStyle w:val="18"/>
              <w:rPr>
                <w:rFonts w:ascii="Times New Roman" w:hAnsi="Times New Roman"/>
                <w:color w:val="000000"/>
              </w:rPr>
            </w:pPr>
          </w:p>
          <w:p>
            <w:pPr>
              <w:pStyle w:val="18"/>
              <w:rPr>
                <w:rFonts w:ascii="Times New Roman" w:hAnsi="Times New Roman"/>
                <w:color w:val="000000"/>
              </w:rPr>
            </w:pPr>
          </w:p>
          <w:p>
            <w:pPr>
              <w:pStyle w:val="18"/>
              <w:rPr>
                <w:rFonts w:ascii="Times New Roman" w:hAnsi="Times New Roman"/>
                <w:color w:val="000000"/>
              </w:rPr>
            </w:pPr>
          </w:p>
          <w:p>
            <w:pPr>
              <w:pStyle w:val="18"/>
              <w:rPr>
                <w:rFonts w:ascii="Times New Roman" w:hAnsi="Times New Roman"/>
                <w:color w:val="000000"/>
              </w:rPr>
            </w:pPr>
          </w:p>
          <w:p>
            <w:pPr>
              <w:pStyle w:val="18"/>
              <w:rPr>
                <w:rFonts w:ascii="Times New Roman" w:hAnsi="Times New Roman"/>
                <w:color w:val="000000"/>
              </w:rPr>
            </w:pPr>
          </w:p>
          <w:p>
            <w:pPr>
              <w:tabs>
                <w:tab w:val="left" w:pos="2395"/>
              </w:tabs>
              <w:spacing w:line="360" w:lineRule="auto"/>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ind w:firstLine="480"/>
              <w:rPr>
                <w:rFonts w:ascii="Times New Roman" w:hAnsi="Times New Roman"/>
                <w:color w:val="000000"/>
              </w:rPr>
            </w:pPr>
          </w:p>
          <w:p>
            <w:pPr>
              <w:tabs>
                <w:tab w:val="left" w:pos="2395"/>
              </w:tabs>
              <w:spacing w:line="360" w:lineRule="auto"/>
              <w:rPr>
                <w:rFonts w:ascii="Times New Roman" w:hAnsi="Times New Roman"/>
                <w:color w:val="000000"/>
              </w:rPr>
            </w:pPr>
          </w:p>
          <w:p>
            <w:pPr>
              <w:tabs>
                <w:tab w:val="left" w:pos="2395"/>
              </w:tabs>
              <w:spacing w:line="360" w:lineRule="auto"/>
              <w:rPr>
                <w:rFonts w:ascii="Times New Roman" w:hAnsi="Times New Roman"/>
                <w:b/>
                <w:bCs/>
                <w:color w:val="000000"/>
                <w:sz w:val="24"/>
                <w:szCs w:val="24"/>
              </w:rPr>
            </w:pPr>
            <w:r>
              <w:rPr>
                <w:rFonts w:ascii="Times New Roman" w:hAnsi="Times New Roman"/>
                <w:color w:val="000000"/>
              </w:rPr>
              <w:t xml:space="preserve">           </w:t>
            </w:r>
            <w:r>
              <w:rPr>
                <w:rFonts w:ascii="Times New Roman" w:hAnsi="Times New Roman"/>
                <w:b/>
                <w:bCs/>
                <w:color w:val="000000"/>
                <w:sz w:val="24"/>
                <w:szCs w:val="24"/>
              </w:rPr>
              <w:t xml:space="preserve">                                       公  章</w:t>
            </w:r>
          </w:p>
          <w:p>
            <w:pPr>
              <w:spacing w:line="360" w:lineRule="auto"/>
              <w:rPr>
                <w:rFonts w:ascii="Times New Roman" w:hAnsi="Times New Roman"/>
                <w:b/>
                <w:bCs/>
                <w:color w:val="000000"/>
                <w:sz w:val="24"/>
                <w:szCs w:val="24"/>
              </w:rPr>
            </w:pPr>
            <w:r>
              <w:rPr>
                <w:rFonts w:ascii="Times New Roman" w:hAnsi="Times New Roman"/>
                <w:b/>
                <w:bCs/>
                <w:color w:val="000000"/>
                <w:sz w:val="24"/>
                <w:szCs w:val="24"/>
              </w:rPr>
              <w:t xml:space="preserve"> </w:t>
            </w:r>
          </w:p>
          <w:p>
            <w:pPr>
              <w:spacing w:line="360" w:lineRule="auto"/>
              <w:rPr>
                <w:rFonts w:ascii="Times New Roman" w:hAnsi="Times New Roman"/>
                <w:b/>
                <w:bCs/>
                <w:color w:val="000000"/>
                <w:sz w:val="24"/>
                <w:szCs w:val="24"/>
              </w:rPr>
            </w:pPr>
            <w:r>
              <w:rPr>
                <w:rFonts w:ascii="Times New Roman" w:hAnsi="Times New Roman"/>
                <w:b/>
                <w:bCs/>
                <w:color w:val="000000"/>
                <w:sz w:val="24"/>
                <w:szCs w:val="24"/>
              </w:rPr>
              <w:t xml:space="preserve">经办人：                                        年 </w:t>
            </w:r>
            <w:r>
              <w:rPr>
                <w:rFonts w:hint="eastAsia"/>
                <w:b/>
                <w:bCs/>
                <w:color w:val="000000"/>
                <w:sz w:val="24"/>
                <w:szCs w:val="24"/>
                <w:lang w:val="en-US" w:eastAsia="zh-CN"/>
              </w:rPr>
              <w:t xml:space="preserve"> </w:t>
            </w:r>
            <w:r>
              <w:rPr>
                <w:rFonts w:ascii="Times New Roman" w:hAnsi="Times New Roman"/>
                <w:b/>
                <w:bCs/>
                <w:color w:val="000000"/>
                <w:sz w:val="24"/>
                <w:szCs w:val="24"/>
              </w:rPr>
              <w:t xml:space="preserve"> 月  </w:t>
            </w:r>
            <w:r>
              <w:rPr>
                <w:rFonts w:hint="eastAsia"/>
                <w:b/>
                <w:bCs/>
                <w:color w:val="000000"/>
                <w:sz w:val="24"/>
                <w:szCs w:val="24"/>
                <w:lang w:val="en-US" w:eastAsia="zh-CN"/>
              </w:rPr>
              <w:t xml:space="preserve"> </w:t>
            </w:r>
            <w:r>
              <w:rPr>
                <w:rFonts w:ascii="Times New Roman" w:hAnsi="Times New Roman"/>
                <w:b/>
                <w:bCs/>
                <w:color w:val="000000"/>
                <w:sz w:val="24"/>
                <w:szCs w:val="24"/>
              </w:rPr>
              <w:t>日</w:t>
            </w:r>
          </w:p>
          <w:p>
            <w:pPr>
              <w:pStyle w:val="18"/>
              <w:rPr>
                <w:rFonts w:ascii="Times New Roman" w:hAnsi="Times New Roman"/>
                <w:color w:val="000000"/>
              </w:rPr>
            </w:pPr>
          </w:p>
          <w:p>
            <w:pPr>
              <w:pStyle w:val="18"/>
              <w:rPr>
                <w:rFonts w:ascii="Times New Roman" w:hAnsi="Times New Roman"/>
                <w:color w:val="000000"/>
                <w:sz w:val="24"/>
                <w:szCs w:val="24"/>
                <w:vertAlign w:val="baseline"/>
              </w:rPr>
            </w:pPr>
          </w:p>
        </w:tc>
      </w:tr>
    </w:tbl>
    <w:p/>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 w:name="Arial Black">
    <w:panose1 w:val="020B0A04020102020204"/>
    <w:charset w:val="00"/>
    <w:family w:val="swiss"/>
    <w:pitch w:val="default"/>
    <w:sig w:usb0="00000287" w:usb1="00000000" w:usb2="00000000" w:usb3="00000000" w:csb0="2000009F" w:csb1="DFD70000"/>
  </w:font>
  <w:font w:name="华文新魏">
    <w:panose1 w:val="02010800040101010101"/>
    <w:charset w:val="86"/>
    <w:family w:val="auto"/>
    <w:pitch w:val="default"/>
    <w:sig w:usb0="00000001" w:usb1="080F0000" w:usb2="00000000" w:usb3="00000000" w:csb0="00040000" w:csb1="00000000"/>
  </w:font>
  <w:font w:name="New Times Romes">
    <w:altName w:val="Times New Roman"/>
    <w:panose1 w:val="00000000000000000000"/>
    <w:charset w:val="00"/>
    <w:family w:val="roman"/>
    <w:pitch w:val="default"/>
    <w:sig w:usb0="00000000" w:usb1="00000000" w:usb2="00000000" w:usb3="00000000" w:csb0="00000001" w:csb1="00000000"/>
  </w:font>
  <w:font w:name="TimesNewRomanPSMT">
    <w:altName w:val="等线"/>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right="360"/>
      <w:jc w:val="center"/>
      <w:rPr>
        <w:rFonts w:hint="eastAsia" w:ascii="华文新魏" w:eastAsia="华文新魏"/>
        <w:color w:val="0000FF"/>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right="360"/>
      <w:jc w:val="center"/>
      <w:rPr>
        <w:rFonts w:hint="eastAsia" w:ascii="华文新魏" w:eastAsia="华文新魏"/>
        <w:color w:val="0000FF"/>
        <w:sz w:val="21"/>
        <w:szCs w:val="21"/>
      </w:rPr>
    </w:pPr>
    <w:r>
      <w:rPr>
        <w:color w:val="0000FF"/>
        <w:sz w:val="21"/>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14935" cy="131445"/>
              <wp:effectExtent l="0" t="0" r="0" b="0"/>
              <wp:wrapNone/>
              <wp:docPr id="63" name="文本框 17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pPr>
                            <w:pStyle w:val="27"/>
                            <w:ind w:right="-1921" w:rightChars="-915"/>
                            <w:rPr>
                              <w:rStyle w:val="43"/>
                            </w:rPr>
                          </w:pPr>
                          <w:r>
                            <w:fldChar w:fldCharType="begin"/>
                          </w:r>
                          <w:r>
                            <w:rPr>
                              <w:rStyle w:val="43"/>
                            </w:rPr>
                            <w:instrText xml:space="preserve">PAGE  </w:instrText>
                          </w:r>
                          <w:r>
                            <w:fldChar w:fldCharType="separate"/>
                          </w:r>
                          <w:r>
                            <w:rPr>
                              <w:rStyle w:val="43"/>
                            </w:rPr>
                            <w:t>1</w:t>
                          </w:r>
                          <w:r>
                            <w:fldChar w:fldCharType="end"/>
                          </w:r>
                        </w:p>
                      </w:txbxContent>
                    </wps:txbx>
                    <wps:bodyPr wrap="none" lIns="0" tIns="0" rIns="0" bIns="0" upright="0">
                      <a:spAutoFit/>
                    </wps:bodyPr>
                  </wps:wsp>
                </a:graphicData>
              </a:graphic>
            </wp:anchor>
          </w:drawing>
        </mc:Choice>
        <mc:Fallback>
          <w:pict>
            <v:shape id="文本框 173" o:spid="_x0000_s1026" o:spt="202" type="#_x0000_t202" style="position:absolute;left:0pt;margin-top:0pt;height:10.35pt;width:9.05pt;mso-position-horizontal:center;mso-position-horizontal-relative:margin;mso-wrap-style:none;z-index:251658240;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Q+V+SdAAAAADAQAADwAAAAAAAAABACAAAAAi&#10;AAAAZHJzL2Rvd25yZXYueG1sUEsBAhQAFAAAAAgAh07iQGNtgNfZAQAAowMAAA4AAAAAAAAAAQAg&#10;AAAAHwEAAGRycy9lMm9Eb2MueG1sUEsFBgAAAAAGAAYAWQEAAGoFAAAAAA==&#10;">
              <v:fill on="f" focussize="0,0"/>
              <v:stroke on="f"/>
              <v:imagedata o:title=""/>
              <o:lock v:ext="edit" aspectratio="f"/>
              <v:textbox inset="0mm,0mm,0mm,0mm" style="mso-fit-shape-to-text:t;">
                <w:txbxContent>
                  <w:p>
                    <w:pPr>
                      <w:pStyle w:val="27"/>
                      <w:ind w:right="-1921" w:rightChars="-915"/>
                      <w:rPr>
                        <w:rStyle w:val="43"/>
                      </w:rPr>
                    </w:pPr>
                    <w:r>
                      <w:fldChar w:fldCharType="begin"/>
                    </w:r>
                    <w:r>
                      <w:rPr>
                        <w:rStyle w:val="43"/>
                      </w:rPr>
                      <w:instrText xml:space="preserve">PAGE  </w:instrText>
                    </w:r>
                    <w:r>
                      <w:fldChar w:fldCharType="separate"/>
                    </w:r>
                    <w:r>
                      <w:rPr>
                        <w:rStyle w:val="43"/>
                      </w:rP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F3693E"/>
    <w:multiLevelType w:val="singleLevel"/>
    <w:tmpl w:val="89F3693E"/>
    <w:lvl w:ilvl="0" w:tentative="0">
      <w:start w:val="1"/>
      <w:numFmt w:val="decimal"/>
      <w:suff w:val="nothing"/>
      <w:lvlText w:val="%1、"/>
      <w:lvlJc w:val="left"/>
    </w:lvl>
  </w:abstractNum>
  <w:abstractNum w:abstractNumId="1">
    <w:nsid w:val="B296BCE9"/>
    <w:multiLevelType w:val="singleLevel"/>
    <w:tmpl w:val="B296BCE9"/>
    <w:lvl w:ilvl="0" w:tentative="0">
      <w:start w:val="3"/>
      <w:numFmt w:val="decimal"/>
      <w:suff w:val="nothing"/>
      <w:lvlText w:val="%1、"/>
      <w:lvlJc w:val="left"/>
    </w:lvl>
  </w:abstractNum>
  <w:abstractNum w:abstractNumId="2">
    <w:nsid w:val="D732910D"/>
    <w:multiLevelType w:val="singleLevel"/>
    <w:tmpl w:val="D732910D"/>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667C9"/>
    <w:rsid w:val="000C4651"/>
    <w:rsid w:val="00185D6B"/>
    <w:rsid w:val="00351C0A"/>
    <w:rsid w:val="003B319F"/>
    <w:rsid w:val="004E3F2A"/>
    <w:rsid w:val="00556BE1"/>
    <w:rsid w:val="005D54B6"/>
    <w:rsid w:val="00667573"/>
    <w:rsid w:val="008F3B0E"/>
    <w:rsid w:val="009D0BDF"/>
    <w:rsid w:val="009D2450"/>
    <w:rsid w:val="00DB4C72"/>
    <w:rsid w:val="00DE3E6C"/>
    <w:rsid w:val="00E44A67"/>
    <w:rsid w:val="010707B3"/>
    <w:rsid w:val="0107693F"/>
    <w:rsid w:val="0110557B"/>
    <w:rsid w:val="012F1EE0"/>
    <w:rsid w:val="013F2897"/>
    <w:rsid w:val="01422E26"/>
    <w:rsid w:val="014E592D"/>
    <w:rsid w:val="01535B93"/>
    <w:rsid w:val="015D07AC"/>
    <w:rsid w:val="01766CDF"/>
    <w:rsid w:val="018105E3"/>
    <w:rsid w:val="01980E4E"/>
    <w:rsid w:val="01E639CB"/>
    <w:rsid w:val="01ED00CE"/>
    <w:rsid w:val="01EF2FB2"/>
    <w:rsid w:val="01F33057"/>
    <w:rsid w:val="025536DE"/>
    <w:rsid w:val="026962F7"/>
    <w:rsid w:val="02900D59"/>
    <w:rsid w:val="02917006"/>
    <w:rsid w:val="029C787F"/>
    <w:rsid w:val="02A96B17"/>
    <w:rsid w:val="02B47304"/>
    <w:rsid w:val="02C27DBB"/>
    <w:rsid w:val="02C85B0F"/>
    <w:rsid w:val="02CB624B"/>
    <w:rsid w:val="02CD537E"/>
    <w:rsid w:val="02D81079"/>
    <w:rsid w:val="02EF044B"/>
    <w:rsid w:val="02FF3733"/>
    <w:rsid w:val="030D0C5D"/>
    <w:rsid w:val="03132B71"/>
    <w:rsid w:val="0327394B"/>
    <w:rsid w:val="034D4BB3"/>
    <w:rsid w:val="035B360D"/>
    <w:rsid w:val="035D5E01"/>
    <w:rsid w:val="038A5B8C"/>
    <w:rsid w:val="03902CA8"/>
    <w:rsid w:val="0397421E"/>
    <w:rsid w:val="03A11C9E"/>
    <w:rsid w:val="03CC389A"/>
    <w:rsid w:val="03CD40F2"/>
    <w:rsid w:val="03F44845"/>
    <w:rsid w:val="041617F3"/>
    <w:rsid w:val="041822C6"/>
    <w:rsid w:val="044C14EF"/>
    <w:rsid w:val="046A6BCD"/>
    <w:rsid w:val="047512BA"/>
    <w:rsid w:val="04824988"/>
    <w:rsid w:val="04996BB8"/>
    <w:rsid w:val="04C7385A"/>
    <w:rsid w:val="04DC3C59"/>
    <w:rsid w:val="04E03BF1"/>
    <w:rsid w:val="050A654B"/>
    <w:rsid w:val="050F1187"/>
    <w:rsid w:val="052B3821"/>
    <w:rsid w:val="054F677B"/>
    <w:rsid w:val="057D0D8D"/>
    <w:rsid w:val="05831217"/>
    <w:rsid w:val="058664B6"/>
    <w:rsid w:val="05AD1DA5"/>
    <w:rsid w:val="05DB38E8"/>
    <w:rsid w:val="05DC457B"/>
    <w:rsid w:val="05E36362"/>
    <w:rsid w:val="060B26CA"/>
    <w:rsid w:val="0627201B"/>
    <w:rsid w:val="063243B8"/>
    <w:rsid w:val="063F2772"/>
    <w:rsid w:val="06483678"/>
    <w:rsid w:val="06540E2C"/>
    <w:rsid w:val="068E0B9B"/>
    <w:rsid w:val="06AD6B99"/>
    <w:rsid w:val="06AE734C"/>
    <w:rsid w:val="06B36FB2"/>
    <w:rsid w:val="06E717AF"/>
    <w:rsid w:val="06F16227"/>
    <w:rsid w:val="0724610A"/>
    <w:rsid w:val="072C1A11"/>
    <w:rsid w:val="073437FE"/>
    <w:rsid w:val="073F380E"/>
    <w:rsid w:val="07475482"/>
    <w:rsid w:val="075812B4"/>
    <w:rsid w:val="075E5BC8"/>
    <w:rsid w:val="076F7FAC"/>
    <w:rsid w:val="077F7DAC"/>
    <w:rsid w:val="078B6D0D"/>
    <w:rsid w:val="07975B2A"/>
    <w:rsid w:val="07B05F8B"/>
    <w:rsid w:val="07B2258C"/>
    <w:rsid w:val="07E46ADA"/>
    <w:rsid w:val="07F9215E"/>
    <w:rsid w:val="080B077B"/>
    <w:rsid w:val="081B0837"/>
    <w:rsid w:val="0823789B"/>
    <w:rsid w:val="08683547"/>
    <w:rsid w:val="08B13B83"/>
    <w:rsid w:val="08C11996"/>
    <w:rsid w:val="08E50749"/>
    <w:rsid w:val="08FE6598"/>
    <w:rsid w:val="09014D35"/>
    <w:rsid w:val="090958A1"/>
    <w:rsid w:val="09275C48"/>
    <w:rsid w:val="092B1BBA"/>
    <w:rsid w:val="09394C42"/>
    <w:rsid w:val="093C1BCD"/>
    <w:rsid w:val="09515FCA"/>
    <w:rsid w:val="096F351D"/>
    <w:rsid w:val="097262EC"/>
    <w:rsid w:val="099A2C22"/>
    <w:rsid w:val="099B274E"/>
    <w:rsid w:val="09A204CC"/>
    <w:rsid w:val="09C20AAF"/>
    <w:rsid w:val="09C52392"/>
    <w:rsid w:val="09CA40FD"/>
    <w:rsid w:val="09D940CB"/>
    <w:rsid w:val="09E16A40"/>
    <w:rsid w:val="09F73660"/>
    <w:rsid w:val="09FA6768"/>
    <w:rsid w:val="0A005108"/>
    <w:rsid w:val="0A0C0500"/>
    <w:rsid w:val="0A0E2A79"/>
    <w:rsid w:val="0A1B2CBD"/>
    <w:rsid w:val="0A33132C"/>
    <w:rsid w:val="0A4C5106"/>
    <w:rsid w:val="0A520D08"/>
    <w:rsid w:val="0A710FD3"/>
    <w:rsid w:val="0A8B5D15"/>
    <w:rsid w:val="0AA218E6"/>
    <w:rsid w:val="0AD178ED"/>
    <w:rsid w:val="0AFB317E"/>
    <w:rsid w:val="0B102F4D"/>
    <w:rsid w:val="0B27619C"/>
    <w:rsid w:val="0B2D2C76"/>
    <w:rsid w:val="0B4F70A4"/>
    <w:rsid w:val="0B5D3E12"/>
    <w:rsid w:val="0B9B0E5E"/>
    <w:rsid w:val="0BAB051C"/>
    <w:rsid w:val="0BAB6CBD"/>
    <w:rsid w:val="0BBB2C58"/>
    <w:rsid w:val="0BBB45D2"/>
    <w:rsid w:val="0BD4546D"/>
    <w:rsid w:val="0BD860EC"/>
    <w:rsid w:val="0BF64756"/>
    <w:rsid w:val="0C28118C"/>
    <w:rsid w:val="0C7950DE"/>
    <w:rsid w:val="0C7B75DC"/>
    <w:rsid w:val="0CBD0448"/>
    <w:rsid w:val="0CBF508D"/>
    <w:rsid w:val="0CC1235E"/>
    <w:rsid w:val="0CD27E54"/>
    <w:rsid w:val="0CEE1201"/>
    <w:rsid w:val="0CFD245D"/>
    <w:rsid w:val="0D0D5D5F"/>
    <w:rsid w:val="0D1606B0"/>
    <w:rsid w:val="0D1849D1"/>
    <w:rsid w:val="0D1B3528"/>
    <w:rsid w:val="0D20353E"/>
    <w:rsid w:val="0D303860"/>
    <w:rsid w:val="0D4F2DD8"/>
    <w:rsid w:val="0D6B62B4"/>
    <w:rsid w:val="0D931B12"/>
    <w:rsid w:val="0D98628D"/>
    <w:rsid w:val="0DA37B1E"/>
    <w:rsid w:val="0DA72106"/>
    <w:rsid w:val="0DF222DF"/>
    <w:rsid w:val="0E0A34FA"/>
    <w:rsid w:val="0E1E44A8"/>
    <w:rsid w:val="0E2D211A"/>
    <w:rsid w:val="0E3745DF"/>
    <w:rsid w:val="0E393B82"/>
    <w:rsid w:val="0E5C418F"/>
    <w:rsid w:val="0E606961"/>
    <w:rsid w:val="0E627FE6"/>
    <w:rsid w:val="0E6C2BFA"/>
    <w:rsid w:val="0E6F299F"/>
    <w:rsid w:val="0E702A30"/>
    <w:rsid w:val="0E7D1630"/>
    <w:rsid w:val="0E8673E2"/>
    <w:rsid w:val="0E890AEE"/>
    <w:rsid w:val="0E8D1CD9"/>
    <w:rsid w:val="0E9A2A17"/>
    <w:rsid w:val="0ED732E1"/>
    <w:rsid w:val="0EE16E85"/>
    <w:rsid w:val="0EF1597D"/>
    <w:rsid w:val="0EF63567"/>
    <w:rsid w:val="0F073924"/>
    <w:rsid w:val="0F0F20A5"/>
    <w:rsid w:val="0F1C0356"/>
    <w:rsid w:val="0F351E44"/>
    <w:rsid w:val="0F5523B8"/>
    <w:rsid w:val="0F55284D"/>
    <w:rsid w:val="0F5A77D2"/>
    <w:rsid w:val="0F6A4D54"/>
    <w:rsid w:val="0F7862A4"/>
    <w:rsid w:val="0F7A0816"/>
    <w:rsid w:val="0F872476"/>
    <w:rsid w:val="0FA1072E"/>
    <w:rsid w:val="0FA36397"/>
    <w:rsid w:val="0FA74326"/>
    <w:rsid w:val="0FAD238D"/>
    <w:rsid w:val="0FB01646"/>
    <w:rsid w:val="1007683C"/>
    <w:rsid w:val="10337B2A"/>
    <w:rsid w:val="10923D73"/>
    <w:rsid w:val="109251C6"/>
    <w:rsid w:val="10974DBD"/>
    <w:rsid w:val="10C424A9"/>
    <w:rsid w:val="11092142"/>
    <w:rsid w:val="11452D84"/>
    <w:rsid w:val="114879D0"/>
    <w:rsid w:val="118C221E"/>
    <w:rsid w:val="119C61A7"/>
    <w:rsid w:val="11A3738A"/>
    <w:rsid w:val="11B43159"/>
    <w:rsid w:val="11E7313A"/>
    <w:rsid w:val="11EC194B"/>
    <w:rsid w:val="11F00C56"/>
    <w:rsid w:val="12012A40"/>
    <w:rsid w:val="12057B68"/>
    <w:rsid w:val="120C0298"/>
    <w:rsid w:val="1219438A"/>
    <w:rsid w:val="1222748A"/>
    <w:rsid w:val="12415B34"/>
    <w:rsid w:val="12531652"/>
    <w:rsid w:val="12651B87"/>
    <w:rsid w:val="12692903"/>
    <w:rsid w:val="12922021"/>
    <w:rsid w:val="129C7352"/>
    <w:rsid w:val="12A374C1"/>
    <w:rsid w:val="12B36C4F"/>
    <w:rsid w:val="12C42C3D"/>
    <w:rsid w:val="12C57BDE"/>
    <w:rsid w:val="12CA4B03"/>
    <w:rsid w:val="12E13256"/>
    <w:rsid w:val="12EF5CDA"/>
    <w:rsid w:val="12F35AAF"/>
    <w:rsid w:val="1331571F"/>
    <w:rsid w:val="13361812"/>
    <w:rsid w:val="13714324"/>
    <w:rsid w:val="1383195D"/>
    <w:rsid w:val="13903B38"/>
    <w:rsid w:val="13AA7B9D"/>
    <w:rsid w:val="13B90BDA"/>
    <w:rsid w:val="13BE0E8E"/>
    <w:rsid w:val="13CE1D3A"/>
    <w:rsid w:val="13E60C08"/>
    <w:rsid w:val="13F843C7"/>
    <w:rsid w:val="13FF10B9"/>
    <w:rsid w:val="14176493"/>
    <w:rsid w:val="145C6BBE"/>
    <w:rsid w:val="14835481"/>
    <w:rsid w:val="14901CA2"/>
    <w:rsid w:val="14AA7522"/>
    <w:rsid w:val="14E2200B"/>
    <w:rsid w:val="14FB0F20"/>
    <w:rsid w:val="15094FB2"/>
    <w:rsid w:val="1540113D"/>
    <w:rsid w:val="15481E17"/>
    <w:rsid w:val="154A666E"/>
    <w:rsid w:val="1560462E"/>
    <w:rsid w:val="1560555A"/>
    <w:rsid w:val="15970037"/>
    <w:rsid w:val="15A53E20"/>
    <w:rsid w:val="15A739D6"/>
    <w:rsid w:val="15D64B73"/>
    <w:rsid w:val="15D71720"/>
    <w:rsid w:val="15E050D5"/>
    <w:rsid w:val="15ED248C"/>
    <w:rsid w:val="16191BF3"/>
    <w:rsid w:val="161B26EC"/>
    <w:rsid w:val="162B478D"/>
    <w:rsid w:val="16431470"/>
    <w:rsid w:val="16473215"/>
    <w:rsid w:val="168B467A"/>
    <w:rsid w:val="16A62194"/>
    <w:rsid w:val="16A730D5"/>
    <w:rsid w:val="16BC7D21"/>
    <w:rsid w:val="16CF0B55"/>
    <w:rsid w:val="170848DB"/>
    <w:rsid w:val="174C6926"/>
    <w:rsid w:val="175D0413"/>
    <w:rsid w:val="177C1A6B"/>
    <w:rsid w:val="178F4F73"/>
    <w:rsid w:val="17B26C5E"/>
    <w:rsid w:val="17B85860"/>
    <w:rsid w:val="17E72B5D"/>
    <w:rsid w:val="17EB5EB7"/>
    <w:rsid w:val="17FC48C3"/>
    <w:rsid w:val="182E7413"/>
    <w:rsid w:val="183551B1"/>
    <w:rsid w:val="184E5964"/>
    <w:rsid w:val="185162AA"/>
    <w:rsid w:val="1885514E"/>
    <w:rsid w:val="18B80FE2"/>
    <w:rsid w:val="18BB78FE"/>
    <w:rsid w:val="18DD44C4"/>
    <w:rsid w:val="18F40056"/>
    <w:rsid w:val="18F91E3C"/>
    <w:rsid w:val="18FB7503"/>
    <w:rsid w:val="19035419"/>
    <w:rsid w:val="19192163"/>
    <w:rsid w:val="19220BA6"/>
    <w:rsid w:val="192D2F6B"/>
    <w:rsid w:val="19324C07"/>
    <w:rsid w:val="19361C76"/>
    <w:rsid w:val="19492E89"/>
    <w:rsid w:val="19531FBA"/>
    <w:rsid w:val="195937BF"/>
    <w:rsid w:val="197030AF"/>
    <w:rsid w:val="197F34DE"/>
    <w:rsid w:val="198E4FC9"/>
    <w:rsid w:val="198F59DF"/>
    <w:rsid w:val="19A41597"/>
    <w:rsid w:val="19AD30F6"/>
    <w:rsid w:val="19B87133"/>
    <w:rsid w:val="19DA006D"/>
    <w:rsid w:val="19DC3050"/>
    <w:rsid w:val="1A065E3F"/>
    <w:rsid w:val="1A0E11ED"/>
    <w:rsid w:val="1A3D1A42"/>
    <w:rsid w:val="1A46794F"/>
    <w:rsid w:val="1A48794A"/>
    <w:rsid w:val="1A5E560E"/>
    <w:rsid w:val="1A9D5BD9"/>
    <w:rsid w:val="1AAB4AF4"/>
    <w:rsid w:val="1AC05936"/>
    <w:rsid w:val="1ACA5A22"/>
    <w:rsid w:val="1AD677DA"/>
    <w:rsid w:val="1B15748F"/>
    <w:rsid w:val="1B201D12"/>
    <w:rsid w:val="1B730A6E"/>
    <w:rsid w:val="1B9C6F43"/>
    <w:rsid w:val="1BAB030E"/>
    <w:rsid w:val="1BAC0F4A"/>
    <w:rsid w:val="1BB8292F"/>
    <w:rsid w:val="1BBB2A2F"/>
    <w:rsid w:val="1BD77278"/>
    <w:rsid w:val="1BE13547"/>
    <w:rsid w:val="1BFA6CE7"/>
    <w:rsid w:val="1C0D54AC"/>
    <w:rsid w:val="1C111D0A"/>
    <w:rsid w:val="1C2774DA"/>
    <w:rsid w:val="1C3B3AAA"/>
    <w:rsid w:val="1C4116A6"/>
    <w:rsid w:val="1C581D7E"/>
    <w:rsid w:val="1C5916F9"/>
    <w:rsid w:val="1C7567CA"/>
    <w:rsid w:val="1C817FD7"/>
    <w:rsid w:val="1C857970"/>
    <w:rsid w:val="1C8A0075"/>
    <w:rsid w:val="1C8D5B2F"/>
    <w:rsid w:val="1C950825"/>
    <w:rsid w:val="1CA27A3B"/>
    <w:rsid w:val="1CA635A6"/>
    <w:rsid w:val="1CAB1A8A"/>
    <w:rsid w:val="1CC20D8C"/>
    <w:rsid w:val="1CC55733"/>
    <w:rsid w:val="1CD33480"/>
    <w:rsid w:val="1CED67E4"/>
    <w:rsid w:val="1D005744"/>
    <w:rsid w:val="1D080BB2"/>
    <w:rsid w:val="1D290DB7"/>
    <w:rsid w:val="1D354296"/>
    <w:rsid w:val="1D42677C"/>
    <w:rsid w:val="1D537B7D"/>
    <w:rsid w:val="1D6D47B0"/>
    <w:rsid w:val="1D86051D"/>
    <w:rsid w:val="1D8C6DC4"/>
    <w:rsid w:val="1D905D6B"/>
    <w:rsid w:val="1D961FF8"/>
    <w:rsid w:val="1DE6063F"/>
    <w:rsid w:val="1DFB77A0"/>
    <w:rsid w:val="1E037B98"/>
    <w:rsid w:val="1E127CC4"/>
    <w:rsid w:val="1E2E3920"/>
    <w:rsid w:val="1E3C4907"/>
    <w:rsid w:val="1E58420B"/>
    <w:rsid w:val="1E6D2B59"/>
    <w:rsid w:val="1E740A6D"/>
    <w:rsid w:val="1E776D50"/>
    <w:rsid w:val="1E8708E8"/>
    <w:rsid w:val="1E917F53"/>
    <w:rsid w:val="1F0F32ED"/>
    <w:rsid w:val="1F3520B9"/>
    <w:rsid w:val="1F5C357C"/>
    <w:rsid w:val="1F692078"/>
    <w:rsid w:val="1F6C22CE"/>
    <w:rsid w:val="1F6F54C7"/>
    <w:rsid w:val="1F7128C2"/>
    <w:rsid w:val="1F79181C"/>
    <w:rsid w:val="1F7B18F2"/>
    <w:rsid w:val="1F844665"/>
    <w:rsid w:val="1F9D4EF0"/>
    <w:rsid w:val="1FAB366E"/>
    <w:rsid w:val="1FB41432"/>
    <w:rsid w:val="1FBC0E97"/>
    <w:rsid w:val="1FDF37AE"/>
    <w:rsid w:val="1FE54DC2"/>
    <w:rsid w:val="1FEB6962"/>
    <w:rsid w:val="200F514F"/>
    <w:rsid w:val="20202FA0"/>
    <w:rsid w:val="20377B8B"/>
    <w:rsid w:val="203C5240"/>
    <w:rsid w:val="203E7A04"/>
    <w:rsid w:val="2069411B"/>
    <w:rsid w:val="20704359"/>
    <w:rsid w:val="208C2A17"/>
    <w:rsid w:val="208C6729"/>
    <w:rsid w:val="20984610"/>
    <w:rsid w:val="209C085A"/>
    <w:rsid w:val="20A47914"/>
    <w:rsid w:val="20AC1A77"/>
    <w:rsid w:val="20D029F2"/>
    <w:rsid w:val="20E15534"/>
    <w:rsid w:val="20E51EB9"/>
    <w:rsid w:val="21043C84"/>
    <w:rsid w:val="211B1D2E"/>
    <w:rsid w:val="21237FE3"/>
    <w:rsid w:val="213D17A0"/>
    <w:rsid w:val="21720C29"/>
    <w:rsid w:val="218E25F0"/>
    <w:rsid w:val="219C2721"/>
    <w:rsid w:val="219F1231"/>
    <w:rsid w:val="21BD3DFE"/>
    <w:rsid w:val="21D12DA5"/>
    <w:rsid w:val="21FB485E"/>
    <w:rsid w:val="220336C5"/>
    <w:rsid w:val="22145E58"/>
    <w:rsid w:val="2214750D"/>
    <w:rsid w:val="221E7848"/>
    <w:rsid w:val="22374AED"/>
    <w:rsid w:val="224C2879"/>
    <w:rsid w:val="224E19BF"/>
    <w:rsid w:val="22552141"/>
    <w:rsid w:val="226E6ABC"/>
    <w:rsid w:val="22705EEC"/>
    <w:rsid w:val="227540EE"/>
    <w:rsid w:val="22823C55"/>
    <w:rsid w:val="228A5157"/>
    <w:rsid w:val="22BD1296"/>
    <w:rsid w:val="22CE178E"/>
    <w:rsid w:val="22D54ED4"/>
    <w:rsid w:val="22F67E09"/>
    <w:rsid w:val="230B1899"/>
    <w:rsid w:val="232A4C67"/>
    <w:rsid w:val="233B0274"/>
    <w:rsid w:val="233D7AAB"/>
    <w:rsid w:val="234256D6"/>
    <w:rsid w:val="23426443"/>
    <w:rsid w:val="234B2668"/>
    <w:rsid w:val="23541789"/>
    <w:rsid w:val="23595E4D"/>
    <w:rsid w:val="237B2B12"/>
    <w:rsid w:val="238A3D56"/>
    <w:rsid w:val="239A46F7"/>
    <w:rsid w:val="23A45125"/>
    <w:rsid w:val="23C251CC"/>
    <w:rsid w:val="23D30CE2"/>
    <w:rsid w:val="23E2778E"/>
    <w:rsid w:val="23E50FDF"/>
    <w:rsid w:val="23E742DD"/>
    <w:rsid w:val="23F10FF4"/>
    <w:rsid w:val="23F13AF3"/>
    <w:rsid w:val="24037842"/>
    <w:rsid w:val="241038B7"/>
    <w:rsid w:val="2413132A"/>
    <w:rsid w:val="242A4B38"/>
    <w:rsid w:val="2439605F"/>
    <w:rsid w:val="243E6365"/>
    <w:rsid w:val="243E6971"/>
    <w:rsid w:val="245F4E5D"/>
    <w:rsid w:val="24666C35"/>
    <w:rsid w:val="246C73C7"/>
    <w:rsid w:val="24712DFA"/>
    <w:rsid w:val="24B73C7E"/>
    <w:rsid w:val="24C05573"/>
    <w:rsid w:val="24C7728E"/>
    <w:rsid w:val="25046A3F"/>
    <w:rsid w:val="25080DDB"/>
    <w:rsid w:val="25193F2F"/>
    <w:rsid w:val="25201BFA"/>
    <w:rsid w:val="2542196B"/>
    <w:rsid w:val="25751930"/>
    <w:rsid w:val="25857328"/>
    <w:rsid w:val="25B74D96"/>
    <w:rsid w:val="25BC5C24"/>
    <w:rsid w:val="25C71045"/>
    <w:rsid w:val="25DF6A7D"/>
    <w:rsid w:val="25E22D36"/>
    <w:rsid w:val="25E919EA"/>
    <w:rsid w:val="26177F00"/>
    <w:rsid w:val="261A277F"/>
    <w:rsid w:val="262D61AF"/>
    <w:rsid w:val="26380697"/>
    <w:rsid w:val="26443F84"/>
    <w:rsid w:val="26487FD1"/>
    <w:rsid w:val="265A4FBF"/>
    <w:rsid w:val="269F745C"/>
    <w:rsid w:val="26A20924"/>
    <w:rsid w:val="26B16C59"/>
    <w:rsid w:val="26B77504"/>
    <w:rsid w:val="270F4515"/>
    <w:rsid w:val="27154535"/>
    <w:rsid w:val="27281810"/>
    <w:rsid w:val="27314F2A"/>
    <w:rsid w:val="27583640"/>
    <w:rsid w:val="275B0A9B"/>
    <w:rsid w:val="275D75A8"/>
    <w:rsid w:val="276F4497"/>
    <w:rsid w:val="2777192D"/>
    <w:rsid w:val="277A55DD"/>
    <w:rsid w:val="27B0666C"/>
    <w:rsid w:val="27B21487"/>
    <w:rsid w:val="27B41288"/>
    <w:rsid w:val="27B74BE3"/>
    <w:rsid w:val="27B92CC2"/>
    <w:rsid w:val="27ED1ECA"/>
    <w:rsid w:val="27FE2DDC"/>
    <w:rsid w:val="28046AB8"/>
    <w:rsid w:val="28171D90"/>
    <w:rsid w:val="28174896"/>
    <w:rsid w:val="28270914"/>
    <w:rsid w:val="283C2D2E"/>
    <w:rsid w:val="285A68B2"/>
    <w:rsid w:val="28796016"/>
    <w:rsid w:val="2881438A"/>
    <w:rsid w:val="28874A40"/>
    <w:rsid w:val="288C290D"/>
    <w:rsid w:val="288D5B33"/>
    <w:rsid w:val="28991A16"/>
    <w:rsid w:val="28993EF5"/>
    <w:rsid w:val="28A3604C"/>
    <w:rsid w:val="28B713B4"/>
    <w:rsid w:val="28C8586D"/>
    <w:rsid w:val="28DE0CDB"/>
    <w:rsid w:val="28E4563D"/>
    <w:rsid w:val="28EC563A"/>
    <w:rsid w:val="28FB5052"/>
    <w:rsid w:val="28FC5F40"/>
    <w:rsid w:val="2914279B"/>
    <w:rsid w:val="294C238F"/>
    <w:rsid w:val="2975173D"/>
    <w:rsid w:val="29797C5A"/>
    <w:rsid w:val="29876C3E"/>
    <w:rsid w:val="29AD4688"/>
    <w:rsid w:val="29BE3907"/>
    <w:rsid w:val="29C07186"/>
    <w:rsid w:val="29C52CF9"/>
    <w:rsid w:val="29CB317B"/>
    <w:rsid w:val="29D25D14"/>
    <w:rsid w:val="29EB20DB"/>
    <w:rsid w:val="2A0C07A3"/>
    <w:rsid w:val="2A2D3488"/>
    <w:rsid w:val="2A5119B2"/>
    <w:rsid w:val="2A8914E4"/>
    <w:rsid w:val="2A8A16EB"/>
    <w:rsid w:val="2ABB1B5C"/>
    <w:rsid w:val="2ABF7324"/>
    <w:rsid w:val="2AC204CB"/>
    <w:rsid w:val="2ACA407A"/>
    <w:rsid w:val="2ADF4E07"/>
    <w:rsid w:val="2AEB392C"/>
    <w:rsid w:val="2B1E6CD3"/>
    <w:rsid w:val="2B2756B5"/>
    <w:rsid w:val="2B466ED3"/>
    <w:rsid w:val="2B506D2C"/>
    <w:rsid w:val="2B5D2080"/>
    <w:rsid w:val="2B6962F2"/>
    <w:rsid w:val="2B7469C9"/>
    <w:rsid w:val="2B7C63EA"/>
    <w:rsid w:val="2B832550"/>
    <w:rsid w:val="2B8873CF"/>
    <w:rsid w:val="2B8934CE"/>
    <w:rsid w:val="2B9A574E"/>
    <w:rsid w:val="2BAD750A"/>
    <w:rsid w:val="2BB14AFC"/>
    <w:rsid w:val="2BE93C81"/>
    <w:rsid w:val="2BF73095"/>
    <w:rsid w:val="2C2A45A5"/>
    <w:rsid w:val="2C3D50E9"/>
    <w:rsid w:val="2C4F0703"/>
    <w:rsid w:val="2C5820EB"/>
    <w:rsid w:val="2CB63896"/>
    <w:rsid w:val="2CED2E76"/>
    <w:rsid w:val="2CEE42E4"/>
    <w:rsid w:val="2CEF7F3E"/>
    <w:rsid w:val="2CF1662F"/>
    <w:rsid w:val="2D000251"/>
    <w:rsid w:val="2D18177D"/>
    <w:rsid w:val="2D4C1FC6"/>
    <w:rsid w:val="2D716478"/>
    <w:rsid w:val="2D72654F"/>
    <w:rsid w:val="2D8C54BC"/>
    <w:rsid w:val="2D8E0611"/>
    <w:rsid w:val="2DC347C4"/>
    <w:rsid w:val="2DCA3C13"/>
    <w:rsid w:val="2DE772D8"/>
    <w:rsid w:val="2E045B81"/>
    <w:rsid w:val="2E125117"/>
    <w:rsid w:val="2E1616E5"/>
    <w:rsid w:val="2E183B62"/>
    <w:rsid w:val="2E26772F"/>
    <w:rsid w:val="2E386C03"/>
    <w:rsid w:val="2E483055"/>
    <w:rsid w:val="2EA45F01"/>
    <w:rsid w:val="2EBC2831"/>
    <w:rsid w:val="2ECB3FBA"/>
    <w:rsid w:val="2ED52045"/>
    <w:rsid w:val="2EFC64A3"/>
    <w:rsid w:val="2F16342D"/>
    <w:rsid w:val="2F557753"/>
    <w:rsid w:val="2F5E0227"/>
    <w:rsid w:val="2F986A66"/>
    <w:rsid w:val="2FB07D28"/>
    <w:rsid w:val="2FB279CE"/>
    <w:rsid w:val="2FC464AE"/>
    <w:rsid w:val="2FD30410"/>
    <w:rsid w:val="2FDB51C5"/>
    <w:rsid w:val="3000785B"/>
    <w:rsid w:val="30185A28"/>
    <w:rsid w:val="30441CF9"/>
    <w:rsid w:val="30473DFF"/>
    <w:rsid w:val="304E6282"/>
    <w:rsid w:val="3052523E"/>
    <w:rsid w:val="30591C25"/>
    <w:rsid w:val="305E2825"/>
    <w:rsid w:val="3098235A"/>
    <w:rsid w:val="30AE44C1"/>
    <w:rsid w:val="30CF04DE"/>
    <w:rsid w:val="30E62AB4"/>
    <w:rsid w:val="30EB7EEA"/>
    <w:rsid w:val="311A0237"/>
    <w:rsid w:val="311C62C4"/>
    <w:rsid w:val="311E77C2"/>
    <w:rsid w:val="31605BEA"/>
    <w:rsid w:val="31661F46"/>
    <w:rsid w:val="31794231"/>
    <w:rsid w:val="3181392A"/>
    <w:rsid w:val="318708B9"/>
    <w:rsid w:val="318E1EF8"/>
    <w:rsid w:val="31A336B3"/>
    <w:rsid w:val="31BD4F4C"/>
    <w:rsid w:val="31D2232F"/>
    <w:rsid w:val="31D31371"/>
    <w:rsid w:val="31D5647A"/>
    <w:rsid w:val="321712DC"/>
    <w:rsid w:val="32383EA5"/>
    <w:rsid w:val="32417B2C"/>
    <w:rsid w:val="324B37A8"/>
    <w:rsid w:val="32577BAD"/>
    <w:rsid w:val="32700AF9"/>
    <w:rsid w:val="32963ECB"/>
    <w:rsid w:val="32C21E60"/>
    <w:rsid w:val="33002CE7"/>
    <w:rsid w:val="333B1FB8"/>
    <w:rsid w:val="334D257F"/>
    <w:rsid w:val="33530836"/>
    <w:rsid w:val="335523F1"/>
    <w:rsid w:val="335C033E"/>
    <w:rsid w:val="33605454"/>
    <w:rsid w:val="336430CE"/>
    <w:rsid w:val="336D4250"/>
    <w:rsid w:val="338438F8"/>
    <w:rsid w:val="33880512"/>
    <w:rsid w:val="338940CD"/>
    <w:rsid w:val="33956CA3"/>
    <w:rsid w:val="33A01D18"/>
    <w:rsid w:val="33B41EFA"/>
    <w:rsid w:val="34084157"/>
    <w:rsid w:val="34403E26"/>
    <w:rsid w:val="34533785"/>
    <w:rsid w:val="345D0041"/>
    <w:rsid w:val="34663FC1"/>
    <w:rsid w:val="3496175C"/>
    <w:rsid w:val="34A5087C"/>
    <w:rsid w:val="34A93A18"/>
    <w:rsid w:val="34BF01E0"/>
    <w:rsid w:val="34D62386"/>
    <w:rsid w:val="34D833AE"/>
    <w:rsid w:val="34DC0F98"/>
    <w:rsid w:val="34EB6231"/>
    <w:rsid w:val="34FD5D0F"/>
    <w:rsid w:val="350218E1"/>
    <w:rsid w:val="350447A0"/>
    <w:rsid w:val="350907AE"/>
    <w:rsid w:val="35535567"/>
    <w:rsid w:val="355B05B9"/>
    <w:rsid w:val="355E788A"/>
    <w:rsid w:val="357A4D37"/>
    <w:rsid w:val="357D6043"/>
    <w:rsid w:val="359F08CA"/>
    <w:rsid w:val="35C55503"/>
    <w:rsid w:val="35C70ACD"/>
    <w:rsid w:val="35DA5A61"/>
    <w:rsid w:val="35EC2BD5"/>
    <w:rsid w:val="3606739A"/>
    <w:rsid w:val="36096CAB"/>
    <w:rsid w:val="361D23E5"/>
    <w:rsid w:val="362C4DF8"/>
    <w:rsid w:val="36342A3C"/>
    <w:rsid w:val="36634CF7"/>
    <w:rsid w:val="366612F7"/>
    <w:rsid w:val="367C13B3"/>
    <w:rsid w:val="36925C1E"/>
    <w:rsid w:val="3698302C"/>
    <w:rsid w:val="36A70562"/>
    <w:rsid w:val="36AB1432"/>
    <w:rsid w:val="36AB78BA"/>
    <w:rsid w:val="36B7757E"/>
    <w:rsid w:val="36DD4702"/>
    <w:rsid w:val="36E85720"/>
    <w:rsid w:val="36F17C0F"/>
    <w:rsid w:val="36F9266A"/>
    <w:rsid w:val="36FC2EDD"/>
    <w:rsid w:val="370E3B7F"/>
    <w:rsid w:val="371A5C83"/>
    <w:rsid w:val="37203930"/>
    <w:rsid w:val="37303AD7"/>
    <w:rsid w:val="373845E2"/>
    <w:rsid w:val="3739525E"/>
    <w:rsid w:val="3756282A"/>
    <w:rsid w:val="376618BF"/>
    <w:rsid w:val="37D76B85"/>
    <w:rsid w:val="37D8402A"/>
    <w:rsid w:val="37DC7C75"/>
    <w:rsid w:val="37E93ACB"/>
    <w:rsid w:val="37FB4A15"/>
    <w:rsid w:val="37FF48BA"/>
    <w:rsid w:val="38054C99"/>
    <w:rsid w:val="380E0262"/>
    <w:rsid w:val="381C4107"/>
    <w:rsid w:val="383B634B"/>
    <w:rsid w:val="384B5D25"/>
    <w:rsid w:val="384E1052"/>
    <w:rsid w:val="385B580A"/>
    <w:rsid w:val="386548A8"/>
    <w:rsid w:val="38844586"/>
    <w:rsid w:val="389C0C2A"/>
    <w:rsid w:val="38B75A60"/>
    <w:rsid w:val="38BA293B"/>
    <w:rsid w:val="38C106D2"/>
    <w:rsid w:val="38D249E9"/>
    <w:rsid w:val="3909252A"/>
    <w:rsid w:val="392768E4"/>
    <w:rsid w:val="392F0AA7"/>
    <w:rsid w:val="39685F4D"/>
    <w:rsid w:val="396E2835"/>
    <w:rsid w:val="39974BAE"/>
    <w:rsid w:val="39B50492"/>
    <w:rsid w:val="39C62C77"/>
    <w:rsid w:val="39CB5262"/>
    <w:rsid w:val="39F453C6"/>
    <w:rsid w:val="3A081DCB"/>
    <w:rsid w:val="3A1719B3"/>
    <w:rsid w:val="3A1C4065"/>
    <w:rsid w:val="3A265534"/>
    <w:rsid w:val="3A2D5E25"/>
    <w:rsid w:val="3A623041"/>
    <w:rsid w:val="3A736BFE"/>
    <w:rsid w:val="3A7C3053"/>
    <w:rsid w:val="3A9139F0"/>
    <w:rsid w:val="3AA6152F"/>
    <w:rsid w:val="3AC966EC"/>
    <w:rsid w:val="3ADB48A9"/>
    <w:rsid w:val="3AE45264"/>
    <w:rsid w:val="3AF10901"/>
    <w:rsid w:val="3B033738"/>
    <w:rsid w:val="3B2101EA"/>
    <w:rsid w:val="3B371C75"/>
    <w:rsid w:val="3B525540"/>
    <w:rsid w:val="3B570C97"/>
    <w:rsid w:val="3B5B761C"/>
    <w:rsid w:val="3B7765B7"/>
    <w:rsid w:val="3BA17B20"/>
    <w:rsid w:val="3BB07FEC"/>
    <w:rsid w:val="3BD450C2"/>
    <w:rsid w:val="3BE365F9"/>
    <w:rsid w:val="3BF17813"/>
    <w:rsid w:val="3C0A2C89"/>
    <w:rsid w:val="3C256257"/>
    <w:rsid w:val="3C256E68"/>
    <w:rsid w:val="3C271EA0"/>
    <w:rsid w:val="3C2A42D1"/>
    <w:rsid w:val="3C640A99"/>
    <w:rsid w:val="3C8F4DF5"/>
    <w:rsid w:val="3C903FD0"/>
    <w:rsid w:val="3CC91054"/>
    <w:rsid w:val="3CD1495E"/>
    <w:rsid w:val="3CD178A6"/>
    <w:rsid w:val="3CFF4EC3"/>
    <w:rsid w:val="3D03452E"/>
    <w:rsid w:val="3D0A4E71"/>
    <w:rsid w:val="3D193C02"/>
    <w:rsid w:val="3D235D88"/>
    <w:rsid w:val="3D5C0BA7"/>
    <w:rsid w:val="3D62172B"/>
    <w:rsid w:val="3D685553"/>
    <w:rsid w:val="3D740735"/>
    <w:rsid w:val="3D80744D"/>
    <w:rsid w:val="3D835CB6"/>
    <w:rsid w:val="3D8A7E53"/>
    <w:rsid w:val="3DAF12B3"/>
    <w:rsid w:val="3DB319CF"/>
    <w:rsid w:val="3DC248E1"/>
    <w:rsid w:val="3DC41411"/>
    <w:rsid w:val="3DC41B41"/>
    <w:rsid w:val="3DC728FA"/>
    <w:rsid w:val="3DD72166"/>
    <w:rsid w:val="3DDF3CB6"/>
    <w:rsid w:val="3DF76D4A"/>
    <w:rsid w:val="3E055B9A"/>
    <w:rsid w:val="3E056660"/>
    <w:rsid w:val="3E325BF5"/>
    <w:rsid w:val="3E3870C8"/>
    <w:rsid w:val="3E3B7A44"/>
    <w:rsid w:val="3E596C90"/>
    <w:rsid w:val="3E695FE5"/>
    <w:rsid w:val="3E6B7268"/>
    <w:rsid w:val="3E6F06B1"/>
    <w:rsid w:val="3E794AE0"/>
    <w:rsid w:val="3E7C796D"/>
    <w:rsid w:val="3EAA658A"/>
    <w:rsid w:val="3EC1589D"/>
    <w:rsid w:val="3EE87989"/>
    <w:rsid w:val="3EEB2763"/>
    <w:rsid w:val="3EEF1EF9"/>
    <w:rsid w:val="3F136A56"/>
    <w:rsid w:val="3F1B343E"/>
    <w:rsid w:val="3F4462D4"/>
    <w:rsid w:val="3F4A542F"/>
    <w:rsid w:val="3F575C9A"/>
    <w:rsid w:val="3F587234"/>
    <w:rsid w:val="3F640CBD"/>
    <w:rsid w:val="3F660B97"/>
    <w:rsid w:val="3FAD775B"/>
    <w:rsid w:val="3FB520D8"/>
    <w:rsid w:val="3FBB5186"/>
    <w:rsid w:val="3FEF1CC1"/>
    <w:rsid w:val="400948CB"/>
    <w:rsid w:val="40371088"/>
    <w:rsid w:val="4044376B"/>
    <w:rsid w:val="404D50B2"/>
    <w:rsid w:val="40553859"/>
    <w:rsid w:val="406522F0"/>
    <w:rsid w:val="4074001D"/>
    <w:rsid w:val="40747A17"/>
    <w:rsid w:val="4081047E"/>
    <w:rsid w:val="40993A38"/>
    <w:rsid w:val="40A54113"/>
    <w:rsid w:val="40A84400"/>
    <w:rsid w:val="40A9633D"/>
    <w:rsid w:val="40AA566C"/>
    <w:rsid w:val="40B77358"/>
    <w:rsid w:val="40BA0402"/>
    <w:rsid w:val="40BB76E5"/>
    <w:rsid w:val="40BE3563"/>
    <w:rsid w:val="40CC5947"/>
    <w:rsid w:val="40D0299A"/>
    <w:rsid w:val="40E23832"/>
    <w:rsid w:val="40E62A11"/>
    <w:rsid w:val="40F26D71"/>
    <w:rsid w:val="40FA1D27"/>
    <w:rsid w:val="40FF7831"/>
    <w:rsid w:val="413851BE"/>
    <w:rsid w:val="414B414E"/>
    <w:rsid w:val="41511868"/>
    <w:rsid w:val="415E1106"/>
    <w:rsid w:val="417A5265"/>
    <w:rsid w:val="41845B11"/>
    <w:rsid w:val="418B4B40"/>
    <w:rsid w:val="41945FED"/>
    <w:rsid w:val="41A5095C"/>
    <w:rsid w:val="41A91592"/>
    <w:rsid w:val="41B55A98"/>
    <w:rsid w:val="41B73315"/>
    <w:rsid w:val="41C50734"/>
    <w:rsid w:val="41DD3B8E"/>
    <w:rsid w:val="41DF40CC"/>
    <w:rsid w:val="41E75AD9"/>
    <w:rsid w:val="41EA08B5"/>
    <w:rsid w:val="41ED06F3"/>
    <w:rsid w:val="41EF5543"/>
    <w:rsid w:val="41F85955"/>
    <w:rsid w:val="41FA2986"/>
    <w:rsid w:val="42151EA5"/>
    <w:rsid w:val="42571766"/>
    <w:rsid w:val="425D3DD2"/>
    <w:rsid w:val="427E677A"/>
    <w:rsid w:val="428B3642"/>
    <w:rsid w:val="42B82C63"/>
    <w:rsid w:val="42C77C95"/>
    <w:rsid w:val="42D32798"/>
    <w:rsid w:val="42DB5490"/>
    <w:rsid w:val="42DD234A"/>
    <w:rsid w:val="42EB25D6"/>
    <w:rsid w:val="42F716B3"/>
    <w:rsid w:val="430D2DDA"/>
    <w:rsid w:val="431E1559"/>
    <w:rsid w:val="432A7A3E"/>
    <w:rsid w:val="433B5BE9"/>
    <w:rsid w:val="433F665A"/>
    <w:rsid w:val="43437CC2"/>
    <w:rsid w:val="435C3C0F"/>
    <w:rsid w:val="43961656"/>
    <w:rsid w:val="43A736FC"/>
    <w:rsid w:val="43AB1BEE"/>
    <w:rsid w:val="43DC32AA"/>
    <w:rsid w:val="43E61B33"/>
    <w:rsid w:val="43EF4CD3"/>
    <w:rsid w:val="43FB5422"/>
    <w:rsid w:val="44554F8E"/>
    <w:rsid w:val="44717C5C"/>
    <w:rsid w:val="44770A86"/>
    <w:rsid w:val="44A221FC"/>
    <w:rsid w:val="44BA26B7"/>
    <w:rsid w:val="44BC111A"/>
    <w:rsid w:val="44C10000"/>
    <w:rsid w:val="44C360B2"/>
    <w:rsid w:val="44C411BF"/>
    <w:rsid w:val="44D21A58"/>
    <w:rsid w:val="44DE496E"/>
    <w:rsid w:val="44E056AA"/>
    <w:rsid w:val="44E92925"/>
    <w:rsid w:val="4504136D"/>
    <w:rsid w:val="45356ED6"/>
    <w:rsid w:val="45491B00"/>
    <w:rsid w:val="45536EAD"/>
    <w:rsid w:val="45715B58"/>
    <w:rsid w:val="457A7525"/>
    <w:rsid w:val="4592239C"/>
    <w:rsid w:val="45A557C8"/>
    <w:rsid w:val="45E612EF"/>
    <w:rsid w:val="45EC752C"/>
    <w:rsid w:val="45FE267A"/>
    <w:rsid w:val="46430884"/>
    <w:rsid w:val="467A7E29"/>
    <w:rsid w:val="468349FD"/>
    <w:rsid w:val="468E37AB"/>
    <w:rsid w:val="469F24ED"/>
    <w:rsid w:val="46A37DBD"/>
    <w:rsid w:val="46A669F3"/>
    <w:rsid w:val="46AC796C"/>
    <w:rsid w:val="46B43CEF"/>
    <w:rsid w:val="46D62548"/>
    <w:rsid w:val="46DC2ABE"/>
    <w:rsid w:val="46ED1763"/>
    <w:rsid w:val="470B354E"/>
    <w:rsid w:val="47136174"/>
    <w:rsid w:val="471C5090"/>
    <w:rsid w:val="47280569"/>
    <w:rsid w:val="47336EC6"/>
    <w:rsid w:val="47363A9E"/>
    <w:rsid w:val="47557D55"/>
    <w:rsid w:val="47631EF4"/>
    <w:rsid w:val="477C2F48"/>
    <w:rsid w:val="479779FD"/>
    <w:rsid w:val="479F182E"/>
    <w:rsid w:val="479F204E"/>
    <w:rsid w:val="47A93386"/>
    <w:rsid w:val="47C21D01"/>
    <w:rsid w:val="47E61EE9"/>
    <w:rsid w:val="47F119CF"/>
    <w:rsid w:val="4800141F"/>
    <w:rsid w:val="480C0C29"/>
    <w:rsid w:val="481C417C"/>
    <w:rsid w:val="48227FE5"/>
    <w:rsid w:val="48457385"/>
    <w:rsid w:val="48550462"/>
    <w:rsid w:val="4892735C"/>
    <w:rsid w:val="489F0B40"/>
    <w:rsid w:val="48AD0514"/>
    <w:rsid w:val="48B4277C"/>
    <w:rsid w:val="48C11667"/>
    <w:rsid w:val="48C920F7"/>
    <w:rsid w:val="491F7011"/>
    <w:rsid w:val="49203828"/>
    <w:rsid w:val="49424463"/>
    <w:rsid w:val="494A64C2"/>
    <w:rsid w:val="494F6AE2"/>
    <w:rsid w:val="495F09BA"/>
    <w:rsid w:val="496475ED"/>
    <w:rsid w:val="496F604A"/>
    <w:rsid w:val="49755A63"/>
    <w:rsid w:val="497B1F60"/>
    <w:rsid w:val="49BA5A30"/>
    <w:rsid w:val="49CE66BB"/>
    <w:rsid w:val="49ED7540"/>
    <w:rsid w:val="49F053EF"/>
    <w:rsid w:val="49F32926"/>
    <w:rsid w:val="4A475428"/>
    <w:rsid w:val="4A6A1BE3"/>
    <w:rsid w:val="4A7A1EC2"/>
    <w:rsid w:val="4AA474D9"/>
    <w:rsid w:val="4AE754C3"/>
    <w:rsid w:val="4B0F1D73"/>
    <w:rsid w:val="4B2060AB"/>
    <w:rsid w:val="4B3718B8"/>
    <w:rsid w:val="4B3963B7"/>
    <w:rsid w:val="4B564CEC"/>
    <w:rsid w:val="4B6042E5"/>
    <w:rsid w:val="4B705FB4"/>
    <w:rsid w:val="4B7958F7"/>
    <w:rsid w:val="4B862D84"/>
    <w:rsid w:val="4B87269B"/>
    <w:rsid w:val="4B931AD7"/>
    <w:rsid w:val="4B9A5062"/>
    <w:rsid w:val="4BAF2B28"/>
    <w:rsid w:val="4BB9272D"/>
    <w:rsid w:val="4BD223AB"/>
    <w:rsid w:val="4BF862F6"/>
    <w:rsid w:val="4C2B794E"/>
    <w:rsid w:val="4C33386B"/>
    <w:rsid w:val="4C3664D6"/>
    <w:rsid w:val="4C4756BD"/>
    <w:rsid w:val="4C7A2E32"/>
    <w:rsid w:val="4C8B0663"/>
    <w:rsid w:val="4CAA5AD6"/>
    <w:rsid w:val="4CB0681C"/>
    <w:rsid w:val="4CB26227"/>
    <w:rsid w:val="4CBA375E"/>
    <w:rsid w:val="4CD30ACA"/>
    <w:rsid w:val="4CDF4C47"/>
    <w:rsid w:val="4CE94BA1"/>
    <w:rsid w:val="4CEB1134"/>
    <w:rsid w:val="4D0473FB"/>
    <w:rsid w:val="4D1832D7"/>
    <w:rsid w:val="4D1D002A"/>
    <w:rsid w:val="4D6D21FA"/>
    <w:rsid w:val="4DB16568"/>
    <w:rsid w:val="4DB42A3A"/>
    <w:rsid w:val="4DBC22FA"/>
    <w:rsid w:val="4DCD0BD8"/>
    <w:rsid w:val="4DCD40B6"/>
    <w:rsid w:val="4E171F4E"/>
    <w:rsid w:val="4E565FE0"/>
    <w:rsid w:val="4E5E5408"/>
    <w:rsid w:val="4E760066"/>
    <w:rsid w:val="4E7D0654"/>
    <w:rsid w:val="4E7E6404"/>
    <w:rsid w:val="4E8501BD"/>
    <w:rsid w:val="4E95762E"/>
    <w:rsid w:val="4EA16D19"/>
    <w:rsid w:val="4EA90216"/>
    <w:rsid w:val="4EAD3DF4"/>
    <w:rsid w:val="4EB677C1"/>
    <w:rsid w:val="4EC01561"/>
    <w:rsid w:val="4EC12076"/>
    <w:rsid w:val="4ED155CF"/>
    <w:rsid w:val="4EFB218F"/>
    <w:rsid w:val="4F2217F4"/>
    <w:rsid w:val="4F280718"/>
    <w:rsid w:val="4F281AA6"/>
    <w:rsid w:val="4F3513B9"/>
    <w:rsid w:val="4F3C42C2"/>
    <w:rsid w:val="4F44253F"/>
    <w:rsid w:val="4F4B3DE6"/>
    <w:rsid w:val="4F6219FA"/>
    <w:rsid w:val="4F6D0BF5"/>
    <w:rsid w:val="4F774C72"/>
    <w:rsid w:val="4F7840D3"/>
    <w:rsid w:val="4F7E6C67"/>
    <w:rsid w:val="4F810317"/>
    <w:rsid w:val="4F9574DA"/>
    <w:rsid w:val="4FA4476F"/>
    <w:rsid w:val="4FC15E1A"/>
    <w:rsid w:val="4FC36402"/>
    <w:rsid w:val="4FCE3E67"/>
    <w:rsid w:val="4FE865C9"/>
    <w:rsid w:val="4FF84D4E"/>
    <w:rsid w:val="50135911"/>
    <w:rsid w:val="501A66E4"/>
    <w:rsid w:val="502F5672"/>
    <w:rsid w:val="504B6E92"/>
    <w:rsid w:val="50603BFF"/>
    <w:rsid w:val="5068476F"/>
    <w:rsid w:val="508E4D39"/>
    <w:rsid w:val="509D3D1B"/>
    <w:rsid w:val="50A1406A"/>
    <w:rsid w:val="50BF1B71"/>
    <w:rsid w:val="50C758EB"/>
    <w:rsid w:val="50CD2CD8"/>
    <w:rsid w:val="50D031C2"/>
    <w:rsid w:val="510C180C"/>
    <w:rsid w:val="512315E3"/>
    <w:rsid w:val="514477DF"/>
    <w:rsid w:val="51510A41"/>
    <w:rsid w:val="51583AD5"/>
    <w:rsid w:val="516A4E47"/>
    <w:rsid w:val="517A686C"/>
    <w:rsid w:val="518D0164"/>
    <w:rsid w:val="519F7349"/>
    <w:rsid w:val="51D1379F"/>
    <w:rsid w:val="51D65DED"/>
    <w:rsid w:val="51E975AE"/>
    <w:rsid w:val="51F252CC"/>
    <w:rsid w:val="520028FC"/>
    <w:rsid w:val="52011E99"/>
    <w:rsid w:val="5258490E"/>
    <w:rsid w:val="52630302"/>
    <w:rsid w:val="526B6BA0"/>
    <w:rsid w:val="52714605"/>
    <w:rsid w:val="52964B8C"/>
    <w:rsid w:val="52A21761"/>
    <w:rsid w:val="52A875CA"/>
    <w:rsid w:val="52C54E9B"/>
    <w:rsid w:val="52D1074A"/>
    <w:rsid w:val="52EA56EA"/>
    <w:rsid w:val="52EF4D09"/>
    <w:rsid w:val="52F137E1"/>
    <w:rsid w:val="52FC405A"/>
    <w:rsid w:val="530B2A3A"/>
    <w:rsid w:val="530E1F48"/>
    <w:rsid w:val="531A14E1"/>
    <w:rsid w:val="53227846"/>
    <w:rsid w:val="53246A35"/>
    <w:rsid w:val="532E5E26"/>
    <w:rsid w:val="53306D29"/>
    <w:rsid w:val="533C35DC"/>
    <w:rsid w:val="535B18FA"/>
    <w:rsid w:val="53730EE4"/>
    <w:rsid w:val="539A3476"/>
    <w:rsid w:val="539B4D91"/>
    <w:rsid w:val="53C85B4F"/>
    <w:rsid w:val="53D85092"/>
    <w:rsid w:val="53DA2F58"/>
    <w:rsid w:val="53DC531E"/>
    <w:rsid w:val="53F33BD8"/>
    <w:rsid w:val="54263CB0"/>
    <w:rsid w:val="544A755B"/>
    <w:rsid w:val="54547880"/>
    <w:rsid w:val="54715F25"/>
    <w:rsid w:val="54C701B6"/>
    <w:rsid w:val="54CE327D"/>
    <w:rsid w:val="54DA2DCF"/>
    <w:rsid w:val="54E36D1A"/>
    <w:rsid w:val="54EA7B42"/>
    <w:rsid w:val="54F55494"/>
    <w:rsid w:val="55022FF0"/>
    <w:rsid w:val="55070502"/>
    <w:rsid w:val="551A0C9B"/>
    <w:rsid w:val="551B63AF"/>
    <w:rsid w:val="555F52C0"/>
    <w:rsid w:val="558F2DD0"/>
    <w:rsid w:val="55A66FD6"/>
    <w:rsid w:val="55B137E7"/>
    <w:rsid w:val="55B176A5"/>
    <w:rsid w:val="55B770BD"/>
    <w:rsid w:val="55BA228A"/>
    <w:rsid w:val="55BA3959"/>
    <w:rsid w:val="55C970B9"/>
    <w:rsid w:val="55EC0AA9"/>
    <w:rsid w:val="55F269D1"/>
    <w:rsid w:val="55FB2E84"/>
    <w:rsid w:val="56002C1A"/>
    <w:rsid w:val="560B225A"/>
    <w:rsid w:val="561E3985"/>
    <w:rsid w:val="562D4013"/>
    <w:rsid w:val="563549B1"/>
    <w:rsid w:val="56400305"/>
    <w:rsid w:val="56543F93"/>
    <w:rsid w:val="565500E9"/>
    <w:rsid w:val="56B137DB"/>
    <w:rsid w:val="56C52BCE"/>
    <w:rsid w:val="56DC5F0C"/>
    <w:rsid w:val="56EE4BB7"/>
    <w:rsid w:val="56EE5350"/>
    <w:rsid w:val="56FE07FE"/>
    <w:rsid w:val="57131B80"/>
    <w:rsid w:val="571A13CF"/>
    <w:rsid w:val="57230B07"/>
    <w:rsid w:val="574B5866"/>
    <w:rsid w:val="57502A47"/>
    <w:rsid w:val="575A2B0A"/>
    <w:rsid w:val="57622A4E"/>
    <w:rsid w:val="57887830"/>
    <w:rsid w:val="57A30C89"/>
    <w:rsid w:val="57C507E7"/>
    <w:rsid w:val="57C51404"/>
    <w:rsid w:val="57CA7991"/>
    <w:rsid w:val="57DA1A17"/>
    <w:rsid w:val="57E50EFE"/>
    <w:rsid w:val="5809773C"/>
    <w:rsid w:val="580A6B03"/>
    <w:rsid w:val="58157888"/>
    <w:rsid w:val="581D3D08"/>
    <w:rsid w:val="582075FD"/>
    <w:rsid w:val="582E54EB"/>
    <w:rsid w:val="583C19BF"/>
    <w:rsid w:val="5857357E"/>
    <w:rsid w:val="586D4C12"/>
    <w:rsid w:val="58723BED"/>
    <w:rsid w:val="58862F29"/>
    <w:rsid w:val="589C3BB5"/>
    <w:rsid w:val="58A07A19"/>
    <w:rsid w:val="58A738C6"/>
    <w:rsid w:val="58F2313D"/>
    <w:rsid w:val="58FB1624"/>
    <w:rsid w:val="58FD064C"/>
    <w:rsid w:val="595412E9"/>
    <w:rsid w:val="59591D0E"/>
    <w:rsid w:val="597B1E62"/>
    <w:rsid w:val="597C63FA"/>
    <w:rsid w:val="5990138C"/>
    <w:rsid w:val="59A217E4"/>
    <w:rsid w:val="59A536E1"/>
    <w:rsid w:val="59AE6719"/>
    <w:rsid w:val="59B43A00"/>
    <w:rsid w:val="59CB7174"/>
    <w:rsid w:val="59D4227B"/>
    <w:rsid w:val="59F6744E"/>
    <w:rsid w:val="5A044440"/>
    <w:rsid w:val="5A080E74"/>
    <w:rsid w:val="5A0E0840"/>
    <w:rsid w:val="5A303342"/>
    <w:rsid w:val="5A44057D"/>
    <w:rsid w:val="5A5C2978"/>
    <w:rsid w:val="5A91692D"/>
    <w:rsid w:val="5A95636A"/>
    <w:rsid w:val="5ACD7E22"/>
    <w:rsid w:val="5AD57E85"/>
    <w:rsid w:val="5AE351A4"/>
    <w:rsid w:val="5AE66BED"/>
    <w:rsid w:val="5AFE347A"/>
    <w:rsid w:val="5B062C67"/>
    <w:rsid w:val="5B1B44F2"/>
    <w:rsid w:val="5B1E55D6"/>
    <w:rsid w:val="5B2829E6"/>
    <w:rsid w:val="5B3A6400"/>
    <w:rsid w:val="5B566223"/>
    <w:rsid w:val="5B73188E"/>
    <w:rsid w:val="5B825178"/>
    <w:rsid w:val="5B83498E"/>
    <w:rsid w:val="5B8E68C9"/>
    <w:rsid w:val="5B9668BF"/>
    <w:rsid w:val="5B9C5DD3"/>
    <w:rsid w:val="5BAE5ECD"/>
    <w:rsid w:val="5BB445F6"/>
    <w:rsid w:val="5BCB25A4"/>
    <w:rsid w:val="5BE079EB"/>
    <w:rsid w:val="5BF02BB3"/>
    <w:rsid w:val="5BF65242"/>
    <w:rsid w:val="5C2854AE"/>
    <w:rsid w:val="5C594FF5"/>
    <w:rsid w:val="5C677BDD"/>
    <w:rsid w:val="5C83569F"/>
    <w:rsid w:val="5C8B3D1F"/>
    <w:rsid w:val="5CAB5268"/>
    <w:rsid w:val="5CB35B6F"/>
    <w:rsid w:val="5CD10383"/>
    <w:rsid w:val="5CE11244"/>
    <w:rsid w:val="5CE146FE"/>
    <w:rsid w:val="5CF02773"/>
    <w:rsid w:val="5CFF2F07"/>
    <w:rsid w:val="5D164266"/>
    <w:rsid w:val="5D2E47E1"/>
    <w:rsid w:val="5D3B3037"/>
    <w:rsid w:val="5D3C7483"/>
    <w:rsid w:val="5D4143DF"/>
    <w:rsid w:val="5D477A96"/>
    <w:rsid w:val="5D5239A9"/>
    <w:rsid w:val="5D5F722F"/>
    <w:rsid w:val="5D6B452A"/>
    <w:rsid w:val="5D6D6A97"/>
    <w:rsid w:val="5D810076"/>
    <w:rsid w:val="5D874AA3"/>
    <w:rsid w:val="5DA72B78"/>
    <w:rsid w:val="5DB41B48"/>
    <w:rsid w:val="5DD936D4"/>
    <w:rsid w:val="5DED3127"/>
    <w:rsid w:val="5DFF2953"/>
    <w:rsid w:val="5E0331AF"/>
    <w:rsid w:val="5E0A1D4E"/>
    <w:rsid w:val="5E1769BC"/>
    <w:rsid w:val="5E576B93"/>
    <w:rsid w:val="5E6E0F16"/>
    <w:rsid w:val="5E747D2E"/>
    <w:rsid w:val="5E76377C"/>
    <w:rsid w:val="5EAF12E7"/>
    <w:rsid w:val="5EBB00C1"/>
    <w:rsid w:val="5EE00BB3"/>
    <w:rsid w:val="5EE055B4"/>
    <w:rsid w:val="5EED187F"/>
    <w:rsid w:val="5F282119"/>
    <w:rsid w:val="5F2C3CCF"/>
    <w:rsid w:val="5F353B02"/>
    <w:rsid w:val="5F7B7A64"/>
    <w:rsid w:val="5F7D3645"/>
    <w:rsid w:val="5F997450"/>
    <w:rsid w:val="5F9D2149"/>
    <w:rsid w:val="5FD403DD"/>
    <w:rsid w:val="5FDA146B"/>
    <w:rsid w:val="5FE16AA1"/>
    <w:rsid w:val="5FFA2507"/>
    <w:rsid w:val="60107107"/>
    <w:rsid w:val="601A68A7"/>
    <w:rsid w:val="6031715B"/>
    <w:rsid w:val="603D229A"/>
    <w:rsid w:val="606F36C1"/>
    <w:rsid w:val="60700E0E"/>
    <w:rsid w:val="607C2708"/>
    <w:rsid w:val="60806184"/>
    <w:rsid w:val="60A32A83"/>
    <w:rsid w:val="60A41633"/>
    <w:rsid w:val="60B17921"/>
    <w:rsid w:val="60D71D0E"/>
    <w:rsid w:val="60F21603"/>
    <w:rsid w:val="60F325B7"/>
    <w:rsid w:val="6140053E"/>
    <w:rsid w:val="618101B0"/>
    <w:rsid w:val="6186230D"/>
    <w:rsid w:val="61AC1132"/>
    <w:rsid w:val="61B200BF"/>
    <w:rsid w:val="61BC7DBB"/>
    <w:rsid w:val="61D6275F"/>
    <w:rsid w:val="61F34B22"/>
    <w:rsid w:val="62192EB6"/>
    <w:rsid w:val="62261715"/>
    <w:rsid w:val="623E60ED"/>
    <w:rsid w:val="626C2190"/>
    <w:rsid w:val="628A7B5F"/>
    <w:rsid w:val="62AD6048"/>
    <w:rsid w:val="62BD5E37"/>
    <w:rsid w:val="62CD1275"/>
    <w:rsid w:val="62D101CB"/>
    <w:rsid w:val="62D31B40"/>
    <w:rsid w:val="62D72E89"/>
    <w:rsid w:val="62DB36A8"/>
    <w:rsid w:val="62F66BF9"/>
    <w:rsid w:val="630578D0"/>
    <w:rsid w:val="630A2EBD"/>
    <w:rsid w:val="63151D93"/>
    <w:rsid w:val="632D459A"/>
    <w:rsid w:val="63334062"/>
    <w:rsid w:val="63537302"/>
    <w:rsid w:val="635714C7"/>
    <w:rsid w:val="637858DB"/>
    <w:rsid w:val="63942019"/>
    <w:rsid w:val="64017535"/>
    <w:rsid w:val="64067363"/>
    <w:rsid w:val="640B5308"/>
    <w:rsid w:val="640B5557"/>
    <w:rsid w:val="64192F7B"/>
    <w:rsid w:val="6428095B"/>
    <w:rsid w:val="643B08EA"/>
    <w:rsid w:val="644F0EA5"/>
    <w:rsid w:val="647B0FAD"/>
    <w:rsid w:val="648C28E7"/>
    <w:rsid w:val="64A7145E"/>
    <w:rsid w:val="64A81348"/>
    <w:rsid w:val="64AD3463"/>
    <w:rsid w:val="64B23D3F"/>
    <w:rsid w:val="64CD1D68"/>
    <w:rsid w:val="64CE1CCA"/>
    <w:rsid w:val="64D36F97"/>
    <w:rsid w:val="64D40013"/>
    <w:rsid w:val="64DD44D6"/>
    <w:rsid w:val="650C0CC0"/>
    <w:rsid w:val="65344734"/>
    <w:rsid w:val="65382D5B"/>
    <w:rsid w:val="653F0D37"/>
    <w:rsid w:val="655D6E11"/>
    <w:rsid w:val="6578320D"/>
    <w:rsid w:val="65F71742"/>
    <w:rsid w:val="65F7674F"/>
    <w:rsid w:val="66200958"/>
    <w:rsid w:val="6651496C"/>
    <w:rsid w:val="66617D26"/>
    <w:rsid w:val="66926FF9"/>
    <w:rsid w:val="66B94135"/>
    <w:rsid w:val="66C84697"/>
    <w:rsid w:val="670B084D"/>
    <w:rsid w:val="673A4211"/>
    <w:rsid w:val="673B765A"/>
    <w:rsid w:val="67447005"/>
    <w:rsid w:val="676D118B"/>
    <w:rsid w:val="67850D62"/>
    <w:rsid w:val="67891DCD"/>
    <w:rsid w:val="678E1733"/>
    <w:rsid w:val="67A33451"/>
    <w:rsid w:val="67A60B1C"/>
    <w:rsid w:val="67E84A85"/>
    <w:rsid w:val="683A3C27"/>
    <w:rsid w:val="684C109C"/>
    <w:rsid w:val="685023D5"/>
    <w:rsid w:val="68597639"/>
    <w:rsid w:val="6877145F"/>
    <w:rsid w:val="688604E6"/>
    <w:rsid w:val="68892D98"/>
    <w:rsid w:val="68924903"/>
    <w:rsid w:val="68AB0CDC"/>
    <w:rsid w:val="68BA3846"/>
    <w:rsid w:val="68CC5CF7"/>
    <w:rsid w:val="68ED2AD3"/>
    <w:rsid w:val="68F20B13"/>
    <w:rsid w:val="68F272B1"/>
    <w:rsid w:val="68F73A6D"/>
    <w:rsid w:val="690D0FCE"/>
    <w:rsid w:val="691757B3"/>
    <w:rsid w:val="693078A4"/>
    <w:rsid w:val="694E3F8E"/>
    <w:rsid w:val="695A7CE6"/>
    <w:rsid w:val="69691D97"/>
    <w:rsid w:val="6974065C"/>
    <w:rsid w:val="69991309"/>
    <w:rsid w:val="69AB7C7B"/>
    <w:rsid w:val="69AD1EFE"/>
    <w:rsid w:val="69DD041F"/>
    <w:rsid w:val="69F33DEE"/>
    <w:rsid w:val="6A2156A0"/>
    <w:rsid w:val="6A30123E"/>
    <w:rsid w:val="6A546DFB"/>
    <w:rsid w:val="6A74213D"/>
    <w:rsid w:val="6A776E47"/>
    <w:rsid w:val="6A8D57AA"/>
    <w:rsid w:val="6A902C6D"/>
    <w:rsid w:val="6A967F04"/>
    <w:rsid w:val="6AAB6F31"/>
    <w:rsid w:val="6ABA14AD"/>
    <w:rsid w:val="6AD20E42"/>
    <w:rsid w:val="6AD731C7"/>
    <w:rsid w:val="6AD87135"/>
    <w:rsid w:val="6ADA3398"/>
    <w:rsid w:val="6AE42E32"/>
    <w:rsid w:val="6AF04CA5"/>
    <w:rsid w:val="6B067315"/>
    <w:rsid w:val="6B0C65AD"/>
    <w:rsid w:val="6B1068A8"/>
    <w:rsid w:val="6B38509D"/>
    <w:rsid w:val="6B403B70"/>
    <w:rsid w:val="6B67502D"/>
    <w:rsid w:val="6B7371B6"/>
    <w:rsid w:val="6B97000A"/>
    <w:rsid w:val="6BB60A5C"/>
    <w:rsid w:val="6BBC5716"/>
    <w:rsid w:val="6BEC1924"/>
    <w:rsid w:val="6C172D01"/>
    <w:rsid w:val="6C35085D"/>
    <w:rsid w:val="6C642E6D"/>
    <w:rsid w:val="6C875134"/>
    <w:rsid w:val="6C961F32"/>
    <w:rsid w:val="6CA64A51"/>
    <w:rsid w:val="6CA727B5"/>
    <w:rsid w:val="6CA878C2"/>
    <w:rsid w:val="6CB30145"/>
    <w:rsid w:val="6CC80FB9"/>
    <w:rsid w:val="6CE24604"/>
    <w:rsid w:val="6CE95CF2"/>
    <w:rsid w:val="6D3E3AE7"/>
    <w:rsid w:val="6D4D3FD0"/>
    <w:rsid w:val="6D516E56"/>
    <w:rsid w:val="6D7F5BAC"/>
    <w:rsid w:val="6D83561B"/>
    <w:rsid w:val="6DA246F9"/>
    <w:rsid w:val="6DAE6B4B"/>
    <w:rsid w:val="6DCA5152"/>
    <w:rsid w:val="6DD317D8"/>
    <w:rsid w:val="6DD32127"/>
    <w:rsid w:val="6DDE0162"/>
    <w:rsid w:val="6DF25388"/>
    <w:rsid w:val="6E131612"/>
    <w:rsid w:val="6E277F28"/>
    <w:rsid w:val="6E5464E8"/>
    <w:rsid w:val="6E6871CC"/>
    <w:rsid w:val="6E9F1C01"/>
    <w:rsid w:val="6EB32107"/>
    <w:rsid w:val="6EC42364"/>
    <w:rsid w:val="6EE605D9"/>
    <w:rsid w:val="6F39099A"/>
    <w:rsid w:val="6F4D6126"/>
    <w:rsid w:val="6F7F6AFF"/>
    <w:rsid w:val="6F851AB0"/>
    <w:rsid w:val="6F860498"/>
    <w:rsid w:val="6F8B0CF5"/>
    <w:rsid w:val="6F964E09"/>
    <w:rsid w:val="6F993EA2"/>
    <w:rsid w:val="6FB37E17"/>
    <w:rsid w:val="6FC15B7A"/>
    <w:rsid w:val="6FD9065A"/>
    <w:rsid w:val="6FEB5BA5"/>
    <w:rsid w:val="6FFC3115"/>
    <w:rsid w:val="702908A6"/>
    <w:rsid w:val="704A463E"/>
    <w:rsid w:val="70A63F7F"/>
    <w:rsid w:val="70B0132E"/>
    <w:rsid w:val="70B04A25"/>
    <w:rsid w:val="70CF2B23"/>
    <w:rsid w:val="70D66D50"/>
    <w:rsid w:val="70D70552"/>
    <w:rsid w:val="70ED7E26"/>
    <w:rsid w:val="70F36127"/>
    <w:rsid w:val="70F6674E"/>
    <w:rsid w:val="71030F42"/>
    <w:rsid w:val="710419B0"/>
    <w:rsid w:val="71076BB4"/>
    <w:rsid w:val="7109082E"/>
    <w:rsid w:val="71114149"/>
    <w:rsid w:val="711162AC"/>
    <w:rsid w:val="711C41CC"/>
    <w:rsid w:val="712B5DA3"/>
    <w:rsid w:val="7132644A"/>
    <w:rsid w:val="71581D87"/>
    <w:rsid w:val="716664A0"/>
    <w:rsid w:val="71B52855"/>
    <w:rsid w:val="71BF3C9E"/>
    <w:rsid w:val="71C53E79"/>
    <w:rsid w:val="71E40968"/>
    <w:rsid w:val="71FC217A"/>
    <w:rsid w:val="72095DCA"/>
    <w:rsid w:val="72395A89"/>
    <w:rsid w:val="726114C1"/>
    <w:rsid w:val="726468AB"/>
    <w:rsid w:val="72682EBA"/>
    <w:rsid w:val="726F20E5"/>
    <w:rsid w:val="72882AA4"/>
    <w:rsid w:val="729B0B31"/>
    <w:rsid w:val="72A61AAE"/>
    <w:rsid w:val="72D41A9D"/>
    <w:rsid w:val="72D801B2"/>
    <w:rsid w:val="72D942A9"/>
    <w:rsid w:val="72E55543"/>
    <w:rsid w:val="72EC643F"/>
    <w:rsid w:val="72FD77ED"/>
    <w:rsid w:val="730F1A48"/>
    <w:rsid w:val="7310478C"/>
    <w:rsid w:val="731C3552"/>
    <w:rsid w:val="7324448E"/>
    <w:rsid w:val="73271468"/>
    <w:rsid w:val="73591115"/>
    <w:rsid w:val="7360252B"/>
    <w:rsid w:val="73C67550"/>
    <w:rsid w:val="73D022F7"/>
    <w:rsid w:val="73DE0C3B"/>
    <w:rsid w:val="73E416B6"/>
    <w:rsid w:val="73F46CE9"/>
    <w:rsid w:val="73FE40A0"/>
    <w:rsid w:val="74257F95"/>
    <w:rsid w:val="74261C19"/>
    <w:rsid w:val="74324525"/>
    <w:rsid w:val="74352C43"/>
    <w:rsid w:val="74417607"/>
    <w:rsid w:val="746B7703"/>
    <w:rsid w:val="747D7A13"/>
    <w:rsid w:val="749514AC"/>
    <w:rsid w:val="74BD4A20"/>
    <w:rsid w:val="74EE3AC2"/>
    <w:rsid w:val="75031444"/>
    <w:rsid w:val="7506780C"/>
    <w:rsid w:val="7511769B"/>
    <w:rsid w:val="752758E9"/>
    <w:rsid w:val="75283F64"/>
    <w:rsid w:val="7542706E"/>
    <w:rsid w:val="754C47E2"/>
    <w:rsid w:val="75527742"/>
    <w:rsid w:val="755521CD"/>
    <w:rsid w:val="755B4961"/>
    <w:rsid w:val="756A6B7E"/>
    <w:rsid w:val="757605FF"/>
    <w:rsid w:val="757710A5"/>
    <w:rsid w:val="75860FC0"/>
    <w:rsid w:val="75BA15D0"/>
    <w:rsid w:val="75D94545"/>
    <w:rsid w:val="75E332DF"/>
    <w:rsid w:val="75F432F3"/>
    <w:rsid w:val="7607749C"/>
    <w:rsid w:val="761D658A"/>
    <w:rsid w:val="763A4A11"/>
    <w:rsid w:val="764B033B"/>
    <w:rsid w:val="765B4BE4"/>
    <w:rsid w:val="76776112"/>
    <w:rsid w:val="767A4135"/>
    <w:rsid w:val="76A72CDB"/>
    <w:rsid w:val="76BE625B"/>
    <w:rsid w:val="76D66F32"/>
    <w:rsid w:val="76D87CF1"/>
    <w:rsid w:val="76E1205F"/>
    <w:rsid w:val="76FE4186"/>
    <w:rsid w:val="77112393"/>
    <w:rsid w:val="772269FA"/>
    <w:rsid w:val="777C0FB8"/>
    <w:rsid w:val="777F4544"/>
    <w:rsid w:val="77903CDD"/>
    <w:rsid w:val="77995A6A"/>
    <w:rsid w:val="779E4755"/>
    <w:rsid w:val="77A9245A"/>
    <w:rsid w:val="77B12311"/>
    <w:rsid w:val="77BD4B68"/>
    <w:rsid w:val="77CC5BA7"/>
    <w:rsid w:val="77DA5E37"/>
    <w:rsid w:val="77EF0849"/>
    <w:rsid w:val="77F11C50"/>
    <w:rsid w:val="77FA551E"/>
    <w:rsid w:val="780B4679"/>
    <w:rsid w:val="780F1784"/>
    <w:rsid w:val="78121AD5"/>
    <w:rsid w:val="781C00E4"/>
    <w:rsid w:val="78750CD2"/>
    <w:rsid w:val="787F489A"/>
    <w:rsid w:val="78934324"/>
    <w:rsid w:val="78AD19AD"/>
    <w:rsid w:val="78B86296"/>
    <w:rsid w:val="78D47ABB"/>
    <w:rsid w:val="78F702BC"/>
    <w:rsid w:val="78F72513"/>
    <w:rsid w:val="79131258"/>
    <w:rsid w:val="793D4E15"/>
    <w:rsid w:val="795B2C9D"/>
    <w:rsid w:val="795F7B1A"/>
    <w:rsid w:val="79774B46"/>
    <w:rsid w:val="79896C11"/>
    <w:rsid w:val="79AD4BB5"/>
    <w:rsid w:val="79BF2FD7"/>
    <w:rsid w:val="79C743F6"/>
    <w:rsid w:val="79CC1989"/>
    <w:rsid w:val="7A005254"/>
    <w:rsid w:val="7A0A201D"/>
    <w:rsid w:val="7A297AFB"/>
    <w:rsid w:val="7A2F3DD5"/>
    <w:rsid w:val="7A32269A"/>
    <w:rsid w:val="7A6912E0"/>
    <w:rsid w:val="7A6E2E96"/>
    <w:rsid w:val="7A847661"/>
    <w:rsid w:val="7A9B6F56"/>
    <w:rsid w:val="7AA3767B"/>
    <w:rsid w:val="7AAB1839"/>
    <w:rsid w:val="7AB546DD"/>
    <w:rsid w:val="7ABC12F5"/>
    <w:rsid w:val="7AF6369E"/>
    <w:rsid w:val="7B294E97"/>
    <w:rsid w:val="7B516E15"/>
    <w:rsid w:val="7B5467C8"/>
    <w:rsid w:val="7B7B2D04"/>
    <w:rsid w:val="7B882AEF"/>
    <w:rsid w:val="7BAF6D19"/>
    <w:rsid w:val="7BC45B60"/>
    <w:rsid w:val="7BC75C6E"/>
    <w:rsid w:val="7BCA5B6A"/>
    <w:rsid w:val="7BDA4CD7"/>
    <w:rsid w:val="7BF83A4D"/>
    <w:rsid w:val="7BFB5C01"/>
    <w:rsid w:val="7BFB7608"/>
    <w:rsid w:val="7C007002"/>
    <w:rsid w:val="7C140B7D"/>
    <w:rsid w:val="7C492519"/>
    <w:rsid w:val="7C8814D9"/>
    <w:rsid w:val="7CB13571"/>
    <w:rsid w:val="7CCF76A5"/>
    <w:rsid w:val="7CE343BE"/>
    <w:rsid w:val="7D057D50"/>
    <w:rsid w:val="7D144A1E"/>
    <w:rsid w:val="7D3804E0"/>
    <w:rsid w:val="7D4E2072"/>
    <w:rsid w:val="7D7837BB"/>
    <w:rsid w:val="7D7D19AB"/>
    <w:rsid w:val="7D8133C4"/>
    <w:rsid w:val="7D8206B0"/>
    <w:rsid w:val="7D8E7213"/>
    <w:rsid w:val="7D9E7F61"/>
    <w:rsid w:val="7DAC281F"/>
    <w:rsid w:val="7DCF694B"/>
    <w:rsid w:val="7DE15F4F"/>
    <w:rsid w:val="7DF20372"/>
    <w:rsid w:val="7DF40DF5"/>
    <w:rsid w:val="7E08357B"/>
    <w:rsid w:val="7E0F12E8"/>
    <w:rsid w:val="7E295E10"/>
    <w:rsid w:val="7E38132F"/>
    <w:rsid w:val="7E4027CF"/>
    <w:rsid w:val="7E5C1375"/>
    <w:rsid w:val="7E5F5B5B"/>
    <w:rsid w:val="7E627949"/>
    <w:rsid w:val="7E801E92"/>
    <w:rsid w:val="7E990071"/>
    <w:rsid w:val="7EB50E69"/>
    <w:rsid w:val="7EBA5D3D"/>
    <w:rsid w:val="7ECE589A"/>
    <w:rsid w:val="7EEC38F6"/>
    <w:rsid w:val="7EF378CD"/>
    <w:rsid w:val="7EFC1E3F"/>
    <w:rsid w:val="7F0C2AD6"/>
    <w:rsid w:val="7F192DDF"/>
    <w:rsid w:val="7F272698"/>
    <w:rsid w:val="7F2962AE"/>
    <w:rsid w:val="7F352736"/>
    <w:rsid w:val="7F3A5CCD"/>
    <w:rsid w:val="7F61082C"/>
    <w:rsid w:val="7F6B2D16"/>
    <w:rsid w:val="7F6D7365"/>
    <w:rsid w:val="7F727AE3"/>
    <w:rsid w:val="7F96408F"/>
    <w:rsid w:val="7F9707CC"/>
    <w:rsid w:val="7F9E579C"/>
    <w:rsid w:val="7FC901BC"/>
    <w:rsid w:val="7FD20FFD"/>
    <w:rsid w:val="7FE716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qFormat="1" w:unhideWhenUsed="0" w:uiPriority="0" w:semiHidden="0"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qFormat/>
    <w:uiPriority w:val="0"/>
    <w:pPr>
      <w:keepNext/>
      <w:keepLines/>
      <w:spacing w:before="340" w:beforeLines="0" w:after="330" w:afterLines="0"/>
      <w:outlineLvl w:val="0"/>
    </w:pPr>
    <w:rPr>
      <w:b/>
      <w:bCs/>
      <w:kern w:val="44"/>
      <w:sz w:val="32"/>
      <w:szCs w:val="44"/>
    </w:rPr>
  </w:style>
  <w:style w:type="paragraph" w:styleId="6">
    <w:name w:val="heading 2"/>
    <w:basedOn w:val="1"/>
    <w:next w:val="1"/>
    <w:link w:val="98"/>
    <w:qFormat/>
    <w:uiPriority w:val="0"/>
    <w:pPr>
      <w:keepNext/>
      <w:keepLines/>
      <w:spacing w:before="260" w:beforeLines="0" w:after="260" w:afterLines="0"/>
      <w:outlineLvl w:val="1"/>
    </w:pPr>
    <w:rPr>
      <w:rFonts w:ascii="Arial" w:hAnsi="Arial" w:eastAsia="宋体"/>
      <w:b/>
      <w:bCs/>
      <w:kern w:val="2"/>
      <w:sz w:val="28"/>
      <w:szCs w:val="32"/>
      <w:lang w:val="en-US" w:eastAsia="zh-CN" w:bidi="ar-SA"/>
    </w:rPr>
  </w:style>
  <w:style w:type="paragraph" w:styleId="7">
    <w:name w:val="heading 3"/>
    <w:basedOn w:val="1"/>
    <w:next w:val="8"/>
    <w:link w:val="100"/>
    <w:qFormat/>
    <w:uiPriority w:val="0"/>
    <w:pPr>
      <w:keepNext/>
      <w:keepLines/>
      <w:spacing w:before="260" w:beforeLines="0" w:after="260" w:afterLines="0"/>
      <w:outlineLvl w:val="2"/>
    </w:pPr>
    <w:rPr>
      <w:rFonts w:ascii="宋体" w:hAnsi="宋体" w:eastAsia="宋体" w:cs="宋体"/>
      <w:b/>
      <w:kern w:val="2"/>
      <w:sz w:val="24"/>
      <w:szCs w:val="24"/>
      <w:lang w:val="zh-CN" w:eastAsia="zh-CN" w:bidi="ar-SA"/>
    </w:rPr>
  </w:style>
  <w:style w:type="paragraph" w:styleId="9">
    <w:name w:val="heading 4"/>
    <w:basedOn w:val="1"/>
    <w:next w:val="1"/>
    <w:qFormat/>
    <w:uiPriority w:val="0"/>
    <w:pPr>
      <w:keepNext/>
      <w:keepLines/>
      <w:spacing w:line="360" w:lineRule="auto"/>
      <w:outlineLvl w:val="3"/>
    </w:pPr>
    <w:rPr>
      <w:rFonts w:ascii="Arial" w:hAnsi="Arial"/>
      <w:b/>
      <w:bCs/>
      <w:sz w:val="24"/>
      <w:szCs w:val="28"/>
    </w:rPr>
  </w:style>
  <w:style w:type="paragraph" w:styleId="10">
    <w:name w:val="heading 5"/>
    <w:basedOn w:val="1"/>
    <w:next w:val="1"/>
    <w:qFormat/>
    <w:uiPriority w:val="0"/>
    <w:pPr>
      <w:keepNext/>
      <w:keepLines/>
      <w:tabs>
        <w:tab w:val="left" w:pos="1080"/>
      </w:tabs>
      <w:spacing w:line="300" w:lineRule="auto"/>
      <w:outlineLvl w:val="4"/>
    </w:pPr>
    <w:rPr>
      <w:b/>
      <w:sz w:val="24"/>
      <w:szCs w:val="24"/>
    </w:rPr>
  </w:style>
  <w:style w:type="paragraph" w:styleId="11">
    <w:name w:val="heading 6"/>
    <w:basedOn w:val="1"/>
    <w:next w:val="1"/>
    <w:qFormat/>
    <w:uiPriority w:val="0"/>
    <w:pPr>
      <w:keepNext/>
      <w:keepLines/>
      <w:tabs>
        <w:tab w:val="left" w:pos="1440"/>
      </w:tabs>
      <w:spacing w:before="240" w:beforeLines="0" w:after="64" w:afterLines="0" w:line="317" w:lineRule="auto"/>
      <w:ind w:left="1152" w:hanging="1152"/>
      <w:outlineLvl w:val="5"/>
    </w:pPr>
    <w:rPr>
      <w:rFonts w:ascii="Arial" w:hAnsi="Arial" w:eastAsia="黑体"/>
      <w:b/>
      <w:sz w:val="24"/>
      <w:szCs w:val="24"/>
    </w:rPr>
  </w:style>
  <w:style w:type="paragraph" w:styleId="12">
    <w:name w:val="heading 7"/>
    <w:basedOn w:val="1"/>
    <w:next w:val="1"/>
    <w:qFormat/>
    <w:uiPriority w:val="0"/>
    <w:pPr>
      <w:keepNext/>
      <w:keepLines/>
      <w:tabs>
        <w:tab w:val="left" w:pos="1296"/>
      </w:tabs>
      <w:spacing w:before="240" w:beforeLines="0" w:after="64" w:afterLines="0" w:line="317" w:lineRule="auto"/>
      <w:ind w:left="1296" w:hanging="1296"/>
      <w:outlineLvl w:val="6"/>
    </w:pPr>
    <w:rPr>
      <w:b/>
      <w:sz w:val="24"/>
      <w:szCs w:val="24"/>
    </w:rPr>
  </w:style>
  <w:style w:type="paragraph" w:styleId="13">
    <w:name w:val="heading 8"/>
    <w:basedOn w:val="1"/>
    <w:next w:val="1"/>
    <w:qFormat/>
    <w:uiPriority w:val="0"/>
    <w:pPr>
      <w:keepNext/>
      <w:keepLines/>
      <w:tabs>
        <w:tab w:val="left" w:pos="1440"/>
      </w:tabs>
      <w:spacing w:before="240" w:beforeLines="0" w:after="64" w:afterLines="0" w:line="317" w:lineRule="auto"/>
      <w:ind w:left="1440" w:hanging="1440"/>
      <w:outlineLvl w:val="7"/>
    </w:pPr>
    <w:rPr>
      <w:rFonts w:ascii="Arial" w:hAnsi="Arial" w:eastAsia="黑体"/>
      <w:sz w:val="24"/>
      <w:szCs w:val="24"/>
    </w:rPr>
  </w:style>
  <w:style w:type="paragraph" w:styleId="14">
    <w:name w:val="heading 9"/>
    <w:basedOn w:val="1"/>
    <w:next w:val="1"/>
    <w:qFormat/>
    <w:uiPriority w:val="0"/>
    <w:pPr>
      <w:keepNext/>
      <w:keepLines/>
      <w:tabs>
        <w:tab w:val="left" w:pos="1584"/>
      </w:tabs>
      <w:spacing w:before="240" w:beforeLines="0" w:after="64" w:afterLines="0" w:line="317" w:lineRule="auto"/>
      <w:ind w:left="1584" w:hanging="1584"/>
      <w:outlineLvl w:val="8"/>
    </w:pPr>
    <w:rPr>
      <w:rFonts w:ascii="Arial" w:hAnsi="Arial" w:eastAsia="黑体"/>
      <w:szCs w:val="24"/>
    </w:rPr>
  </w:style>
  <w:style w:type="character" w:default="1" w:styleId="39">
    <w:name w:val="Default Paragraph Font"/>
    <w:link w:val="40"/>
    <w:qFormat/>
    <w:uiPriority w:val="0"/>
  </w:style>
  <w:style w:type="table" w:default="1" w:styleId="37">
    <w:name w:val="Normal Table"/>
    <w:unhideWhenUsed/>
    <w:qFormat/>
    <w:uiPriority w:val="99"/>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cs="Courier New"/>
      <w:szCs w:val="21"/>
    </w:rPr>
  </w:style>
  <w:style w:type="paragraph" w:styleId="3">
    <w:name w:val="Salutation"/>
    <w:basedOn w:val="1"/>
    <w:next w:val="1"/>
    <w:qFormat/>
    <w:uiPriority w:val="0"/>
    <w:pPr>
      <w:widowControl/>
      <w:jc w:val="left"/>
    </w:pPr>
    <w:rPr>
      <w:kern w:val="0"/>
      <w:sz w:val="24"/>
    </w:rPr>
  </w:style>
  <w:style w:type="paragraph" w:styleId="4">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8">
    <w:name w:val="Normal Indent"/>
    <w:basedOn w:val="1"/>
    <w:next w:val="1"/>
    <w:qFormat/>
    <w:uiPriority w:val="0"/>
    <w:pPr>
      <w:ind w:firstLine="420" w:firstLineChars="200"/>
    </w:pPr>
  </w:style>
  <w:style w:type="paragraph" w:styleId="15">
    <w:name w:val="caption"/>
    <w:basedOn w:val="1"/>
    <w:next w:val="1"/>
    <w:qFormat/>
    <w:uiPriority w:val="99"/>
    <w:rPr>
      <w:rFonts w:ascii="Cambria" w:hAnsi="Cambria" w:eastAsia="黑体" w:cs="Cambria"/>
      <w:sz w:val="20"/>
      <w:szCs w:val="20"/>
    </w:rPr>
  </w:style>
  <w:style w:type="paragraph" w:styleId="16">
    <w:name w:val="Document Map"/>
    <w:basedOn w:val="1"/>
    <w:qFormat/>
    <w:uiPriority w:val="0"/>
    <w:pPr>
      <w:shd w:val="clear" w:color="auto" w:fill="000080"/>
    </w:pPr>
  </w:style>
  <w:style w:type="paragraph" w:styleId="17">
    <w:name w:val="annotation text"/>
    <w:basedOn w:val="1"/>
    <w:qFormat/>
    <w:uiPriority w:val="0"/>
    <w:pPr>
      <w:jc w:val="left"/>
    </w:pPr>
  </w:style>
  <w:style w:type="paragraph" w:styleId="18">
    <w:name w:val="Body Text"/>
    <w:basedOn w:val="1"/>
    <w:next w:val="1"/>
    <w:qFormat/>
    <w:uiPriority w:val="0"/>
    <w:pPr>
      <w:jc w:val="center"/>
    </w:pPr>
    <w:rPr>
      <w:sz w:val="24"/>
    </w:rPr>
  </w:style>
  <w:style w:type="paragraph" w:styleId="19">
    <w:name w:val="Body Text Indent"/>
    <w:basedOn w:val="1"/>
    <w:next w:val="20"/>
    <w:qFormat/>
    <w:uiPriority w:val="0"/>
    <w:pPr>
      <w:spacing w:after="120" w:afterLines="0"/>
      <w:ind w:left="420" w:leftChars="200"/>
    </w:pPr>
  </w:style>
  <w:style w:type="paragraph" w:styleId="20">
    <w:name w:val="header"/>
    <w:basedOn w:val="1"/>
    <w:next w:val="21"/>
    <w:qFormat/>
    <w:uiPriority w:val="0"/>
    <w:pPr>
      <w:pBdr>
        <w:bottom w:val="single" w:color="auto" w:sz="6" w:space="1"/>
      </w:pBdr>
      <w:tabs>
        <w:tab w:val="center" w:pos="4153"/>
        <w:tab w:val="right" w:pos="8306"/>
      </w:tabs>
      <w:snapToGrid w:val="0"/>
      <w:jc w:val="center"/>
    </w:pPr>
    <w:rPr>
      <w:sz w:val="18"/>
      <w:szCs w:val="18"/>
    </w:rPr>
  </w:style>
  <w:style w:type="paragraph" w:styleId="21">
    <w:name w:val="index heading"/>
    <w:basedOn w:val="1"/>
    <w:next w:val="22"/>
    <w:qFormat/>
    <w:uiPriority w:val="0"/>
    <w:rPr>
      <w:rFonts w:ascii="Arial" w:hAnsi="Arial"/>
      <w:b/>
    </w:rPr>
  </w:style>
  <w:style w:type="paragraph" w:styleId="22">
    <w:name w:val="index 1"/>
    <w:basedOn w:val="1"/>
    <w:next w:val="1"/>
    <w:qFormat/>
    <w:uiPriority w:val="0"/>
    <w:pPr>
      <w:spacing w:line="360" w:lineRule="auto"/>
    </w:pPr>
    <w:rPr>
      <w:sz w:val="24"/>
      <w:szCs w:val="21"/>
    </w:rPr>
  </w:style>
  <w:style w:type="paragraph" w:styleId="23">
    <w:name w:val="toc 3"/>
    <w:basedOn w:val="1"/>
    <w:next w:val="1"/>
    <w:qFormat/>
    <w:uiPriority w:val="39"/>
    <w:pPr>
      <w:ind w:left="840" w:leftChars="400"/>
    </w:pPr>
  </w:style>
  <w:style w:type="paragraph" w:styleId="24">
    <w:name w:val="Date"/>
    <w:basedOn w:val="1"/>
    <w:next w:val="1"/>
    <w:link w:val="99"/>
    <w:qFormat/>
    <w:uiPriority w:val="0"/>
    <w:rPr>
      <w:rFonts w:eastAsia="宋体"/>
      <w:kern w:val="2"/>
      <w:sz w:val="24"/>
      <w:lang w:val="en-US" w:eastAsia="zh-CN" w:bidi="ar-SA"/>
    </w:rPr>
  </w:style>
  <w:style w:type="paragraph" w:styleId="25">
    <w:name w:val="Body Text Indent 2"/>
    <w:basedOn w:val="1"/>
    <w:qFormat/>
    <w:uiPriority w:val="0"/>
    <w:pPr>
      <w:spacing w:line="400" w:lineRule="exact"/>
      <w:ind w:firstLine="570"/>
    </w:pPr>
    <w:rPr>
      <w:color w:val="000000"/>
      <w:sz w:val="28"/>
    </w:rPr>
  </w:style>
  <w:style w:type="paragraph" w:styleId="26">
    <w:name w:val="Balloon Text"/>
    <w:basedOn w:val="1"/>
    <w:qFormat/>
    <w:uiPriority w:val="0"/>
    <w:rPr>
      <w:sz w:val="18"/>
      <w:szCs w:val="18"/>
    </w:rPr>
  </w:style>
  <w:style w:type="paragraph" w:styleId="27">
    <w:name w:val="footer"/>
    <w:basedOn w:val="1"/>
    <w:qFormat/>
    <w:uiPriority w:val="0"/>
    <w:pPr>
      <w:tabs>
        <w:tab w:val="center" w:pos="4153"/>
        <w:tab w:val="right" w:pos="8306"/>
      </w:tabs>
      <w:snapToGrid w:val="0"/>
      <w:jc w:val="left"/>
    </w:pPr>
    <w:rPr>
      <w:sz w:val="18"/>
      <w:szCs w:val="18"/>
    </w:rPr>
  </w:style>
  <w:style w:type="paragraph" w:styleId="28">
    <w:name w:val="toc 1"/>
    <w:basedOn w:val="1"/>
    <w:next w:val="1"/>
    <w:qFormat/>
    <w:uiPriority w:val="0"/>
    <w:pPr>
      <w:adjustRightInd w:val="0"/>
      <w:snapToGrid w:val="0"/>
      <w:spacing w:before="31" w:beforeLines="10" w:after="31" w:afterLines="10"/>
      <w:ind w:firstLine="510"/>
      <w:jc w:val="left"/>
    </w:pPr>
    <w:rPr>
      <w:bCs/>
      <w:caps/>
      <w:kern w:val="0"/>
      <w:szCs w:val="21"/>
    </w:rPr>
  </w:style>
  <w:style w:type="paragraph" w:styleId="29">
    <w:name w:val="Subtitle"/>
    <w:basedOn w:val="1"/>
    <w:next w:val="1"/>
    <w:qFormat/>
    <w:uiPriority w:val="11"/>
    <w:pPr>
      <w:spacing w:before="100" w:beforeLines="0" w:beforeAutospacing="1" w:after="100" w:afterLines="0" w:afterAutospacing="1" w:line="360" w:lineRule="auto"/>
      <w:jc w:val="center"/>
    </w:pPr>
    <w:rPr>
      <w:rFonts w:ascii="Times New Roman" w:hAnsi="Times New Roman"/>
      <w:b/>
      <w:bCs/>
      <w:kern w:val="28"/>
      <w:sz w:val="24"/>
      <w:szCs w:val="32"/>
    </w:rPr>
  </w:style>
  <w:style w:type="paragraph" w:styleId="30">
    <w:name w:val="Body Text Indent 3"/>
    <w:basedOn w:val="1"/>
    <w:qFormat/>
    <w:uiPriority w:val="0"/>
    <w:pPr>
      <w:spacing w:after="120" w:afterLines="0"/>
      <w:ind w:left="420" w:leftChars="200"/>
    </w:pPr>
    <w:rPr>
      <w:rFonts w:ascii="Times New Roman" w:hAnsi="Times New Roman" w:eastAsia="宋体"/>
      <w:sz w:val="24"/>
    </w:rPr>
  </w:style>
  <w:style w:type="paragraph" w:styleId="31">
    <w:name w:val="Body Text 2"/>
    <w:basedOn w:val="1"/>
    <w:qFormat/>
    <w:uiPriority w:val="0"/>
    <w:pPr>
      <w:spacing w:after="120" w:afterLines="0" w:line="480" w:lineRule="auto"/>
    </w:pPr>
    <w:rPr>
      <w:szCs w:val="24"/>
    </w:rPr>
  </w:style>
  <w:style w:type="paragraph" w:styleId="3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33">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styleId="34">
    <w:name w:val="annotation subject"/>
    <w:basedOn w:val="17"/>
    <w:next w:val="17"/>
    <w:qFormat/>
    <w:uiPriority w:val="0"/>
    <w:rPr>
      <w:b/>
      <w:bCs/>
    </w:rPr>
  </w:style>
  <w:style w:type="paragraph" w:styleId="35">
    <w:name w:val="Body Text First Indent"/>
    <w:basedOn w:val="18"/>
    <w:next w:val="1"/>
    <w:qFormat/>
    <w:uiPriority w:val="0"/>
    <w:pPr>
      <w:ind w:firstLine="420" w:firstLineChars="100"/>
    </w:pPr>
    <w:rPr>
      <w:sz w:val="24"/>
    </w:rPr>
  </w:style>
  <w:style w:type="paragraph" w:styleId="36">
    <w:name w:val="Body Text First Indent 2"/>
    <w:basedOn w:val="19"/>
    <w:next w:val="35"/>
    <w:qFormat/>
    <w:uiPriority w:val="0"/>
    <w:pPr>
      <w:ind w:firstLine="420" w:firstLineChars="200"/>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0">
    <w:name w:val="4 Char Char Char Char Char Char Char Char Char Char Char Char Char Char Char Char Char Char Char Char Char Char"/>
    <w:basedOn w:val="41"/>
    <w:link w:val="39"/>
    <w:qFormat/>
    <w:uiPriority w:val="0"/>
  </w:style>
  <w:style w:type="paragraph" w:customStyle="1" w:styleId="41">
    <w:name w:val="正文 New"/>
    <w:qFormat/>
    <w:uiPriority w:val="0"/>
    <w:pPr>
      <w:widowControl w:val="0"/>
      <w:jc w:val="both"/>
    </w:pPr>
    <w:rPr>
      <w:rFonts w:ascii="Times New Roman" w:hAnsi="Times New Roman" w:eastAsia="宋体" w:cs="Times New Roman"/>
      <w:kern w:val="2"/>
      <w:sz w:val="21"/>
      <w:lang w:val="en-US" w:eastAsia="zh-CN"/>
    </w:rPr>
  </w:style>
  <w:style w:type="character" w:styleId="42">
    <w:name w:val="Strong"/>
    <w:basedOn w:val="39"/>
    <w:qFormat/>
    <w:uiPriority w:val="0"/>
    <w:rPr>
      <w:b/>
      <w:bCs/>
    </w:rPr>
  </w:style>
  <w:style w:type="character" w:styleId="43">
    <w:name w:val="page number"/>
    <w:basedOn w:val="39"/>
    <w:qFormat/>
    <w:uiPriority w:val="0"/>
    <w:rPr>
      <w:rFonts w:ascii="Times New Roman" w:hAnsi="Times New Roman" w:eastAsia="宋体" w:cs="Times New Roman"/>
    </w:rPr>
  </w:style>
  <w:style w:type="character" w:styleId="44">
    <w:name w:val="FollowedHyperlink"/>
    <w:basedOn w:val="39"/>
    <w:semiHidden/>
    <w:unhideWhenUsed/>
    <w:qFormat/>
    <w:uiPriority w:val="99"/>
    <w:rPr>
      <w:rFonts w:hint="eastAsia" w:ascii="微软雅黑" w:hAnsi="微软雅黑" w:eastAsia="微软雅黑" w:cs="微软雅黑"/>
      <w:color w:val="333333"/>
      <w:sz w:val="21"/>
      <w:szCs w:val="21"/>
      <w:u w:val="none"/>
    </w:rPr>
  </w:style>
  <w:style w:type="character" w:styleId="45">
    <w:name w:val="Emphasis"/>
    <w:basedOn w:val="39"/>
    <w:qFormat/>
    <w:uiPriority w:val="20"/>
    <w:rPr>
      <w:i/>
    </w:rPr>
  </w:style>
  <w:style w:type="character" w:styleId="46">
    <w:name w:val="Hyperlink"/>
    <w:basedOn w:val="39"/>
    <w:qFormat/>
    <w:uiPriority w:val="0"/>
    <w:rPr>
      <w:color w:val="3366CC"/>
      <w:u w:val="single"/>
    </w:rPr>
  </w:style>
  <w:style w:type="character" w:styleId="47">
    <w:name w:val="annotation reference"/>
    <w:basedOn w:val="39"/>
    <w:qFormat/>
    <w:uiPriority w:val="0"/>
    <w:rPr>
      <w:sz w:val="21"/>
      <w:szCs w:val="21"/>
    </w:rPr>
  </w:style>
  <w:style w:type="paragraph" w:customStyle="1" w:styleId="48">
    <w:name w:val=" Char Char Char Char"/>
    <w:basedOn w:val="1"/>
    <w:link w:val="39"/>
    <w:qFormat/>
    <w:uiPriority w:val="0"/>
    <w:pPr>
      <w:spacing w:line="300" w:lineRule="auto"/>
      <w:ind w:firstLine="560"/>
    </w:pPr>
  </w:style>
  <w:style w:type="paragraph" w:customStyle="1" w:styleId="49">
    <w:name w:val="样式 标题 1 + 四号 段前: 0 磅 段后: 0 磅 行距: 1.5 倍行距"/>
    <w:basedOn w:val="50"/>
    <w:next w:val="1"/>
    <w:qFormat/>
    <w:uiPriority w:val="0"/>
    <w:pPr>
      <w:spacing w:line="360" w:lineRule="auto"/>
      <w:jc w:val="center"/>
    </w:pPr>
  </w:style>
  <w:style w:type="paragraph" w:customStyle="1" w:styleId="50">
    <w:name w:val="1正文"/>
    <w:basedOn w:val="1"/>
    <w:qFormat/>
    <w:uiPriority w:val="0"/>
    <w:pPr>
      <w:spacing w:line="500" w:lineRule="exact"/>
      <w:ind w:firstLine="588" w:firstLineChars="196"/>
    </w:pPr>
    <w:rPr>
      <w:rFonts w:eastAsia="楷体_GB2312"/>
      <w:sz w:val="30"/>
      <w:szCs w:val="30"/>
    </w:rPr>
  </w:style>
  <w:style w:type="paragraph" w:customStyle="1" w:styleId="51">
    <w:name w:val="文本正文"/>
    <w:basedOn w:val="1"/>
    <w:qFormat/>
    <w:uiPriority w:val="0"/>
    <w:pPr>
      <w:snapToGrid w:val="0"/>
      <w:spacing w:line="360" w:lineRule="auto"/>
      <w:ind w:firstLine="510"/>
      <w:jc w:val="left"/>
    </w:pPr>
    <w:rPr>
      <w:spacing w:val="4"/>
      <w:kern w:val="24"/>
      <w:szCs w:val="24"/>
      <w:lang w:val="zh-CN"/>
    </w:rPr>
  </w:style>
  <w:style w:type="paragraph" w:customStyle="1" w:styleId="52">
    <w:name w:val="表头"/>
    <w:basedOn w:val="1"/>
    <w:next w:val="53"/>
    <w:qFormat/>
    <w:uiPriority w:val="0"/>
    <w:pPr>
      <w:spacing w:line="360" w:lineRule="auto"/>
      <w:ind w:firstLine="0" w:firstLineChars="0"/>
      <w:jc w:val="center"/>
    </w:pPr>
    <w:rPr>
      <w:b/>
      <w:bCs/>
      <w:sz w:val="21"/>
      <w:szCs w:val="21"/>
    </w:rPr>
  </w:style>
  <w:style w:type="paragraph" w:customStyle="1" w:styleId="53">
    <w:name w:val="表格"/>
    <w:basedOn w:val="52"/>
    <w:next w:val="1"/>
    <w:qFormat/>
    <w:uiPriority w:val="0"/>
    <w:pPr>
      <w:jc w:val="center"/>
    </w:pPr>
    <w:rPr>
      <w:sz w:val="24"/>
    </w:rPr>
  </w:style>
  <w:style w:type="paragraph" w:customStyle="1" w:styleId="54">
    <w:name w:val="表格内容"/>
    <w:basedOn w:val="1"/>
    <w:next w:val="5"/>
    <w:qFormat/>
    <w:uiPriority w:val="0"/>
    <w:pPr>
      <w:spacing w:before="60" w:after="60" w:line="240" w:lineRule="auto"/>
      <w:ind w:firstLine="0" w:firstLineChars="0"/>
      <w:jc w:val="center"/>
    </w:pPr>
    <w:rPr>
      <w:rFonts w:cs="Courier New"/>
      <w:sz w:val="21"/>
      <w:szCs w:val="21"/>
    </w:rPr>
  </w:style>
  <w:style w:type="paragraph" w:customStyle="1" w:styleId="55">
    <w:name w:val="默认段落字体 Para Char Char Char Char"/>
    <w:basedOn w:val="1"/>
    <w:qFormat/>
    <w:uiPriority w:val="0"/>
    <w:rPr>
      <w:rFonts w:ascii="Times New Roman" w:hAnsi="Times New Roman" w:eastAsia="宋体"/>
    </w:rPr>
  </w:style>
  <w:style w:type="paragraph" w:customStyle="1" w:styleId="56">
    <w:name w:val="报告书正文"/>
    <w:basedOn w:val="1"/>
    <w:qFormat/>
    <w:uiPriority w:val="0"/>
    <w:pPr>
      <w:adjustRightInd w:val="0"/>
      <w:snapToGrid w:val="0"/>
      <w:spacing w:line="360" w:lineRule="auto"/>
      <w:ind w:firstLine="880" w:firstLineChars="200"/>
      <w:textAlignment w:val="baseline"/>
    </w:pPr>
    <w:rPr>
      <w:kern w:val="0"/>
      <w:sz w:val="24"/>
      <w:szCs w:val="24"/>
    </w:rPr>
  </w:style>
  <w:style w:type="paragraph" w:customStyle="1" w:styleId="57">
    <w:name w:val="li_正文"/>
    <w:basedOn w:val="1"/>
    <w:qFormat/>
    <w:uiPriority w:val="0"/>
    <w:pPr>
      <w:ind w:firstLine="560" w:firstLineChars="200"/>
      <w:jc w:val="left"/>
    </w:pPr>
    <w:rPr>
      <w:color w:val="000000"/>
      <w:sz w:val="28"/>
      <w:szCs w:val="28"/>
    </w:rPr>
  </w:style>
  <w:style w:type="paragraph" w:customStyle="1" w:styleId="5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9">
    <w:name w:val="xl25"/>
    <w:basedOn w:val="1"/>
    <w:qFormat/>
    <w:uiPriority w:val="0"/>
    <w:pPr>
      <w:widowControl/>
      <w:spacing w:before="100" w:beforeLines="0" w:beforeAutospacing="1" w:after="100" w:afterLines="0" w:afterAutospacing="1"/>
      <w:jc w:val="center"/>
    </w:pPr>
    <w:rPr>
      <w:rFonts w:ascii="宋体" w:hAnsi="宋体"/>
      <w:kern w:val="0"/>
      <w:szCs w:val="21"/>
    </w:rPr>
  </w:style>
  <w:style w:type="paragraph" w:customStyle="1" w:styleId="60">
    <w:name w:val=" Char Char Char Char Char Char"/>
    <w:basedOn w:val="1"/>
    <w:next w:val="4"/>
    <w:qFormat/>
    <w:uiPriority w:val="0"/>
    <w:rPr>
      <w:sz w:val="28"/>
      <w:szCs w:val="28"/>
    </w:rPr>
  </w:style>
  <w:style w:type="paragraph" w:customStyle="1" w:styleId="61">
    <w:name w:val="封面标准号1"/>
    <w:qFormat/>
    <w:uiPriority w:val="0"/>
    <w:pPr>
      <w:widowControl w:val="0"/>
      <w:kinsoku w:val="0"/>
      <w:overflowPunct w:val="0"/>
      <w:autoSpaceDE w:val="0"/>
      <w:autoSpaceDN w:val="0"/>
      <w:spacing w:before="308" w:beforeLines="0"/>
      <w:jc w:val="right"/>
    </w:pPr>
    <w:rPr>
      <w:rFonts w:ascii="Times New Roman" w:hAnsi="Times New Roman" w:eastAsia="宋体" w:cs="Times New Roman"/>
      <w:sz w:val="28"/>
      <w:lang w:val="en-US" w:eastAsia="zh-CN" w:bidi="ar-SA"/>
    </w:rPr>
  </w:style>
  <w:style w:type="paragraph" w:customStyle="1" w:styleId="62">
    <w:name w:val="font0"/>
    <w:basedOn w:val="1"/>
    <w:qFormat/>
    <w:uiPriority w:val="0"/>
    <w:pPr>
      <w:widowControl/>
      <w:spacing w:before="100" w:beforeLines="0" w:beforeAutospacing="1" w:after="100" w:afterLines="0" w:afterAutospacing="1"/>
      <w:jc w:val="left"/>
    </w:pPr>
    <w:rPr>
      <w:rFonts w:hint="eastAsia" w:ascii="宋体" w:hAnsi="宋体"/>
      <w:kern w:val="0"/>
      <w:sz w:val="24"/>
      <w:szCs w:val="24"/>
    </w:rPr>
  </w:style>
  <w:style w:type="paragraph" w:customStyle="1" w:styleId="63">
    <w:name w:val=" Char"/>
    <w:basedOn w:val="1"/>
    <w:qFormat/>
    <w:uiPriority w:val="0"/>
    <w:rPr>
      <w:szCs w:val="24"/>
    </w:rPr>
  </w:style>
  <w:style w:type="paragraph" w:customStyle="1" w:styleId="64">
    <w:name w:val="Char Char Char Char"/>
    <w:basedOn w:val="1"/>
    <w:qFormat/>
    <w:uiPriority w:val="0"/>
  </w:style>
  <w:style w:type="paragraph" w:customStyle="1" w:styleId="65">
    <w:name w:val=" Char Char Char Char Char Char1 Char Char Char Char Char Char Char Char Char Char Char Char1 Char Char Char Char Char Char Char Char Char Char Char Char Char"/>
    <w:basedOn w:val="1"/>
    <w:qFormat/>
    <w:uiPriority w:val="0"/>
  </w:style>
  <w:style w:type="paragraph" w:customStyle="1" w:styleId="66">
    <w:name w:val="默认段落字体 Para Char"/>
    <w:basedOn w:val="1"/>
    <w:next w:val="1"/>
    <w:qFormat/>
    <w:uiPriority w:val="0"/>
    <w:pPr>
      <w:adjustRightInd w:val="0"/>
      <w:spacing w:line="360" w:lineRule="auto"/>
      <w:ind w:firstLine="200" w:firstLineChars="200"/>
      <w:jc w:val="left"/>
      <w:textAlignment w:val="baseline"/>
    </w:pPr>
  </w:style>
  <w:style w:type="paragraph" w:customStyle="1" w:styleId="67">
    <w:name w:val=" Char Char Char Char Char Char Char Char Char Char Char Char Char Char Char Char Char Char Char"/>
    <w:basedOn w:val="1"/>
    <w:qFormat/>
    <w:uiPriority w:val="0"/>
  </w:style>
  <w:style w:type="paragraph" w:customStyle="1" w:styleId="68">
    <w:name w:val=" Char4"/>
    <w:basedOn w:val="1"/>
    <w:qFormat/>
    <w:uiPriority w:val="0"/>
    <w:pPr>
      <w:spacing w:line="360" w:lineRule="auto"/>
      <w:ind w:firstLine="200" w:firstLineChars="200"/>
    </w:pPr>
  </w:style>
  <w:style w:type="paragraph" w:customStyle="1" w:styleId="69">
    <w:name w:val=" Char Char1 Char Char Char Char"/>
    <w:basedOn w:val="1"/>
    <w:qFormat/>
    <w:uiPriority w:val="0"/>
  </w:style>
  <w:style w:type="paragraph" w:customStyle="1" w:styleId="70">
    <w:name w:val="Char Char Char Char Char Char"/>
    <w:basedOn w:val="1"/>
    <w:next w:val="4"/>
    <w:qFormat/>
    <w:uiPriority w:val="0"/>
    <w:rPr>
      <w:sz w:val="28"/>
      <w:szCs w:val="28"/>
    </w:rPr>
  </w:style>
  <w:style w:type="paragraph" w:customStyle="1" w:styleId="71">
    <w:name w:val="xl26"/>
    <w:basedOn w:val="1"/>
    <w:qFormat/>
    <w:uiPriority w:val="0"/>
    <w:pPr>
      <w:widowControl/>
      <w:spacing w:before="100" w:beforeLines="0" w:after="100" w:afterLines="0"/>
      <w:jc w:val="center"/>
    </w:pPr>
    <w:rPr>
      <w:rFonts w:ascii="宋体" w:hAnsi="宋体"/>
      <w:kern w:val="0"/>
      <w:sz w:val="24"/>
    </w:rPr>
  </w:style>
  <w:style w:type="paragraph" w:customStyle="1" w:styleId="72">
    <w:name w:val="标题4"/>
    <w:basedOn w:val="9"/>
    <w:next w:val="9"/>
    <w:qFormat/>
    <w:uiPriority w:val="0"/>
    <w:pPr>
      <w:adjustRightInd w:val="0"/>
      <w:spacing w:before="0" w:beforeLines="0" w:after="0" w:afterLines="0" w:line="360" w:lineRule="auto"/>
    </w:pPr>
    <w:rPr>
      <w:rFonts w:eastAsia="宋体"/>
      <w:kern w:val="0"/>
      <w:sz w:val="24"/>
      <w:lang w:val="en-GB"/>
    </w:rPr>
  </w:style>
  <w:style w:type="paragraph" w:customStyle="1" w:styleId="73">
    <w:name w:val="Char"/>
    <w:basedOn w:val="1"/>
    <w:qFormat/>
    <w:uiPriority w:val="0"/>
    <w:rPr>
      <w:szCs w:val="24"/>
    </w:rPr>
  </w:style>
  <w:style w:type="paragraph" w:customStyle="1" w:styleId="74">
    <w:name w:val="样式8"/>
    <w:basedOn w:val="1"/>
    <w:qFormat/>
    <w:uiPriority w:val="0"/>
    <w:pPr>
      <w:spacing w:line="240" w:lineRule="auto"/>
      <w:jc w:val="center"/>
    </w:pPr>
    <w:rPr>
      <w:rFonts w:eastAsia="宋体"/>
      <w:sz w:val="21"/>
      <w:szCs w:val="21"/>
    </w:rPr>
  </w:style>
  <w:style w:type="paragraph" w:customStyle="1" w:styleId="75">
    <w:name w:val="xl24"/>
    <w:basedOn w:val="1"/>
    <w:qFormat/>
    <w:uiPriority w:val="0"/>
    <w:pPr>
      <w:widowControl/>
      <w:spacing w:before="100" w:beforeLines="0" w:beforeAutospacing="1" w:after="100" w:afterLines="0" w:afterAutospacing="1"/>
      <w:jc w:val="center"/>
    </w:pPr>
    <w:rPr>
      <w:rFonts w:ascii="宋体" w:hAnsi="宋体"/>
      <w:kern w:val="0"/>
      <w:sz w:val="24"/>
      <w:szCs w:val="24"/>
    </w:rPr>
  </w:style>
  <w:style w:type="paragraph" w:customStyle="1" w:styleId="76">
    <w:name w:val="标准"/>
    <w:basedOn w:val="1"/>
    <w:qFormat/>
    <w:uiPriority w:val="0"/>
    <w:pPr>
      <w:adjustRightInd w:val="0"/>
      <w:spacing w:line="480" w:lineRule="exact"/>
      <w:textAlignment w:val="baseline"/>
    </w:pPr>
    <w:rPr>
      <w:kern w:val="0"/>
      <w:sz w:val="28"/>
      <w:szCs w:val="28"/>
      <w:lang w:val="en-GB"/>
    </w:rPr>
  </w:style>
  <w:style w:type="paragraph" w:customStyle="1" w:styleId="77">
    <w:name w:val="正文(首行缩进)"/>
    <w:basedOn w:val="1"/>
    <w:link w:val="93"/>
    <w:qFormat/>
    <w:uiPriority w:val="0"/>
    <w:pPr>
      <w:spacing w:line="360" w:lineRule="auto"/>
      <w:ind w:firstLine="475" w:firstLineChars="212"/>
    </w:pPr>
    <w:rPr>
      <w:rFonts w:eastAsia="宋体"/>
      <w:color w:val="000000"/>
      <w:spacing w:val="-8"/>
      <w:kern w:val="24"/>
      <w:sz w:val="24"/>
      <w:szCs w:val="24"/>
      <w:lang w:val="en-US" w:eastAsia="zh-CN" w:bidi="ar-SA"/>
    </w:rPr>
  </w:style>
  <w:style w:type="paragraph" w:customStyle="1" w:styleId="78">
    <w:name w:val=" Char Char Char"/>
    <w:basedOn w:val="1"/>
    <w:qFormat/>
    <w:uiPriority w:val="0"/>
    <w:pPr>
      <w:autoSpaceDE w:val="0"/>
      <w:autoSpaceDN w:val="0"/>
      <w:adjustRightInd w:val="0"/>
      <w:snapToGrid w:val="0"/>
      <w:spacing w:before="50" w:beforeLines="0" w:after="50" w:afterLines="0" w:line="360" w:lineRule="auto"/>
      <w:ind w:firstLine="560" w:firstLineChars="200"/>
    </w:pPr>
    <w:rPr>
      <w:rFonts w:eastAsia="仿宋_GB2312"/>
      <w:color w:val="000000"/>
      <w:sz w:val="24"/>
      <w:szCs w:val="24"/>
    </w:rPr>
  </w:style>
  <w:style w:type="paragraph" w:customStyle="1" w:styleId="79">
    <w:name w:val="txtBox Char"/>
    <w:basedOn w:val="1"/>
    <w:qFormat/>
    <w:uiPriority w:val="0"/>
    <w:pPr>
      <w:jc w:val="center"/>
    </w:pPr>
    <w:rPr>
      <w:szCs w:val="24"/>
    </w:rPr>
  </w:style>
  <w:style w:type="paragraph" w:customStyle="1" w:styleId="80">
    <w:name w:val="正文11111"/>
    <w:basedOn w:val="1"/>
    <w:qFormat/>
    <w:uiPriority w:val="0"/>
    <w:pPr>
      <w:spacing w:line="500" w:lineRule="exact"/>
      <w:ind w:firstLine="560" w:firstLineChars="200"/>
    </w:pPr>
    <w:rPr>
      <w:sz w:val="28"/>
      <w:szCs w:val="28"/>
    </w:rPr>
  </w:style>
  <w:style w:type="paragraph" w:customStyle="1" w:styleId="81">
    <w:name w:val="带点标题"/>
    <w:qFormat/>
    <w:uiPriority w:val="0"/>
    <w:pPr>
      <w:widowControl w:val="0"/>
      <w:spacing w:line="360" w:lineRule="auto"/>
      <w:ind w:firstLine="482"/>
      <w:jc w:val="both"/>
    </w:pPr>
    <w:rPr>
      <w:rFonts w:ascii="宋体" w:hAnsi="宋体" w:eastAsia="宋体" w:cs="Times New Roman"/>
      <w:bCs/>
      <w:color w:val="000000"/>
      <w:sz w:val="24"/>
      <w:szCs w:val="24"/>
      <w:lang w:val="en-US" w:eastAsia="zh-CN" w:bidi="ar-SA"/>
    </w:rPr>
  </w:style>
  <w:style w:type="paragraph" w:customStyle="1" w:styleId="82">
    <w:name w:val="无悬挂正文5号"/>
    <w:basedOn w:val="1"/>
    <w:qFormat/>
    <w:uiPriority w:val="0"/>
    <w:pPr>
      <w:jc w:val="center"/>
    </w:pPr>
    <w:rPr>
      <w:szCs w:val="24"/>
    </w:rPr>
  </w:style>
  <w:style w:type="paragraph" w:customStyle="1" w:styleId="83">
    <w:name w:val="正文文本缩进1"/>
    <w:basedOn w:val="1"/>
    <w:qFormat/>
    <w:uiPriority w:val="0"/>
    <w:pPr>
      <w:spacing w:after="120"/>
      <w:ind w:left="420" w:leftChars="200"/>
    </w:pPr>
    <w:rPr>
      <w:rFonts w:hint="default" w:ascii="Times New Roman" w:hAnsi="Times New Roman"/>
      <w:kern w:val="0"/>
      <w:sz w:val="24"/>
      <w:szCs w:val="24"/>
    </w:rPr>
  </w:style>
  <w:style w:type="paragraph" w:customStyle="1" w:styleId="84">
    <w:name w:val="样式1"/>
    <w:basedOn w:val="1"/>
    <w:qFormat/>
    <w:uiPriority w:val="0"/>
    <w:pPr>
      <w:spacing w:line="500" w:lineRule="exact"/>
      <w:ind w:firstLine="200" w:firstLineChars="200"/>
    </w:pPr>
    <w:rPr>
      <w:rFonts w:ascii="Arial" w:hAnsi="Arial"/>
      <w:sz w:val="24"/>
      <w:szCs w:val="24"/>
    </w:rPr>
  </w:style>
  <w:style w:type="paragraph" w:customStyle="1" w:styleId="85">
    <w:name w:val="xl47"/>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hint="eastAsia" w:ascii="宋体" w:hAnsi="宋体"/>
      <w:kern w:val="0"/>
      <w:sz w:val="24"/>
      <w:szCs w:val="24"/>
    </w:rPr>
  </w:style>
  <w:style w:type="paragraph" w:customStyle="1" w:styleId="86">
    <w:name w:val=" Char1"/>
    <w:basedOn w:val="1"/>
    <w:qFormat/>
    <w:uiPriority w:val="0"/>
    <w:pPr>
      <w:ind w:left="510"/>
    </w:pPr>
  </w:style>
  <w:style w:type="paragraph" w:customStyle="1" w:styleId="87">
    <w:name w:val="_Style 2"/>
    <w:next w:val="1"/>
    <w:qFormat/>
    <w:uiPriority w:val="0"/>
    <w:pPr>
      <w:widowControl w:val="0"/>
      <w:spacing w:line="360" w:lineRule="auto"/>
      <w:ind w:firstLine="200" w:firstLineChars="200"/>
    </w:pPr>
    <w:rPr>
      <w:rFonts w:ascii="Times New Roman" w:hAnsi="Times New Roman" w:eastAsia="宋体" w:cs="Times New Roman"/>
      <w:kern w:val="2"/>
      <w:sz w:val="24"/>
      <w:szCs w:val="22"/>
      <w:lang w:val="en-US" w:eastAsia="zh-CN" w:bidi="ar-SA"/>
    </w:rPr>
  </w:style>
  <w:style w:type="paragraph" w:customStyle="1" w:styleId="88">
    <w:name w:val=" Char1 Char Char Char"/>
    <w:basedOn w:val="1"/>
    <w:qFormat/>
    <w:uiPriority w:val="0"/>
    <w:rPr>
      <w:szCs w:val="24"/>
    </w:rPr>
  </w:style>
  <w:style w:type="paragraph" w:customStyle="1" w:styleId="89">
    <w:name w:val="样式2"/>
    <w:basedOn w:val="84"/>
    <w:next w:val="84"/>
    <w:qFormat/>
    <w:uiPriority w:val="0"/>
    <w:rPr>
      <w:b/>
    </w:rPr>
  </w:style>
  <w:style w:type="paragraph" w:customStyle="1" w:styleId="90">
    <w:name w:val="环评正文"/>
    <w:basedOn w:val="1"/>
    <w:qFormat/>
    <w:uiPriority w:val="0"/>
    <w:pPr>
      <w:spacing w:line="360" w:lineRule="auto"/>
      <w:ind w:firstLine="663" w:firstLineChars="221"/>
    </w:pPr>
    <w:rPr>
      <w:rFonts w:ascii="Calibri" w:hAnsi="Calibri" w:eastAsia="宋体"/>
      <w:sz w:val="24"/>
      <w:szCs w:val="24"/>
    </w:rPr>
  </w:style>
  <w:style w:type="paragraph" w:customStyle="1" w:styleId="9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kern w:val="0"/>
      <w:sz w:val="24"/>
      <w:szCs w:val="24"/>
    </w:rPr>
  </w:style>
  <w:style w:type="paragraph" w:customStyle="1" w:styleId="92">
    <w:name w:val="p0"/>
    <w:basedOn w:val="1"/>
    <w:qFormat/>
    <w:uiPriority w:val="0"/>
    <w:pPr>
      <w:widowControl/>
      <w:adjustRightInd/>
      <w:spacing w:line="240" w:lineRule="atLeast"/>
      <w:jc w:val="both"/>
      <w:textAlignment w:val="auto"/>
    </w:pPr>
    <w:rPr>
      <w:rFonts w:ascii="Times New Roman"/>
      <w:sz w:val="21"/>
      <w:szCs w:val="21"/>
    </w:rPr>
  </w:style>
  <w:style w:type="character" w:customStyle="1" w:styleId="93">
    <w:name w:val="正文(首行缩进) Char Char"/>
    <w:basedOn w:val="39"/>
    <w:link w:val="77"/>
    <w:qFormat/>
    <w:uiPriority w:val="0"/>
    <w:rPr>
      <w:rFonts w:eastAsia="宋体"/>
      <w:color w:val="000000"/>
      <w:spacing w:val="-8"/>
      <w:kern w:val="24"/>
      <w:sz w:val="24"/>
      <w:szCs w:val="24"/>
      <w:lang w:val="en-US" w:eastAsia="zh-CN" w:bidi="ar-SA"/>
    </w:rPr>
  </w:style>
  <w:style w:type="character" w:customStyle="1" w:styleId="94">
    <w:name w:val="标题 3XW Char3"/>
    <w:basedOn w:val="39"/>
    <w:link w:val="7"/>
    <w:qFormat/>
    <w:uiPriority w:val="0"/>
    <w:rPr>
      <w:rFonts w:ascii="宋体" w:hAnsi="宋体" w:eastAsia="宋体" w:cs="宋体"/>
      <w:b/>
      <w:kern w:val="2"/>
      <w:sz w:val="24"/>
      <w:szCs w:val="24"/>
      <w:lang w:val="zh-CN" w:eastAsia="zh-CN" w:bidi="ar-SA"/>
    </w:rPr>
  </w:style>
  <w:style w:type="character" w:customStyle="1" w:styleId="95">
    <w:name w:val="contents"/>
    <w:basedOn w:val="39"/>
    <w:qFormat/>
    <w:uiPriority w:val="0"/>
  </w:style>
  <w:style w:type="character" w:customStyle="1" w:styleId="96">
    <w:name w:val="grame"/>
    <w:basedOn w:val="39"/>
    <w:qFormat/>
    <w:uiPriority w:val="0"/>
  </w:style>
  <w:style w:type="character" w:customStyle="1" w:styleId="97">
    <w:name w:val=" Char Char1"/>
    <w:basedOn w:val="39"/>
    <w:link w:val="7"/>
    <w:qFormat/>
    <w:uiPriority w:val="0"/>
    <w:rPr>
      <w:rFonts w:eastAsia="宋体"/>
      <w:b/>
      <w:bCs/>
      <w:kern w:val="2"/>
      <w:sz w:val="24"/>
      <w:szCs w:val="32"/>
      <w:lang w:val="en-US" w:eastAsia="zh-CN" w:bidi="ar-SA"/>
    </w:rPr>
  </w:style>
  <w:style w:type="character" w:customStyle="1" w:styleId="98">
    <w:name w:val="Chapter Char"/>
    <w:basedOn w:val="39"/>
    <w:link w:val="6"/>
    <w:qFormat/>
    <w:uiPriority w:val="0"/>
    <w:rPr>
      <w:rFonts w:ascii="Arial" w:hAnsi="Arial" w:eastAsia="宋体"/>
      <w:b/>
      <w:bCs/>
      <w:kern w:val="2"/>
      <w:sz w:val="28"/>
      <w:szCs w:val="32"/>
      <w:lang w:val="en-US" w:eastAsia="zh-CN" w:bidi="ar-SA"/>
    </w:rPr>
  </w:style>
  <w:style w:type="character" w:customStyle="1" w:styleId="99">
    <w:name w:val=" Char Char Char Char Char Char Char Char Char"/>
    <w:basedOn w:val="39"/>
    <w:link w:val="24"/>
    <w:qFormat/>
    <w:uiPriority w:val="0"/>
    <w:rPr>
      <w:rFonts w:eastAsia="宋体"/>
      <w:kern w:val="2"/>
      <w:sz w:val="24"/>
      <w:lang w:val="en-US" w:eastAsia="zh-CN" w:bidi="ar-SA"/>
    </w:rPr>
  </w:style>
  <w:style w:type="character" w:customStyle="1" w:styleId="100">
    <w:name w:val="标题 3XW Char31"/>
    <w:basedOn w:val="39"/>
    <w:link w:val="7"/>
    <w:qFormat/>
    <w:uiPriority w:val="0"/>
    <w:rPr>
      <w:rFonts w:ascii="宋体" w:hAnsi="宋体" w:eastAsia="宋体" w:cs="宋体"/>
      <w:b/>
      <w:kern w:val="2"/>
      <w:sz w:val="24"/>
      <w:szCs w:val="24"/>
      <w:lang w:val="zh-CN" w:eastAsia="zh-CN" w:bidi="ar-SA"/>
    </w:rPr>
  </w:style>
  <w:style w:type="character" w:customStyle="1" w:styleId="101">
    <w:name w:val="apple-style-span"/>
    <w:basedOn w:val="39"/>
    <w:qFormat/>
    <w:uiPriority w:val="0"/>
  </w:style>
  <w:style w:type="paragraph" w:customStyle="1" w:styleId="102">
    <w:name w:val="正文文字"/>
    <w:basedOn w:val="1"/>
    <w:qFormat/>
    <w:uiPriority w:val="0"/>
    <w:pPr>
      <w:spacing w:line="360" w:lineRule="auto"/>
      <w:ind w:firstLine="480" w:firstLineChars="200"/>
      <w:jc w:val="left"/>
    </w:pPr>
    <w:rPr>
      <w:sz w:val="24"/>
      <w:szCs w:val="24"/>
    </w:rPr>
  </w:style>
  <w:style w:type="paragraph" w:customStyle="1" w:styleId="103">
    <w:name w:val="表文"/>
    <w:basedOn w:val="1"/>
    <w:qFormat/>
    <w:uiPriority w:val="0"/>
    <w:pPr>
      <w:widowControl/>
      <w:jc w:val="center"/>
    </w:pPr>
    <w:rPr>
      <w:rFonts w:ascii="Arial" w:hAnsi="Arial" w:eastAsia="仿宋"/>
      <w:szCs w:val="20"/>
    </w:rPr>
  </w:style>
  <w:style w:type="paragraph" w:customStyle="1" w:styleId="104">
    <w:name w:val="Table Paragraph"/>
    <w:basedOn w:val="1"/>
    <w:qFormat/>
    <w:uiPriority w:val="1"/>
  </w:style>
  <w:style w:type="paragraph" w:styleId="105">
    <w:name w:val="List Paragraph"/>
    <w:basedOn w:val="1"/>
    <w:next w:val="1"/>
    <w:unhideWhenUsed/>
    <w:qFormat/>
    <w:uiPriority w:val="1"/>
    <w:pPr>
      <w:spacing w:before="135" w:beforeLines="0" w:afterLines="0"/>
      <w:ind w:left="1416" w:hanging="420"/>
    </w:pPr>
    <w:rPr>
      <w:rFonts w:hint="eastAsia"/>
      <w:sz w:val="24"/>
    </w:rPr>
  </w:style>
  <w:style w:type="character" w:customStyle="1" w:styleId="106">
    <w:name w:val="font51"/>
    <w:basedOn w:val="39"/>
    <w:qFormat/>
    <w:uiPriority w:val="0"/>
    <w:rPr>
      <w:rFonts w:hint="default" w:ascii="Times New Roman" w:hAnsi="Times New Roman" w:cs="Times New Roman"/>
      <w:color w:val="000000"/>
      <w:sz w:val="21"/>
      <w:szCs w:val="21"/>
      <w:u w:val="none"/>
    </w:rPr>
  </w:style>
  <w:style w:type="character" w:customStyle="1" w:styleId="107">
    <w:name w:val="font71"/>
    <w:basedOn w:val="39"/>
    <w:qFormat/>
    <w:uiPriority w:val="0"/>
    <w:rPr>
      <w:rFonts w:hint="eastAsia" w:ascii="宋体" w:hAnsi="宋体" w:eastAsia="宋体" w:cs="宋体"/>
      <w:color w:val="000000"/>
      <w:sz w:val="21"/>
      <w:szCs w:val="21"/>
      <w:u w:val="none"/>
    </w:rPr>
  </w:style>
  <w:style w:type="character" w:customStyle="1" w:styleId="108">
    <w:name w:val="font61"/>
    <w:basedOn w:val="39"/>
    <w:qFormat/>
    <w:uiPriority w:val="0"/>
    <w:rPr>
      <w:rFonts w:hint="eastAsia" w:ascii="宋体" w:hAnsi="宋体" w:eastAsia="宋体" w:cs="宋体"/>
      <w:color w:val="000000"/>
      <w:sz w:val="21"/>
      <w:szCs w:val="21"/>
      <w:u w:val="none"/>
    </w:rPr>
  </w:style>
  <w:style w:type="character" w:customStyle="1" w:styleId="109">
    <w:name w:val="viewthreadtxt"/>
    <w:basedOn w:val="39"/>
    <w:qFormat/>
    <w:uiPriority w:val="0"/>
  </w:style>
  <w:style w:type="paragraph" w:customStyle="1" w:styleId="110">
    <w:name w:val="Plain Text"/>
    <w:basedOn w:val="1"/>
    <w:qFormat/>
    <w:uiPriority w:val="0"/>
    <w:rPr>
      <w:rFonts w:ascii="宋体" w:hAnsi="Courier New" w:eastAsia="宋体" w:cs="Courier New"/>
      <w:szCs w:val="21"/>
    </w:rPr>
  </w:style>
  <w:style w:type="paragraph" w:customStyle="1" w:styleId="111">
    <w:name w:val="Body text|1"/>
    <w:basedOn w:val="1"/>
    <w:qFormat/>
    <w:uiPriority w:val="0"/>
    <w:pPr>
      <w:widowControl w:val="0"/>
      <w:shd w:val="clear" w:color="auto" w:fill="auto"/>
      <w:spacing w:line="322" w:lineRule="auto"/>
      <w:ind w:firstLine="200"/>
    </w:pPr>
    <w:rPr>
      <w:rFonts w:ascii="MingLiU" w:hAnsi="MingLiU" w:eastAsia="MingLiU" w:cs="MingLiU"/>
      <w:sz w:val="20"/>
      <w:szCs w:val="20"/>
      <w:u w:val="none"/>
      <w:shd w:val="clear" w:color="auto" w:fill="auto"/>
      <w:lang w:val="zh-TW" w:eastAsia="zh-TW" w:bidi="zh-TW"/>
    </w:rPr>
  </w:style>
  <w:style w:type="paragraph" w:customStyle="1" w:styleId="112">
    <w:name w:val="报告表正文"/>
    <w:basedOn w:val="1"/>
    <w:qFormat/>
    <w:uiPriority w:val="0"/>
    <w:pPr>
      <w:adjustRightInd w:val="0"/>
      <w:spacing w:line="312" w:lineRule="auto"/>
      <w:ind w:left="113" w:right="113" w:firstLine="482"/>
      <w:jc w:val="left"/>
      <w:textAlignment w:val="baseline"/>
    </w:pPr>
    <w:rPr>
      <w:kern w:val="0"/>
      <w:sz w:val="24"/>
      <w:szCs w:val="20"/>
    </w:rPr>
  </w:style>
  <w:style w:type="character" w:customStyle="1" w:styleId="113">
    <w:name w:val="font11"/>
    <w:basedOn w:val="39"/>
    <w:qFormat/>
    <w:uiPriority w:val="0"/>
    <w:rPr>
      <w:rFonts w:hint="default" w:ascii="Times New Roman" w:hAnsi="Times New Roman" w:cs="Times New Roman"/>
      <w:b/>
      <w:color w:val="000000"/>
      <w:sz w:val="21"/>
      <w:szCs w:val="21"/>
      <w:u w:val="none"/>
    </w:rPr>
  </w:style>
  <w:style w:type="character" w:customStyle="1" w:styleId="114">
    <w:name w:val="font41"/>
    <w:basedOn w:val="39"/>
    <w:qFormat/>
    <w:uiPriority w:val="0"/>
    <w:rPr>
      <w:rFonts w:hint="eastAsia" w:ascii="宋体" w:hAnsi="宋体" w:eastAsia="宋体" w:cs="宋体"/>
      <w:b/>
      <w:color w:val="000000"/>
      <w:sz w:val="21"/>
      <w:szCs w:val="21"/>
      <w:u w:val="none"/>
    </w:rPr>
  </w:style>
  <w:style w:type="character" w:customStyle="1" w:styleId="115">
    <w:name w:val="font31"/>
    <w:basedOn w:val="39"/>
    <w:qFormat/>
    <w:uiPriority w:val="0"/>
    <w:rPr>
      <w:rFonts w:hint="eastAsia" w:ascii="宋体" w:hAnsi="宋体" w:eastAsia="宋体" w:cs="宋体"/>
      <w:color w:val="000000"/>
      <w:sz w:val="21"/>
      <w:szCs w:val="21"/>
      <w:u w:val="none"/>
    </w:rPr>
  </w:style>
  <w:style w:type="character" w:customStyle="1" w:styleId="116">
    <w:name w:val="font21"/>
    <w:basedOn w:val="39"/>
    <w:qFormat/>
    <w:uiPriority w:val="0"/>
    <w:rPr>
      <w:rFonts w:hint="default" w:ascii="Times New Roman" w:hAnsi="Times New Roman" w:cs="Times New Roman"/>
      <w:color w:val="000000"/>
      <w:sz w:val="21"/>
      <w:szCs w:val="21"/>
      <w:u w:val="none"/>
    </w:rPr>
  </w:style>
  <w:style w:type="paragraph" w:customStyle="1" w:styleId="117">
    <w:name w:val="WPSOffice手动目录 1"/>
    <w:qFormat/>
    <w:uiPriority w:val="0"/>
    <w:pPr>
      <w:ind w:leftChars="0"/>
    </w:pPr>
    <w:rPr>
      <w:rFonts w:ascii="Calibri" w:hAnsi="Calibri" w:eastAsia="宋体" w:cs="Times New Roman"/>
      <w:sz w:val="20"/>
      <w:szCs w:val="20"/>
    </w:rPr>
  </w:style>
  <w:style w:type="paragraph" w:customStyle="1" w:styleId="118">
    <w:name w:val="WPSOffice手动目录 3"/>
    <w:qFormat/>
    <w:uiPriority w:val="0"/>
    <w:pPr>
      <w:ind w:leftChars="400"/>
    </w:pPr>
    <w:rPr>
      <w:rFonts w:ascii="Calibri" w:hAnsi="Calibri" w:eastAsia="宋体" w:cs="Times New Roman"/>
      <w:sz w:val="20"/>
      <w:szCs w:val="20"/>
    </w:rPr>
  </w:style>
  <w:style w:type="paragraph" w:customStyle="1" w:styleId="119">
    <w:name w:val="报告正文-连续目录"/>
    <w:basedOn w:val="1"/>
    <w:qFormat/>
    <w:uiPriority w:val="0"/>
    <w:pPr>
      <w:spacing w:before="120" w:after="120"/>
      <w:ind w:firstLine="200"/>
      <w:jc w:val="both"/>
    </w:pPr>
    <w:rPr>
      <w:rFonts w:ascii="Arial" w:hAnsi="Arial"/>
      <w:snapToGrid w:val="0"/>
    </w:rPr>
  </w:style>
  <w:style w:type="paragraph" w:styleId="120">
    <w:name w:val="No Spacing"/>
    <w:qFormat/>
    <w:uiPriority w:val="0"/>
    <w:pPr>
      <w:widowControl w:val="0"/>
      <w:spacing w:line="500" w:lineRule="exact"/>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121">
    <w:name w:val="表格文字"/>
    <w:basedOn w:val="1"/>
    <w:qFormat/>
    <w:uiPriority w:val="0"/>
    <w:pPr>
      <w:adjustRightInd w:val="0"/>
      <w:snapToGrid w:val="0"/>
      <w:spacing w:line="240" w:lineRule="auto"/>
      <w:ind w:firstLine="0" w:firstLineChars="0"/>
      <w:jc w:val="center"/>
    </w:pPr>
    <w:rPr>
      <w:rFonts w:ascii="仿宋_GB2312" w:hAnsi="Arial Black" w:eastAsia="仿宋_GB2312"/>
      <w:kern w:val="44"/>
      <w:szCs w:val="20"/>
    </w:rPr>
  </w:style>
  <w:style w:type="character" w:customStyle="1" w:styleId="122">
    <w:name w:val="bszn"/>
    <w:basedOn w:val="39"/>
    <w:qFormat/>
    <w:uiPriority w:val="0"/>
    <w:rPr>
      <w:vanish/>
    </w:rPr>
  </w:style>
  <w:style w:type="character" w:customStyle="1" w:styleId="123">
    <w:name w:val="bszn1"/>
    <w:basedOn w:val="39"/>
    <w:qFormat/>
    <w:uiPriority w:val="0"/>
  </w:style>
  <w:style w:type="character" w:customStyle="1" w:styleId="124">
    <w:name w:val="bszn2"/>
    <w:basedOn w:val="39"/>
    <w:uiPriority w:val="0"/>
    <w:rPr>
      <w:vanish/>
    </w:rPr>
  </w:style>
  <w:style w:type="character" w:customStyle="1" w:styleId="125">
    <w:name w:val="bszn3"/>
    <w:basedOn w:val="39"/>
    <w:uiPriority w:val="0"/>
  </w:style>
  <w:style w:type="character" w:customStyle="1" w:styleId="126">
    <w:name w:val="desc"/>
    <w:basedOn w:val="39"/>
    <w:uiPriority w:val="0"/>
    <w:rPr>
      <w:color w:val="FC0606"/>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8.wmf"/><Relationship Id="rId20" Type="http://schemas.openxmlformats.org/officeDocument/2006/relationships/oleObject" Target="embeddings/oleObject4.bin"/><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oleObject" Target="embeddings/oleObject3.bin"/><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71</Pages>
  <Words>8074</Words>
  <Characters>46028</Characters>
  <Lines>383</Lines>
  <Paragraphs>107</Paragraphs>
  <TotalTime>34</TotalTime>
  <ScaleCrop>false</ScaleCrop>
  <LinksUpToDate>false</LinksUpToDate>
  <CharactersWithSpaces>53995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2011-05-31T08:03:00Z</dcterms:created>
  <dc:creator>USER</dc:creator>
  <cp:lastModifiedBy>独守空城男孩</cp:lastModifiedBy>
  <cp:lastPrinted>2015-11-23T07:21:00Z</cp:lastPrinted>
  <dcterms:modified xsi:type="dcterms:W3CDTF">2020-11-12T01:37:31Z</dcterms:modified>
  <dc:title>建设项目基本情况</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